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5.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8.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Override ContentType="application/vnd.openxmlformats-officedocument.wordprocessingml.header+xml" PartName="/word/header5.xml"/>
  <Override ContentType="application/vnd.openxmlformats-officedocument.wordprocessingml.header+xml" PartName="/word/header6.xml"/>
  <Default ContentType="image/jpeg" Extension="jpeg"/>
  <Default ContentType="image/png" Extension="png"/>
  <Default ContentType="image/x-wmf" Extension="wmf"/>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40"/>
        <w:spacing w:before="100" w:beforeAutospacing="1"/>
        <w:jc w:val="center"/>
        <w:rPr>
          <w:rFonts w:ascii="Times New Roman" w:hAnsi="Times New Roman"/>
          <w:b w:val="0"/>
          <w:sz w:val="24"/>
          <w:szCs w:val="24"/>
        </w:rPr>
      </w:pPr>
      <w:bookmarkStart w:id="0" w:name="_Toc397322797"/>
      <w:r>
        <w:rPr>
          <w:rFonts w:hint="eastAsia" w:ascii="Times New Roman" w:hAnsi="宋体"/>
          <w:color w:val="auto"/>
          <w:sz w:val="32"/>
          <w:szCs w:val="32"/>
          <w:lang w:val="zh-CN"/>
        </w:rPr>
        <w:t>目录</w:t>
      </w:r>
    </w:p>
    <w:p>
      <w:pPr>
        <w:pStyle w:val="22"/>
        <w:tabs>
          <w:tab w:val="right" w:leader="dot" w:pos="8296"/>
        </w:tabs>
        <w:ind w:firstLine="560"/>
        <w:rPr>
          <w:rFonts w:ascii="Times New Roman" w:hAnsi="Times New Roman" w:eastAsia="宋体" w:cs="Times New Roman"/>
          <w:b w:val="0"/>
          <w:bCs w:val="0"/>
          <w:caps w:val="0"/>
          <w:sz w:val="24"/>
          <w:szCs w:val="24"/>
        </w:rPr>
      </w:pPr>
      <w:r>
        <w:rPr>
          <w:rFonts w:cs="Times New Roman"/>
          <w:b w:val="0"/>
          <w:bCs w:val="0"/>
          <w:caps w:val="0"/>
          <w:sz w:val="28"/>
          <w:szCs w:val="28"/>
        </w:rPr>
        <w:fldChar w:fldCharType="begin"/>
      </w:r>
      <w:r>
        <w:rPr>
          <w:rFonts w:cs="Times New Roman"/>
          <w:b w:val="0"/>
          <w:bCs w:val="0"/>
          <w:caps w:val="0"/>
          <w:sz w:val="28"/>
          <w:szCs w:val="28"/>
        </w:rPr>
        <w:instrText xml:space="preserve"> TOC \o "1-2" \h \z \u </w:instrText>
      </w:r>
      <w:r>
        <w:rPr>
          <w:rFonts w:cs="Times New Roman"/>
          <w:b w:val="0"/>
          <w:bCs w:val="0"/>
          <w:caps w:val="0"/>
          <w:sz w:val="28"/>
          <w:szCs w:val="28"/>
        </w:rPr>
        <w:fldChar w:fldCharType="separate"/>
      </w:r>
      <w:r>
        <w:fldChar w:fldCharType="begin"/>
      </w:r>
      <w:r>
        <w:instrText xml:space="preserve">HYPERLINK  \l "_Toc462818398" </w:instrText>
      </w:r>
      <w:r>
        <w:fldChar w:fldCharType="separate"/>
      </w:r>
      <w:r>
        <w:rPr>
          <w:rStyle w:val="33"/>
          <w:rFonts w:ascii="Times New Roman" w:hAnsi="宋体" w:eastAsia="宋体"/>
          <w:sz w:val="24"/>
          <w:szCs w:val="24"/>
        </w:rPr>
        <w:t>前言</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_Toc462818398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ascii="Times New Roman" w:hAnsi="Times New Roman" w:eastAsia="宋体" w:cs="Times New Roman"/>
          <w:sz w:val="24"/>
          <w:szCs w:val="24"/>
        </w:rPr>
        <w:fldChar w:fldCharType="end"/>
      </w:r>
      <w:r>
        <w:fldChar w:fldCharType="end"/>
      </w:r>
    </w:p>
    <w:p>
      <w:pPr>
        <w:pStyle w:val="27"/>
        <w:tabs>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"_Toc462818399" </w:instrText>
      </w:r>
      <w:r>
        <w:fldChar w:fldCharType="separate"/>
      </w:r>
      <w:r>
        <w:rPr>
          <w:rStyle w:val="33"/>
          <w:rFonts w:ascii="Times New Roman" w:hAnsi="Times New Roman" w:eastAsia="宋体"/>
          <w:sz w:val="24"/>
          <w:szCs w:val="24"/>
        </w:rPr>
        <w:t>I</w:t>
      </w:r>
      <w:r>
        <w:rPr>
          <w:rStyle w:val="33"/>
          <w:rFonts w:ascii="Times New Roman" w:hAnsi="宋体" w:eastAsia="宋体"/>
          <w:sz w:val="24"/>
          <w:szCs w:val="24"/>
        </w:rPr>
        <w:t>项目背景</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_Toc462818399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ascii="Times New Roman" w:hAnsi="Times New Roman" w:eastAsia="宋体" w:cs="Times New Roman"/>
          <w:sz w:val="24"/>
          <w:szCs w:val="24"/>
        </w:rPr>
        <w:fldChar w:fldCharType="end"/>
      </w:r>
      <w:r>
        <w:fldChar w:fldCharType="end"/>
      </w:r>
    </w:p>
    <w:p>
      <w:pPr>
        <w:pStyle w:val="27"/>
        <w:tabs>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"_Toc462818400" </w:instrText>
      </w:r>
      <w:r>
        <w:fldChar w:fldCharType="separate"/>
      </w:r>
      <w:r>
        <w:rPr>
          <w:rStyle w:val="33"/>
          <w:rFonts w:ascii="Times New Roman" w:hAnsi="Times New Roman" w:eastAsia="宋体"/>
          <w:sz w:val="24"/>
          <w:szCs w:val="24"/>
        </w:rPr>
        <w:t>II</w:t>
      </w:r>
      <w:r>
        <w:rPr>
          <w:rStyle w:val="33"/>
          <w:rFonts w:ascii="Times New Roman" w:hAnsi="宋体" w:eastAsia="宋体"/>
          <w:sz w:val="24"/>
          <w:szCs w:val="24"/>
        </w:rPr>
        <w:t>评价工作内容和工作程序</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fldChar w:fldCharType="end"/>
      </w:r>
    </w:p>
    <w:p>
      <w:pPr>
        <w:pStyle w:val="27"/>
        <w:tabs>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"_Toc462818401" </w:instrText>
      </w:r>
      <w:r>
        <w:fldChar w:fldCharType="separate"/>
      </w:r>
      <w:r>
        <w:rPr>
          <w:rStyle w:val="33"/>
          <w:rFonts w:ascii="Times New Roman" w:hAnsi="Times New Roman" w:eastAsia="宋体"/>
          <w:sz w:val="24"/>
          <w:szCs w:val="24"/>
        </w:rPr>
        <w:t>III</w:t>
      </w:r>
      <w:r>
        <w:rPr>
          <w:rStyle w:val="33"/>
          <w:rFonts w:ascii="Times New Roman" w:hAnsi="宋体" w:eastAsia="宋体"/>
          <w:sz w:val="24"/>
          <w:szCs w:val="24"/>
        </w:rPr>
        <w:t>项目主要关注的环境问题</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fldChar w:fldCharType="end"/>
      </w:r>
    </w:p>
    <w:p>
      <w:pPr>
        <w:pStyle w:val="27"/>
        <w:tabs>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"_Toc462818402" </w:instrText>
      </w:r>
      <w:r>
        <w:fldChar w:fldCharType="separate"/>
      </w:r>
      <w:r>
        <w:rPr>
          <w:rStyle w:val="33"/>
          <w:rFonts w:ascii="Times New Roman" w:hAnsi="Times New Roman" w:eastAsia="宋体"/>
          <w:sz w:val="24"/>
          <w:szCs w:val="24"/>
        </w:rPr>
        <w:t>IV</w:t>
      </w:r>
      <w:r>
        <w:rPr>
          <w:rStyle w:val="33"/>
          <w:rFonts w:ascii="Times New Roman" w:hAnsi="宋体" w:eastAsia="宋体"/>
          <w:sz w:val="24"/>
          <w:szCs w:val="24"/>
        </w:rPr>
        <w:t>报告书主要结论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"_Toc462818403" </w:instrText>
      </w:r>
      <w:r>
        <w:fldChar w:fldCharType="separate"/>
      </w:r>
      <w:r>
        <w:rPr>
          <w:rStyle w:val="33"/>
          <w:rFonts w:ascii="Times New Roman" w:hAnsi="Times New Roman" w:eastAsia="宋体"/>
          <w:sz w:val="24"/>
          <w:szCs w:val="24"/>
        </w:rPr>
        <w:t>1</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总则</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"_Toc462818404" </w:instrText>
      </w:r>
      <w:r>
        <w:fldChar w:fldCharType="separate"/>
      </w:r>
      <w:r>
        <w:rPr>
          <w:rStyle w:val="33"/>
          <w:rFonts w:ascii="Times New Roman" w:hAnsi="Times New Roman" w:eastAsia="宋体"/>
          <w:sz w:val="24"/>
          <w:szCs w:val="24"/>
        </w:rPr>
        <w:t>1.1</w:t>
      </w:r>
      <w:r>
        <w:rPr>
          <w:rFonts w:ascii="Times New Roman" w:hAnsi="Times New Roman" w:eastAsia="宋体" w:cs="Times New Roman"/>
          <w:smallCaps w:val="0"/>
          <w:sz w:val="24"/>
          <w:szCs w:val="24"/>
        </w:rPr>
        <w:tab/>
      </w:r>
      <w:r>
        <w:rPr>
          <w:rStyle w:val="33"/>
          <w:rFonts w:ascii="Times New Roman" w:hAnsi="宋体" w:eastAsia="宋体"/>
          <w:sz w:val="24"/>
          <w:szCs w:val="24"/>
        </w:rPr>
        <w:t>编制依据</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"_Toc462818405" </w:instrText>
      </w:r>
      <w:r>
        <w:fldChar w:fldCharType="separate"/>
      </w:r>
      <w:r>
        <w:rPr>
          <w:rStyle w:val="33"/>
          <w:rFonts w:ascii="Times New Roman" w:hAnsi="Times New Roman" w:eastAsia="宋体"/>
          <w:sz w:val="24"/>
          <w:szCs w:val="24"/>
        </w:rPr>
        <w:t>1.2</w:t>
      </w:r>
      <w:r>
        <w:rPr>
          <w:rFonts w:ascii="Times New Roman" w:hAnsi="Times New Roman" w:eastAsia="宋体" w:cs="Times New Roman"/>
          <w:smallCaps w:val="0"/>
          <w:sz w:val="24"/>
          <w:szCs w:val="24"/>
        </w:rPr>
        <w:tab/>
      </w:r>
      <w:r>
        <w:rPr>
          <w:rStyle w:val="33"/>
          <w:rFonts w:ascii="Times New Roman" w:hAnsi="宋体" w:eastAsia="宋体"/>
          <w:sz w:val="24"/>
          <w:szCs w:val="24"/>
        </w:rPr>
        <w:t>项目建设的必要性</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"_Toc462818406" </w:instrText>
      </w:r>
      <w:r>
        <w:fldChar w:fldCharType="separate"/>
      </w:r>
      <w:r>
        <w:rPr>
          <w:rStyle w:val="33"/>
          <w:rFonts w:ascii="Times New Roman" w:hAnsi="Times New Roman" w:eastAsia="宋体"/>
          <w:sz w:val="24"/>
          <w:szCs w:val="24"/>
        </w:rPr>
        <w:t>1.3</w:t>
      </w:r>
      <w:r>
        <w:rPr>
          <w:rFonts w:ascii="Times New Roman" w:hAnsi="Times New Roman" w:eastAsia="宋体" w:cs="Times New Roman"/>
          <w:smallCaps w:val="0"/>
          <w:sz w:val="24"/>
          <w:szCs w:val="24"/>
        </w:rPr>
        <w:tab/>
      </w:r>
      <w:r>
        <w:rPr>
          <w:rStyle w:val="33"/>
          <w:rFonts w:ascii="Times New Roman" w:hAnsi="宋体" w:eastAsia="宋体"/>
          <w:sz w:val="24"/>
          <w:szCs w:val="24"/>
        </w:rPr>
        <w:t>环境影响评价因子与评价标准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"_Toc462818407" </w:instrText>
      </w:r>
      <w:r>
        <w:fldChar w:fldCharType="separate"/>
      </w:r>
      <w:r>
        <w:rPr>
          <w:rStyle w:val="33"/>
          <w:rFonts w:ascii="Times New Roman" w:hAnsi="Times New Roman" w:eastAsia="宋体"/>
          <w:sz w:val="24"/>
          <w:szCs w:val="24"/>
        </w:rPr>
        <w:t>1.4</w:t>
      </w:r>
      <w:r>
        <w:rPr>
          <w:rFonts w:ascii="Times New Roman" w:hAnsi="Times New Roman" w:eastAsia="宋体" w:cs="Times New Roman"/>
          <w:smallCaps w:val="0"/>
          <w:sz w:val="24"/>
          <w:szCs w:val="24"/>
        </w:rPr>
        <w:tab/>
      </w:r>
      <w:r>
        <w:rPr>
          <w:rStyle w:val="33"/>
          <w:rFonts w:ascii="Times New Roman" w:hAnsi="宋体" w:eastAsia="宋体"/>
          <w:sz w:val="24"/>
          <w:szCs w:val="24"/>
        </w:rPr>
        <w:t>评价工作等级及评价重点</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"_Toc462818408" </w:instrText>
      </w:r>
      <w:r>
        <w:fldChar w:fldCharType="separate"/>
      </w:r>
      <w:r>
        <w:rPr>
          <w:rStyle w:val="33"/>
          <w:rFonts w:ascii="Times New Roman" w:hAnsi="Times New Roman" w:eastAsia="宋体"/>
          <w:sz w:val="24"/>
          <w:szCs w:val="24"/>
        </w:rPr>
        <w:t>1.5</w:t>
      </w:r>
      <w:r>
        <w:rPr>
          <w:rFonts w:ascii="Times New Roman" w:hAnsi="Times New Roman" w:eastAsia="宋体" w:cs="Times New Roman"/>
          <w:smallCaps w:val="0"/>
          <w:sz w:val="24"/>
          <w:szCs w:val="24"/>
        </w:rPr>
        <w:tab/>
      </w:r>
      <w:r>
        <w:rPr>
          <w:rStyle w:val="33"/>
          <w:rFonts w:ascii="Times New Roman" w:hAnsi="宋体" w:eastAsia="宋体"/>
          <w:sz w:val="24"/>
          <w:szCs w:val="24"/>
        </w:rPr>
        <w:t>评价范围与环境敏感区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19</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"_Toc462818409" </w:instrText>
      </w:r>
      <w:r>
        <w:fldChar w:fldCharType="separate"/>
      </w:r>
      <w:r>
        <w:rPr>
          <w:rStyle w:val="33"/>
          <w:rFonts w:ascii="Times New Roman" w:hAnsi="Times New Roman" w:eastAsia="宋体"/>
          <w:sz w:val="24"/>
          <w:szCs w:val="24"/>
        </w:rPr>
        <w:t>1.6</w:t>
      </w:r>
      <w:r>
        <w:rPr>
          <w:rFonts w:ascii="Times New Roman" w:hAnsi="Times New Roman" w:eastAsia="宋体" w:cs="Times New Roman"/>
          <w:smallCaps w:val="0"/>
          <w:sz w:val="24"/>
          <w:szCs w:val="24"/>
        </w:rPr>
        <w:tab/>
      </w:r>
      <w:r>
        <w:rPr>
          <w:rStyle w:val="33"/>
          <w:rFonts w:ascii="Times New Roman" w:hAnsi="宋体" w:eastAsia="宋体"/>
          <w:sz w:val="24"/>
          <w:szCs w:val="24"/>
        </w:rPr>
        <w:t>相关规划及环境功能区划</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_Toc462818409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22</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"_Toc462818410" </w:instrText>
      </w:r>
      <w:r>
        <w:fldChar w:fldCharType="separate"/>
      </w:r>
      <w:r>
        <w:rPr>
          <w:rStyle w:val="33"/>
          <w:rFonts w:ascii="Times New Roman" w:hAnsi="Times New Roman" w:eastAsia="宋体"/>
          <w:sz w:val="24"/>
          <w:szCs w:val="24"/>
        </w:rPr>
        <w:t>2</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项目概况与工程分析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"_Toc462818411" </w:instrText>
      </w:r>
      <w:r>
        <w:fldChar w:fldCharType="separate"/>
      </w:r>
      <w:r>
        <w:rPr>
          <w:rStyle w:val="33"/>
          <w:rFonts w:ascii="Times New Roman" w:hAnsi="Times New Roman" w:eastAsia="宋体"/>
          <w:sz w:val="24"/>
          <w:szCs w:val="24"/>
        </w:rPr>
        <w:t>2.1</w:t>
      </w:r>
      <w:r>
        <w:rPr>
          <w:rFonts w:ascii="Times New Roman" w:hAnsi="Times New Roman" w:eastAsia="宋体" w:cs="Times New Roman"/>
          <w:smallCaps w:val="0"/>
          <w:sz w:val="24"/>
          <w:szCs w:val="24"/>
        </w:rPr>
        <w:tab/>
      </w:r>
      <w:r>
        <w:rPr>
          <w:rStyle w:val="33"/>
          <w:rFonts w:ascii="Times New Roman" w:hAnsi="宋体" w:eastAsia="宋体"/>
          <w:sz w:val="24"/>
          <w:szCs w:val="24"/>
        </w:rPr>
        <w:t>工程概况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"_Toc462818412" </w:instrText>
      </w:r>
      <w:r>
        <w:fldChar w:fldCharType="separate"/>
      </w:r>
      <w:r>
        <w:rPr>
          <w:rStyle w:val="33"/>
          <w:rFonts w:ascii="Times New Roman" w:hAnsi="Times New Roman" w:eastAsia="宋体"/>
          <w:sz w:val="24"/>
          <w:szCs w:val="24"/>
        </w:rPr>
        <w:t>2.2</w:t>
      </w:r>
      <w:r>
        <w:rPr>
          <w:rFonts w:ascii="Times New Roman" w:hAnsi="Times New Roman" w:eastAsia="宋体" w:cs="Times New Roman"/>
          <w:smallCaps w:val="0"/>
          <w:sz w:val="24"/>
          <w:szCs w:val="24"/>
        </w:rPr>
        <w:tab/>
      </w:r>
      <w:r>
        <w:rPr>
          <w:rStyle w:val="33"/>
          <w:rFonts w:ascii="Times New Roman" w:hAnsi="宋体" w:eastAsia="宋体"/>
          <w:sz w:val="24"/>
          <w:szCs w:val="24"/>
        </w:rPr>
        <w:t>工程组成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"_Toc462818413" </w:instrText>
      </w:r>
      <w:r>
        <w:fldChar w:fldCharType="separate"/>
      </w:r>
      <w:r>
        <w:rPr>
          <w:rStyle w:val="33"/>
          <w:rFonts w:ascii="Times New Roman" w:hAnsi="Times New Roman" w:eastAsia="宋体"/>
          <w:sz w:val="24"/>
          <w:szCs w:val="24"/>
        </w:rPr>
        <w:t>2.3</w:t>
      </w:r>
      <w:r>
        <w:rPr>
          <w:rFonts w:ascii="Times New Roman" w:hAnsi="Times New Roman" w:eastAsia="宋体" w:cs="Times New Roman"/>
          <w:smallCaps w:val="0"/>
          <w:sz w:val="24"/>
          <w:szCs w:val="24"/>
        </w:rPr>
        <w:tab/>
      </w:r>
      <w:r>
        <w:rPr>
          <w:rStyle w:val="33"/>
          <w:rFonts w:ascii="Times New Roman" w:hAnsi="宋体" w:eastAsia="宋体"/>
          <w:sz w:val="24"/>
          <w:szCs w:val="24"/>
        </w:rPr>
        <w:t>项目主要建设内容</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24</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"_Toc462818414" </w:instrText>
      </w:r>
      <w:r>
        <w:fldChar w:fldCharType="separate"/>
      </w:r>
      <w:r>
        <w:rPr>
          <w:rStyle w:val="33"/>
          <w:rFonts w:ascii="Times New Roman" w:hAnsi="Times New Roman" w:eastAsia="宋体"/>
          <w:sz w:val="24"/>
          <w:szCs w:val="24"/>
        </w:rPr>
        <w:t>2.4</w:t>
      </w:r>
      <w:r>
        <w:rPr>
          <w:rFonts w:ascii="Times New Roman" w:hAnsi="Times New Roman" w:eastAsia="宋体" w:cs="Times New Roman"/>
          <w:smallCaps w:val="0"/>
          <w:sz w:val="24"/>
          <w:szCs w:val="24"/>
        </w:rPr>
        <w:tab/>
      </w:r>
      <w:r>
        <w:rPr>
          <w:rStyle w:val="33"/>
          <w:rFonts w:ascii="Times New Roman" w:hAnsi="宋体" w:eastAsia="宋体"/>
          <w:sz w:val="24"/>
          <w:szCs w:val="24"/>
        </w:rPr>
        <w:t>主要设备</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"_Toc462818415" </w:instrText>
      </w:r>
      <w:r>
        <w:fldChar w:fldCharType="separate"/>
      </w:r>
      <w:r>
        <w:rPr>
          <w:rStyle w:val="33"/>
          <w:rFonts w:ascii="Times New Roman" w:hAnsi="Times New Roman" w:eastAsia="宋体"/>
          <w:sz w:val="24"/>
          <w:szCs w:val="24"/>
        </w:rPr>
        <w:t>2.5</w:t>
      </w:r>
      <w:r>
        <w:rPr>
          <w:rFonts w:ascii="Times New Roman" w:hAnsi="Times New Roman" w:eastAsia="宋体" w:cs="Times New Roman"/>
          <w:smallCaps w:val="0"/>
          <w:sz w:val="24"/>
          <w:szCs w:val="24"/>
        </w:rPr>
        <w:tab/>
      </w:r>
      <w:r>
        <w:rPr>
          <w:rStyle w:val="33"/>
          <w:rFonts w:ascii="Times New Roman" w:hAnsi="宋体" w:eastAsia="宋体"/>
          <w:sz w:val="24"/>
          <w:szCs w:val="24"/>
        </w:rPr>
        <w:t>公用工程</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31</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"_Toc462818416" </w:instrText>
      </w:r>
      <w:r>
        <w:fldChar w:fldCharType="separate"/>
      </w:r>
      <w:r>
        <w:rPr>
          <w:rStyle w:val="33"/>
          <w:rFonts w:ascii="Times New Roman" w:hAnsi="Times New Roman" w:eastAsia="宋体"/>
          <w:sz w:val="24"/>
          <w:szCs w:val="24"/>
        </w:rPr>
        <w:t>2.6</w:t>
      </w:r>
      <w:r>
        <w:rPr>
          <w:rFonts w:ascii="Times New Roman" w:hAnsi="Times New Roman" w:eastAsia="宋体" w:cs="Times New Roman"/>
          <w:smallCaps w:val="0"/>
          <w:sz w:val="24"/>
          <w:szCs w:val="24"/>
        </w:rPr>
        <w:tab/>
      </w:r>
      <w:r>
        <w:rPr>
          <w:rStyle w:val="33"/>
          <w:rFonts w:ascii="Times New Roman" w:hAnsi="宋体" w:eastAsia="宋体"/>
          <w:sz w:val="24"/>
          <w:szCs w:val="24"/>
        </w:rPr>
        <w:t>项目平面布置</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"_Toc462818417" </w:instrText>
      </w:r>
      <w:r>
        <w:fldChar w:fldCharType="separate"/>
      </w:r>
      <w:r>
        <w:rPr>
          <w:rStyle w:val="33"/>
          <w:rFonts w:ascii="Times New Roman" w:hAnsi="Times New Roman" w:eastAsia="宋体"/>
          <w:sz w:val="24"/>
          <w:szCs w:val="24"/>
        </w:rPr>
        <w:t>2.7</w:t>
      </w:r>
      <w:r>
        <w:rPr>
          <w:rFonts w:ascii="Times New Roman" w:hAnsi="Times New Roman" w:eastAsia="宋体" w:cs="Times New Roman"/>
          <w:smallCaps w:val="0"/>
          <w:sz w:val="24"/>
          <w:szCs w:val="24"/>
        </w:rPr>
        <w:tab/>
      </w:r>
      <w:r>
        <w:rPr>
          <w:rStyle w:val="33"/>
          <w:rFonts w:ascii="Times New Roman" w:hAnsi="宋体" w:eastAsia="宋体"/>
          <w:sz w:val="24"/>
          <w:szCs w:val="24"/>
        </w:rPr>
        <w:t>项目工艺流程</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"_Toc462818418" </w:instrText>
      </w:r>
      <w:r>
        <w:fldChar w:fldCharType="separate"/>
      </w:r>
      <w:r>
        <w:rPr>
          <w:rStyle w:val="33"/>
          <w:rFonts w:ascii="Times New Roman" w:hAnsi="Times New Roman" w:eastAsia="宋体"/>
          <w:sz w:val="24"/>
          <w:szCs w:val="24"/>
        </w:rPr>
        <w:t>2.8</w:t>
      </w:r>
      <w:r>
        <w:rPr>
          <w:rFonts w:ascii="Times New Roman" w:hAnsi="Times New Roman" w:eastAsia="宋体" w:cs="Times New Roman"/>
          <w:smallCaps w:val="0"/>
          <w:sz w:val="24"/>
          <w:szCs w:val="24"/>
        </w:rPr>
        <w:tab/>
      </w:r>
      <w:r>
        <w:rPr>
          <w:rStyle w:val="33"/>
          <w:rFonts w:ascii="Times New Roman" w:hAnsi="宋体" w:eastAsia="宋体"/>
          <w:sz w:val="24"/>
          <w:szCs w:val="24"/>
        </w:rPr>
        <w:t>废渣成分调查分析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"_Toc462818419" </w:instrText>
      </w:r>
      <w:r>
        <w:fldChar w:fldCharType="separate"/>
      </w:r>
      <w:r>
        <w:rPr>
          <w:rStyle w:val="33"/>
          <w:rFonts w:ascii="Times New Roman" w:hAnsi="Times New Roman" w:eastAsia="宋体"/>
          <w:sz w:val="24"/>
          <w:szCs w:val="24"/>
        </w:rPr>
        <w:t>2.9</w:t>
      </w:r>
      <w:r>
        <w:rPr>
          <w:rFonts w:ascii="Times New Roman" w:hAnsi="Times New Roman" w:eastAsia="宋体" w:cs="Times New Roman"/>
          <w:smallCaps w:val="0"/>
          <w:sz w:val="24"/>
          <w:szCs w:val="24"/>
        </w:rPr>
        <w:tab/>
      </w:r>
      <w:r>
        <w:rPr>
          <w:rStyle w:val="33"/>
          <w:rFonts w:ascii="Times New Roman" w:hAnsi="宋体" w:eastAsia="宋体"/>
          <w:sz w:val="24"/>
          <w:szCs w:val="24"/>
        </w:rPr>
        <w:t>污染源强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_Toc462818419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35</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"_Toc462818420" </w:instrText>
      </w:r>
      <w:r>
        <w:fldChar w:fldCharType="separate"/>
      </w:r>
      <w:r>
        <w:rPr>
          <w:rStyle w:val="33"/>
          <w:rFonts w:ascii="Times New Roman" w:hAnsi="Times New Roman" w:eastAsia="宋体"/>
          <w:sz w:val="24"/>
          <w:szCs w:val="24"/>
        </w:rPr>
        <w:t>3</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区域环境概况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"_Toc462818421" </w:instrText>
      </w:r>
      <w:r>
        <w:fldChar w:fldCharType="separate"/>
      </w:r>
      <w:r>
        <w:rPr>
          <w:rStyle w:val="33"/>
          <w:rFonts w:ascii="Times New Roman" w:hAnsi="Times New Roman" w:eastAsia="宋体"/>
          <w:sz w:val="24"/>
          <w:szCs w:val="24"/>
        </w:rPr>
        <w:t>3.1</w:t>
      </w:r>
      <w:r>
        <w:rPr>
          <w:rFonts w:ascii="Times New Roman" w:hAnsi="Times New Roman" w:eastAsia="宋体" w:cs="Times New Roman"/>
          <w:smallCaps w:val="0"/>
          <w:sz w:val="24"/>
          <w:szCs w:val="24"/>
        </w:rPr>
        <w:tab/>
      </w:r>
      <w:r>
        <w:rPr>
          <w:rStyle w:val="33"/>
          <w:rFonts w:ascii="Times New Roman" w:hAnsi="宋体" w:eastAsia="宋体"/>
          <w:sz w:val="24"/>
          <w:szCs w:val="24"/>
        </w:rPr>
        <w:t>自然环境概况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"_Toc462818422" </w:instrText>
      </w:r>
      <w:r>
        <w:fldChar w:fldCharType="separate"/>
      </w:r>
      <w:r>
        <w:rPr>
          <w:rStyle w:val="33"/>
          <w:rFonts w:ascii="Times New Roman" w:hAnsi="Times New Roman" w:eastAsia="宋体"/>
          <w:sz w:val="24"/>
          <w:szCs w:val="24"/>
        </w:rPr>
        <w:t>3.2</w:t>
      </w:r>
      <w:r>
        <w:rPr>
          <w:rFonts w:ascii="Times New Roman" w:hAnsi="Times New Roman" w:eastAsia="宋体" w:cs="Times New Roman"/>
          <w:smallCaps w:val="0"/>
          <w:sz w:val="24"/>
          <w:szCs w:val="24"/>
        </w:rPr>
        <w:tab/>
      </w:r>
      <w:r>
        <w:rPr>
          <w:rStyle w:val="33"/>
          <w:rFonts w:ascii="Times New Roman" w:hAnsi="宋体" w:eastAsia="宋体"/>
          <w:sz w:val="24"/>
          <w:szCs w:val="24"/>
        </w:rPr>
        <w:t>社会环境概况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"_Toc462818423" </w:instrText>
      </w:r>
      <w:r>
        <w:fldChar w:fldCharType="separate"/>
      </w:r>
      <w:r>
        <w:rPr>
          <w:rStyle w:val="33"/>
          <w:rFonts w:ascii="Times New Roman" w:hAnsi="Times New Roman" w:eastAsia="宋体"/>
          <w:sz w:val="24"/>
          <w:szCs w:val="24"/>
        </w:rPr>
        <w:t>3.3</w:t>
      </w:r>
      <w:r>
        <w:rPr>
          <w:rFonts w:ascii="Times New Roman" w:hAnsi="Times New Roman" w:eastAsia="宋体" w:cs="Times New Roman"/>
          <w:smallCaps w:val="0"/>
          <w:sz w:val="24"/>
          <w:szCs w:val="24"/>
        </w:rPr>
        <w:tab/>
      </w:r>
      <w:r>
        <w:rPr>
          <w:rStyle w:val="33"/>
          <w:rFonts w:ascii="Times New Roman" w:hAnsi="宋体" w:eastAsia="宋体"/>
          <w:sz w:val="24"/>
          <w:szCs w:val="24"/>
        </w:rPr>
        <w:t>路口镇概况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44</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"_Toc462818424" </w:instrText>
      </w:r>
      <w:r>
        <w:fldChar w:fldCharType="separate"/>
      </w:r>
      <w:r>
        <w:rPr>
          <w:rStyle w:val="33"/>
          <w:rFonts w:ascii="Times New Roman" w:hAnsi="Times New Roman" w:eastAsia="宋体"/>
          <w:sz w:val="24"/>
          <w:szCs w:val="24"/>
        </w:rPr>
        <w:t>4</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环境质量现状评价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"_Toc462818425" </w:instrText>
      </w:r>
      <w:r>
        <w:fldChar w:fldCharType="separate"/>
      </w:r>
      <w:r>
        <w:rPr>
          <w:rStyle w:val="33"/>
          <w:rFonts w:ascii="Times New Roman" w:hAnsi="Times New Roman" w:eastAsia="宋体"/>
          <w:sz w:val="24"/>
          <w:szCs w:val="24"/>
        </w:rPr>
        <w:t>4.1</w:t>
      </w:r>
      <w:r>
        <w:rPr>
          <w:rFonts w:ascii="Times New Roman" w:hAnsi="Times New Roman" w:eastAsia="宋体" w:cs="Times New Roman"/>
          <w:smallCaps w:val="0"/>
          <w:sz w:val="24"/>
          <w:szCs w:val="24"/>
        </w:rPr>
        <w:tab/>
      </w:r>
      <w:r>
        <w:rPr>
          <w:rStyle w:val="33"/>
          <w:rFonts w:ascii="Times New Roman" w:hAnsi="宋体" w:eastAsia="宋体"/>
          <w:sz w:val="24"/>
          <w:szCs w:val="24"/>
        </w:rPr>
        <w:t>地表水环境现状调查及评价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"_Toc462818426" </w:instrText>
      </w:r>
      <w:r>
        <w:fldChar w:fldCharType="separate"/>
      </w:r>
      <w:r>
        <w:rPr>
          <w:rStyle w:val="33"/>
          <w:rFonts w:ascii="Times New Roman" w:hAnsi="Times New Roman" w:eastAsia="宋体"/>
          <w:sz w:val="24"/>
          <w:szCs w:val="24"/>
        </w:rPr>
        <w:t>4.2</w:t>
      </w:r>
      <w:r>
        <w:rPr>
          <w:rFonts w:ascii="Times New Roman" w:hAnsi="Times New Roman" w:eastAsia="宋体" w:cs="Times New Roman"/>
          <w:smallCaps w:val="0"/>
          <w:sz w:val="24"/>
          <w:szCs w:val="24"/>
        </w:rPr>
        <w:tab/>
      </w:r>
      <w:r>
        <w:rPr>
          <w:rStyle w:val="33"/>
          <w:rFonts w:ascii="Times New Roman" w:hAnsi="宋体" w:eastAsia="宋体"/>
          <w:sz w:val="24"/>
          <w:szCs w:val="24"/>
        </w:rPr>
        <w:t>地下水质量现状监测与评价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49</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"_Toc462818427" </w:instrText>
      </w:r>
      <w:r>
        <w:fldChar w:fldCharType="separate"/>
      </w:r>
      <w:r>
        <w:rPr>
          <w:rStyle w:val="33"/>
          <w:rFonts w:ascii="Times New Roman" w:hAnsi="Times New Roman" w:eastAsia="宋体"/>
          <w:sz w:val="24"/>
          <w:szCs w:val="24"/>
        </w:rPr>
        <w:t>4.3</w:t>
      </w:r>
      <w:r>
        <w:rPr>
          <w:rFonts w:ascii="Times New Roman" w:hAnsi="Times New Roman" w:eastAsia="宋体" w:cs="Times New Roman"/>
          <w:smallCaps w:val="0"/>
          <w:sz w:val="24"/>
          <w:szCs w:val="24"/>
        </w:rPr>
        <w:tab/>
      </w:r>
      <w:r>
        <w:rPr>
          <w:rStyle w:val="33"/>
          <w:rFonts w:ascii="Times New Roman" w:hAnsi="宋体" w:eastAsia="宋体"/>
          <w:sz w:val="24"/>
          <w:szCs w:val="24"/>
        </w:rPr>
        <w:t>环境空气质量现状监测与评价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"_Toc462818428" </w:instrText>
      </w:r>
      <w:r>
        <w:fldChar w:fldCharType="separate"/>
      </w:r>
      <w:r>
        <w:rPr>
          <w:rStyle w:val="33"/>
          <w:rFonts w:ascii="Times New Roman" w:hAnsi="Times New Roman" w:eastAsia="宋体"/>
          <w:sz w:val="24"/>
          <w:szCs w:val="24"/>
        </w:rPr>
        <w:t>4.4</w:t>
      </w:r>
      <w:r>
        <w:rPr>
          <w:rFonts w:ascii="Times New Roman" w:hAnsi="Times New Roman" w:eastAsia="宋体" w:cs="Times New Roman"/>
          <w:smallCaps w:val="0"/>
          <w:sz w:val="24"/>
          <w:szCs w:val="24"/>
        </w:rPr>
        <w:tab/>
      </w:r>
      <w:r>
        <w:rPr>
          <w:rStyle w:val="33"/>
          <w:rFonts w:ascii="Times New Roman" w:hAnsi="宋体" w:eastAsia="宋体"/>
          <w:sz w:val="24"/>
          <w:szCs w:val="24"/>
        </w:rPr>
        <w:t>声环境现状调查及评价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"_Toc462818429" </w:instrText>
      </w:r>
      <w:r>
        <w:fldChar w:fldCharType="separate"/>
      </w:r>
      <w:r>
        <w:rPr>
          <w:rStyle w:val="33"/>
          <w:rFonts w:ascii="Times New Roman" w:hAnsi="Times New Roman" w:eastAsia="宋体"/>
          <w:sz w:val="24"/>
          <w:szCs w:val="24"/>
        </w:rPr>
        <w:t>4.5</w:t>
      </w:r>
      <w:r>
        <w:rPr>
          <w:rFonts w:ascii="Times New Roman" w:hAnsi="Times New Roman" w:eastAsia="宋体" w:cs="Times New Roman"/>
          <w:smallCaps w:val="0"/>
          <w:sz w:val="24"/>
          <w:szCs w:val="24"/>
        </w:rPr>
        <w:tab/>
      </w:r>
      <w:r>
        <w:rPr>
          <w:rStyle w:val="33"/>
          <w:rFonts w:ascii="Times New Roman" w:hAnsi="宋体" w:eastAsia="宋体"/>
          <w:sz w:val="24"/>
          <w:szCs w:val="24"/>
        </w:rPr>
        <w:t>土壤环境质量现状</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_Toc462818429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"_Toc462818430" </w:instrText>
      </w:r>
      <w:r>
        <w:fldChar w:fldCharType="separate"/>
      </w:r>
      <w:r>
        <w:rPr>
          <w:rStyle w:val="33"/>
          <w:rFonts w:ascii="Times New Roman" w:hAnsi="Times New Roman" w:eastAsia="宋体"/>
          <w:bCs/>
          <w:sz w:val="24"/>
          <w:szCs w:val="24"/>
        </w:rPr>
        <w:t>4.6</w:t>
      </w:r>
      <w:r>
        <w:rPr>
          <w:rFonts w:ascii="Times New Roman" w:hAnsi="Times New Roman" w:eastAsia="宋体" w:cs="Times New Roman"/>
          <w:smallCaps w:val="0"/>
          <w:sz w:val="24"/>
          <w:szCs w:val="24"/>
        </w:rPr>
        <w:tab/>
      </w:r>
      <w:r>
        <w:rPr>
          <w:rStyle w:val="33"/>
          <w:rFonts w:ascii="Times New Roman" w:hAnsi="宋体" w:eastAsia="宋体"/>
          <w:bCs/>
          <w:sz w:val="24"/>
          <w:szCs w:val="24"/>
        </w:rPr>
        <w:t>生态环境质量现状调查与评价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59</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"_Toc462818431" </w:instrText>
      </w:r>
      <w:r>
        <w:fldChar w:fldCharType="separate"/>
      </w:r>
      <w:r>
        <w:rPr>
          <w:rStyle w:val="33"/>
          <w:rFonts w:ascii="Times New Roman" w:hAnsi="Times New Roman" w:eastAsia="宋体"/>
          <w:sz w:val="24"/>
          <w:szCs w:val="24"/>
        </w:rPr>
        <w:t>5</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环境影响预测与分析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63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"_Toc462818432" </w:instrText>
      </w:r>
      <w:r>
        <w:fldChar w:fldCharType="separate"/>
      </w:r>
      <w:r>
        <w:rPr>
          <w:rStyle w:val="33"/>
          <w:rFonts w:ascii="Times New Roman" w:hAnsi="Times New Roman" w:eastAsia="宋体"/>
          <w:sz w:val="24"/>
          <w:szCs w:val="24"/>
        </w:rPr>
        <w:t>5.1</w:t>
      </w:r>
      <w:r>
        <w:rPr>
          <w:rFonts w:ascii="Times New Roman" w:hAnsi="Times New Roman" w:eastAsia="宋体" w:cs="Times New Roman"/>
          <w:smallCaps w:val="0"/>
          <w:sz w:val="24"/>
          <w:szCs w:val="24"/>
        </w:rPr>
        <w:tab/>
      </w:r>
      <w:r>
        <w:rPr>
          <w:rStyle w:val="33"/>
          <w:rFonts w:ascii="Times New Roman" w:hAnsi="宋体" w:eastAsia="宋体"/>
          <w:sz w:val="24"/>
          <w:szCs w:val="24"/>
        </w:rPr>
        <w:t>施工期环境影响分析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63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"_Toc462818433" </w:instrText>
      </w:r>
      <w:r>
        <w:fldChar w:fldCharType="separate"/>
      </w:r>
      <w:r>
        <w:rPr>
          <w:rStyle w:val="33"/>
          <w:rFonts w:ascii="Times New Roman" w:hAnsi="Times New Roman" w:eastAsia="宋体"/>
          <w:sz w:val="24"/>
          <w:szCs w:val="24"/>
        </w:rPr>
        <w:t>5.2</w:t>
      </w:r>
      <w:r>
        <w:rPr>
          <w:rFonts w:ascii="Times New Roman" w:hAnsi="Times New Roman" w:eastAsia="宋体" w:cs="Times New Roman"/>
          <w:smallCaps w:val="0"/>
          <w:sz w:val="24"/>
          <w:szCs w:val="24"/>
        </w:rPr>
        <w:tab/>
      </w:r>
      <w:r>
        <w:rPr>
          <w:rStyle w:val="33"/>
          <w:rFonts w:ascii="Times New Roman" w:hAnsi="宋体" w:eastAsia="宋体"/>
          <w:sz w:val="24"/>
          <w:szCs w:val="24"/>
        </w:rPr>
        <w:t>填埋期环境影响分析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67</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"_Toc462818434" </w:instrText>
      </w:r>
      <w:r>
        <w:fldChar w:fldCharType="separate"/>
      </w:r>
      <w:r>
        <w:rPr>
          <w:rStyle w:val="33"/>
          <w:rFonts w:ascii="Times New Roman" w:hAnsi="Times New Roman" w:eastAsia="宋体"/>
          <w:sz w:val="24"/>
          <w:szCs w:val="24"/>
        </w:rPr>
        <w:t>5.3</w:t>
      </w:r>
      <w:r>
        <w:rPr>
          <w:rFonts w:ascii="Times New Roman" w:hAnsi="Times New Roman" w:eastAsia="宋体" w:cs="Times New Roman"/>
          <w:smallCaps w:val="0"/>
          <w:sz w:val="24"/>
          <w:szCs w:val="24"/>
        </w:rPr>
        <w:tab/>
      </w:r>
      <w:r>
        <w:rPr>
          <w:rStyle w:val="33"/>
          <w:rFonts w:ascii="Times New Roman" w:hAnsi="宋体" w:eastAsia="宋体"/>
          <w:sz w:val="24"/>
          <w:szCs w:val="24"/>
        </w:rPr>
        <w:t>封场期环境影响分析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81</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"_Toc462818435" </w:instrText>
      </w:r>
      <w:r>
        <w:fldChar w:fldCharType="separate"/>
      </w:r>
      <w:r>
        <w:rPr>
          <w:rStyle w:val="33"/>
          <w:rFonts w:ascii="Times New Roman" w:hAnsi="Times New Roman" w:eastAsia="宋体"/>
          <w:sz w:val="24"/>
          <w:szCs w:val="24"/>
        </w:rPr>
        <w:t>6</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环境风险</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"_Toc462818436" </w:instrText>
      </w:r>
      <w:r>
        <w:fldChar w:fldCharType="separate"/>
      </w:r>
      <w:r>
        <w:rPr>
          <w:rStyle w:val="33"/>
          <w:rFonts w:ascii="Times New Roman" w:hAnsi="Times New Roman" w:eastAsia="宋体"/>
          <w:sz w:val="24"/>
          <w:szCs w:val="24"/>
        </w:rPr>
        <w:t>6.1</w:t>
      </w:r>
      <w:r>
        <w:rPr>
          <w:rFonts w:ascii="Times New Roman" w:hAnsi="Times New Roman" w:eastAsia="宋体" w:cs="Times New Roman"/>
          <w:smallCaps w:val="0"/>
          <w:sz w:val="24"/>
          <w:szCs w:val="24"/>
        </w:rPr>
        <w:tab/>
      </w:r>
      <w:r>
        <w:rPr>
          <w:rStyle w:val="33"/>
          <w:rFonts w:ascii="Times New Roman" w:hAnsi="宋体" w:eastAsia="宋体"/>
          <w:sz w:val="24"/>
          <w:szCs w:val="24"/>
        </w:rPr>
        <w:t>环境风险识别分析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"_Toc462818437" </w:instrText>
      </w:r>
      <w:r>
        <w:fldChar w:fldCharType="separate"/>
      </w:r>
      <w:r>
        <w:rPr>
          <w:rStyle w:val="33"/>
          <w:rFonts w:ascii="Times New Roman" w:hAnsi="Times New Roman" w:eastAsia="宋体"/>
          <w:sz w:val="24"/>
          <w:szCs w:val="24"/>
        </w:rPr>
        <w:t>6.2</w:t>
      </w:r>
      <w:r>
        <w:rPr>
          <w:rFonts w:ascii="Times New Roman" w:hAnsi="Times New Roman" w:eastAsia="宋体" w:cs="Times New Roman"/>
          <w:smallCaps w:val="0"/>
          <w:sz w:val="24"/>
          <w:szCs w:val="24"/>
        </w:rPr>
        <w:tab/>
      </w:r>
      <w:r>
        <w:rPr>
          <w:rStyle w:val="33"/>
          <w:rFonts w:ascii="Times New Roman" w:hAnsi="宋体" w:eastAsia="宋体"/>
          <w:sz w:val="24"/>
          <w:szCs w:val="24"/>
        </w:rPr>
        <w:t>环境风险评价等级</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84</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"_Toc462818438" </w:instrText>
      </w:r>
      <w:r>
        <w:fldChar w:fldCharType="separate"/>
      </w:r>
      <w:r>
        <w:rPr>
          <w:rStyle w:val="33"/>
          <w:rFonts w:ascii="Times New Roman" w:hAnsi="Times New Roman" w:eastAsia="宋体"/>
          <w:sz w:val="24"/>
          <w:szCs w:val="24"/>
        </w:rPr>
        <w:t>6.3</w:t>
      </w:r>
      <w:r>
        <w:rPr>
          <w:rFonts w:ascii="Times New Roman" w:hAnsi="Times New Roman" w:eastAsia="宋体" w:cs="Times New Roman"/>
          <w:smallCaps w:val="0"/>
          <w:sz w:val="24"/>
          <w:szCs w:val="24"/>
        </w:rPr>
        <w:tab/>
      </w:r>
      <w:r>
        <w:rPr>
          <w:rStyle w:val="33"/>
          <w:rFonts w:ascii="Times New Roman" w:hAnsi="宋体" w:eastAsia="宋体"/>
          <w:sz w:val="24"/>
          <w:szCs w:val="24"/>
        </w:rPr>
        <w:t>源项和事故影响分析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"_Toc462818439" </w:instrText>
      </w:r>
      <w:r>
        <w:fldChar w:fldCharType="separate"/>
      </w:r>
      <w:r>
        <w:rPr>
          <w:rStyle w:val="33"/>
          <w:rFonts w:ascii="Times New Roman" w:hAnsi="Times New Roman" w:eastAsia="宋体"/>
          <w:sz w:val="24"/>
          <w:szCs w:val="24"/>
        </w:rPr>
        <w:t>6.4</w:t>
      </w:r>
      <w:r>
        <w:rPr>
          <w:rFonts w:ascii="Times New Roman" w:hAnsi="Times New Roman" w:eastAsia="宋体" w:cs="Times New Roman"/>
          <w:smallCaps w:val="0"/>
          <w:sz w:val="24"/>
          <w:szCs w:val="24"/>
        </w:rPr>
        <w:tab/>
      </w:r>
      <w:r>
        <w:rPr>
          <w:rStyle w:val="33"/>
          <w:rFonts w:ascii="Times New Roman" w:hAnsi="宋体" w:eastAsia="宋体"/>
          <w:sz w:val="24"/>
          <w:szCs w:val="24"/>
        </w:rPr>
        <w:t>环境风险管理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_Toc462818439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87</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"_Toc462818440" </w:instrText>
      </w:r>
      <w:r>
        <w:fldChar w:fldCharType="separate"/>
      </w:r>
      <w:r>
        <w:rPr>
          <w:rStyle w:val="33"/>
          <w:rFonts w:ascii="Times New Roman" w:hAnsi="Times New Roman" w:eastAsia="宋体"/>
          <w:sz w:val="24"/>
          <w:szCs w:val="24"/>
        </w:rPr>
        <w:t>6.5</w:t>
      </w:r>
      <w:r>
        <w:rPr>
          <w:rFonts w:ascii="Times New Roman" w:hAnsi="Times New Roman" w:eastAsia="宋体" w:cs="Times New Roman"/>
          <w:smallCaps w:val="0"/>
          <w:sz w:val="24"/>
          <w:szCs w:val="24"/>
        </w:rPr>
        <w:tab/>
      </w:r>
      <w:r>
        <w:rPr>
          <w:rStyle w:val="33"/>
          <w:rFonts w:ascii="Times New Roman" w:hAnsi="宋体" w:eastAsia="宋体"/>
          <w:sz w:val="24"/>
          <w:szCs w:val="24"/>
        </w:rPr>
        <w:t>事故应急预案</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89</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"_Toc462818441" </w:instrText>
      </w:r>
      <w:r>
        <w:fldChar w:fldCharType="separate"/>
      </w:r>
      <w:r>
        <w:rPr>
          <w:rStyle w:val="33"/>
          <w:rFonts w:ascii="Times New Roman" w:hAnsi="Times New Roman" w:eastAsia="宋体"/>
          <w:sz w:val="24"/>
          <w:szCs w:val="24"/>
        </w:rPr>
        <w:t>6.6</w:t>
      </w:r>
      <w:r>
        <w:rPr>
          <w:rFonts w:ascii="Times New Roman" w:hAnsi="Times New Roman" w:eastAsia="宋体" w:cs="Times New Roman"/>
          <w:smallCaps w:val="0"/>
          <w:sz w:val="24"/>
          <w:szCs w:val="24"/>
        </w:rPr>
        <w:tab/>
      </w:r>
      <w:r>
        <w:rPr>
          <w:rStyle w:val="33"/>
          <w:rFonts w:ascii="Times New Roman" w:hAnsi="宋体" w:eastAsia="宋体"/>
          <w:sz w:val="24"/>
          <w:szCs w:val="24"/>
        </w:rPr>
        <w:t>风险评价结论和建议</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90</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"_Toc462818442" </w:instrText>
      </w:r>
      <w:r>
        <w:fldChar w:fldCharType="separate"/>
      </w:r>
      <w:r>
        <w:rPr>
          <w:rStyle w:val="33"/>
          <w:rFonts w:ascii="Times New Roman" w:hAnsi="Times New Roman" w:eastAsia="宋体"/>
          <w:sz w:val="24"/>
          <w:szCs w:val="24"/>
        </w:rPr>
        <w:t>7</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环境保护措施及其经济、技术论证</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"_Toc462818443" </w:instrText>
      </w:r>
      <w:r>
        <w:fldChar w:fldCharType="separate"/>
      </w:r>
      <w:r>
        <w:rPr>
          <w:rStyle w:val="33"/>
          <w:rFonts w:ascii="Times New Roman" w:hAnsi="Times New Roman" w:eastAsia="宋体"/>
          <w:sz w:val="24"/>
          <w:szCs w:val="24"/>
        </w:rPr>
        <w:t>7.1</w:t>
      </w:r>
      <w:r>
        <w:rPr>
          <w:rFonts w:ascii="Times New Roman" w:hAnsi="Times New Roman" w:eastAsia="宋体" w:cs="Times New Roman"/>
          <w:smallCaps w:val="0"/>
          <w:sz w:val="24"/>
          <w:szCs w:val="24"/>
        </w:rPr>
        <w:tab/>
      </w:r>
      <w:r>
        <w:rPr>
          <w:rStyle w:val="33"/>
          <w:rFonts w:ascii="Times New Roman" w:hAnsi="宋体" w:eastAsia="宋体"/>
          <w:sz w:val="24"/>
          <w:szCs w:val="24"/>
        </w:rPr>
        <w:t>施工期污染防治措施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"_Toc462818444" </w:instrText>
      </w:r>
      <w:r>
        <w:fldChar w:fldCharType="separate"/>
      </w:r>
      <w:r>
        <w:rPr>
          <w:rStyle w:val="33"/>
          <w:rFonts w:ascii="Times New Roman" w:hAnsi="Times New Roman" w:eastAsia="宋体"/>
          <w:sz w:val="24"/>
          <w:szCs w:val="24"/>
        </w:rPr>
        <w:t>7.2</w:t>
      </w:r>
      <w:r>
        <w:rPr>
          <w:rFonts w:ascii="Times New Roman" w:hAnsi="Times New Roman" w:eastAsia="宋体" w:cs="Times New Roman"/>
          <w:smallCaps w:val="0"/>
          <w:sz w:val="24"/>
          <w:szCs w:val="24"/>
        </w:rPr>
        <w:tab/>
      </w:r>
      <w:r>
        <w:rPr>
          <w:rStyle w:val="33"/>
          <w:rFonts w:ascii="Times New Roman" w:hAnsi="宋体" w:eastAsia="宋体"/>
          <w:sz w:val="24"/>
          <w:szCs w:val="24"/>
        </w:rPr>
        <w:t>填埋期污染防治措施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94</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"_Toc462818445" </w:instrText>
      </w:r>
      <w:r>
        <w:fldChar w:fldCharType="separate"/>
      </w:r>
      <w:r>
        <w:rPr>
          <w:rStyle w:val="33"/>
          <w:rFonts w:ascii="Times New Roman" w:hAnsi="Times New Roman" w:eastAsia="宋体"/>
          <w:sz w:val="24"/>
          <w:szCs w:val="24"/>
        </w:rPr>
        <w:t>7.3</w:t>
      </w:r>
      <w:r>
        <w:rPr>
          <w:rFonts w:ascii="Times New Roman" w:hAnsi="Times New Roman" w:eastAsia="宋体" w:cs="Times New Roman"/>
          <w:smallCaps w:val="0"/>
          <w:sz w:val="24"/>
          <w:szCs w:val="24"/>
        </w:rPr>
        <w:tab/>
      </w:r>
      <w:r>
        <w:rPr>
          <w:rStyle w:val="33"/>
          <w:rFonts w:ascii="Times New Roman" w:hAnsi="宋体" w:eastAsia="宋体"/>
          <w:sz w:val="24"/>
          <w:szCs w:val="24"/>
        </w:rPr>
        <w:t>环保投资</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98</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"_Toc462818446" </w:instrText>
      </w:r>
      <w:r>
        <w:fldChar w:fldCharType="separate"/>
      </w:r>
      <w:r>
        <w:rPr>
          <w:rStyle w:val="33"/>
          <w:rFonts w:ascii="Times New Roman" w:hAnsi="Times New Roman" w:eastAsia="宋体"/>
          <w:sz w:val="24"/>
          <w:szCs w:val="24"/>
        </w:rPr>
        <w:t>8</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水土保持</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"_Toc462818447" </w:instrText>
      </w:r>
      <w:r>
        <w:fldChar w:fldCharType="separate"/>
      </w:r>
      <w:r>
        <w:rPr>
          <w:rStyle w:val="33"/>
          <w:rFonts w:ascii="Times New Roman" w:hAnsi="Times New Roman" w:eastAsia="宋体"/>
          <w:sz w:val="24"/>
          <w:szCs w:val="24"/>
        </w:rPr>
        <w:t>8.1</w:t>
      </w:r>
      <w:r>
        <w:rPr>
          <w:rFonts w:ascii="Times New Roman" w:hAnsi="Times New Roman" w:eastAsia="宋体" w:cs="Times New Roman"/>
          <w:smallCaps w:val="0"/>
          <w:sz w:val="24"/>
          <w:szCs w:val="24"/>
        </w:rPr>
        <w:tab/>
      </w:r>
      <w:r>
        <w:rPr>
          <w:rStyle w:val="33"/>
          <w:rFonts w:ascii="Times New Roman" w:hAnsi="宋体" w:eastAsia="宋体"/>
          <w:sz w:val="24"/>
          <w:szCs w:val="24"/>
        </w:rPr>
        <w:t>水土流失成因及保护分区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"_Toc462818448" </w:instrText>
      </w:r>
      <w:r>
        <w:fldChar w:fldCharType="separate"/>
      </w:r>
      <w:r>
        <w:rPr>
          <w:rStyle w:val="33"/>
          <w:rFonts w:ascii="Times New Roman" w:hAnsi="Times New Roman" w:eastAsia="宋体"/>
          <w:sz w:val="24"/>
          <w:szCs w:val="24"/>
        </w:rPr>
        <w:t>8.2</w:t>
      </w:r>
      <w:r>
        <w:rPr>
          <w:rFonts w:ascii="Times New Roman" w:hAnsi="Times New Roman" w:eastAsia="宋体" w:cs="Times New Roman"/>
          <w:smallCaps w:val="0"/>
          <w:sz w:val="24"/>
          <w:szCs w:val="24"/>
        </w:rPr>
        <w:tab/>
      </w:r>
      <w:r>
        <w:rPr>
          <w:rStyle w:val="33"/>
          <w:rFonts w:ascii="Times New Roman" w:hAnsi="宋体" w:eastAsia="宋体"/>
          <w:sz w:val="24"/>
          <w:szCs w:val="24"/>
        </w:rPr>
        <w:t>水土流失影响分析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101</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"_Toc462818449" </w:instrText>
      </w:r>
      <w:r>
        <w:fldChar w:fldCharType="separate"/>
      </w:r>
      <w:r>
        <w:rPr>
          <w:rStyle w:val="33"/>
          <w:rFonts w:ascii="Times New Roman" w:hAnsi="Times New Roman" w:eastAsia="宋体"/>
          <w:sz w:val="24"/>
          <w:szCs w:val="24"/>
        </w:rPr>
        <w:t>8.3</w:t>
      </w:r>
      <w:r>
        <w:rPr>
          <w:rFonts w:ascii="Times New Roman" w:hAnsi="Times New Roman" w:eastAsia="宋体" w:cs="Times New Roman"/>
          <w:smallCaps w:val="0"/>
          <w:sz w:val="24"/>
          <w:szCs w:val="24"/>
        </w:rPr>
        <w:tab/>
      </w:r>
      <w:r>
        <w:rPr>
          <w:rStyle w:val="33"/>
          <w:rFonts w:ascii="Times New Roman" w:hAnsi="宋体" w:eastAsia="宋体"/>
          <w:sz w:val="24"/>
          <w:szCs w:val="24"/>
        </w:rPr>
        <w:t>生态恢复及水土保持措施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_Toc462818449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102</w:t>
      </w:r>
      <w:r>
        <w:rPr>
          <w:rFonts w:ascii="Times New Roman" w:hAnsi="Times New Roman" w:eastAsia="宋体" w:cs="Times New Roman"/>
          <w:sz w:val="24"/>
          <w:szCs w:val="24"/>
        </w:rPr>
        <w:fldChar w:fldCharType="end"/>
      </w:r>
      <w:r>
        <w:fldChar w:fldCharType="end"/>
      </w:r>
    </w:p>
    <w:p>
      <w:pPr>
        <w:pStyle w:val="22"/>
        <w:tabs>
          <w:tab w:val="left" w:pos="84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"_Toc462818450" </w:instrText>
      </w:r>
      <w:r>
        <w:fldChar w:fldCharType="separate"/>
      </w:r>
      <w:r>
        <w:rPr>
          <w:rStyle w:val="33"/>
          <w:rFonts w:ascii="Times New Roman" w:hAnsi="Times New Roman" w:eastAsia="宋体"/>
          <w:sz w:val="24"/>
          <w:szCs w:val="24"/>
        </w:rPr>
        <w:t>9</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可行性分析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"_Toc462818451" </w:instrText>
      </w:r>
      <w:r>
        <w:fldChar w:fldCharType="separate"/>
      </w:r>
      <w:r>
        <w:rPr>
          <w:rStyle w:val="33"/>
          <w:rFonts w:ascii="Times New Roman" w:hAnsi="Times New Roman" w:eastAsia="宋体"/>
          <w:sz w:val="24"/>
          <w:szCs w:val="24"/>
        </w:rPr>
        <w:t>9.1</w:t>
      </w:r>
      <w:r>
        <w:rPr>
          <w:rFonts w:ascii="Times New Roman" w:hAnsi="Times New Roman" w:eastAsia="宋体" w:cs="Times New Roman"/>
          <w:smallCaps w:val="0"/>
          <w:sz w:val="24"/>
          <w:szCs w:val="24"/>
        </w:rPr>
        <w:tab/>
      </w:r>
      <w:r>
        <w:rPr>
          <w:rStyle w:val="33"/>
          <w:rFonts w:ascii="Times New Roman" w:hAnsi="宋体" w:eastAsia="宋体"/>
          <w:sz w:val="24"/>
          <w:szCs w:val="24"/>
        </w:rPr>
        <w:t>厂址选择基本原则</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"_Toc462818452" </w:instrText>
      </w:r>
      <w:r>
        <w:fldChar w:fldCharType="separate"/>
      </w:r>
      <w:r>
        <w:rPr>
          <w:rStyle w:val="33"/>
          <w:rFonts w:ascii="Times New Roman" w:hAnsi="Times New Roman" w:eastAsia="宋体"/>
          <w:sz w:val="24"/>
          <w:szCs w:val="24"/>
        </w:rPr>
        <w:t>9.2</w:t>
      </w:r>
      <w:r>
        <w:rPr>
          <w:rFonts w:ascii="Times New Roman" w:hAnsi="Times New Roman" w:eastAsia="宋体" w:cs="Times New Roman"/>
          <w:smallCaps w:val="0"/>
          <w:sz w:val="24"/>
          <w:szCs w:val="24"/>
        </w:rPr>
        <w:tab/>
      </w:r>
      <w:r>
        <w:rPr>
          <w:rStyle w:val="33"/>
          <w:rFonts w:ascii="Times New Roman" w:hAnsi="宋体" w:eastAsia="宋体"/>
          <w:sz w:val="24"/>
          <w:szCs w:val="24"/>
        </w:rPr>
        <w:t>与国家产业政策相符性分析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"_Toc462818453" </w:instrText>
      </w:r>
      <w:r>
        <w:fldChar w:fldCharType="separate"/>
      </w:r>
      <w:r>
        <w:rPr>
          <w:rStyle w:val="33"/>
          <w:rFonts w:ascii="Times New Roman" w:hAnsi="Times New Roman" w:eastAsia="宋体"/>
          <w:sz w:val="24"/>
          <w:szCs w:val="24"/>
        </w:rPr>
        <w:t>9.3</w:t>
      </w:r>
      <w:r>
        <w:rPr>
          <w:rFonts w:ascii="Times New Roman" w:hAnsi="Times New Roman" w:eastAsia="宋体" w:cs="Times New Roman"/>
          <w:smallCaps w:val="0"/>
          <w:sz w:val="24"/>
          <w:szCs w:val="24"/>
        </w:rPr>
        <w:tab/>
      </w:r>
      <w:r>
        <w:rPr>
          <w:rStyle w:val="33"/>
          <w:rFonts w:ascii="Times New Roman" w:hAnsi="宋体" w:eastAsia="宋体"/>
          <w:sz w:val="24"/>
          <w:szCs w:val="24"/>
        </w:rPr>
        <w:t>固体废物处置场选址可行性分析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106</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"_Toc462818454" </w:instrText>
      </w:r>
      <w:r>
        <w:fldChar w:fldCharType="separate"/>
      </w:r>
      <w:r>
        <w:rPr>
          <w:rStyle w:val="33"/>
          <w:rFonts w:ascii="Times New Roman" w:hAnsi="Times New Roman" w:eastAsia="宋体"/>
          <w:sz w:val="24"/>
          <w:szCs w:val="24"/>
        </w:rPr>
        <w:t>9.4</w:t>
      </w:r>
      <w:r>
        <w:rPr>
          <w:rFonts w:ascii="Times New Roman" w:hAnsi="Times New Roman" w:eastAsia="宋体" w:cs="Times New Roman"/>
          <w:smallCaps w:val="0"/>
          <w:sz w:val="24"/>
          <w:szCs w:val="24"/>
        </w:rPr>
        <w:tab/>
      </w:r>
      <w:r>
        <w:rPr>
          <w:rStyle w:val="33"/>
          <w:rFonts w:ascii="Times New Roman" w:hAnsi="宋体" w:eastAsia="宋体"/>
          <w:sz w:val="24"/>
          <w:szCs w:val="24"/>
        </w:rPr>
        <w:t>选址方案论证分析汇总表</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107</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"_Toc462818455" </w:instrText>
      </w:r>
      <w:r>
        <w:fldChar w:fldCharType="separate"/>
      </w:r>
      <w:r>
        <w:rPr>
          <w:rStyle w:val="33"/>
          <w:rFonts w:ascii="Times New Roman" w:hAnsi="Times New Roman" w:eastAsia="宋体"/>
          <w:sz w:val="24"/>
          <w:szCs w:val="24"/>
        </w:rPr>
        <w:t>9.5</w:t>
      </w:r>
      <w:r>
        <w:rPr>
          <w:rFonts w:ascii="Times New Roman" w:hAnsi="Times New Roman" w:eastAsia="宋体" w:cs="Times New Roman"/>
          <w:smallCaps w:val="0"/>
          <w:sz w:val="24"/>
          <w:szCs w:val="24"/>
        </w:rPr>
        <w:tab/>
      </w:r>
      <w:r>
        <w:rPr>
          <w:rStyle w:val="33"/>
          <w:rFonts w:ascii="Times New Roman" w:hAnsi="宋体" w:eastAsia="宋体"/>
          <w:sz w:val="24"/>
          <w:szCs w:val="24"/>
        </w:rPr>
        <w:t>小结</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108</w:t>
      </w:r>
      <w:r>
        <w:rPr>
          <w:rFonts w:ascii="Times New Roman" w:hAnsi="Times New Roman" w:eastAsia="宋体" w:cs="Times New Roman"/>
          <w:sz w:val="24"/>
          <w:szCs w:val="24"/>
        </w:rPr>
        <w:fldChar w:fldCharType="end"/>
      </w:r>
      <w:r>
        <w:fldChar w:fldCharType="end"/>
      </w:r>
    </w:p>
    <w:p>
      <w:pPr>
        <w:pStyle w:val="22"/>
        <w:tabs>
          <w:tab w:val="left" w:pos="126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"_Toc462818456" </w:instrText>
      </w:r>
      <w:r>
        <w:fldChar w:fldCharType="separate"/>
      </w:r>
      <w:r>
        <w:rPr>
          <w:rStyle w:val="33"/>
          <w:rFonts w:ascii="Times New Roman" w:hAnsi="Times New Roman" w:eastAsia="宋体"/>
          <w:sz w:val="24"/>
          <w:szCs w:val="24"/>
        </w:rPr>
        <w:t>10</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环境经济损益分析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"_Toc462818457" </w:instrText>
      </w:r>
      <w:r>
        <w:fldChar w:fldCharType="separate"/>
      </w:r>
      <w:r>
        <w:rPr>
          <w:rStyle w:val="33"/>
          <w:rFonts w:ascii="Times New Roman" w:hAnsi="Times New Roman" w:eastAsia="宋体"/>
          <w:sz w:val="24"/>
          <w:szCs w:val="24"/>
        </w:rPr>
        <w:t>10.1</w:t>
      </w:r>
      <w:r>
        <w:rPr>
          <w:rFonts w:ascii="Times New Roman" w:hAnsi="Times New Roman" w:eastAsia="宋体" w:cs="Times New Roman"/>
          <w:smallCaps w:val="0"/>
          <w:sz w:val="24"/>
          <w:szCs w:val="24"/>
        </w:rPr>
        <w:tab/>
      </w:r>
      <w:r>
        <w:rPr>
          <w:rStyle w:val="33"/>
          <w:rFonts w:ascii="Times New Roman" w:hAnsi="宋体" w:eastAsia="宋体"/>
          <w:sz w:val="24"/>
          <w:szCs w:val="24"/>
        </w:rPr>
        <w:t>社会效益分析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"_Toc462818458" </w:instrText>
      </w:r>
      <w:r>
        <w:fldChar w:fldCharType="separate"/>
      </w:r>
      <w:r>
        <w:rPr>
          <w:rStyle w:val="33"/>
          <w:rFonts w:ascii="Times New Roman" w:hAnsi="Times New Roman" w:eastAsia="宋体"/>
          <w:sz w:val="24"/>
          <w:szCs w:val="24"/>
        </w:rPr>
        <w:t>10.2</w:t>
      </w:r>
      <w:r>
        <w:rPr>
          <w:rFonts w:ascii="Times New Roman" w:hAnsi="Times New Roman" w:eastAsia="宋体" w:cs="Times New Roman"/>
          <w:smallCaps w:val="0"/>
          <w:sz w:val="24"/>
          <w:szCs w:val="24"/>
        </w:rPr>
        <w:tab/>
      </w:r>
      <w:r>
        <w:rPr>
          <w:rStyle w:val="33"/>
          <w:rFonts w:ascii="Times New Roman" w:hAnsi="宋体" w:eastAsia="宋体"/>
          <w:sz w:val="24"/>
          <w:szCs w:val="24"/>
        </w:rPr>
        <w:t>环境效益分析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"_Toc462818459" </w:instrText>
      </w:r>
      <w:r>
        <w:fldChar w:fldCharType="separate"/>
      </w:r>
      <w:r>
        <w:rPr>
          <w:rStyle w:val="33"/>
          <w:rFonts w:ascii="Times New Roman" w:hAnsi="Times New Roman" w:eastAsia="宋体"/>
          <w:sz w:val="24"/>
          <w:szCs w:val="24"/>
        </w:rPr>
        <w:t>10.3</w:t>
      </w:r>
      <w:r>
        <w:rPr>
          <w:rFonts w:ascii="Times New Roman" w:hAnsi="Times New Roman" w:eastAsia="宋体" w:cs="Times New Roman"/>
          <w:smallCaps w:val="0"/>
          <w:sz w:val="24"/>
          <w:szCs w:val="24"/>
        </w:rPr>
        <w:tab/>
      </w:r>
      <w:r>
        <w:rPr>
          <w:rStyle w:val="33"/>
          <w:rFonts w:ascii="Times New Roman" w:hAnsi="宋体" w:eastAsia="宋体"/>
          <w:sz w:val="24"/>
          <w:szCs w:val="24"/>
        </w:rPr>
        <w:t>经济效益分析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_Toc462818459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110</w:t>
      </w:r>
      <w:r>
        <w:rPr>
          <w:rFonts w:ascii="Times New Roman" w:hAnsi="Times New Roman" w:eastAsia="宋体" w:cs="Times New Roman"/>
          <w:sz w:val="24"/>
          <w:szCs w:val="24"/>
        </w:rPr>
        <w:fldChar w:fldCharType="end"/>
      </w:r>
      <w:r>
        <w:fldChar w:fldCharType="end"/>
      </w:r>
    </w:p>
    <w:p>
      <w:pPr>
        <w:pStyle w:val="22"/>
        <w:tabs>
          <w:tab w:val="left" w:pos="126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"_Toc462818460" </w:instrText>
      </w:r>
      <w:r>
        <w:fldChar w:fldCharType="separate"/>
      </w:r>
      <w:r>
        <w:rPr>
          <w:rStyle w:val="33"/>
          <w:rFonts w:ascii="Times New Roman" w:hAnsi="Times New Roman" w:eastAsia="宋体"/>
          <w:sz w:val="24"/>
          <w:szCs w:val="24"/>
        </w:rPr>
        <w:t>11</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公众参与</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"_Toc462818461" </w:instrText>
      </w:r>
      <w:r>
        <w:fldChar w:fldCharType="separate"/>
      </w:r>
      <w:r>
        <w:rPr>
          <w:rStyle w:val="33"/>
          <w:rFonts w:ascii="Times New Roman" w:hAnsi="Times New Roman" w:eastAsia="宋体"/>
          <w:sz w:val="24"/>
          <w:szCs w:val="24"/>
        </w:rPr>
        <w:t>11.1</w:t>
      </w:r>
      <w:r>
        <w:rPr>
          <w:rFonts w:ascii="Times New Roman" w:hAnsi="Times New Roman" w:eastAsia="宋体" w:cs="Times New Roman"/>
          <w:smallCaps w:val="0"/>
          <w:sz w:val="24"/>
          <w:szCs w:val="24"/>
        </w:rPr>
        <w:tab/>
      </w:r>
      <w:r>
        <w:rPr>
          <w:rStyle w:val="33"/>
          <w:rFonts w:ascii="Times New Roman" w:hAnsi="宋体" w:eastAsia="宋体"/>
          <w:sz w:val="24"/>
          <w:szCs w:val="24"/>
        </w:rPr>
        <w:t>公众参与目的和形式</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112</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"_Toc462818462" </w:instrText>
      </w:r>
      <w:r>
        <w:fldChar w:fldCharType="separate"/>
      </w:r>
      <w:r>
        <w:rPr>
          <w:rStyle w:val="33"/>
          <w:rFonts w:ascii="Times New Roman" w:hAnsi="Times New Roman" w:eastAsia="宋体"/>
          <w:sz w:val="24"/>
          <w:szCs w:val="24"/>
        </w:rPr>
        <w:t>11.2</w:t>
      </w:r>
      <w:r>
        <w:rPr>
          <w:rFonts w:ascii="Times New Roman" w:hAnsi="Times New Roman" w:eastAsia="宋体" w:cs="Times New Roman"/>
          <w:smallCaps w:val="0"/>
          <w:sz w:val="24"/>
          <w:szCs w:val="24"/>
        </w:rPr>
        <w:tab/>
      </w:r>
      <w:r>
        <w:rPr>
          <w:rStyle w:val="33"/>
          <w:rFonts w:ascii="Times New Roman" w:hAnsi="宋体" w:eastAsia="宋体"/>
          <w:sz w:val="24"/>
          <w:szCs w:val="24"/>
        </w:rPr>
        <w:t>环评信息公示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114</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"_Toc462818463" </w:instrText>
      </w:r>
      <w:r>
        <w:fldChar w:fldCharType="separate"/>
      </w:r>
      <w:r>
        <w:rPr>
          <w:rStyle w:val="33"/>
          <w:rFonts w:ascii="Times New Roman" w:hAnsi="Times New Roman" w:eastAsia="宋体"/>
          <w:sz w:val="24"/>
          <w:szCs w:val="24"/>
        </w:rPr>
        <w:t>11.3</w:t>
      </w:r>
      <w:r>
        <w:rPr>
          <w:rFonts w:ascii="Times New Roman" w:hAnsi="Times New Roman" w:eastAsia="宋体" w:cs="Times New Roman"/>
          <w:smallCaps w:val="0"/>
          <w:sz w:val="24"/>
          <w:szCs w:val="24"/>
        </w:rPr>
        <w:tab/>
      </w:r>
      <w:r>
        <w:rPr>
          <w:rStyle w:val="33"/>
          <w:rFonts w:ascii="Times New Roman" w:hAnsi="宋体" w:eastAsia="宋体"/>
          <w:sz w:val="24"/>
          <w:szCs w:val="24"/>
        </w:rPr>
        <w:t>公众参与调查</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115</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"_Toc462818464" </w:instrText>
      </w:r>
      <w:r>
        <w:fldChar w:fldCharType="separate"/>
      </w:r>
      <w:r>
        <w:rPr>
          <w:rStyle w:val="33"/>
          <w:rFonts w:ascii="Times New Roman" w:hAnsi="Times New Roman" w:eastAsia="宋体"/>
          <w:sz w:val="24"/>
          <w:szCs w:val="24"/>
        </w:rPr>
        <w:t>11.4</w:t>
      </w:r>
      <w:r>
        <w:rPr>
          <w:rFonts w:ascii="Times New Roman" w:hAnsi="Times New Roman" w:eastAsia="宋体" w:cs="Times New Roman"/>
          <w:smallCaps w:val="0"/>
          <w:sz w:val="24"/>
          <w:szCs w:val="24"/>
        </w:rPr>
        <w:tab/>
      </w:r>
      <w:r>
        <w:rPr>
          <w:rStyle w:val="33"/>
          <w:rFonts w:ascii="Times New Roman" w:hAnsi="宋体" w:eastAsia="宋体"/>
          <w:sz w:val="24"/>
          <w:szCs w:val="24"/>
        </w:rPr>
        <w:t>公众参与代表性、合法性、真实性及有效性分析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"_Toc462818465" </w:instrText>
      </w:r>
      <w:r>
        <w:fldChar w:fldCharType="separate"/>
      </w:r>
      <w:r>
        <w:rPr>
          <w:rStyle w:val="33"/>
          <w:rFonts w:ascii="Times New Roman" w:hAnsi="Times New Roman" w:eastAsia="宋体"/>
          <w:sz w:val="24"/>
          <w:szCs w:val="24"/>
        </w:rPr>
        <w:t>11.5</w:t>
      </w:r>
      <w:r>
        <w:rPr>
          <w:rFonts w:ascii="Times New Roman" w:hAnsi="Times New Roman" w:eastAsia="宋体" w:cs="Times New Roman"/>
          <w:smallCaps w:val="0"/>
          <w:sz w:val="24"/>
          <w:szCs w:val="24"/>
        </w:rPr>
        <w:tab/>
      </w:r>
      <w:r>
        <w:rPr>
          <w:rStyle w:val="33"/>
          <w:rFonts w:ascii="Times New Roman" w:hAnsi="宋体" w:eastAsia="宋体"/>
          <w:sz w:val="24"/>
          <w:szCs w:val="24"/>
        </w:rPr>
        <w:t>公众参与结论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120</w:t>
      </w:r>
      <w:r>
        <w:rPr>
          <w:rFonts w:ascii="Times New Roman" w:hAnsi="Times New Roman" w:eastAsia="宋体" w:cs="Times New Roman"/>
          <w:sz w:val="24"/>
          <w:szCs w:val="24"/>
        </w:rPr>
        <w:fldChar w:fldCharType="end"/>
      </w:r>
      <w:r>
        <w:fldChar w:fldCharType="end"/>
      </w:r>
    </w:p>
    <w:p>
      <w:pPr>
        <w:pStyle w:val="22"/>
        <w:tabs>
          <w:tab w:val="left" w:pos="126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"_Toc462818466" </w:instrText>
      </w:r>
      <w:r>
        <w:fldChar w:fldCharType="separate"/>
      </w:r>
      <w:r>
        <w:rPr>
          <w:rStyle w:val="33"/>
          <w:rFonts w:ascii="Times New Roman" w:hAnsi="Times New Roman" w:eastAsia="宋体"/>
          <w:sz w:val="24"/>
          <w:szCs w:val="24"/>
        </w:rPr>
        <w:t>12</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环境管理与监测计划</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121</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"_Toc462818467" </w:instrText>
      </w:r>
      <w:r>
        <w:fldChar w:fldCharType="separate"/>
      </w:r>
      <w:r>
        <w:rPr>
          <w:rStyle w:val="33"/>
          <w:rFonts w:ascii="Times New Roman" w:hAnsi="Times New Roman" w:eastAsia="宋体"/>
          <w:sz w:val="24"/>
          <w:szCs w:val="24"/>
        </w:rPr>
        <w:t>12.1</w:t>
      </w:r>
      <w:r>
        <w:rPr>
          <w:rFonts w:ascii="Times New Roman" w:hAnsi="Times New Roman" w:eastAsia="宋体" w:cs="Times New Roman"/>
          <w:smallCaps w:val="0"/>
          <w:sz w:val="24"/>
          <w:szCs w:val="24"/>
        </w:rPr>
        <w:tab/>
      </w:r>
      <w:r>
        <w:rPr>
          <w:rStyle w:val="33"/>
          <w:rFonts w:ascii="Times New Roman" w:hAnsi="宋体" w:eastAsia="宋体"/>
          <w:sz w:val="24"/>
          <w:szCs w:val="24"/>
        </w:rPr>
        <w:t>环境管理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121</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"_Toc462818468" </w:instrText>
      </w:r>
      <w:r>
        <w:fldChar w:fldCharType="separate"/>
      </w:r>
      <w:r>
        <w:rPr>
          <w:rStyle w:val="33"/>
          <w:rFonts w:ascii="Times New Roman" w:hAnsi="Times New Roman" w:eastAsia="宋体"/>
          <w:sz w:val="24"/>
          <w:szCs w:val="24"/>
        </w:rPr>
        <w:t>12.2</w:t>
      </w:r>
      <w:r>
        <w:rPr>
          <w:rFonts w:ascii="Times New Roman" w:hAnsi="Times New Roman" w:eastAsia="宋体" w:cs="Times New Roman"/>
          <w:smallCaps w:val="0"/>
          <w:sz w:val="24"/>
          <w:szCs w:val="24"/>
        </w:rPr>
        <w:tab/>
      </w:r>
      <w:r>
        <w:rPr>
          <w:rStyle w:val="33"/>
          <w:rFonts w:ascii="Times New Roman" w:hAnsi="宋体" w:eastAsia="宋体"/>
          <w:sz w:val="24"/>
          <w:szCs w:val="24"/>
        </w:rPr>
        <w:t>环境监测</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123</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"_Toc462818469" </w:instrText>
      </w:r>
      <w:r>
        <w:fldChar w:fldCharType="separate"/>
      </w:r>
      <w:r>
        <w:rPr>
          <w:rStyle w:val="33"/>
          <w:rFonts w:ascii="Times New Roman" w:hAnsi="Times New Roman" w:eastAsia="宋体"/>
          <w:sz w:val="24"/>
          <w:szCs w:val="24"/>
        </w:rPr>
        <w:t>12.3</w:t>
      </w:r>
      <w:r>
        <w:rPr>
          <w:rFonts w:ascii="Times New Roman" w:hAnsi="Times New Roman" w:eastAsia="宋体" w:cs="Times New Roman"/>
          <w:smallCaps w:val="0"/>
          <w:sz w:val="24"/>
          <w:szCs w:val="24"/>
        </w:rPr>
        <w:tab/>
      </w:r>
      <w:r>
        <w:rPr>
          <w:rStyle w:val="33"/>
          <w:rFonts w:ascii="Times New Roman" w:hAnsi="宋体" w:eastAsia="宋体"/>
          <w:sz w:val="24"/>
          <w:szCs w:val="24"/>
        </w:rPr>
        <w:t>建设项目竣工环境保护验收管理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_Toc462818469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125</w:t>
      </w:r>
      <w:r>
        <w:rPr>
          <w:rFonts w:ascii="Times New Roman" w:hAnsi="Times New Roman" w:eastAsia="宋体" w:cs="Times New Roman"/>
          <w:sz w:val="24"/>
          <w:szCs w:val="24"/>
        </w:rPr>
        <w:fldChar w:fldCharType="end"/>
      </w:r>
      <w:r>
        <w:fldChar w:fldCharType="end"/>
      </w:r>
    </w:p>
    <w:p>
      <w:pPr>
        <w:pStyle w:val="22"/>
        <w:tabs>
          <w:tab w:val="left" w:pos="1260"/>
          <w:tab w:val="right" w:leader="dot" w:pos="8296"/>
        </w:tabs>
        <w:ind w:firstLine="402"/>
        <w:rPr>
          <w:rFonts w:ascii="Times New Roman" w:hAnsi="Times New Roman" w:eastAsia="宋体" w:cs="Times New Roman"/>
          <w:b w:val="0"/>
          <w:bCs w:val="0"/>
          <w:caps w:val="0"/>
          <w:sz w:val="24"/>
          <w:szCs w:val="24"/>
        </w:rPr>
      </w:pPr>
      <w:r>
        <w:fldChar w:fldCharType="begin"/>
      </w:r>
      <w:r>
        <w:instrText xml:space="preserve">HYPERLINK  \l "_Toc462818470" </w:instrText>
      </w:r>
      <w:r>
        <w:fldChar w:fldCharType="separate"/>
      </w:r>
      <w:r>
        <w:rPr>
          <w:rStyle w:val="33"/>
          <w:rFonts w:ascii="Times New Roman" w:hAnsi="Times New Roman" w:eastAsia="宋体"/>
          <w:sz w:val="24"/>
          <w:szCs w:val="24"/>
        </w:rPr>
        <w:t>13</w:t>
      </w:r>
      <w:r>
        <w:rPr>
          <w:rFonts w:ascii="Times New Roman" w:hAnsi="Times New Roman" w:eastAsia="宋体" w:cs="Times New Roman"/>
          <w:b w:val="0"/>
          <w:bCs w:val="0"/>
          <w:caps w:val="0"/>
          <w:sz w:val="24"/>
          <w:szCs w:val="24"/>
        </w:rPr>
        <w:tab/>
      </w:r>
      <w:r>
        <w:rPr>
          <w:rStyle w:val="33"/>
          <w:rFonts w:ascii="Times New Roman" w:hAnsi="宋体" w:eastAsia="宋体"/>
          <w:sz w:val="24"/>
          <w:szCs w:val="24"/>
        </w:rPr>
        <w:t>结论与建议</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128</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"_Toc462818471" </w:instrText>
      </w:r>
      <w:r>
        <w:fldChar w:fldCharType="separate"/>
      </w:r>
      <w:r>
        <w:rPr>
          <w:rStyle w:val="33"/>
          <w:rFonts w:ascii="Times New Roman" w:hAnsi="Times New Roman" w:eastAsia="宋体"/>
          <w:sz w:val="24"/>
          <w:szCs w:val="24"/>
        </w:rPr>
        <w:t>13.1</w:t>
      </w:r>
      <w:r>
        <w:rPr>
          <w:rFonts w:ascii="Times New Roman" w:hAnsi="Times New Roman" w:eastAsia="宋体" w:cs="Times New Roman"/>
          <w:smallCaps w:val="0"/>
          <w:sz w:val="24"/>
          <w:szCs w:val="24"/>
        </w:rPr>
        <w:tab/>
      </w:r>
      <w:r>
        <w:rPr>
          <w:rStyle w:val="33"/>
          <w:rFonts w:ascii="Times New Roman" w:hAnsi="宋体" w:eastAsia="宋体"/>
          <w:sz w:val="24"/>
          <w:szCs w:val="24"/>
        </w:rPr>
        <w:t>项目概况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128</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"_Toc462818472" </w:instrText>
      </w:r>
      <w:r>
        <w:fldChar w:fldCharType="separate"/>
      </w:r>
      <w:r>
        <w:rPr>
          <w:rStyle w:val="33"/>
          <w:rFonts w:ascii="Times New Roman" w:hAnsi="Times New Roman" w:eastAsia="宋体"/>
          <w:sz w:val="24"/>
          <w:szCs w:val="24"/>
        </w:rPr>
        <w:t>13.2</w:t>
      </w:r>
      <w:r>
        <w:rPr>
          <w:rFonts w:ascii="Times New Roman" w:hAnsi="Times New Roman" w:eastAsia="宋体" w:cs="Times New Roman"/>
          <w:smallCaps w:val="0"/>
          <w:sz w:val="24"/>
          <w:szCs w:val="24"/>
        </w:rPr>
        <w:tab/>
      </w:r>
      <w:r>
        <w:rPr>
          <w:rStyle w:val="33"/>
          <w:rFonts w:ascii="Times New Roman" w:hAnsi="宋体" w:eastAsia="宋体"/>
          <w:sz w:val="24"/>
          <w:szCs w:val="24"/>
        </w:rPr>
        <w:t>符合国家产业政策</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128</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"_Toc462818473" </w:instrText>
      </w:r>
      <w:r>
        <w:fldChar w:fldCharType="separate"/>
      </w:r>
      <w:r>
        <w:rPr>
          <w:rStyle w:val="33"/>
          <w:rFonts w:ascii="Times New Roman" w:hAnsi="Times New Roman" w:eastAsia="宋体"/>
          <w:sz w:val="24"/>
          <w:szCs w:val="24"/>
        </w:rPr>
        <w:t>13.3</w:t>
      </w:r>
      <w:r>
        <w:rPr>
          <w:rFonts w:ascii="Times New Roman" w:hAnsi="Times New Roman" w:eastAsia="宋体" w:cs="Times New Roman"/>
          <w:smallCaps w:val="0"/>
          <w:sz w:val="24"/>
          <w:szCs w:val="24"/>
        </w:rPr>
        <w:tab/>
      </w:r>
      <w:r>
        <w:rPr>
          <w:rStyle w:val="33"/>
          <w:rFonts w:ascii="Times New Roman" w:hAnsi="宋体" w:eastAsia="宋体"/>
          <w:sz w:val="24"/>
          <w:szCs w:val="24"/>
        </w:rPr>
        <w:t>环境质量现状</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128</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"_Toc462818474" </w:instrText>
      </w:r>
      <w:r>
        <w:fldChar w:fldCharType="separate"/>
      </w:r>
      <w:r>
        <w:rPr>
          <w:rStyle w:val="33"/>
          <w:rFonts w:ascii="Times New Roman" w:hAnsi="Times New Roman" w:eastAsia="宋体"/>
          <w:sz w:val="24"/>
          <w:szCs w:val="24"/>
        </w:rPr>
        <w:t>13.4</w:t>
      </w:r>
      <w:r>
        <w:rPr>
          <w:rFonts w:ascii="Times New Roman" w:hAnsi="Times New Roman" w:eastAsia="宋体" w:cs="Times New Roman"/>
          <w:smallCaps w:val="0"/>
          <w:sz w:val="24"/>
          <w:szCs w:val="24"/>
        </w:rPr>
        <w:tab/>
      </w:r>
      <w:r>
        <w:rPr>
          <w:rStyle w:val="33"/>
          <w:rFonts w:ascii="Times New Roman" w:hAnsi="宋体" w:eastAsia="宋体"/>
          <w:sz w:val="24"/>
          <w:szCs w:val="24"/>
        </w:rPr>
        <w:t>污染物达标排放情况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129</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"_Toc462818475" </w:instrText>
      </w:r>
      <w:r>
        <w:fldChar w:fldCharType="separate"/>
      </w:r>
      <w:r>
        <w:rPr>
          <w:rStyle w:val="33"/>
          <w:rFonts w:ascii="Times New Roman" w:hAnsi="Times New Roman" w:eastAsia="宋体"/>
          <w:sz w:val="24"/>
          <w:szCs w:val="24"/>
        </w:rPr>
        <w:t>13.5</w:t>
      </w:r>
      <w:r>
        <w:rPr>
          <w:rFonts w:ascii="Times New Roman" w:hAnsi="Times New Roman" w:eastAsia="宋体" w:cs="Times New Roman"/>
          <w:smallCaps w:val="0"/>
          <w:sz w:val="24"/>
          <w:szCs w:val="24"/>
        </w:rPr>
        <w:tab/>
      </w:r>
      <w:r>
        <w:rPr>
          <w:rStyle w:val="33"/>
          <w:rFonts w:ascii="Times New Roman" w:hAnsi="宋体" w:eastAsia="宋体"/>
          <w:sz w:val="24"/>
          <w:szCs w:val="24"/>
        </w:rPr>
        <w:t>符合环境功能区划</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130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"_Toc462818476" </w:instrText>
      </w:r>
      <w:r>
        <w:fldChar w:fldCharType="separate"/>
      </w:r>
      <w:r>
        <w:rPr>
          <w:rStyle w:val="33"/>
          <w:rFonts w:ascii="Times New Roman" w:hAnsi="Times New Roman" w:eastAsia="宋体"/>
          <w:sz w:val="24"/>
          <w:szCs w:val="24"/>
        </w:rPr>
        <w:t>13.6</w:t>
      </w:r>
      <w:r>
        <w:rPr>
          <w:rFonts w:ascii="Times New Roman" w:hAnsi="Times New Roman" w:eastAsia="宋体" w:cs="Times New Roman"/>
          <w:smallCaps w:val="0"/>
          <w:sz w:val="24"/>
          <w:szCs w:val="24"/>
        </w:rPr>
        <w:tab/>
      </w:r>
      <w:r>
        <w:rPr>
          <w:rStyle w:val="33"/>
          <w:rFonts w:ascii="Times New Roman" w:hAnsi="宋体" w:eastAsia="宋体"/>
          <w:sz w:val="24"/>
          <w:szCs w:val="24"/>
        </w:rPr>
        <w:t>总量控制</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130</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Times New Roman" w:hAnsi="Times New Roman" w:eastAsia="宋体" w:cs="Times New Roman"/>
          <w:smallCaps w:val="0"/>
          <w:sz w:val="24"/>
          <w:szCs w:val="24"/>
        </w:rPr>
      </w:pPr>
      <w:r>
        <w:fldChar w:fldCharType="begin"/>
      </w:r>
      <w:r>
        <w:instrText xml:space="preserve">HYPERLINK  \l "_Toc462818477" </w:instrText>
      </w:r>
      <w:r>
        <w:fldChar w:fldCharType="separate"/>
      </w:r>
      <w:r>
        <w:rPr>
          <w:rStyle w:val="33"/>
          <w:rFonts w:ascii="Times New Roman" w:hAnsi="Times New Roman" w:eastAsia="宋体"/>
          <w:bCs/>
          <w:sz w:val="24"/>
          <w:szCs w:val="24"/>
        </w:rPr>
        <w:t>13.7</w:t>
      </w:r>
      <w:r>
        <w:rPr>
          <w:rFonts w:ascii="Times New Roman" w:hAnsi="Times New Roman" w:eastAsia="宋体" w:cs="Times New Roman"/>
          <w:smallCaps w:val="0"/>
          <w:sz w:val="24"/>
          <w:szCs w:val="24"/>
        </w:rPr>
        <w:tab/>
      </w:r>
      <w:r>
        <w:rPr>
          <w:rStyle w:val="33"/>
          <w:rFonts w:ascii="Times New Roman" w:hAnsi="宋体" w:eastAsia="宋体"/>
          <w:sz w:val="24"/>
          <w:szCs w:val="24"/>
        </w:rPr>
        <w:t>公众参与结论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131</w:t>
      </w:r>
      <w:r>
        <w:rPr>
          <w:rFonts w:ascii="Times New Roman" w:hAnsi="Times New Roman" w:eastAsia="宋体" w:cs="Times New Roman"/>
          <w:sz w:val="24"/>
          <w:szCs w:val="24"/>
        </w:rPr>
        <w:fldChar w:fldCharType="end"/>
      </w:r>
      <w:r>
        <w:fldChar w:fldCharType="end"/>
      </w:r>
    </w:p>
    <w:p>
      <w:pPr>
        <w:pStyle w:val="27"/>
        <w:tabs>
          <w:tab w:val="left" w:pos="1260"/>
          <w:tab w:val="right" w:leader="dot" w:pos="8296"/>
        </w:tabs>
        <w:ind w:firstLine="400"/>
        <w:rPr>
          <w:rFonts w:ascii="Calibri" w:hAnsi="Calibri" w:eastAsia="宋体" w:cs="黑体"/>
          <w:smallCaps w:val="0"/>
          <w:sz w:val="21"/>
          <w:szCs w:val="22"/>
        </w:rPr>
      </w:pPr>
      <w:r>
        <w:fldChar w:fldCharType="begin"/>
      </w:r>
      <w:r>
        <w:instrText xml:space="preserve">HYPERLINK  \l "_Toc462818478" </w:instrText>
      </w:r>
      <w:r>
        <w:fldChar w:fldCharType="separate"/>
      </w:r>
      <w:r>
        <w:rPr>
          <w:rStyle w:val="33"/>
          <w:rFonts w:ascii="Times New Roman" w:hAnsi="Times New Roman" w:eastAsia="宋体"/>
          <w:sz w:val="24"/>
          <w:szCs w:val="24"/>
        </w:rPr>
        <w:t>13.8</w:t>
      </w:r>
      <w:r>
        <w:rPr>
          <w:rFonts w:ascii="Times New Roman" w:hAnsi="Times New Roman" w:eastAsia="宋体" w:cs="Times New Roman"/>
          <w:smallCaps w:val="0"/>
          <w:sz w:val="24"/>
          <w:szCs w:val="24"/>
        </w:rPr>
        <w:tab/>
      </w:r>
      <w:r>
        <w:rPr>
          <w:rStyle w:val="33"/>
          <w:rFonts w:ascii="Times New Roman" w:hAnsi="宋体" w:eastAsia="宋体"/>
          <w:sz w:val="24"/>
          <w:szCs w:val="24"/>
        </w:rPr>
        <w:t>总结论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_Toc462818478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131</w:t>
      </w:r>
      <w:r>
        <w:rPr>
          <w:rFonts w:ascii="Times New Roman" w:hAnsi="Times New Roman" w:eastAsia="宋体" w:cs="Times New Roman"/>
          <w:sz w:val="24"/>
          <w:szCs w:val="24"/>
        </w:rPr>
        <w:fldChar w:fldCharType="end"/>
      </w:r>
      <w:r>
        <w:fldChar w:fldCharType="end"/>
      </w:r>
    </w:p>
    <w:p>
      <w:pPr>
        <w:spacing w:line="276" w:lineRule="auto"/>
        <w:rPr>
          <w:sz w:val="28"/>
          <w:szCs w:val="28"/>
        </w:rPr>
      </w:pPr>
      <w:r>
        <w:rPr>
          <w:b/>
          <w:bCs/>
          <w:caps/>
          <w:sz w:val="28"/>
          <w:szCs w:val="28"/>
        </w:rPr>
        <w:fldChar w:fldCharType="end"/>
      </w:r>
      <w:bookmarkStart w:id="457" w:name="_GoBack"/>
      <w:bookmarkEnd w:id="457"/>
    </w:p>
    <w:p>
      <w:pPr>
        <w:ind w:firstLine="482"/>
        <w:rPr>
          <w:b/>
        </w:rPr>
      </w:pPr>
      <w:r>
        <w:rPr>
          <w:rFonts w:hint="eastAsia"/>
          <w:b/>
        </w:rPr>
        <w:t>附图</w:t>
      </w:r>
    </w:p>
    <w:p>
      <w:pPr>
        <w:ind w:firstLine="480"/>
      </w:pPr>
      <w:r>
        <w:rPr>
          <w:rFonts w:hint="eastAsia"/>
        </w:rPr>
        <w:t>附图</w:t>
      </w:r>
      <w:r>
        <w:t xml:space="preserve">1  </w:t>
      </w:r>
      <w:r>
        <w:rPr>
          <w:rFonts w:hint="eastAsia"/>
        </w:rPr>
        <w:t>项目地理位置图</w:t>
      </w:r>
    </w:p>
    <w:p>
      <w:pPr>
        <w:ind w:firstLine="480"/>
      </w:pPr>
      <w:r>
        <w:rPr>
          <w:rFonts w:hint="eastAsia"/>
        </w:rPr>
        <w:t>附图</w:t>
      </w:r>
      <w:r>
        <w:t xml:space="preserve">2  </w:t>
      </w:r>
      <w:r>
        <w:rPr>
          <w:rFonts w:hint="eastAsia"/>
        </w:rPr>
        <w:t>项目场底平面布置图</w:t>
      </w:r>
    </w:p>
    <w:p>
      <w:pPr>
        <w:ind w:firstLine="480"/>
      </w:pPr>
      <w:r>
        <w:rPr>
          <w:rFonts w:hint="eastAsia"/>
        </w:rPr>
        <w:t>附图</w:t>
      </w:r>
      <w:r>
        <w:t xml:space="preserve">3  </w:t>
      </w:r>
      <w:r>
        <w:rPr>
          <w:rFonts w:hint="eastAsia"/>
        </w:rPr>
        <w:t>项目场顶平面布置图</w:t>
      </w:r>
    </w:p>
    <w:p>
      <w:pPr>
        <w:ind w:firstLine="480"/>
      </w:pPr>
      <w:r>
        <w:rPr>
          <w:rFonts w:hint="eastAsia"/>
        </w:rPr>
        <w:t>附图4  项目区域地质图</w:t>
      </w:r>
    </w:p>
    <w:p>
      <w:pPr>
        <w:ind w:firstLine="480"/>
      </w:pPr>
      <w:r>
        <w:rPr>
          <w:rFonts w:hint="eastAsia"/>
        </w:rPr>
        <w:t>附图5  项目区域地下水资源分布图</w:t>
      </w:r>
    </w:p>
    <w:p>
      <w:pPr>
        <w:ind w:firstLine="482"/>
        <w:rPr>
          <w:b/>
        </w:rPr>
      </w:pPr>
      <w:r>
        <w:rPr>
          <w:rFonts w:hint="eastAsia"/>
          <w:b/>
        </w:rPr>
        <w:t>附件</w:t>
      </w:r>
    </w:p>
    <w:p>
      <w:pPr>
        <w:ind w:firstLine="480"/>
        <w:rPr>
          <w:rFonts w:hint="eastAsia"/>
        </w:rPr>
      </w:pPr>
      <w:r>
        <w:t xml:space="preserve">附件1  </w:t>
      </w:r>
      <w:r>
        <w:rPr>
          <w:rFonts w:hint="eastAsia"/>
        </w:rPr>
        <w:t>云溪河下游沿岸工业历史遗留固废渣处置项目（变更）环境影响报告书技术评估会专家评估意见</w:t>
      </w:r>
    </w:p>
    <w:p>
      <w:pPr>
        <w:ind w:firstLine="480"/>
        <w:rPr>
          <w:rFonts w:hint="eastAsia"/>
          <w:lang w:val="en-US" w:eastAsia="zh-CN"/>
        </w:rPr>
      </w:pPr>
      <w:r>
        <w:t>附件2</w:t>
      </w:r>
      <w:r>
        <w:rPr>
          <w:rFonts w:hint="eastAsia"/>
          <w:lang w:val="en-US" w:eastAsia="zh-CN"/>
        </w:rPr>
        <w:t xml:space="preserve">  专家签到表</w:t>
      </w:r>
    </w:p>
    <w:p>
      <w:pPr>
        <w:ind w:firstLine="480"/>
      </w:pPr>
      <w:r>
        <w:t>附件3</w:t>
      </w:r>
      <w:r>
        <w:rPr>
          <w:rFonts w:hint="eastAsia"/>
          <w:lang w:val="en-US" w:eastAsia="zh-CN"/>
        </w:rPr>
        <w:t xml:space="preserve">  </w:t>
      </w:r>
      <w:r>
        <w:t>委托书</w:t>
      </w:r>
    </w:p>
    <w:p>
      <w:r>
        <w:t xml:space="preserve">附件4 </w:t>
      </w:r>
      <w:r>
        <w:rPr>
          <w:rFonts w:hint="eastAsia"/>
          <w:lang w:val="en-US" w:eastAsia="zh-CN"/>
        </w:rPr>
        <w:t xml:space="preserve"> </w:t>
      </w:r>
      <w:r>
        <w:t>标准函</w:t>
      </w:r>
    </w:p>
    <w:p>
      <w:pPr>
        <w:ind w:firstLine="480"/>
        <w:rPr>
          <w:u w:val="single"/>
        </w:rPr>
      </w:pPr>
      <w:r>
        <w:rPr>
          <w:u w:val="single"/>
        </w:rPr>
        <w:t>附件5</w:t>
      </w:r>
      <w:r>
        <w:rPr>
          <w:rFonts w:hint="eastAsia"/>
          <w:u w:val="single"/>
          <w:lang w:val="en-US" w:eastAsia="zh-CN"/>
        </w:rPr>
        <w:t xml:space="preserve">  </w:t>
      </w:r>
      <w:r>
        <w:rPr>
          <w:u w:val="single"/>
        </w:rPr>
        <w:t>《湘江重金属污染治理委员会办公室关于云溪河下游沿岸工业历史遗留固废渣处置项目技术方案的审查意见》湘重办函[2014]111</w:t>
      </w:r>
      <w:r>
        <w:rPr>
          <w:rFonts w:hAnsi="宋体"/>
          <w:u w:val="single"/>
        </w:rPr>
        <w:t>号</w:t>
      </w:r>
    </w:p>
    <w:p>
      <w:pPr>
        <w:ind w:firstLine="480"/>
        <w:rPr>
          <w:u w:val="single"/>
        </w:rPr>
      </w:pPr>
      <w:r>
        <w:rPr>
          <w:u w:val="single"/>
        </w:rPr>
        <w:t>附件6</w:t>
      </w:r>
      <w:r>
        <w:rPr>
          <w:rFonts w:hint="eastAsia"/>
          <w:u w:val="single"/>
          <w:lang w:val="en-US" w:eastAsia="zh-CN"/>
        </w:rPr>
        <w:t xml:space="preserve">  </w:t>
      </w:r>
      <w:r>
        <w:rPr>
          <w:u w:val="single"/>
        </w:rPr>
        <w:t>《云溪河下游沿岸工业历史遗留固废渣处理项目环境影响报告表批复》岳环重评[2014]8</w:t>
      </w:r>
      <w:r>
        <w:rPr>
          <w:rFonts w:hAnsi="宋体"/>
          <w:u w:val="single"/>
        </w:rPr>
        <w:t>号</w:t>
      </w:r>
    </w:p>
    <w:p>
      <w:pPr>
        <w:ind w:firstLine="480"/>
        <w:rPr>
          <w:u w:val="single"/>
        </w:rPr>
      </w:pPr>
      <w:r>
        <w:rPr>
          <w:rFonts w:hint="eastAsia"/>
        </w:rPr>
        <w:t>附件7</w:t>
      </w:r>
      <w:r>
        <w:rPr>
          <w:rFonts w:hint="eastAsia"/>
          <w:lang w:val="en-US" w:eastAsia="zh-CN"/>
        </w:rPr>
        <w:t xml:space="preserve">  </w:t>
      </w:r>
      <w:r>
        <w:rPr>
          <w:u w:val="single"/>
        </w:rPr>
        <w:t>《云溪河下游沿岸工业历史遗留固废渣处置项目（变更）技术方案预审意见》</w:t>
      </w:r>
    </w:p>
    <w:p>
      <w:pPr>
        <w:ind w:firstLine="480"/>
        <w:rPr>
          <w:u w:val="single"/>
        </w:rPr>
      </w:pPr>
      <w:r>
        <w:rPr>
          <w:rFonts w:hint="eastAsia"/>
        </w:rPr>
        <w:t>附件8</w:t>
      </w:r>
      <w:r>
        <w:rPr>
          <w:rFonts w:hint="eastAsia"/>
          <w:lang w:val="en-US" w:eastAsia="zh-CN"/>
        </w:rPr>
        <w:t xml:space="preserve">  </w:t>
      </w:r>
      <w:r>
        <w:rPr>
          <w:u w:val="single"/>
        </w:rPr>
        <w:t>《湘江重金属污染治理委员会办公室关于云溪河下游沿岸工业历史遗留固废渣处置项目（变更）技术方案的审查意见》湘重办函[2016]13</w:t>
      </w:r>
      <w:r>
        <w:rPr>
          <w:rFonts w:hAnsi="宋体"/>
          <w:u w:val="single"/>
        </w:rPr>
        <w:t>号</w:t>
      </w:r>
    </w:p>
    <w:p>
      <w:pPr>
        <w:ind w:firstLine="480"/>
        <w:rPr>
          <w:rFonts w:hint="eastAsia"/>
        </w:rPr>
      </w:pPr>
      <w:r>
        <w:rPr>
          <w:rFonts w:hint="eastAsia"/>
          <w:lang w:eastAsia="zh-CN"/>
        </w:rPr>
        <w:t>附件</w:t>
      </w:r>
      <w:r>
        <w:rPr>
          <w:rFonts w:hint="eastAsia"/>
          <w:lang w:val="en-US" w:eastAsia="zh-CN"/>
        </w:rPr>
        <w:t xml:space="preserve">9 </w:t>
      </w:r>
      <w:r>
        <w:rPr>
          <w:rFonts w:hint="eastAsia"/>
        </w:rPr>
        <w:t>渗滤液处理协议</w:t>
      </w:r>
    </w:p>
    <w:p>
      <w:pPr>
        <w:ind w:firstLine="480"/>
      </w:pPr>
      <w:r>
        <w:rPr>
          <w:rFonts w:hint="eastAsia"/>
          <w:lang w:eastAsia="zh-CN"/>
        </w:rPr>
        <w:t>附件</w:t>
      </w:r>
      <w:r>
        <w:rPr>
          <w:rFonts w:hint="eastAsia"/>
          <w:lang w:val="en-US" w:eastAsia="zh-CN"/>
        </w:rPr>
        <w:t>10</w:t>
      </w:r>
      <w:r>
        <w:t xml:space="preserve"> </w:t>
      </w:r>
      <w:r>
        <w:rPr>
          <w:rFonts w:hint="eastAsia"/>
        </w:rPr>
        <w:t>部分公参信息</w:t>
      </w:r>
    </w:p>
    <w:p>
      <w:pPr>
        <w:ind w:firstLine="0" w:firstLineChars="0"/>
      </w:pPr>
    </w:p>
    <w:p>
      <w:pPr>
        <w:ind w:firstLine="0" w:firstLineChars="0"/>
        <w:rPr>
          <w:rFonts w:hint="eastAsia" w:eastAsia="宋体"/>
          <w:lang w:val="en-US" w:eastAsia="zh-CN"/>
        </w:rPr>
        <w:sectPr>
          <w:headerReference r:id="rId6" w:type="first"/>
          <w:footerReference r:id="rId9" w:type="first"/>
          <w:headerReference r:id="rId4" w:type="default"/>
          <w:footerReference r:id="rId7" w:type="default"/>
          <w:headerReference r:id="rId5" w:type="even"/>
          <w:footerReference r:id="rId8" w:type="even"/>
          <w:pgSz w:w="11906" w:h="16838"/>
          <w:pgMar w:top="1440" w:right="1800" w:bottom="1440" w:left="1800" w:header="851" w:footer="992" w:gutter="0"/>
          <w:paperSrc w:first="15" w:other="15"/>
          <w:cols w:space="720" w:num="1"/>
          <w:docGrid w:type="linesAndChars" w:linePitch="312" w:charSpace="0"/>
        </w:sectPr>
      </w:pPr>
      <w:r>
        <w:rPr>
          <w:rFonts w:hint="eastAsia"/>
          <w:lang w:val="en-US" w:eastAsia="zh-CN"/>
        </w:rPr>
        <w:t xml:space="preserve">  </w:t>
      </w:r>
    </w:p>
    <w:p>
      <w:pPr>
        <w:pStyle w:val="2"/>
        <w:numPr>
          <w:ilvl w:val="0"/>
          <w:numId w:val="0"/>
        </w:numPr>
      </w:pPr>
      <w:bookmarkStart w:id="1" w:name="_Toc462818398"/>
      <w:r>
        <w:rPr>
          <w:rFonts w:hint="eastAsia"/>
        </w:rPr>
        <w:t>前言</w:t>
      </w:r>
      <w:bookmarkEnd w:id="0"/>
      <w:bookmarkEnd w:id="1"/>
    </w:p>
    <w:p>
      <w:pPr>
        <w:pStyle w:val="3"/>
        <w:numPr>
          <w:ilvl w:val="1"/>
          <w:numId w:val="0"/>
        </w:numPr>
      </w:pPr>
      <w:bookmarkStart w:id="2" w:name="_Toc328731385"/>
      <w:bookmarkStart w:id="3" w:name="_Toc301529765"/>
      <w:bookmarkStart w:id="4" w:name="_Toc357772195"/>
      <w:bookmarkStart w:id="5" w:name="_Toc397322798"/>
      <w:r>
        <w:fldChar w:fldCharType="begin"/>
      </w:r>
      <w:r>
        <w:instrText xml:space="preserve">= 1 \* ROMAN</w:instrText>
      </w:r>
      <w:r>
        <w:fldChar w:fldCharType="separate"/>
      </w:r>
      <w:bookmarkStart w:id="6" w:name="_Toc462818399"/>
      <w:r>
        <w:t>I</w:t>
      </w:r>
      <w:r>
        <w:fldChar w:fldCharType="end"/>
      </w:r>
      <w:r>
        <w:rPr>
          <w:rFonts w:hint="eastAsia"/>
        </w:rPr>
        <w:t>项目</w:t>
      </w:r>
      <w:bookmarkEnd w:id="2"/>
      <w:bookmarkEnd w:id="3"/>
      <w:bookmarkEnd w:id="4"/>
      <w:r>
        <w:rPr>
          <w:rFonts w:hint="eastAsia"/>
        </w:rPr>
        <w:t>背景</w:t>
      </w:r>
      <w:bookmarkEnd w:id="5"/>
      <w:bookmarkEnd w:id="6"/>
    </w:p>
    <w:p>
      <w:pPr>
        <w:ind w:firstLine="480"/>
        <w:rPr>
          <w:kern w:val="24"/>
        </w:rPr>
      </w:pPr>
      <w:r>
        <w:rPr>
          <w:rFonts w:hint="eastAsia"/>
          <w:kern w:val="24"/>
        </w:rPr>
        <w:t>云溪河下游沿岸工业历史遗留固体废渣集中浅埋、堆置于云溪河岸老虎嘴处、东风嘴处、抓埠市处、老水井处、胜利矶处</w:t>
      </w:r>
      <w:r>
        <w:rPr>
          <w:kern w:val="24"/>
        </w:rPr>
        <w:t>5</w:t>
      </w:r>
      <w:r>
        <w:rPr>
          <w:rFonts w:hint="eastAsia"/>
          <w:kern w:val="24"/>
        </w:rPr>
        <w:t>片区域，由于属于无序露天堆放，无污染防治措施，在长期日照、风化、雨水淋溶及微生物等作用下，其中的重金属会逐渐溶出，迁移到周围环境中。经过长期雨水冲刷，现如今其浸出液中仍然还有砷、铅等，为</w:t>
      </w:r>
      <w:r>
        <w:rPr>
          <w:kern w:val="24"/>
        </w:rPr>
        <w:fldChar w:fldCharType="begin"/>
      </w:r>
      <w:r>
        <w:rPr>
          <w:kern w:val="24"/>
        </w:rPr>
        <w:instrText xml:space="preserve"> = 2 \* ROMAN \* MERGEFORMAT </w:instrText>
      </w:r>
      <w:r>
        <w:rPr>
          <w:kern w:val="24"/>
        </w:rPr>
        <w:fldChar w:fldCharType="separate"/>
      </w:r>
      <w:r>
        <w:t>II</w:t>
      </w:r>
      <w:r>
        <w:rPr>
          <w:kern w:val="24"/>
        </w:rPr>
        <w:fldChar w:fldCharType="end"/>
      </w:r>
      <w:r>
        <w:rPr>
          <w:rFonts w:hint="eastAsia"/>
          <w:kern w:val="24"/>
        </w:rPr>
        <w:t>类一般工业废渣，这些废渣长期露天堆放产生的渗滤液严重污染云溪河下游沿岸流域生态环境，危害当地居民耕种环境和农产品安全，亟需采取措施进行有效处置。</w:t>
      </w:r>
    </w:p>
    <w:p>
      <w:pPr>
        <w:ind w:firstLine="480"/>
        <w:rPr>
          <w:szCs w:val="24"/>
          <w:u w:val="single"/>
        </w:rPr>
      </w:pPr>
      <w:r>
        <w:rPr>
          <w:szCs w:val="24"/>
          <w:u w:val="single"/>
        </w:rPr>
        <w:t>根据《湘江重金属污染治理委员会办公室关于云溪河下游沿岸工业历史遗留固废渣处置项目技术方案的审查意见》湘重办函[2014]111</w:t>
      </w:r>
      <w:r>
        <w:rPr>
          <w:rFonts w:hAnsi="宋体"/>
          <w:szCs w:val="24"/>
          <w:u w:val="single"/>
        </w:rPr>
        <w:t>号、</w:t>
      </w:r>
      <w:r>
        <w:rPr>
          <w:szCs w:val="24"/>
          <w:u w:val="single"/>
        </w:rPr>
        <w:t>《云溪河下游沿岸工业历史遗留固废渣处置项目（变更）技术方案预审意见》、《湘江重金属污染治理委员会办公室关于云溪河下游沿岸工业历史遗留固废渣处置项目（变更）技术方案的审查意见》湘重办函[2016]13</w:t>
      </w:r>
      <w:r>
        <w:rPr>
          <w:rFonts w:hAnsi="宋体"/>
          <w:szCs w:val="24"/>
          <w:u w:val="single"/>
        </w:rPr>
        <w:t>号等文件，</w:t>
      </w:r>
      <w:r>
        <w:rPr>
          <w:rFonts w:hint="eastAsia" w:hAnsi="宋体"/>
          <w:szCs w:val="24"/>
          <w:u w:val="single"/>
        </w:rPr>
        <w:t>原</w:t>
      </w:r>
      <w:r>
        <w:rPr>
          <w:szCs w:val="24"/>
          <w:u w:val="single"/>
        </w:rPr>
        <w:t>云溪河下游沿岸工业历史遗留固废渣处置项目</w:t>
      </w:r>
      <w:r>
        <w:rPr>
          <w:rFonts w:hint="eastAsia"/>
          <w:szCs w:val="24"/>
          <w:u w:val="single"/>
        </w:rPr>
        <w:t>技术方案主要内容为将云溪河沿岸5处工业废渣（共10.63万m</w:t>
      </w:r>
      <w:r>
        <w:rPr>
          <w:rFonts w:hint="eastAsia"/>
          <w:szCs w:val="24"/>
          <w:u w:val="single"/>
          <w:vertAlign w:val="superscript"/>
        </w:rPr>
        <w:t>3</w:t>
      </w:r>
      <w:r>
        <w:rPr>
          <w:rFonts w:hint="eastAsia"/>
          <w:szCs w:val="24"/>
          <w:u w:val="single"/>
        </w:rPr>
        <w:t>）进行清理，并清运至岳阳石化填埋场填埋处置，且已做环评，但因岳化填埋场多余库容有限等原因，废渣运送至岳阳石化填埋场填埋处置方案无法实施，因此对原技术方案进行变更，变更后主要内容为：</w:t>
      </w:r>
      <w:r>
        <w:rPr>
          <w:rFonts w:hint="eastAsia"/>
          <w:kern w:val="24"/>
          <w:u w:val="single"/>
        </w:rPr>
        <w:t>将在</w:t>
      </w:r>
      <w:r>
        <w:rPr>
          <w:rFonts w:hint="eastAsia"/>
          <w:u w:val="single"/>
        </w:rPr>
        <w:t>云溪区路口镇排楼村采石场利用废弃采石坑建设一座一般</w:t>
      </w:r>
      <w:r>
        <w:rPr>
          <w:rFonts w:hint="eastAsia" w:ascii="宋体" w:hAnsi="宋体" w:cs="宋体"/>
          <w:u w:val="single"/>
        </w:rPr>
        <w:t>Ⅱ</w:t>
      </w:r>
      <w:r>
        <w:rPr>
          <w:rFonts w:hint="eastAsia"/>
          <w:u w:val="single"/>
        </w:rPr>
        <w:t>类固废填埋场，并将</w:t>
      </w:r>
      <w:r>
        <w:rPr>
          <w:rFonts w:hint="eastAsia"/>
          <w:kern w:val="24"/>
          <w:u w:val="single"/>
        </w:rPr>
        <w:t>云溪河沿岸现堆存有老虎嘴、东风嘴、抓埠市、老水井、胜利矶</w:t>
      </w:r>
      <w:r>
        <w:rPr>
          <w:kern w:val="24"/>
          <w:u w:val="single"/>
        </w:rPr>
        <w:t>5</w:t>
      </w:r>
      <w:r>
        <w:rPr>
          <w:rFonts w:hint="eastAsia"/>
          <w:kern w:val="24"/>
          <w:u w:val="single"/>
        </w:rPr>
        <w:t>片区域</w:t>
      </w:r>
      <w:r>
        <w:rPr>
          <w:rFonts w:hint="eastAsia"/>
          <w:u w:val="single"/>
        </w:rPr>
        <w:t>共</w:t>
      </w:r>
      <w:r>
        <w:rPr>
          <w:u w:val="single"/>
        </w:rPr>
        <w:t>10.</w:t>
      </w:r>
      <w:r>
        <w:rPr>
          <w:rFonts w:hint="eastAsia"/>
          <w:u w:val="single"/>
        </w:rPr>
        <w:t>63万</w:t>
      </w:r>
      <w:r>
        <w:rPr>
          <w:u w:val="single"/>
        </w:rPr>
        <w:t>m</w:t>
      </w:r>
      <w:r>
        <w:rPr>
          <w:u w:val="single"/>
          <w:vertAlign w:val="superscript"/>
        </w:rPr>
        <w:t>3</w:t>
      </w:r>
      <w:r>
        <w:rPr>
          <w:rFonts w:hint="eastAsia"/>
          <w:u w:val="single"/>
        </w:rPr>
        <w:t>废渣运至该填埋场安全填埋处置</w:t>
      </w:r>
      <w:r>
        <w:rPr>
          <w:rFonts w:hint="eastAsia"/>
          <w:kern w:val="24"/>
          <w:u w:val="single"/>
        </w:rPr>
        <w:t>。根据</w:t>
      </w:r>
      <w:r>
        <w:rPr>
          <w:szCs w:val="24"/>
          <w:u w:val="single"/>
        </w:rPr>
        <w:t>《云溪河下游沿岸工业历史遗留固废渣处理项目环境影响报告表批复》岳环重评[2014]8</w:t>
      </w:r>
      <w:r>
        <w:rPr>
          <w:rFonts w:hAnsi="宋体"/>
          <w:szCs w:val="24"/>
          <w:u w:val="single"/>
        </w:rPr>
        <w:t>号</w:t>
      </w:r>
      <w:r>
        <w:rPr>
          <w:rFonts w:hint="eastAsia" w:hAnsi="宋体"/>
          <w:szCs w:val="24"/>
          <w:u w:val="single"/>
        </w:rPr>
        <w:t>文件，</w:t>
      </w:r>
      <w:r>
        <w:rPr>
          <w:rFonts w:hint="eastAsia"/>
          <w:kern w:val="24"/>
          <w:u w:val="single"/>
        </w:rPr>
        <w:t>本项目将对《</w:t>
      </w:r>
      <w:r>
        <w:rPr>
          <w:szCs w:val="24"/>
          <w:u w:val="single"/>
        </w:rPr>
        <w:t>云溪河下游沿岸工业历史遗留固废渣处置项目（变更）技术方案</w:t>
      </w:r>
      <w:r>
        <w:rPr>
          <w:rFonts w:hint="eastAsia"/>
          <w:szCs w:val="24"/>
          <w:u w:val="single"/>
        </w:rPr>
        <w:t>》中建设内容进行评价。</w:t>
      </w:r>
    </w:p>
    <w:p>
      <w:pPr>
        <w:ind w:firstLine="480"/>
        <w:rPr>
          <w:kern w:val="24"/>
        </w:rPr>
      </w:pPr>
      <w:r>
        <w:rPr>
          <w:rFonts w:hint="eastAsia"/>
        </w:rPr>
        <w:t>根据《中华人民共和国环境保护法》、《中华人民共和国环境影响评价法》、《建设项目环境保护管理条例》等国家关于实行建设项目环境影响评价制度相关环保政策和法规的要求，项目需要编制环境影响报</w:t>
      </w:r>
      <w:bookmarkStart w:id="7" w:name="项目名称"/>
      <w:bookmarkEnd w:id="7"/>
      <w:r>
        <w:rPr>
          <w:rFonts w:hint="eastAsia"/>
        </w:rPr>
        <w:t>告书。因此，</w:t>
      </w:r>
      <w:r>
        <w:t>2016</w:t>
      </w:r>
      <w:r>
        <w:rPr>
          <w:rFonts w:hint="eastAsia"/>
        </w:rPr>
        <w:t>年</w:t>
      </w:r>
      <w:r>
        <w:t>8</w:t>
      </w:r>
      <w:r>
        <w:rPr>
          <w:rFonts w:hint="eastAsia"/>
        </w:rPr>
        <w:t>月岳阳市云溪区城市建设投资有限责任公司</w:t>
      </w:r>
      <w:r>
        <w:rPr>
          <w:rFonts w:hint="eastAsia"/>
          <w:kern w:val="24"/>
        </w:rPr>
        <w:t>（建设单位）委托中环华城（厦门）环保科技有限公司（评价单位）进行环境影响评价报告书的编制工作</w:t>
      </w:r>
      <w:r>
        <w:rPr>
          <w:rFonts w:hint="eastAsia"/>
        </w:rPr>
        <w:t>（委托书见附件</w:t>
      </w:r>
      <w:r>
        <w:t>1</w:t>
      </w:r>
      <w:r>
        <w:rPr>
          <w:rFonts w:hint="eastAsia"/>
        </w:rPr>
        <w:t>）。评价单位接受委托后，立即组织项目参评人员到项目建设地点进行现场踏勘，详细了解工程内容，收集有关信息资料，对项目周边居民进行公众参与调查，对岳阳市云溪区的自然与社会、生态环境等进行调查，委托监测；在此基础上，根据项目的实际，结合区域开发项目的特点，按照国家相关环保法律、法规、污染防治技术政策的有关规范及环境影响评价技术导则及公众参与调查意见，</w:t>
      </w:r>
      <w:r>
        <w:rPr>
          <w:rFonts w:hint="eastAsia"/>
          <w:kern w:val="24"/>
        </w:rPr>
        <w:t>评价单位按照国家环保法律法规和环境影响评价技术导则的要求，编制完成本项目的环境影响报告书。</w:t>
      </w:r>
    </w:p>
    <w:p>
      <w:pPr>
        <w:pStyle w:val="3"/>
        <w:numPr>
          <w:ilvl w:val="1"/>
          <w:numId w:val="0"/>
        </w:numPr>
      </w:pPr>
      <w:bookmarkStart w:id="8" w:name="_Toc397322799"/>
      <w:r>
        <w:fldChar w:fldCharType="begin"/>
      </w:r>
      <w:r>
        <w:instrText xml:space="preserve">= 2 \* ROMAN</w:instrText>
      </w:r>
      <w:r>
        <w:fldChar w:fldCharType="separate"/>
      </w:r>
      <w:bookmarkStart w:id="9" w:name="_Toc462818400"/>
      <w:r>
        <w:t>II</w:t>
      </w:r>
      <w:r>
        <w:fldChar w:fldCharType="end"/>
      </w:r>
      <w:r>
        <w:rPr>
          <w:rFonts w:hint="eastAsia"/>
        </w:rPr>
        <w:t>评价工作内容和</w:t>
      </w:r>
      <w:bookmarkStart w:id="10" w:name="_Toc401055643"/>
      <w:bookmarkStart w:id="11" w:name="_Toc15625"/>
      <w:bookmarkStart w:id="12" w:name="_Toc322965116"/>
      <w:bookmarkStart w:id="13" w:name="_Toc12079"/>
      <w:bookmarkStart w:id="14" w:name="_Toc26603"/>
      <w:bookmarkStart w:id="15" w:name="_Toc280695413"/>
      <w:bookmarkStart w:id="16" w:name="_Toc280694352"/>
      <w:bookmarkEnd w:id="8"/>
      <w:r>
        <w:rPr>
          <w:rFonts w:hint="eastAsia"/>
        </w:rPr>
        <w:t>工作</w:t>
      </w:r>
      <w:bookmarkEnd w:id="10"/>
      <w:bookmarkEnd w:id="11"/>
      <w:bookmarkEnd w:id="12"/>
      <w:bookmarkEnd w:id="13"/>
      <w:bookmarkEnd w:id="14"/>
      <w:r>
        <w:rPr>
          <w:rFonts w:hint="eastAsia"/>
        </w:rPr>
        <w:t>程序</w:t>
      </w:r>
      <w:bookmarkEnd w:id="9"/>
    </w:p>
    <w:p>
      <w:pPr>
        <w:ind w:firstLine="480"/>
        <w:rPr>
          <w:kern w:val="24"/>
        </w:rPr>
      </w:pPr>
      <w:r>
        <w:rPr>
          <w:rFonts w:hint="eastAsia"/>
          <w:kern w:val="24"/>
        </w:rPr>
        <w:t>（</w:t>
      </w:r>
      <w:r>
        <w:rPr>
          <w:kern w:val="24"/>
        </w:rPr>
        <w:t>1</w:t>
      </w:r>
      <w:r>
        <w:rPr>
          <w:rFonts w:hint="eastAsia"/>
          <w:kern w:val="24"/>
        </w:rPr>
        <w:t>）评价工作内容</w:t>
      </w:r>
    </w:p>
    <w:p>
      <w:pPr>
        <w:ind w:firstLine="480"/>
        <w:rPr>
          <w:kern w:val="24"/>
        </w:rPr>
      </w:pPr>
      <w:r>
        <w:rPr>
          <w:rFonts w:hint="eastAsia"/>
          <w:kern w:val="24"/>
        </w:rPr>
        <w:t>本评价以工程分析、清洁生产分析、大气环境影响评价、环境风险分析、环保措施可行性分析为重点评价内容，同时还分析评价以下几个方面：水环境影响评价、声环境影响评价、固体废物影响分析、生态环境影响分析、环境经济损益分析、总量控制分析、环境管理与监测制度等。</w:t>
      </w:r>
    </w:p>
    <w:p>
      <w:pPr>
        <w:ind w:firstLine="480"/>
        <w:rPr>
          <w:kern w:val="24"/>
        </w:rPr>
      </w:pPr>
      <w:r>
        <w:rPr>
          <w:rFonts w:hint="eastAsia"/>
          <w:kern w:val="24"/>
        </w:rPr>
        <w:t>（</w:t>
      </w:r>
      <w:r>
        <w:rPr>
          <w:kern w:val="24"/>
        </w:rPr>
        <w:t>2</w:t>
      </w:r>
      <w:r>
        <w:rPr>
          <w:rFonts w:hint="eastAsia"/>
          <w:kern w:val="24"/>
        </w:rPr>
        <w:t>）评价工作程序</w:t>
      </w:r>
    </w:p>
    <w:p>
      <w:pPr>
        <w:ind w:firstLine="480"/>
        <w:rPr>
          <w:kern w:val="24"/>
        </w:rPr>
      </w:pPr>
      <w:r>
        <w:rPr>
          <w:rFonts w:hint="eastAsia"/>
          <w:kern w:val="24"/>
        </w:rPr>
        <w:t>本项目评价工作程序见图</w:t>
      </w:r>
      <w:r>
        <w:rPr>
          <w:kern w:val="24"/>
        </w:rPr>
        <w:fldChar w:fldCharType="begin"/>
      </w:r>
      <w:r>
        <w:rPr>
          <w:kern w:val="24"/>
        </w:rPr>
        <w:instrText xml:space="preserve">= 1 \* ROMAN</w:instrText>
      </w:r>
      <w:r>
        <w:rPr>
          <w:kern w:val="24"/>
        </w:rPr>
        <w:fldChar w:fldCharType="separate"/>
      </w:r>
      <w:r>
        <w:rPr>
          <w:kern w:val="24"/>
        </w:rPr>
        <w:t>I</w:t>
      </w:r>
      <w:r>
        <w:rPr>
          <w:kern w:val="24"/>
        </w:rPr>
        <w:fldChar w:fldCharType="end"/>
      </w:r>
      <w:r>
        <w:rPr>
          <w:rFonts w:hint="eastAsia"/>
          <w:kern w:val="24"/>
        </w:rPr>
        <w:t>。</w:t>
      </w:r>
    </w:p>
    <w:p>
      <w:pPr>
        <w:pStyle w:val="14"/>
      </w:pPr>
      <w:r>
        <w:rPr>
          <w:rFonts w:ascii="Times New Roman" w:hAnsi="Times New Roman" w:eastAsia="宋体" w:cs="Times New Roman"/>
          <w:b/>
          <w:kern w:val="2"/>
          <w:sz w:val="21"/>
          <w:szCs w:val="20"/>
          <w:lang w:val="en-US" w:eastAsia="zh-CN" w:bidi="ar-SA"/>
        </w:rPr>
        <w:pict>
          <v:group id="Group 194" o:spid="_x0000_s1026" style="position:absolute;left:0;margin-left:-26.15pt;margin-top:-28.35pt;height:709.15pt;width:457.8pt;mso-wrap-distance-bottom:0pt;mso-wrap-distance-left:9pt;mso-wrap-distance-right:9pt;mso-wrap-distance-top:0pt;rotation:0f;z-index:251674624;" coordorigin="0,0" coordsize="8280,12792">
            <o:lock v:ext="edit" position="f" selection="f" grouping="f" rotation="f" cropping="f" text="f"/>
            <v:shape id="Picture 195" o:spid="_x0000_s1027" type="#_x0000_t75" style="position:absolute;left:0;top:0;height:12792;width:8280;rotation:0f;" o:ole="f" fillcolor="#FFFFFF" filled="f" o:preferrelative="f" stroked="f" coordorigin="0,0" coordsize="21600,21600">
              <v:fill on="f" color2="#FFFFFF" focus="0%"/>
              <v:imagedata gain="65536f" blacklevel="0f" gamma="0"/>
              <o:lock v:ext="edit" position="f" selection="f" grouping="f" rotation="f" cropping="f" text="f" aspectratio="t"/>
            </v:shape>
            <v:rect id="Rectangle 196" o:spid="_x0000_s1028" style="position:absolute;left:2925;top:468;height:468;width:216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环境影响评价委托</w:t>
                    </w:r>
                  </w:p>
                </w:txbxContent>
              </v:textbox>
            </v:rect>
            <v:rect id="Rectangle 197" o:spid="_x0000_s1029" style="position:absolute;left:2025;top:2823;height:1092;width:396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t>1.</w:t>
                    </w:r>
                    <w:r>
                      <w:rPr>
                        <w:rFonts w:hint="eastAsia"/>
                      </w:rPr>
                      <w:t>研究相关技术文件和其他有关文件</w:t>
                    </w:r>
                  </w:p>
                  <w:p>
                    <w:pPr>
                      <w:pStyle w:val="37"/>
                    </w:pPr>
                    <w:r>
                      <w:t>2.</w:t>
                    </w:r>
                    <w:r>
                      <w:rPr>
                        <w:rFonts w:hint="eastAsia"/>
                      </w:rPr>
                      <w:t>进行初步工程分析开展初步的环境状况调查</w:t>
                    </w:r>
                  </w:p>
                </w:txbxContent>
              </v:textbox>
            </v:rect>
            <v:rect id="Rectangle 198" o:spid="_x0000_s1030" style="position:absolute;left:2205;top:4278;height:513;width:360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环境影响因素识别与评价因子筛选</w:t>
                    </w:r>
                  </w:p>
                </w:txbxContent>
              </v:textbox>
            </v:rect>
            <v:rect id="Rectangle 199" o:spid="_x0000_s1031" style="position:absolute;left:3105;top:6633;height:468;width:180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制定工作方案</w:t>
                    </w:r>
                  </w:p>
                </w:txbxContent>
              </v:textbox>
            </v:rect>
            <v:line id="Line 200" o:spid="_x0000_s1032" style="position:absolute;left:4005;top:936;height:312;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01" o:spid="_x0000_s1033" style="position:absolute;left:4005;top:4836;height:624;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rect id="Rectangle 202" o:spid="_x0000_s1034" style="position:absolute;left:4920;top:7829;height:750;width:144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建设项目工程分析</w:t>
                    </w:r>
                  </w:p>
                </w:txbxContent>
              </v:textbox>
            </v:rect>
            <v:rect id="Rectangle 203" o:spid="_x0000_s1035" style="position:absolute;left:2370;top:9516;height:780;width:342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各环境要素环境影响预测与评价</w:t>
                    </w:r>
                  </w:p>
                  <w:p>
                    <w:pPr>
                      <w:ind w:firstLine="480"/>
                    </w:pPr>
                    <w:r>
                      <w:rPr>
                        <w:rFonts w:hint="eastAsia"/>
                      </w:rPr>
                      <w:t>各专题环境影响分析与评价</w:t>
                    </w:r>
                  </w:p>
                </w:txbxContent>
              </v:textbox>
            </v:rect>
            <v:rect id="Rectangle 204" o:spid="_x0000_s1036" style="position:absolute;left:1680;top:10608;height:780;width:486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t>1.</w:t>
                    </w:r>
                    <w:r>
                      <w:rPr>
                        <w:rFonts w:hint="eastAsia"/>
                      </w:rPr>
                      <w:t>提出环境保护措施，进行技术经济论证</w:t>
                    </w:r>
                  </w:p>
                  <w:p>
                    <w:pPr>
                      <w:pStyle w:val="37"/>
                    </w:pPr>
                    <w:r>
                      <w:t>2.</w:t>
                    </w:r>
                    <w:r>
                      <w:rPr>
                        <w:rFonts w:hint="eastAsia"/>
                      </w:rPr>
                      <w:t>给出建设项目环境可行性的评价结论</w:t>
                    </w:r>
                  </w:p>
                  <w:p>
                    <w:pPr>
                      <w:ind w:firstLine="480"/>
                    </w:pPr>
                  </w:p>
                </w:txbxContent>
              </v:textbox>
            </v:rect>
            <v:rect id="Rectangle 205" o:spid="_x0000_s1037" style="position:absolute;left:7185;top:5460;height:1404;width:540;rotation:0f;" o:ole="f" fillcolor="#FFFFFF" filled="t" o:preferrelative="t" stroked="t" coordsize="21600,21600">
              <v:stroke color="#000000" color2="#FFFFFF" miterlimit="2"/>
              <v:imagedata gain="65536f" blacklevel="0f" gamma="0"/>
              <o:lock v:ext="edit" position="f" selection="f" grouping="f" rotation="f" cropping="f" text="f" aspectratio="f"/>
              <v:textbox style="layout-flow:vertical-ideographic;">
                <w:txbxContent>
                  <w:p>
                    <w:pPr>
                      <w:pStyle w:val="37"/>
                    </w:pPr>
                    <w:r>
                      <w:rPr>
                        <w:rFonts w:hint="eastAsia"/>
                      </w:rPr>
                      <w:t>公众参与</w:t>
                    </w:r>
                  </w:p>
                </w:txbxContent>
              </v:textbox>
            </v:rect>
            <v:rect id="Rectangle 206" o:spid="_x0000_s1038" style="position:absolute;left:1245;top:5625;height:1707;width:555;rotation:0f;" o:ole="f" fillcolor="#FFFFFF" filled="t" o:preferrelative="t" stroked="f" coordsize="21600,21600">
              <v:fill opacity="0%" focus="0%"/>
              <v:imagedata gain="65536f" blacklevel="0f" gamma="0"/>
              <o:lock v:ext="edit" position="f" selection="f" grouping="f" rotation="f" cropping="f" text="f" aspectratio="f"/>
              <v:textbox>
                <w:txbxContent>
                  <w:p>
                    <w:pPr>
                      <w:pStyle w:val="37"/>
                    </w:pPr>
                    <w:r>
                      <w:rPr>
                        <w:rFonts w:hint="eastAsia"/>
                      </w:rPr>
                      <w:t>有重大变化</w:t>
                    </w:r>
                  </w:p>
                </w:txbxContent>
              </v:textbox>
            </v:rect>
            <v:line id="Line 207" o:spid="_x0000_s1039" style="position:absolute;left:1124;top:4494;flip:y;height:4762;width:1;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Line 208" o:spid="_x0000_s1040" style="position:absolute;left:1140;top:4487;height:1;width:1020;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09" o:spid="_x0000_s1041" style="position:absolute;left:7425;top:1038;flip:y;height:4422;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10" o:spid="_x0000_s1042" style="position:absolute;left:4110;top:10296;height:312;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rect id="Rectangle 211" o:spid="_x0000_s1043" style="position:absolute;left:1665;top:1248;height:1248;width:468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研究国家和地方有关环境保护的法律法规、政策、标准及相关规划等依据相关规定确定环境影响评价文件类型</w:t>
                    </w:r>
                  </w:p>
                </w:txbxContent>
              </v:textbox>
            </v:rect>
            <v:line id="Line 212" o:spid="_x0000_s1044" style="position:absolute;left:4005;top:2496;height:312;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rect id="Rectangle 213" o:spid="_x0000_s1045" style="position:absolute;left:2100;top:5460;height:780;width:3795;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t>1.</w:t>
                    </w:r>
                    <w:r>
                      <w:rPr>
                        <w:rFonts w:hint="eastAsia"/>
                      </w:rPr>
                      <w:t>明确评价重点和环境保护目标</w:t>
                    </w:r>
                  </w:p>
                  <w:p>
                    <w:pPr>
                      <w:pStyle w:val="37"/>
                    </w:pPr>
                    <w:r>
                      <w:t>2.</w:t>
                    </w:r>
                    <w:r>
                      <w:rPr>
                        <w:rFonts w:hint="eastAsia"/>
                      </w:rPr>
                      <w:t>确定工作等级和评价范围和评价标准</w:t>
                    </w:r>
                  </w:p>
                </w:txbxContent>
              </v:textbox>
            </v:rect>
            <v:line id="Line 214" o:spid="_x0000_s1046" style="position:absolute;left:4005;top:3915;height:357;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15" o:spid="_x0000_s1047" style="position:absolute;left:4005;top:6246;height:357;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group id="Group 216" o:spid="_x0000_s1048" style="position:absolute;left:2400;top:7115;height:670;width:3240;rotation:0f;" coordorigin="0,0" coordsize="3961,670">
              <o:lock v:ext="edit" position="f" selection="f" grouping="f" rotation="f" cropping="f" text="f" aspectratio="f"/>
              <v:line id="Line 217" o:spid="_x0000_s1049" style="position:absolute;left:1980;top:0;height:312;width:1;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Line 218" o:spid="_x0000_s1050" style="position:absolute;left:0;top:312;height:0;width:3960;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Line 219" o:spid="_x0000_s1051" style="position:absolute;left:3960;top:313;height:357;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20" o:spid="_x0000_s1052" style="position:absolute;left:0;top:298;height:357;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group>
            <v:rect id="Rectangle 221" o:spid="_x0000_s1053" style="position:absolute;left:1485;top:7814;height:750;width:2295;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评价范围内的环境状况调查、监测与评价</w:t>
                    </w:r>
                  </w:p>
                </w:txbxContent>
              </v:textbox>
            </v:rect>
            <v:line id="Line 222" o:spid="_x0000_s1054" style="position:absolute;left:2400;top:9047;height:1;width:3240;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Line 223" o:spid="_x0000_s1055" style="position:absolute;left:4080;top:9048;height:468;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line id="Line 224" o:spid="_x0000_s1056" style="position:absolute;left:1110;top:9234;flip:x;height:1;width:2948;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83" o:spid="_x0000_s1057" style="position:absolute;left:4125;top:11388;height:312;width:1;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rect id="矩形 84" o:spid="_x0000_s1058" style="position:absolute;left:2865;top:11700;height:468;width:2520;rotation:0f;"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pStyle w:val="37"/>
                    </w:pPr>
                    <w:r>
                      <w:rPr>
                        <w:rFonts w:hint="eastAsia"/>
                      </w:rPr>
                      <w:t>编制环境影响评价文件</w:t>
                    </w:r>
                  </w:p>
                </w:txbxContent>
              </v:textbox>
            </v:rect>
            <v:line id="直线 85" o:spid="_x0000_s1059" style="position:absolute;left:5445;top:11543;height:1;width:2340;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86" o:spid="_x0000_s1060" style="position:absolute;left:5085;top:1046;flip:y;height:1;width:2700;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87" o:spid="_x0000_s1061" style="position:absolute;left:7425;top:6909;flip:y;height:4649;width:1;rotation:0f;" o:ole="f" fillcolor="#FFFFFF" filled="f" o:preferrelative="t" stroked="t" coordsize="21600,21600">
              <v:fill on="f" color2="#FFFFFF" focus="0%"/>
              <v:stroke color="#000000" color2="#FFFFFF" miterlimit="2" startarrow="block"/>
              <v:imagedata gain="65536f" blacklevel="0f" gamma="0"/>
              <o:lock v:ext="edit" position="f" selection="f" grouping="f" rotation="f" cropping="f" text="f" aspectratio="f"/>
            </v:line>
            <v:group id="组合 88" o:spid="_x0000_s1062" style="position:absolute;left:4905;top:6240;height:624;width:540;rotation:0f;" coordorigin="0,0" coordsize="540,624">
              <o:lock v:ext="edit" position="f" selection="f" grouping="f" rotation="f" cropping="f" text="f" aspectratio="f"/>
              <v:line id="直线 89" o:spid="_x0000_s1063" style="position:absolute;left:0;top:624;height:0;width:540;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90" o:spid="_x0000_s1064" style="position:absolute;left:540;top:0;flip:y;height:624;width:0;rotation:0f;" o:ole="f" fillcolor="#FFFFFF" filled="f" o:preferrelative="t" stroked="t" coordsize="21600,21600">
                <v:fill on="f" color2="#FFFFFF" focus="0%"/>
                <v:stroke color="#000000" color2="#FFFFFF" miterlimit="2" endarrow="block"/>
                <v:imagedata gain="65536f" blacklevel="0f" gamma="0"/>
                <o:lock v:ext="edit" position="f" selection="f" grouping="f" rotation="f" cropping="f" text="f" aspectratio="f"/>
              </v:line>
            </v:group>
            <v:line id="直线 91" o:spid="_x0000_s1065" style="position:absolute;left:2400;top:8580;height:468;width:1;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92" o:spid="_x0000_s1066" style="position:absolute;left:5655;top:8580;height:468;width:1;rotation:0f;" o:ole="f" fillcolor="#FFFFFF" filled="f" o:preferrelative="t" stroked="t" coordsize="21600,21600">
              <v:fill on="f" color2="#FFFFFF" focus="0%"/>
              <v:stroke color="#000000" color2="#FFFFFF" miterlimit="2"/>
              <v:imagedata gain="65536f" blacklevel="0f" gamma="0"/>
              <o:lock v:ext="edit" position="f" selection="f" grouping="f" rotation="f" cropping="f" text="f" aspectratio="f"/>
            </v:line>
            <v:line id="直线 93" o:spid="_x0000_s1067" style="position:absolute;left:180;top:12480;height:0;width:7920;rotation:0f;" o:ole="f" fillcolor="#FFFFFF" filled="f" o:preferrelative="t" stroked="t" coordsize="21600,21600">
              <v:fill on="f" color2="#FFFFFF" focus="0%"/>
              <v:stroke color="#000000" color2="#FFFFFF" miterlimit="2" dashstyle="dash"/>
              <v:imagedata gain="65536f" blacklevel="0f" gamma="0"/>
              <o:lock v:ext="edit" position="f" selection="f" grouping="f" rotation="f" cropping="f" text="f" aspectratio="f"/>
            </v:line>
            <v:line id="直线 94" o:spid="_x0000_s1068" style="position:absolute;left:180;top:156;flip:y;height:12324;width:0;rotation:0f;" o:ole="f" fillcolor="#FFFFFF" filled="f" o:preferrelative="t" stroked="t" coordsize="21600,21600">
              <v:fill on="f" color2="#FFFFFF" focus="0%"/>
              <v:stroke color="#000000" color2="#FFFFFF" miterlimit="2" dashstyle="dash"/>
              <v:imagedata gain="65536f" blacklevel="0f" gamma="0"/>
              <o:lock v:ext="edit" position="f" selection="f" grouping="f" rotation="f" cropping="f" text="f" aspectratio="f"/>
            </v:line>
            <v:line id="直线 95" o:spid="_x0000_s1069" style="position:absolute;left:180;top:156;height:0;width:7920;rotation:0f;" o:ole="f" fillcolor="#FFFFFF" filled="f" o:preferrelative="t" stroked="t" coordsize="21600,21600">
              <v:fill on="f" color2="#FFFFFF" focus="0%"/>
              <v:stroke color="#000000" color2="#FFFFFF" miterlimit="2" dashstyle="dash"/>
              <v:imagedata gain="65536f" blacklevel="0f" gamma="0"/>
              <o:lock v:ext="edit" position="f" selection="f" grouping="f" rotation="f" cropping="f" text="f" aspectratio="f"/>
            </v:line>
            <v:line id="直线 96" o:spid="_x0000_s1070" style="position:absolute;left:8100;top:156;height:12324;width:0;rotation:0f;" o:ole="f" fillcolor="#FFFFFF" filled="f" o:preferrelative="t" stroked="t" coordsize="21600,21600">
              <v:fill on="f" color2="#FFFFFF" focus="0%"/>
              <v:stroke color="#000000" color2="#FFFFFF" miterlimit="2" dashstyle="longDash"/>
              <v:imagedata gain="65536f" blacklevel="0f" gamma="0"/>
              <o:lock v:ext="edit" position="f" selection="f" grouping="f" rotation="f" cropping="f" text="f" aspectratio="f"/>
            </v:line>
            <v:line id="直线 97" o:spid="_x0000_s1071" style="position:absolute;left:167;top:7264;height:1;width:7920;rotation:0f;" o:ole="f" fillcolor="#FFFFFF" filled="f" o:preferrelative="t" stroked="t" coordsize="21600,21600">
              <v:fill on="f" color2="#FFFFFF" focus="0%"/>
              <v:stroke color="#000000" color2="#FFFFFF" miterlimit="2" dashstyle="dash"/>
              <v:imagedata gain="65536f" blacklevel="0f" gamma="0"/>
              <o:lock v:ext="edit" position="f" selection="f" grouping="f" rotation="f" cropping="f" text="f" aspectratio="f"/>
            </v:line>
            <v:line id="直线 98" o:spid="_x0000_s1072" style="position:absolute;left:180;top:10452;height:0;width:7920;rotation:0f;" o:ole="f" fillcolor="#FFFFFF" filled="f" o:preferrelative="t" stroked="t" coordsize="21600,21600">
              <v:fill on="f" color2="#FFFFFF" focus="0%"/>
              <v:stroke color="#000000" color2="#FFFFFF" miterlimit="2" dashstyle="dash"/>
              <v:imagedata gain="65536f" blacklevel="0f" gamma="0"/>
              <o:lock v:ext="edit" position="f" selection="f" grouping="f" rotation="f" cropping="f" text="f" aspectratio="f"/>
            </v:line>
            <v:shape id="文本框 99" o:spid="_x0000_s1073" type="#_x0000_t202" style="position:absolute;left:210;top:10764;height:1404;width:540;rotation:0f;" o:ole="f" fillcolor="#FFFFFF" filled="t" o:preferrelative="t" stroked="f" coordorigin="0,0" coordsize="21600,21600">
              <v:fill opacity="0%" focus="0%"/>
              <v:imagedata gain="65536f" blacklevel="0f" gamma="0"/>
              <o:lock v:ext="edit" position="f" selection="f" grouping="f" rotation="f" cropping="f" text="f" aspectratio="f"/>
              <v:textbox>
                <w:txbxContent>
                  <w:p>
                    <w:pPr>
                      <w:pStyle w:val="37"/>
                    </w:pPr>
                    <w:r>
                      <w:rPr>
                        <w:rFonts w:hint="eastAsia"/>
                      </w:rPr>
                      <w:t>第三阶段</w:t>
                    </w:r>
                  </w:p>
                </w:txbxContent>
              </v:textbox>
            </v:shape>
            <v:shape id="文本框 100" o:spid="_x0000_s1074" type="#_x0000_t202" style="position:absolute;left:180;top:2184;height:1404;width:540;rotation:0f;" o:ole="f" fillcolor="#FFFFFF" filled="t" o:preferrelative="t" stroked="f" coordorigin="0,0" coordsize="21600,21600">
              <v:fill opacity="0%" focus="0%"/>
              <v:imagedata gain="65536f" blacklevel="0f" gamma="0"/>
              <o:lock v:ext="edit" position="f" selection="f" grouping="f" rotation="f" cropping="f" text="f" aspectratio="f"/>
              <v:textbox>
                <w:txbxContent>
                  <w:p>
                    <w:pPr>
                      <w:pStyle w:val="37"/>
                    </w:pPr>
                    <w:r>
                      <w:rPr>
                        <w:rFonts w:hint="eastAsia"/>
                      </w:rPr>
                      <w:t>第一阶段</w:t>
                    </w:r>
                  </w:p>
                </w:txbxContent>
              </v:textbox>
            </v:shape>
            <v:shape id="文本框 101" o:spid="_x0000_s1075" type="#_x0000_t202" style="position:absolute;left:180;top:8112;height:1404;width:540;rotation:0f;" o:ole="f" fillcolor="#FFFFFF" filled="t" o:preferrelative="t" stroked="f" coordorigin="0,0" coordsize="21600,21600">
              <v:fill opacity="0%" focus="0%"/>
              <v:imagedata gain="65536f" blacklevel="0f" gamma="0"/>
              <o:lock v:ext="edit" position="f" selection="f" grouping="f" rotation="f" cropping="f" text="f" aspectratio="f"/>
              <v:textbox>
                <w:txbxContent>
                  <w:p>
                    <w:pPr>
                      <w:pStyle w:val="37"/>
                    </w:pPr>
                    <w:r>
                      <w:rPr>
                        <w:rFonts w:hint="eastAsia"/>
                      </w:rPr>
                      <w:t>第二阶段</w:t>
                    </w:r>
                  </w:p>
                </w:txbxContent>
              </v:textbox>
            </v:shape>
            <w10:wrap type="square"/>
          </v:group>
        </w:pict>
      </w:r>
      <w:r>
        <w:rPr>
          <w:rFonts w:hint="eastAsia"/>
        </w:rPr>
        <w:t>图</w:t>
      </w:r>
      <w:r>
        <w:fldChar w:fldCharType="begin"/>
      </w:r>
      <w:r>
        <w:instrText xml:space="preserve"> = 1 \* ROMAN </w:instrText>
      </w:r>
      <w:r>
        <w:fldChar w:fldCharType="separate"/>
      </w:r>
      <w:r>
        <w:t>I</w:t>
      </w:r>
      <w:r>
        <w:fldChar w:fldCharType="end"/>
      </w:r>
      <w:r>
        <w:rPr>
          <w:rFonts w:hint="eastAsia"/>
        </w:rPr>
        <w:t>评价技术工作程序</w:t>
      </w:r>
    </w:p>
    <w:bookmarkEnd w:id="15"/>
    <w:bookmarkEnd w:id="16"/>
    <w:p>
      <w:pPr>
        <w:pStyle w:val="3"/>
        <w:numPr>
          <w:ilvl w:val="1"/>
          <w:numId w:val="0"/>
        </w:numPr>
      </w:pPr>
      <w:bookmarkStart w:id="17" w:name="_Toc397322800"/>
      <w:bookmarkStart w:id="18" w:name="_Toc328731386"/>
      <w:bookmarkStart w:id="19" w:name="_Toc357772196"/>
      <w:bookmarkStart w:id="20" w:name="_Toc301529766"/>
      <w:r>
        <w:fldChar w:fldCharType="begin"/>
      </w:r>
      <w:r>
        <w:instrText xml:space="preserve">= 3 \* ROMAN</w:instrText>
      </w:r>
      <w:r>
        <w:fldChar w:fldCharType="separate"/>
      </w:r>
      <w:bookmarkStart w:id="21" w:name="_Toc462818401"/>
      <w:r>
        <w:t>III</w:t>
      </w:r>
      <w:r>
        <w:fldChar w:fldCharType="end"/>
      </w:r>
      <w:r>
        <w:rPr>
          <w:rFonts w:hint="eastAsia"/>
        </w:rPr>
        <w:t>项目主要关注的环境问题</w:t>
      </w:r>
      <w:bookmarkEnd w:id="17"/>
      <w:bookmarkEnd w:id="21"/>
    </w:p>
    <w:p>
      <w:pPr>
        <w:pStyle w:val="4"/>
        <w:numPr>
          <w:ilvl w:val="2"/>
          <w:numId w:val="0"/>
        </w:numPr>
      </w:pPr>
      <w:bookmarkStart w:id="22" w:name="_Toc460253631"/>
      <w:r>
        <w:rPr>
          <w:rFonts w:hint="eastAsia"/>
        </w:rPr>
        <w:t>（</w:t>
      </w:r>
      <w:r>
        <w:t>1</w:t>
      </w:r>
      <w:r>
        <w:rPr>
          <w:rFonts w:hint="eastAsia"/>
        </w:rPr>
        <w:t>）施工期主要环境问题</w:t>
      </w:r>
      <w:bookmarkEnd w:id="22"/>
    </w:p>
    <w:p>
      <w:pPr>
        <w:ind w:firstLine="480"/>
      </w:pPr>
      <w:r>
        <w:rPr>
          <w:rFonts w:hint="eastAsia"/>
        </w:rPr>
        <w:t>项目施工期间会产生噪声、水土流失、扬尘及污水等污染因素，如未经妥善处理，可能会对周围的居民、道路交通和农业生产造成一定的影响。但施工期造成的影响是暂时的，工程一结束，影响随之消失。</w:t>
      </w:r>
    </w:p>
    <w:p>
      <w:pPr>
        <w:pStyle w:val="4"/>
        <w:numPr>
          <w:ilvl w:val="2"/>
          <w:numId w:val="0"/>
        </w:numPr>
        <w:rPr>
          <w:sz w:val="28"/>
          <w:szCs w:val="28"/>
        </w:rPr>
      </w:pPr>
      <w:bookmarkStart w:id="23" w:name="_Toc460253911"/>
      <w:bookmarkStart w:id="24" w:name="_Toc460253632"/>
      <w:r>
        <w:rPr>
          <w:rFonts w:hint="eastAsia"/>
        </w:rPr>
        <w:t>（</w:t>
      </w:r>
      <w:r>
        <w:t>2</w:t>
      </w:r>
      <w:r>
        <w:rPr>
          <w:rFonts w:hint="eastAsia"/>
        </w:rPr>
        <w:t>）填埋期主要环境问题</w:t>
      </w:r>
      <w:bookmarkEnd w:id="23"/>
      <w:bookmarkEnd w:id="24"/>
    </w:p>
    <w:p>
      <w:pPr>
        <w:ind w:firstLine="480"/>
      </w:pPr>
      <w:r>
        <w:rPr>
          <w:rFonts w:hint="eastAsia"/>
        </w:rPr>
        <w:t>本次环评重点关注项目填埋期产生的粉尘以及渗滤液等，在采取洒水降尘、渗滤液收集池防渗处理等污染防治措施后能够保证项目污染物做到达标排放，将项目可能产生的不利环境影响降至最低。</w:t>
      </w:r>
    </w:p>
    <w:bookmarkEnd w:id="18"/>
    <w:bookmarkEnd w:id="19"/>
    <w:bookmarkEnd w:id="20"/>
    <w:p>
      <w:pPr>
        <w:pStyle w:val="3"/>
        <w:numPr>
          <w:ilvl w:val="1"/>
          <w:numId w:val="0"/>
        </w:numPr>
      </w:pPr>
      <w:bookmarkStart w:id="25" w:name="_Toc397322801"/>
      <w:r>
        <w:fldChar w:fldCharType="begin"/>
      </w:r>
      <w:r>
        <w:instrText xml:space="preserve">= 4 \* ROMAN</w:instrText>
      </w:r>
      <w:r>
        <w:fldChar w:fldCharType="separate"/>
      </w:r>
      <w:bookmarkStart w:id="26" w:name="_Toc462818402"/>
      <w:r>
        <w:t>IV</w:t>
      </w:r>
      <w:r>
        <w:fldChar w:fldCharType="end"/>
      </w:r>
      <w:r>
        <w:rPr>
          <w:rFonts w:hint="eastAsia"/>
        </w:rPr>
        <w:t>报告书主要结论</w:t>
      </w:r>
      <w:bookmarkEnd w:id="25"/>
      <w:bookmarkEnd w:id="26"/>
    </w:p>
    <w:p>
      <w:pPr>
        <w:ind w:firstLine="480"/>
      </w:pPr>
      <w:r>
        <w:rPr>
          <w:rFonts w:hint="eastAsia"/>
        </w:rPr>
        <w:t>云溪河下游沿岸工业历史遗留固废渣处置项目（变更）符合国家产业政策，项目选址与区域发展规划相符，项目符合《湖南省重金属污染治理项目管理办法》等文件要求。拟选址具有较好的外部条件，工程所在地环境质量现状达到功能区规定要求。通过采取有效的环保措施可实现达标排放，对周边环境的影响控制在可接受程度。同时多数公众赞成本项目的建设，项目建设具有较好的环境效益和社会效益。</w:t>
      </w:r>
    </w:p>
    <w:p>
      <w:pPr>
        <w:ind w:firstLine="480"/>
      </w:pPr>
      <w:r>
        <w:rPr>
          <w:rFonts w:hint="eastAsia"/>
        </w:rPr>
        <w:t>建设单位在严格执行环保“三同时”制度，严格落实本报告书提出的各项环保措施、风险防范措施与应急措施后，项目建设对环境的影响是可接受的。因此，从环保的角度分析，本工程的建设是可行的。</w:t>
      </w:r>
    </w:p>
    <w:p>
      <w:pPr>
        <w:ind w:firstLine="480"/>
      </w:pPr>
    </w:p>
    <w:p>
      <w:pPr>
        <w:widowControl/>
        <w:spacing w:line="240" w:lineRule="auto"/>
        <w:ind w:firstLine="0" w:firstLineChars="0"/>
        <w:jc w:val="left"/>
      </w:pPr>
      <w:r>
        <w:br w:type="page"/>
      </w:r>
    </w:p>
    <w:p>
      <w:pPr>
        <w:pStyle w:val="2"/>
      </w:pPr>
      <w:bookmarkStart w:id="27" w:name="_Toc462818403"/>
      <w:r>
        <w:rPr>
          <w:rFonts w:hint="eastAsia"/>
        </w:rPr>
        <w:t>总则</w:t>
      </w:r>
      <w:bookmarkEnd w:id="27"/>
    </w:p>
    <w:p>
      <w:pPr>
        <w:pStyle w:val="3"/>
      </w:pPr>
      <w:bookmarkStart w:id="28" w:name="_Toc462818404"/>
      <w:r>
        <w:rPr>
          <w:rFonts w:hint="eastAsia"/>
        </w:rPr>
        <w:t>编制依据</w:t>
      </w:r>
      <w:bookmarkEnd w:id="28"/>
    </w:p>
    <w:p>
      <w:pPr>
        <w:pStyle w:val="4"/>
      </w:pPr>
      <w:r>
        <w:rPr>
          <w:rFonts w:hint="eastAsia"/>
        </w:rPr>
        <w:t>国家相关法律、法规</w:t>
      </w:r>
    </w:p>
    <w:p>
      <w:pPr>
        <w:ind w:firstLine="480"/>
      </w:pPr>
      <w:r>
        <w:rPr>
          <w:rFonts w:hint="eastAsia"/>
        </w:rPr>
        <w:t>（</w:t>
      </w:r>
      <w:r>
        <w:t>1</w:t>
      </w:r>
      <w:r>
        <w:rPr>
          <w:rFonts w:hint="eastAsia"/>
        </w:rPr>
        <w:t>）《中华人民共和国环境保护法》（</w:t>
      </w:r>
      <w:r>
        <w:t>2015</w:t>
      </w:r>
      <w:r>
        <w:rPr>
          <w:rFonts w:hint="eastAsia"/>
        </w:rPr>
        <w:t>年</w:t>
      </w:r>
      <w:r>
        <w:t>1</w:t>
      </w:r>
      <w:r>
        <w:rPr>
          <w:rFonts w:hint="eastAsia"/>
        </w:rPr>
        <w:t>月</w:t>
      </w:r>
      <w:r>
        <w:t>1</w:t>
      </w:r>
      <w:r>
        <w:rPr>
          <w:rFonts w:hint="eastAsia"/>
        </w:rPr>
        <w:t>日实施）；</w:t>
      </w:r>
    </w:p>
    <w:p>
      <w:pPr>
        <w:ind w:firstLine="480"/>
      </w:pPr>
      <w:r>
        <w:rPr>
          <w:rFonts w:hint="eastAsia"/>
        </w:rPr>
        <w:t>（</w:t>
      </w:r>
      <w:r>
        <w:t>2</w:t>
      </w:r>
      <w:r>
        <w:rPr>
          <w:rFonts w:hint="eastAsia"/>
        </w:rPr>
        <w:t>）《中华人民共和国环境影响评价法》（</w:t>
      </w:r>
      <w:r>
        <w:t>2016</w:t>
      </w:r>
      <w:r>
        <w:rPr>
          <w:rFonts w:hint="eastAsia"/>
        </w:rPr>
        <w:t>年</w:t>
      </w:r>
      <w:r>
        <w:t>9</w:t>
      </w:r>
      <w:r>
        <w:rPr>
          <w:rFonts w:hint="eastAsia"/>
        </w:rPr>
        <w:t>月</w:t>
      </w:r>
      <w:r>
        <w:t>1</w:t>
      </w:r>
      <w:r>
        <w:rPr>
          <w:rFonts w:hint="eastAsia"/>
        </w:rPr>
        <w:t>日实施）；</w:t>
      </w:r>
    </w:p>
    <w:p>
      <w:pPr>
        <w:ind w:firstLine="480"/>
      </w:pPr>
      <w:r>
        <w:rPr>
          <w:rFonts w:hint="eastAsia"/>
        </w:rPr>
        <w:t>（</w:t>
      </w:r>
      <w:r>
        <w:t>3</w:t>
      </w:r>
      <w:r>
        <w:rPr>
          <w:rFonts w:hint="eastAsia"/>
        </w:rPr>
        <w:t>）《中华人民共和国水污染防治法》（</w:t>
      </w:r>
      <w:r>
        <w:t>2008</w:t>
      </w:r>
      <w:r>
        <w:rPr>
          <w:rFonts w:hint="eastAsia"/>
        </w:rPr>
        <w:t>年</w:t>
      </w:r>
      <w:r>
        <w:t>6</w:t>
      </w:r>
      <w:r>
        <w:rPr>
          <w:rFonts w:hint="eastAsia"/>
        </w:rPr>
        <w:t>月</w:t>
      </w:r>
      <w:r>
        <w:t>1</w:t>
      </w:r>
      <w:r>
        <w:rPr>
          <w:rFonts w:hint="eastAsia"/>
        </w:rPr>
        <w:t>日实施）；</w:t>
      </w:r>
    </w:p>
    <w:p>
      <w:pPr>
        <w:ind w:firstLine="480"/>
      </w:pPr>
      <w:r>
        <w:rPr>
          <w:rFonts w:hint="eastAsia"/>
        </w:rPr>
        <w:t>（</w:t>
      </w:r>
      <w:r>
        <w:t>4</w:t>
      </w:r>
      <w:r>
        <w:rPr>
          <w:rFonts w:hint="eastAsia"/>
        </w:rPr>
        <w:t>）《中华人民共和国大气污染防治法》（</w:t>
      </w:r>
      <w:r>
        <w:t>2016</w:t>
      </w:r>
      <w:r>
        <w:rPr>
          <w:rFonts w:hint="eastAsia"/>
        </w:rPr>
        <w:t>年</w:t>
      </w:r>
      <w:r>
        <w:t>1</w:t>
      </w:r>
      <w:r>
        <w:rPr>
          <w:rFonts w:hint="eastAsia"/>
        </w:rPr>
        <w:t>月</w:t>
      </w:r>
      <w:r>
        <w:t>1</w:t>
      </w:r>
      <w:r>
        <w:rPr>
          <w:rFonts w:hint="eastAsia"/>
        </w:rPr>
        <w:t>日实施）；</w:t>
      </w:r>
    </w:p>
    <w:p>
      <w:pPr>
        <w:ind w:firstLine="480"/>
      </w:pPr>
      <w:r>
        <w:rPr>
          <w:rFonts w:hint="eastAsia"/>
        </w:rPr>
        <w:t>（</w:t>
      </w:r>
      <w:r>
        <w:t>5</w:t>
      </w:r>
      <w:r>
        <w:rPr>
          <w:rFonts w:hint="eastAsia"/>
        </w:rPr>
        <w:t>）《中华人民共和国环境噪声污染防治法》（</w:t>
      </w:r>
      <w:r>
        <w:t>1997</w:t>
      </w:r>
      <w:r>
        <w:rPr>
          <w:rFonts w:hint="eastAsia"/>
        </w:rPr>
        <w:t>年</w:t>
      </w:r>
      <w:r>
        <w:t>3</w:t>
      </w:r>
      <w:r>
        <w:rPr>
          <w:rFonts w:hint="eastAsia"/>
        </w:rPr>
        <w:t>月</w:t>
      </w:r>
      <w:r>
        <w:t>1</w:t>
      </w:r>
      <w:r>
        <w:rPr>
          <w:rFonts w:hint="eastAsia"/>
        </w:rPr>
        <w:t>日实施）；</w:t>
      </w:r>
    </w:p>
    <w:p>
      <w:pPr>
        <w:ind w:firstLine="480"/>
      </w:pPr>
      <w:r>
        <w:rPr>
          <w:rFonts w:hint="eastAsia"/>
        </w:rPr>
        <w:t>（</w:t>
      </w:r>
      <w:r>
        <w:t>6</w:t>
      </w:r>
      <w:r>
        <w:rPr>
          <w:rFonts w:hint="eastAsia"/>
        </w:rPr>
        <w:t>）《中华人民共和国固体废物污染环境防治法》（</w:t>
      </w:r>
      <w:r>
        <w:t>2015</w:t>
      </w:r>
      <w:r>
        <w:rPr>
          <w:rFonts w:hint="eastAsia"/>
        </w:rPr>
        <w:t>年</w:t>
      </w:r>
      <w:r>
        <w:t>4</w:t>
      </w:r>
      <w:r>
        <w:rPr>
          <w:rFonts w:hint="eastAsia"/>
        </w:rPr>
        <w:t>月</w:t>
      </w:r>
      <w:r>
        <w:t>24</w:t>
      </w:r>
      <w:r>
        <w:rPr>
          <w:rFonts w:hint="eastAsia"/>
        </w:rPr>
        <w:t>日修订）；</w:t>
      </w:r>
    </w:p>
    <w:p>
      <w:pPr>
        <w:ind w:firstLine="480"/>
      </w:pPr>
      <w:r>
        <w:rPr>
          <w:rFonts w:hint="eastAsia"/>
        </w:rPr>
        <w:t>（</w:t>
      </w:r>
      <w:r>
        <w:t>7</w:t>
      </w:r>
      <w:r>
        <w:rPr>
          <w:rFonts w:hint="eastAsia"/>
        </w:rPr>
        <w:t>）《中华人民共和国清洁生产促进法》（</w:t>
      </w:r>
      <w:r>
        <w:t>2012</w:t>
      </w:r>
      <w:r>
        <w:rPr>
          <w:rFonts w:hint="eastAsia"/>
        </w:rPr>
        <w:t>年</w:t>
      </w:r>
      <w:r>
        <w:t>7</w:t>
      </w:r>
      <w:r>
        <w:rPr>
          <w:rFonts w:hint="eastAsia"/>
        </w:rPr>
        <w:t>月</w:t>
      </w:r>
      <w:r>
        <w:t>1</w:t>
      </w:r>
      <w:r>
        <w:rPr>
          <w:rFonts w:hint="eastAsia"/>
        </w:rPr>
        <w:t>日实施）；</w:t>
      </w:r>
    </w:p>
    <w:p>
      <w:pPr>
        <w:ind w:firstLine="480"/>
      </w:pPr>
      <w:r>
        <w:rPr>
          <w:rFonts w:hint="eastAsia"/>
        </w:rPr>
        <w:t>（</w:t>
      </w:r>
      <w:r>
        <w:t>8</w:t>
      </w:r>
      <w:r>
        <w:rPr>
          <w:rFonts w:hint="eastAsia"/>
        </w:rPr>
        <w:t>）《中华人民共和国土地管理法》（</w:t>
      </w:r>
      <w:r>
        <w:t>2004</w:t>
      </w:r>
      <w:r>
        <w:rPr>
          <w:rFonts w:hint="eastAsia"/>
        </w:rPr>
        <w:t>年</w:t>
      </w:r>
      <w:r>
        <w:t>8</w:t>
      </w:r>
      <w:r>
        <w:rPr>
          <w:rFonts w:hint="eastAsia"/>
        </w:rPr>
        <w:t>月</w:t>
      </w:r>
      <w:r>
        <w:t>28</w:t>
      </w:r>
      <w:r>
        <w:rPr>
          <w:rFonts w:hint="eastAsia"/>
        </w:rPr>
        <w:t>日实施）；</w:t>
      </w:r>
    </w:p>
    <w:p>
      <w:pPr>
        <w:ind w:firstLine="480"/>
      </w:pPr>
      <w:r>
        <w:rPr>
          <w:rFonts w:hint="eastAsia"/>
        </w:rPr>
        <w:t>（</w:t>
      </w:r>
      <w:r>
        <w:t>9</w:t>
      </w:r>
      <w:r>
        <w:rPr>
          <w:rFonts w:hint="eastAsia"/>
        </w:rPr>
        <w:t>）《中华人民共和国水土保持法》（</w:t>
      </w:r>
      <w:r>
        <w:t>2011</w:t>
      </w:r>
      <w:r>
        <w:rPr>
          <w:rFonts w:hint="eastAsia"/>
        </w:rPr>
        <w:t>年</w:t>
      </w:r>
      <w:r>
        <w:t>3</w:t>
      </w:r>
      <w:r>
        <w:rPr>
          <w:rFonts w:hint="eastAsia"/>
        </w:rPr>
        <w:t>月</w:t>
      </w:r>
      <w:r>
        <w:t>1</w:t>
      </w:r>
      <w:r>
        <w:rPr>
          <w:rFonts w:hint="eastAsia"/>
        </w:rPr>
        <w:t>日实施）；</w:t>
      </w:r>
    </w:p>
    <w:p>
      <w:pPr>
        <w:ind w:firstLine="480"/>
      </w:pPr>
      <w:r>
        <w:rPr>
          <w:rFonts w:hint="eastAsia"/>
        </w:rPr>
        <w:t>（</w:t>
      </w:r>
      <w:r>
        <w:t>10</w:t>
      </w:r>
      <w:r>
        <w:rPr>
          <w:rFonts w:hint="eastAsia"/>
        </w:rPr>
        <w:t>）《中华人民共和国文物保护法》（</w:t>
      </w:r>
      <w:r>
        <w:t>2013</w:t>
      </w:r>
      <w:r>
        <w:rPr>
          <w:rFonts w:hint="eastAsia"/>
        </w:rPr>
        <w:t>年</w:t>
      </w:r>
      <w:r>
        <w:t>6</w:t>
      </w:r>
      <w:r>
        <w:rPr>
          <w:rFonts w:hint="eastAsia"/>
        </w:rPr>
        <w:t>月</w:t>
      </w:r>
      <w:r>
        <w:t>29</w:t>
      </w:r>
      <w:r>
        <w:rPr>
          <w:rFonts w:hint="eastAsia"/>
        </w:rPr>
        <w:t>日修订）</w:t>
      </w:r>
    </w:p>
    <w:p>
      <w:pPr>
        <w:ind w:firstLine="480"/>
      </w:pPr>
      <w:r>
        <w:rPr>
          <w:rFonts w:hint="eastAsia"/>
        </w:rPr>
        <w:t>（</w:t>
      </w:r>
      <w:r>
        <w:t>11</w:t>
      </w:r>
      <w:r>
        <w:rPr>
          <w:rFonts w:hint="eastAsia"/>
        </w:rPr>
        <w:t>）《中华人民共和国森林法》（</w:t>
      </w:r>
      <w:r>
        <w:t>2009</w:t>
      </w:r>
      <w:r>
        <w:rPr>
          <w:rFonts w:hint="eastAsia"/>
        </w:rPr>
        <w:t>年</w:t>
      </w:r>
      <w:r>
        <w:t>8</w:t>
      </w:r>
      <w:r>
        <w:rPr>
          <w:rFonts w:hint="eastAsia"/>
        </w:rPr>
        <w:t>月</w:t>
      </w:r>
      <w:r>
        <w:t>27</w:t>
      </w:r>
      <w:r>
        <w:rPr>
          <w:rFonts w:hint="eastAsia"/>
        </w:rPr>
        <w:t>日修订）；</w:t>
      </w:r>
    </w:p>
    <w:p>
      <w:pPr>
        <w:ind w:firstLine="480"/>
      </w:pPr>
      <w:r>
        <w:rPr>
          <w:rFonts w:hint="eastAsia"/>
        </w:rPr>
        <w:t>（</w:t>
      </w:r>
      <w:r>
        <w:t>12</w:t>
      </w:r>
      <w:r>
        <w:rPr>
          <w:rFonts w:hint="eastAsia"/>
        </w:rPr>
        <w:t>）《中华人民共和国农业法》（</w:t>
      </w:r>
      <w:r>
        <w:t>2003</w:t>
      </w:r>
      <w:r>
        <w:rPr>
          <w:rFonts w:hint="eastAsia"/>
        </w:rPr>
        <w:t>年</w:t>
      </w:r>
      <w:r>
        <w:t>1</w:t>
      </w:r>
      <w:r>
        <w:rPr>
          <w:rFonts w:hint="eastAsia"/>
        </w:rPr>
        <w:t>月</w:t>
      </w:r>
      <w:r>
        <w:t>1</w:t>
      </w:r>
      <w:r>
        <w:rPr>
          <w:rFonts w:hint="eastAsia"/>
        </w:rPr>
        <w:t>日实施）；</w:t>
      </w:r>
    </w:p>
    <w:p>
      <w:pPr>
        <w:ind w:firstLine="480"/>
      </w:pPr>
      <w:r>
        <w:rPr>
          <w:rFonts w:hint="eastAsia"/>
          <w:shd w:val="clear" w:color="auto" w:fill="FFFFFF"/>
        </w:rPr>
        <w:t>（</w:t>
      </w:r>
      <w:r>
        <w:rPr>
          <w:shd w:val="clear" w:color="auto" w:fill="FFFFFF"/>
        </w:rPr>
        <w:t>13</w:t>
      </w:r>
      <w:r>
        <w:rPr>
          <w:rFonts w:hint="eastAsia"/>
          <w:shd w:val="clear" w:color="auto" w:fill="FFFFFF"/>
        </w:rPr>
        <w:t>）《中华人民共和国城乡规划法》（</w:t>
      </w:r>
      <w:r>
        <w:rPr>
          <w:shd w:val="clear" w:color="auto" w:fill="FFFFFF"/>
        </w:rPr>
        <w:t>2015</w:t>
      </w:r>
      <w:r>
        <w:rPr>
          <w:rFonts w:hint="eastAsia"/>
          <w:shd w:val="clear" w:color="auto" w:fill="FFFFFF"/>
        </w:rPr>
        <w:t>年</w:t>
      </w:r>
      <w:r>
        <w:rPr>
          <w:shd w:val="clear" w:color="auto" w:fill="FFFFFF"/>
        </w:rPr>
        <w:t>4</w:t>
      </w:r>
      <w:r>
        <w:rPr>
          <w:rFonts w:hint="eastAsia"/>
          <w:shd w:val="clear" w:color="auto" w:fill="FFFFFF"/>
        </w:rPr>
        <w:t>月</w:t>
      </w:r>
      <w:r>
        <w:rPr>
          <w:shd w:val="clear" w:color="auto" w:fill="FFFFFF"/>
        </w:rPr>
        <w:t>24</w:t>
      </w:r>
      <w:r>
        <w:rPr>
          <w:rFonts w:hint="eastAsia"/>
          <w:shd w:val="clear" w:color="auto" w:fill="FFFFFF"/>
        </w:rPr>
        <w:t>日修改）</w:t>
      </w:r>
      <w:r>
        <w:rPr>
          <w:rFonts w:hint="eastAsia"/>
        </w:rPr>
        <w:t>；</w:t>
      </w:r>
    </w:p>
    <w:p>
      <w:pPr>
        <w:ind w:firstLine="480"/>
      </w:pPr>
      <w:r>
        <w:rPr>
          <w:rFonts w:hint="eastAsia"/>
        </w:rPr>
        <w:t>（</w:t>
      </w:r>
      <w:r>
        <w:t>14</w:t>
      </w:r>
      <w:r>
        <w:rPr>
          <w:rFonts w:hint="eastAsia"/>
        </w:rPr>
        <w:t>）《中华人民共和国突发事件应对法》（</w:t>
      </w:r>
      <w:r>
        <w:t>2004.8</w:t>
      </w:r>
      <w:r>
        <w:rPr>
          <w:rFonts w:hint="eastAsia"/>
        </w:rPr>
        <w:t>）</w:t>
      </w:r>
    </w:p>
    <w:p>
      <w:pPr>
        <w:ind w:firstLine="480"/>
      </w:pPr>
      <w:r>
        <w:rPr>
          <w:rFonts w:hint="eastAsia"/>
        </w:rPr>
        <w:t>（</w:t>
      </w:r>
      <w:r>
        <w:t>1</w:t>
      </w:r>
      <w:r>
        <w:rPr>
          <w:rFonts w:hint="eastAsia"/>
        </w:rPr>
        <w:t>）《中华人民共和国土地管理实施条例》（</w:t>
      </w:r>
      <w:r>
        <w:t>2014</w:t>
      </w:r>
      <w:r>
        <w:rPr>
          <w:rFonts w:hint="eastAsia"/>
        </w:rPr>
        <w:t>年</w:t>
      </w:r>
      <w:r>
        <w:t>7</w:t>
      </w:r>
      <w:r>
        <w:rPr>
          <w:rFonts w:hint="eastAsia"/>
        </w:rPr>
        <w:t>月</w:t>
      </w:r>
      <w:r>
        <w:t>29</w:t>
      </w:r>
      <w:r>
        <w:rPr>
          <w:rFonts w:hint="eastAsia"/>
        </w:rPr>
        <w:t>日修订），</w:t>
      </w:r>
    </w:p>
    <w:p>
      <w:pPr>
        <w:ind w:firstLine="480"/>
      </w:pPr>
      <w:r>
        <w:rPr>
          <w:rFonts w:hint="eastAsia"/>
        </w:rPr>
        <w:t>（</w:t>
      </w:r>
      <w:r>
        <w:t>2</w:t>
      </w:r>
      <w:r>
        <w:rPr>
          <w:rFonts w:hint="eastAsia"/>
        </w:rPr>
        <w:t>）《建设项目环境保护管理条例》（</w:t>
      </w:r>
      <w:r>
        <w:t>1998</w:t>
      </w:r>
      <w:r>
        <w:rPr>
          <w:rFonts w:hint="eastAsia"/>
        </w:rPr>
        <w:t>年</w:t>
      </w:r>
      <w:r>
        <w:t>11</w:t>
      </w:r>
      <w:r>
        <w:rPr>
          <w:rFonts w:hint="eastAsia"/>
        </w:rPr>
        <w:t>月</w:t>
      </w:r>
      <w:r>
        <w:t>29</w:t>
      </w:r>
      <w:r>
        <w:rPr>
          <w:rFonts w:hint="eastAsia"/>
        </w:rPr>
        <w:t>日实施）；</w:t>
      </w:r>
    </w:p>
    <w:p>
      <w:pPr>
        <w:ind w:firstLine="480"/>
      </w:pPr>
      <w:r>
        <w:rPr>
          <w:rFonts w:hint="eastAsia"/>
        </w:rPr>
        <w:t>（</w:t>
      </w:r>
      <w:r>
        <w:t>3</w:t>
      </w:r>
      <w:r>
        <w:rPr>
          <w:rFonts w:hint="eastAsia"/>
        </w:rPr>
        <w:t>）《中华人民共和国水土保持法实施条例》（</w:t>
      </w:r>
      <w:r>
        <w:t>1993</w:t>
      </w:r>
      <w:r>
        <w:rPr>
          <w:rFonts w:hint="eastAsia"/>
        </w:rPr>
        <w:t>年</w:t>
      </w:r>
      <w:r>
        <w:t>8</w:t>
      </w:r>
      <w:r>
        <w:rPr>
          <w:rFonts w:hint="eastAsia"/>
        </w:rPr>
        <w:t>月</w:t>
      </w:r>
      <w:r>
        <w:t>1</w:t>
      </w:r>
      <w:r>
        <w:rPr>
          <w:rFonts w:hint="eastAsia"/>
        </w:rPr>
        <w:t>日实施）；</w:t>
      </w:r>
    </w:p>
    <w:p>
      <w:pPr>
        <w:ind w:firstLine="480"/>
      </w:pPr>
      <w:r>
        <w:rPr>
          <w:rFonts w:hint="eastAsia"/>
        </w:rPr>
        <w:t>（</w:t>
      </w:r>
      <w:r>
        <w:t>4</w:t>
      </w:r>
      <w:r>
        <w:rPr>
          <w:rFonts w:hint="eastAsia"/>
        </w:rPr>
        <w:t>）《土地复垦条例》（</w:t>
      </w:r>
      <w:r>
        <w:t>2011</w:t>
      </w:r>
      <w:r>
        <w:rPr>
          <w:rFonts w:hint="eastAsia"/>
        </w:rPr>
        <w:t>年</w:t>
      </w:r>
      <w:r>
        <w:t>2</w:t>
      </w:r>
      <w:r>
        <w:rPr>
          <w:rFonts w:hint="eastAsia"/>
        </w:rPr>
        <w:t>月</w:t>
      </w:r>
      <w:r>
        <w:t>22</w:t>
      </w:r>
      <w:r>
        <w:rPr>
          <w:rFonts w:hint="eastAsia"/>
        </w:rPr>
        <w:t>日实施）；</w:t>
      </w:r>
    </w:p>
    <w:p>
      <w:pPr>
        <w:pStyle w:val="4"/>
      </w:pPr>
      <w:r>
        <w:rPr>
          <w:rFonts w:hint="eastAsia"/>
        </w:rPr>
        <w:t>部门规章及规范性文件</w:t>
      </w:r>
    </w:p>
    <w:p>
      <w:pPr>
        <w:ind w:firstLine="480"/>
        <w:rPr>
          <w:kern w:val="0"/>
        </w:rPr>
      </w:pPr>
      <w:r>
        <w:rPr>
          <w:rFonts w:hint="eastAsia"/>
          <w:kern w:val="0"/>
        </w:rPr>
        <w:t>（</w:t>
      </w:r>
      <w:r>
        <w:rPr>
          <w:kern w:val="0"/>
        </w:rPr>
        <w:t>1</w:t>
      </w:r>
      <w:r>
        <w:rPr>
          <w:rFonts w:hint="eastAsia"/>
          <w:kern w:val="0"/>
        </w:rPr>
        <w:t>）《国务院关于落实科学发展观加强环境保护的决定》（国发［</w:t>
      </w:r>
      <w:r>
        <w:rPr>
          <w:kern w:val="0"/>
        </w:rPr>
        <w:t>2005</w:t>
      </w:r>
      <w:r>
        <w:rPr>
          <w:rFonts w:hint="eastAsia"/>
          <w:kern w:val="0"/>
        </w:rPr>
        <w:t>］</w:t>
      </w:r>
      <w:r>
        <w:rPr>
          <w:kern w:val="0"/>
        </w:rPr>
        <w:t>39</w:t>
      </w:r>
      <w:r>
        <w:rPr>
          <w:rFonts w:hint="eastAsia"/>
          <w:kern w:val="0"/>
        </w:rPr>
        <w:t>号）；</w:t>
      </w:r>
    </w:p>
    <w:p>
      <w:pPr>
        <w:ind w:firstLine="480"/>
        <w:rPr>
          <w:kern w:val="0"/>
        </w:rPr>
      </w:pPr>
      <w:r>
        <w:rPr>
          <w:rFonts w:hint="eastAsia"/>
          <w:kern w:val="0"/>
        </w:rPr>
        <w:t>（</w:t>
      </w:r>
      <w:r>
        <w:rPr>
          <w:kern w:val="0"/>
        </w:rPr>
        <w:t>3</w:t>
      </w:r>
      <w:r>
        <w:rPr>
          <w:rFonts w:hint="eastAsia"/>
          <w:kern w:val="0"/>
        </w:rPr>
        <w:t>）《关于加强资源开发生态环境保护监管工作的意见》（国家环保总局，</w:t>
      </w:r>
      <w:r>
        <w:rPr>
          <w:kern w:val="0"/>
        </w:rPr>
        <w:t>2004.3</w:t>
      </w:r>
      <w:r>
        <w:rPr>
          <w:rFonts w:hint="eastAsia"/>
          <w:kern w:val="0"/>
        </w:rPr>
        <w:t>）；</w:t>
      </w:r>
    </w:p>
    <w:p>
      <w:pPr>
        <w:ind w:firstLine="480"/>
        <w:rPr>
          <w:kern w:val="0"/>
        </w:rPr>
      </w:pPr>
      <w:r>
        <w:rPr>
          <w:rFonts w:hint="eastAsia"/>
          <w:kern w:val="0"/>
        </w:rPr>
        <w:t>（</w:t>
      </w:r>
      <w:r>
        <w:rPr>
          <w:kern w:val="0"/>
        </w:rPr>
        <w:t>4</w:t>
      </w:r>
      <w:r>
        <w:rPr>
          <w:rFonts w:hint="eastAsia"/>
          <w:kern w:val="0"/>
        </w:rPr>
        <w:t>）《全国生态环境保护纲要》国发〔</w:t>
      </w:r>
      <w:r>
        <w:rPr>
          <w:kern w:val="0"/>
        </w:rPr>
        <w:t>2000</w:t>
      </w:r>
      <w:r>
        <w:rPr>
          <w:rFonts w:hint="eastAsia"/>
          <w:kern w:val="0"/>
        </w:rPr>
        <w:t>〕</w:t>
      </w:r>
      <w:r>
        <w:rPr>
          <w:kern w:val="0"/>
        </w:rPr>
        <w:t>38</w:t>
      </w:r>
      <w:r>
        <w:rPr>
          <w:rFonts w:hint="eastAsia"/>
          <w:kern w:val="0"/>
        </w:rPr>
        <w:t>号（</w:t>
      </w:r>
      <w:r>
        <w:rPr>
          <w:kern w:val="0"/>
        </w:rPr>
        <w:t>2000.11</w:t>
      </w:r>
      <w:r>
        <w:rPr>
          <w:rFonts w:hint="eastAsia"/>
          <w:kern w:val="0"/>
        </w:rPr>
        <w:t>）；</w:t>
      </w:r>
    </w:p>
    <w:p>
      <w:pPr>
        <w:ind w:firstLine="480"/>
        <w:rPr>
          <w:kern w:val="0"/>
        </w:rPr>
      </w:pPr>
      <w:r>
        <w:rPr>
          <w:rFonts w:hint="eastAsia"/>
          <w:kern w:val="0"/>
        </w:rPr>
        <w:t>（</w:t>
      </w:r>
      <w:r>
        <w:rPr>
          <w:kern w:val="0"/>
        </w:rPr>
        <w:t>5</w:t>
      </w:r>
      <w:r>
        <w:rPr>
          <w:rFonts w:hint="eastAsia"/>
          <w:kern w:val="0"/>
        </w:rPr>
        <w:t>）《环境影响评价公众参与暂行办法》（国家环保总局环发［</w:t>
      </w:r>
      <w:r>
        <w:rPr>
          <w:kern w:val="0"/>
        </w:rPr>
        <w:t>2006</w:t>
      </w:r>
      <w:r>
        <w:rPr>
          <w:rFonts w:hint="eastAsia"/>
          <w:kern w:val="0"/>
        </w:rPr>
        <w:t>］</w:t>
      </w:r>
      <w:r>
        <w:rPr>
          <w:kern w:val="0"/>
        </w:rPr>
        <w:t>28</w:t>
      </w:r>
      <w:r>
        <w:rPr>
          <w:rFonts w:hint="eastAsia"/>
          <w:kern w:val="0"/>
        </w:rPr>
        <w:t>号）；</w:t>
      </w:r>
    </w:p>
    <w:p>
      <w:pPr>
        <w:ind w:firstLine="480"/>
        <w:rPr>
          <w:kern w:val="0"/>
        </w:rPr>
      </w:pPr>
      <w:r>
        <w:rPr>
          <w:rFonts w:hint="eastAsia"/>
          <w:kern w:val="0"/>
        </w:rPr>
        <w:t>（</w:t>
      </w:r>
      <w:r>
        <w:rPr>
          <w:kern w:val="0"/>
        </w:rPr>
        <w:t>6</w:t>
      </w:r>
      <w:r>
        <w:rPr>
          <w:rFonts w:hint="eastAsia"/>
          <w:kern w:val="0"/>
        </w:rPr>
        <w:t>）《关于进一步加强环境影响评价管理防范环境风险的通知》（环发</w:t>
      </w:r>
      <w:r>
        <w:rPr>
          <w:kern w:val="0"/>
        </w:rPr>
        <w:t>[2012]77</w:t>
      </w:r>
      <w:r>
        <w:rPr>
          <w:rFonts w:hint="eastAsia"/>
          <w:kern w:val="0"/>
        </w:rPr>
        <w:t>号）；</w:t>
      </w:r>
    </w:p>
    <w:p>
      <w:pPr>
        <w:ind w:firstLine="480"/>
        <w:rPr>
          <w:kern w:val="0"/>
        </w:rPr>
      </w:pPr>
      <w:r>
        <w:rPr>
          <w:rFonts w:hint="eastAsia"/>
          <w:kern w:val="0"/>
        </w:rPr>
        <w:t>（</w:t>
      </w:r>
      <w:r>
        <w:rPr>
          <w:kern w:val="0"/>
        </w:rPr>
        <w:t>7</w:t>
      </w:r>
      <w:r>
        <w:rPr>
          <w:rFonts w:hint="eastAsia"/>
          <w:kern w:val="0"/>
        </w:rPr>
        <w:t>）“关于印发《建设项目环境影响评价政府信息公开指南（试行）》的通知”（环办</w:t>
      </w:r>
      <w:r>
        <w:rPr>
          <w:kern w:val="0"/>
        </w:rPr>
        <w:t>[2013]103</w:t>
      </w:r>
      <w:r>
        <w:rPr>
          <w:rFonts w:hint="eastAsia"/>
          <w:kern w:val="0"/>
        </w:rPr>
        <w:t>号）；</w:t>
      </w:r>
    </w:p>
    <w:p>
      <w:pPr>
        <w:ind w:firstLine="480"/>
        <w:rPr>
          <w:kern w:val="0"/>
        </w:rPr>
      </w:pPr>
      <w:r>
        <w:rPr>
          <w:rFonts w:hint="eastAsia"/>
          <w:kern w:val="0"/>
        </w:rPr>
        <w:t>（</w:t>
      </w:r>
      <w:r>
        <w:rPr>
          <w:kern w:val="0"/>
        </w:rPr>
        <w:t>8</w:t>
      </w:r>
      <w:r>
        <w:rPr>
          <w:rFonts w:hint="eastAsia"/>
          <w:kern w:val="0"/>
        </w:rPr>
        <w:t>）《环境保护部关于下放部分建设项目环境影响评价文件审批权限的公告》（环境保护部公告</w:t>
      </w:r>
      <w:r>
        <w:rPr>
          <w:kern w:val="0"/>
        </w:rPr>
        <w:t>2013</w:t>
      </w:r>
      <w:r>
        <w:rPr>
          <w:rFonts w:hint="eastAsia"/>
          <w:kern w:val="0"/>
        </w:rPr>
        <w:t>年第</w:t>
      </w:r>
      <w:r>
        <w:rPr>
          <w:kern w:val="0"/>
        </w:rPr>
        <w:t>73</w:t>
      </w:r>
      <w:r>
        <w:rPr>
          <w:rFonts w:hint="eastAsia"/>
          <w:kern w:val="0"/>
        </w:rPr>
        <w:t>号）；</w:t>
      </w:r>
    </w:p>
    <w:p>
      <w:pPr>
        <w:ind w:firstLine="480"/>
        <w:rPr>
          <w:kern w:val="0"/>
        </w:rPr>
      </w:pPr>
      <w:r>
        <w:rPr>
          <w:rFonts w:hint="eastAsia"/>
          <w:kern w:val="0"/>
        </w:rPr>
        <w:t>（</w:t>
      </w:r>
      <w:r>
        <w:rPr>
          <w:kern w:val="0"/>
        </w:rPr>
        <w:t>9</w:t>
      </w:r>
      <w:r>
        <w:rPr>
          <w:rFonts w:hint="eastAsia"/>
          <w:kern w:val="0"/>
        </w:rPr>
        <w:t>）《关于进一步加强土地整理复垦开发工作的通知》（国土资发［</w:t>
      </w:r>
      <w:r>
        <w:rPr>
          <w:kern w:val="0"/>
        </w:rPr>
        <w:t>2008</w:t>
      </w:r>
      <w:r>
        <w:rPr>
          <w:rFonts w:hint="eastAsia"/>
          <w:kern w:val="0"/>
        </w:rPr>
        <w:t>］</w:t>
      </w:r>
      <w:r>
        <w:rPr>
          <w:kern w:val="0"/>
        </w:rPr>
        <w:t>176</w:t>
      </w:r>
      <w:r>
        <w:rPr>
          <w:rFonts w:hint="eastAsia"/>
          <w:kern w:val="0"/>
        </w:rPr>
        <w:t>号）；</w:t>
      </w:r>
    </w:p>
    <w:p>
      <w:pPr>
        <w:ind w:firstLine="480"/>
        <w:rPr>
          <w:kern w:val="0"/>
        </w:rPr>
      </w:pPr>
      <w:r>
        <w:rPr>
          <w:rFonts w:hint="eastAsia"/>
          <w:kern w:val="0"/>
        </w:rPr>
        <w:t>（</w:t>
      </w:r>
      <w:r>
        <w:rPr>
          <w:kern w:val="0"/>
        </w:rPr>
        <w:t>10</w:t>
      </w:r>
      <w:r>
        <w:rPr>
          <w:rFonts w:hint="eastAsia"/>
          <w:kern w:val="0"/>
        </w:rPr>
        <w:t>）《防治城市扬尘污染技术规范》（</w:t>
      </w:r>
      <w:r>
        <w:rPr>
          <w:kern w:val="0"/>
        </w:rPr>
        <w:t>HJ/T 393-2007</w:t>
      </w:r>
      <w:r>
        <w:rPr>
          <w:rFonts w:hint="eastAsia"/>
          <w:kern w:val="0"/>
        </w:rPr>
        <w:t>）。</w:t>
      </w:r>
    </w:p>
    <w:p>
      <w:pPr>
        <w:ind w:firstLine="480"/>
      </w:pPr>
      <w:r>
        <w:rPr>
          <w:rFonts w:hint="eastAsia"/>
        </w:rPr>
        <w:t>（</w:t>
      </w:r>
      <w:r>
        <w:t>11</w:t>
      </w:r>
      <w:r>
        <w:rPr>
          <w:rFonts w:hint="eastAsia"/>
        </w:rPr>
        <w:t>）《建设项目环境影响评价分类管理名录》（</w:t>
      </w:r>
      <w:r>
        <w:t>2015</w:t>
      </w:r>
      <w:r>
        <w:rPr>
          <w:rFonts w:hint="eastAsia"/>
        </w:rPr>
        <w:t>年</w:t>
      </w:r>
      <w:r>
        <w:t>6</w:t>
      </w:r>
      <w:r>
        <w:rPr>
          <w:rFonts w:hint="eastAsia"/>
        </w:rPr>
        <w:t>月</w:t>
      </w:r>
      <w:r>
        <w:t>1</w:t>
      </w:r>
      <w:r>
        <w:rPr>
          <w:rFonts w:hint="eastAsia"/>
        </w:rPr>
        <w:t>日施行）；</w:t>
      </w:r>
    </w:p>
    <w:p>
      <w:pPr>
        <w:ind w:firstLine="480"/>
      </w:pPr>
      <w:r>
        <w:rPr>
          <w:rFonts w:hint="eastAsia"/>
        </w:rPr>
        <w:t>（</w:t>
      </w:r>
      <w:r>
        <w:t>12</w:t>
      </w:r>
      <w:r>
        <w:rPr>
          <w:rFonts w:hint="eastAsia"/>
        </w:rPr>
        <w:t>）《国务院关于加强环境保护重点工作的意见》（国发〔</w:t>
      </w:r>
      <w:r>
        <w:t>2011</w:t>
      </w:r>
      <w:r>
        <w:rPr>
          <w:rFonts w:hint="eastAsia"/>
        </w:rPr>
        <w:t>〕</w:t>
      </w:r>
      <w:r>
        <w:t>35</w:t>
      </w:r>
      <w:r>
        <w:rPr>
          <w:rFonts w:hint="eastAsia"/>
        </w:rPr>
        <w:t>号）</w:t>
      </w:r>
    </w:p>
    <w:p>
      <w:pPr>
        <w:ind w:firstLine="480"/>
      </w:pPr>
      <w:r>
        <w:rPr>
          <w:rFonts w:hint="eastAsia"/>
        </w:rPr>
        <w:t>（</w:t>
      </w:r>
      <w:r>
        <w:t>13</w:t>
      </w:r>
      <w:r>
        <w:rPr>
          <w:rFonts w:hint="eastAsia"/>
        </w:rPr>
        <w:t>）《关于进一步加强环境影响评价管理防范环境风险的通知》（环发</w:t>
      </w:r>
      <w:r>
        <w:t>[2012]77</w:t>
      </w:r>
      <w:r>
        <w:rPr>
          <w:rFonts w:hint="eastAsia"/>
        </w:rPr>
        <w:t>号）；</w:t>
      </w:r>
    </w:p>
    <w:p>
      <w:pPr>
        <w:ind w:firstLine="480"/>
      </w:pPr>
      <w:r>
        <w:rPr>
          <w:rFonts w:hint="eastAsia"/>
        </w:rPr>
        <w:t>（</w:t>
      </w:r>
      <w:r>
        <w:t>14</w:t>
      </w:r>
      <w:r>
        <w:rPr>
          <w:rFonts w:hint="eastAsia"/>
        </w:rPr>
        <w:t>）《关于切实加强风险防范严格环境影响评价管理的通知》（环发</w:t>
      </w:r>
      <w:r>
        <w:t>[2012]98</w:t>
      </w:r>
      <w:r>
        <w:rPr>
          <w:rFonts w:hint="eastAsia"/>
        </w:rPr>
        <w:t>号）；</w:t>
      </w:r>
    </w:p>
    <w:p>
      <w:pPr>
        <w:ind w:firstLine="480"/>
      </w:pPr>
      <w:r>
        <w:rPr>
          <w:rFonts w:hint="eastAsia"/>
        </w:rPr>
        <w:t>（</w:t>
      </w:r>
      <w:r>
        <w:t>15</w:t>
      </w:r>
      <w:r>
        <w:rPr>
          <w:rFonts w:hint="eastAsia"/>
        </w:rPr>
        <w:t>）《国务院办公厅转发环境保护部等部门关于加强重金属污染防治工作指导意见的通知》（国办发（</w:t>
      </w:r>
      <w:r>
        <w:t>2009</w:t>
      </w:r>
      <w:r>
        <w:rPr>
          <w:rFonts w:hint="eastAsia"/>
        </w:rPr>
        <w:t>）</w:t>
      </w:r>
      <w:r>
        <w:t>61</w:t>
      </w:r>
      <w:r>
        <w:rPr>
          <w:rFonts w:hint="eastAsia"/>
        </w:rPr>
        <w:t>号）；</w:t>
      </w:r>
    </w:p>
    <w:p>
      <w:pPr>
        <w:pStyle w:val="4"/>
      </w:pPr>
      <w:r>
        <w:rPr>
          <w:rFonts w:hint="eastAsia"/>
        </w:rPr>
        <w:t>技术导则、标准</w:t>
      </w:r>
    </w:p>
    <w:p>
      <w:pPr>
        <w:pStyle w:val="42"/>
      </w:pPr>
      <w:r>
        <w:rPr>
          <w:rFonts w:hint="eastAsia"/>
        </w:rPr>
        <w:t>（</w:t>
      </w:r>
      <w:r>
        <w:t>1</w:t>
      </w:r>
      <w:r>
        <w:rPr>
          <w:rFonts w:hint="eastAsia"/>
        </w:rPr>
        <w:t>）《环境影响评价技术导则总则》（</w:t>
      </w:r>
      <w:r>
        <w:t>HJ2.1</w:t>
      </w:r>
      <w:r>
        <w:rPr>
          <w:rFonts w:hint="eastAsia"/>
        </w:rPr>
        <w:t>－</w:t>
      </w:r>
      <w:r>
        <w:t>2011</w:t>
      </w:r>
      <w:r>
        <w:rPr>
          <w:rFonts w:hint="eastAsia"/>
        </w:rPr>
        <w:t>）；</w:t>
      </w:r>
    </w:p>
    <w:p>
      <w:pPr>
        <w:pStyle w:val="42"/>
      </w:pPr>
      <w:r>
        <w:rPr>
          <w:rFonts w:hint="eastAsia"/>
        </w:rPr>
        <w:t>（</w:t>
      </w:r>
      <w:r>
        <w:t>2</w:t>
      </w:r>
      <w:r>
        <w:rPr>
          <w:rFonts w:hint="eastAsia"/>
        </w:rPr>
        <w:t>）《环境影响评价技术导则大气环境》（</w:t>
      </w:r>
      <w:r>
        <w:t>HJ2.2</w:t>
      </w:r>
      <w:r>
        <w:rPr>
          <w:rFonts w:hint="eastAsia"/>
        </w:rPr>
        <w:t>－</w:t>
      </w:r>
      <w:r>
        <w:t>2008</w:t>
      </w:r>
      <w:r>
        <w:rPr>
          <w:rFonts w:hint="eastAsia"/>
        </w:rPr>
        <w:t>）；</w:t>
      </w:r>
    </w:p>
    <w:p>
      <w:pPr>
        <w:pStyle w:val="42"/>
      </w:pPr>
      <w:r>
        <w:rPr>
          <w:rFonts w:hint="eastAsia"/>
        </w:rPr>
        <w:t>（</w:t>
      </w:r>
      <w:r>
        <w:t>3</w:t>
      </w:r>
      <w:r>
        <w:rPr>
          <w:rFonts w:hint="eastAsia"/>
        </w:rPr>
        <w:t>）《环境影响评价技术导则地面水环境》（</w:t>
      </w:r>
      <w:r>
        <w:t>HJ/T2.3</w:t>
      </w:r>
      <w:r>
        <w:rPr>
          <w:rFonts w:hint="eastAsia"/>
        </w:rPr>
        <w:t>－</w:t>
      </w:r>
      <w:r>
        <w:t>93</w:t>
      </w:r>
      <w:r>
        <w:rPr>
          <w:rFonts w:hint="eastAsia"/>
        </w:rPr>
        <w:t>）；</w:t>
      </w:r>
    </w:p>
    <w:p>
      <w:pPr>
        <w:pStyle w:val="42"/>
      </w:pPr>
      <w:r>
        <w:rPr>
          <w:rFonts w:hint="eastAsia"/>
        </w:rPr>
        <w:t>（</w:t>
      </w:r>
      <w:r>
        <w:t>4</w:t>
      </w:r>
      <w:r>
        <w:rPr>
          <w:rFonts w:hint="eastAsia"/>
        </w:rPr>
        <w:t>）《环境影响评价技术导则声环境》（</w:t>
      </w:r>
      <w:r>
        <w:t>HJ2.4</w:t>
      </w:r>
      <w:r>
        <w:rPr>
          <w:rFonts w:hint="eastAsia"/>
        </w:rPr>
        <w:t>－</w:t>
      </w:r>
      <w:r>
        <w:t>2009</w:t>
      </w:r>
      <w:r>
        <w:rPr>
          <w:rFonts w:hint="eastAsia"/>
        </w:rPr>
        <w:t>）；</w:t>
      </w:r>
    </w:p>
    <w:p>
      <w:pPr>
        <w:pStyle w:val="42"/>
      </w:pPr>
      <w:r>
        <w:rPr>
          <w:rFonts w:hint="eastAsia"/>
        </w:rPr>
        <w:t>（</w:t>
      </w:r>
      <w:r>
        <w:t>5</w:t>
      </w:r>
      <w:r>
        <w:rPr>
          <w:rFonts w:hint="eastAsia"/>
        </w:rPr>
        <w:t>）《环境影响评价技术导则地下水环境》（</w:t>
      </w:r>
      <w:r>
        <w:t>HJ610</w:t>
      </w:r>
      <w:r>
        <w:rPr>
          <w:rFonts w:hint="eastAsia"/>
        </w:rPr>
        <w:t>－</w:t>
      </w:r>
      <w:r>
        <w:t>2016</w:t>
      </w:r>
      <w:r>
        <w:rPr>
          <w:rFonts w:hint="eastAsia"/>
        </w:rPr>
        <w:t>）；</w:t>
      </w:r>
    </w:p>
    <w:p>
      <w:pPr>
        <w:pStyle w:val="42"/>
      </w:pPr>
      <w:r>
        <w:rPr>
          <w:rFonts w:hint="eastAsia"/>
        </w:rPr>
        <w:t>（</w:t>
      </w:r>
      <w:r>
        <w:t>6</w:t>
      </w:r>
      <w:r>
        <w:rPr>
          <w:rFonts w:hint="eastAsia"/>
        </w:rPr>
        <w:t>）《环境影响评价技术导则</w:t>
      </w:r>
      <w:r>
        <w:t>——</w:t>
      </w:r>
      <w:r>
        <w:rPr>
          <w:rFonts w:hint="eastAsia"/>
        </w:rPr>
        <w:t>生态影响》（</w:t>
      </w:r>
      <w:r>
        <w:t>HJ19-2011</w:t>
      </w:r>
      <w:r>
        <w:rPr>
          <w:rFonts w:hint="eastAsia"/>
        </w:rPr>
        <w:t>）；</w:t>
      </w:r>
    </w:p>
    <w:p>
      <w:pPr>
        <w:pStyle w:val="42"/>
      </w:pPr>
      <w:r>
        <w:rPr>
          <w:rFonts w:hint="eastAsia"/>
        </w:rPr>
        <w:t>（</w:t>
      </w:r>
      <w:r>
        <w:t>7</w:t>
      </w:r>
      <w:r>
        <w:rPr>
          <w:rFonts w:hint="eastAsia"/>
        </w:rPr>
        <w:t>）《建设项目环境风险评价技术导则》（</w:t>
      </w:r>
      <w:r>
        <w:t>HJ/T169-2004</w:t>
      </w:r>
      <w:r>
        <w:rPr>
          <w:rFonts w:hint="eastAsia"/>
        </w:rPr>
        <w:t>）；</w:t>
      </w:r>
    </w:p>
    <w:p>
      <w:pPr>
        <w:pStyle w:val="42"/>
      </w:pPr>
      <w:r>
        <w:rPr>
          <w:rFonts w:hint="eastAsia"/>
        </w:rPr>
        <w:t>（</w:t>
      </w:r>
      <w:r>
        <w:t>8</w:t>
      </w:r>
      <w:r>
        <w:rPr>
          <w:rFonts w:hint="eastAsia"/>
        </w:rPr>
        <w:t>）《水体污染防控紧急措施设计导则》（</w:t>
      </w:r>
      <w:r>
        <w:t>HJ2015—2012</w:t>
      </w:r>
      <w:r>
        <w:rPr>
          <w:rFonts w:hint="eastAsia"/>
        </w:rPr>
        <w:t>）；</w:t>
      </w:r>
    </w:p>
    <w:p>
      <w:pPr>
        <w:pStyle w:val="42"/>
      </w:pPr>
      <w:r>
        <w:rPr>
          <w:rFonts w:hint="eastAsia"/>
        </w:rPr>
        <w:t>（</w:t>
      </w:r>
      <w:r>
        <w:t>9</w:t>
      </w:r>
      <w:r>
        <w:rPr>
          <w:rFonts w:hint="eastAsia"/>
        </w:rPr>
        <w:t>）《处置场安全技术规程》（</w:t>
      </w:r>
      <w:r>
        <w:t>AQ2006-2005</w:t>
      </w:r>
      <w:r>
        <w:rPr>
          <w:rFonts w:hint="eastAsia"/>
        </w:rPr>
        <w:t>）。</w:t>
      </w:r>
    </w:p>
    <w:p>
      <w:pPr>
        <w:pStyle w:val="42"/>
        <w:rPr>
          <w:kern w:val="0"/>
        </w:rPr>
      </w:pPr>
      <w:r>
        <w:rPr>
          <w:rFonts w:hint="eastAsia"/>
        </w:rPr>
        <w:t>（</w:t>
      </w:r>
      <w:r>
        <w:t>11</w:t>
      </w:r>
      <w:r>
        <w:rPr>
          <w:rFonts w:hint="eastAsia"/>
        </w:rPr>
        <w:t>）</w:t>
      </w:r>
      <w:r>
        <w:rPr>
          <w:rFonts w:hint="eastAsia"/>
          <w:kern w:val="0"/>
        </w:rPr>
        <w:t>《一般工业固体废物贮存、处置</w:t>
      </w:r>
      <w:r>
        <w:rPr>
          <w:rFonts w:hint="eastAsia"/>
        </w:rPr>
        <w:t>污染物控制标准</w:t>
      </w:r>
      <w:r>
        <w:rPr>
          <w:rFonts w:hint="eastAsia"/>
          <w:kern w:val="0"/>
        </w:rPr>
        <w:t>》（</w:t>
      </w:r>
      <w:r>
        <w:rPr>
          <w:kern w:val="0"/>
        </w:rPr>
        <w:t>GB18599-2001</w:t>
      </w:r>
      <w:r>
        <w:rPr>
          <w:rFonts w:hint="eastAsia"/>
          <w:kern w:val="0"/>
        </w:rPr>
        <w:t>）及</w:t>
      </w:r>
      <w:r>
        <w:rPr>
          <w:kern w:val="0"/>
        </w:rPr>
        <w:t>2013</w:t>
      </w:r>
      <w:r>
        <w:rPr>
          <w:rFonts w:hint="eastAsia"/>
          <w:kern w:val="0"/>
        </w:rPr>
        <w:t>年修改单要求。</w:t>
      </w:r>
    </w:p>
    <w:p>
      <w:pPr>
        <w:pStyle w:val="42"/>
      </w:pPr>
      <w:r>
        <w:rPr>
          <w:rFonts w:hint="eastAsia"/>
        </w:rPr>
        <w:t>（12）《危险废物鉴别标准  浸出毒性鉴别》（GB5085.3-2007）</w:t>
      </w:r>
    </w:p>
    <w:p>
      <w:pPr>
        <w:pStyle w:val="42"/>
        <w:rPr>
          <w:rFonts w:eastAsia="宋体"/>
        </w:rPr>
      </w:pPr>
      <w:r>
        <w:rPr>
          <w:rFonts w:hAnsi="宋体" w:eastAsia="宋体"/>
          <w:szCs w:val="24"/>
        </w:rPr>
        <w:t>（</w:t>
      </w:r>
      <w:r>
        <w:rPr>
          <w:rFonts w:eastAsia="宋体"/>
          <w:szCs w:val="24"/>
        </w:rPr>
        <w:t>13</w:t>
      </w:r>
      <w:r>
        <w:rPr>
          <w:rFonts w:hAnsi="宋体" w:eastAsia="宋体"/>
          <w:szCs w:val="24"/>
        </w:rPr>
        <w:t>）《固体废物</w:t>
      </w:r>
      <w:r>
        <w:rPr>
          <w:rFonts w:eastAsia="宋体"/>
          <w:szCs w:val="24"/>
        </w:rPr>
        <w:t xml:space="preserve"> </w:t>
      </w:r>
      <w:r>
        <w:rPr>
          <w:rFonts w:hAnsi="宋体" w:eastAsia="宋体"/>
          <w:szCs w:val="24"/>
        </w:rPr>
        <w:t>浸出毒性浸出方法</w:t>
      </w:r>
      <w:r>
        <w:rPr>
          <w:rFonts w:eastAsia="宋体"/>
          <w:szCs w:val="24"/>
        </w:rPr>
        <w:t xml:space="preserve"> </w:t>
      </w:r>
      <w:r>
        <w:rPr>
          <w:rFonts w:hAnsi="宋体" w:eastAsia="宋体"/>
          <w:szCs w:val="24"/>
        </w:rPr>
        <w:t>翻转法》（</w:t>
      </w:r>
      <w:r>
        <w:rPr>
          <w:rFonts w:eastAsia="宋体"/>
          <w:szCs w:val="24"/>
        </w:rPr>
        <w:t>GB 5086.1-1997</w:t>
      </w:r>
      <w:r>
        <w:rPr>
          <w:rFonts w:hAnsi="宋体" w:eastAsia="宋体"/>
          <w:szCs w:val="24"/>
        </w:rPr>
        <w:t>）</w:t>
      </w:r>
    </w:p>
    <w:p>
      <w:pPr>
        <w:pStyle w:val="4"/>
      </w:pPr>
      <w:bookmarkStart w:id="29" w:name="_Toc397521458"/>
      <w:r>
        <w:rPr>
          <w:rFonts w:hint="eastAsia"/>
        </w:rPr>
        <w:t>地方性法规、部门规章及规范性文件</w:t>
      </w:r>
      <w:bookmarkEnd w:id="29"/>
    </w:p>
    <w:p>
      <w:pPr>
        <w:ind w:firstLine="480"/>
      </w:pPr>
      <w:r>
        <w:rPr>
          <w:rFonts w:hint="eastAsia"/>
        </w:rPr>
        <w:t>（</w:t>
      </w:r>
      <w:r>
        <w:t>1</w:t>
      </w:r>
      <w:r>
        <w:rPr>
          <w:rFonts w:hint="eastAsia"/>
        </w:rPr>
        <w:t>）《湖南省环境保护条例（修正）》</w:t>
      </w:r>
      <w:r>
        <w:t>2002</w:t>
      </w:r>
      <w:r>
        <w:rPr>
          <w:rFonts w:hint="eastAsia"/>
        </w:rPr>
        <w:t>年</w:t>
      </w:r>
      <w:r>
        <w:t>3</w:t>
      </w:r>
      <w:r>
        <w:rPr>
          <w:rFonts w:hint="eastAsia"/>
        </w:rPr>
        <w:t>月</w:t>
      </w:r>
      <w:r>
        <w:t>9</w:t>
      </w:r>
      <w:r>
        <w:rPr>
          <w:rFonts w:hint="eastAsia"/>
        </w:rPr>
        <w:t>日；</w:t>
      </w:r>
    </w:p>
    <w:p>
      <w:pPr>
        <w:ind w:firstLine="480"/>
      </w:pPr>
      <w:r>
        <w:rPr>
          <w:rFonts w:hint="eastAsia"/>
        </w:rPr>
        <w:t>（</w:t>
      </w:r>
      <w:r>
        <w:t>2</w:t>
      </w:r>
      <w:r>
        <w:rPr>
          <w:rFonts w:hint="eastAsia"/>
        </w:rPr>
        <w:t>）《湖南省建设项目环境保护管理办法》（湖南省人民政府令第</w:t>
      </w:r>
      <w:r>
        <w:t>215</w:t>
      </w:r>
      <w:r>
        <w:rPr>
          <w:rFonts w:hint="eastAsia"/>
        </w:rPr>
        <w:t>号，</w:t>
      </w:r>
      <w:r>
        <w:t>2007</w:t>
      </w:r>
      <w:r>
        <w:rPr>
          <w:rFonts w:hint="eastAsia"/>
        </w:rPr>
        <w:t>年</w:t>
      </w:r>
      <w:r>
        <w:t>10</w:t>
      </w:r>
      <w:r>
        <w:rPr>
          <w:rFonts w:hint="eastAsia"/>
        </w:rPr>
        <w:t>月</w:t>
      </w:r>
      <w:r>
        <w:t>1</w:t>
      </w:r>
      <w:r>
        <w:rPr>
          <w:rFonts w:hint="eastAsia"/>
        </w:rPr>
        <w:t>日）；</w:t>
      </w:r>
    </w:p>
    <w:p>
      <w:pPr>
        <w:ind w:firstLine="480"/>
      </w:pPr>
      <w:r>
        <w:rPr>
          <w:rFonts w:hint="eastAsia"/>
        </w:rPr>
        <w:t>（</w:t>
      </w:r>
      <w:r>
        <w:t>3</w:t>
      </w:r>
      <w:r>
        <w:rPr>
          <w:rFonts w:hint="eastAsia"/>
        </w:rPr>
        <w:t>）《湖南省主要水系地表水环境功能区划》（湖南省环保局、湖南省质监局）；</w:t>
      </w:r>
    </w:p>
    <w:p>
      <w:pPr>
        <w:ind w:firstLine="480"/>
      </w:pPr>
      <w:r>
        <w:rPr>
          <w:rFonts w:hint="eastAsia"/>
        </w:rPr>
        <w:t>（</w:t>
      </w:r>
      <w:r>
        <w:t>4</w:t>
      </w:r>
      <w:r>
        <w:rPr>
          <w:rFonts w:hint="eastAsia"/>
        </w:rPr>
        <w:t>）《湖南省湘江流域水污染防治条例》（</w:t>
      </w:r>
      <w:r>
        <w:t>2002</w:t>
      </w:r>
      <w:r>
        <w:rPr>
          <w:rFonts w:hint="eastAsia"/>
        </w:rPr>
        <w:t>年修订）。</w:t>
      </w:r>
    </w:p>
    <w:p>
      <w:pPr>
        <w:ind w:firstLine="480"/>
      </w:pPr>
      <w:r>
        <w:rPr>
          <w:rFonts w:hint="eastAsia"/>
        </w:rPr>
        <w:t>（</w:t>
      </w:r>
      <w:r>
        <w:t>5</w:t>
      </w:r>
      <w:r>
        <w:rPr>
          <w:rFonts w:hint="eastAsia"/>
        </w:rPr>
        <w:t>）《湖南省重金属污染治理项目管理办法》</w:t>
      </w:r>
    </w:p>
    <w:p>
      <w:pPr>
        <w:ind w:firstLine="480"/>
      </w:pPr>
      <w:r>
        <w:rPr>
          <w:rFonts w:hint="eastAsia"/>
        </w:rPr>
        <w:t>（</w:t>
      </w:r>
      <w:r>
        <w:t>6</w:t>
      </w:r>
      <w:r>
        <w:rPr>
          <w:rFonts w:hint="eastAsia"/>
        </w:rPr>
        <w:t>）“关于印发《湖南省环境保护“十二五”规划》的通知”（</w:t>
      </w:r>
      <w:r>
        <w:t>2012</w:t>
      </w:r>
      <w:r>
        <w:rPr>
          <w:rFonts w:hint="eastAsia"/>
        </w:rPr>
        <w:t>年</w:t>
      </w:r>
      <w:r>
        <w:t>6</w:t>
      </w:r>
      <w:r>
        <w:rPr>
          <w:rFonts w:hint="eastAsia"/>
        </w:rPr>
        <w:t>月</w:t>
      </w:r>
      <w:r>
        <w:t>30</w:t>
      </w:r>
      <w:r>
        <w:rPr>
          <w:rFonts w:hint="eastAsia"/>
        </w:rPr>
        <w:t>日）</w:t>
      </w:r>
    </w:p>
    <w:p>
      <w:pPr>
        <w:ind w:firstLine="480"/>
      </w:pPr>
      <w:r>
        <w:rPr>
          <w:rFonts w:hint="eastAsia"/>
        </w:rPr>
        <w:t>（</w:t>
      </w:r>
      <w:r>
        <w:t>7</w:t>
      </w:r>
      <w:r>
        <w:rPr>
          <w:rFonts w:hint="eastAsia"/>
        </w:rPr>
        <w:t>）《湘江流域重金属污染治理实施方案》</w:t>
      </w:r>
    </w:p>
    <w:p>
      <w:pPr>
        <w:ind w:firstLine="480"/>
        <w:rPr>
          <w:kern w:val="0"/>
        </w:rPr>
      </w:pPr>
      <w:r>
        <w:rPr>
          <w:rFonts w:hint="eastAsia"/>
        </w:rPr>
        <w:t>（</w:t>
      </w:r>
      <w:r>
        <w:t>8</w:t>
      </w:r>
      <w:r>
        <w:rPr>
          <w:rFonts w:hint="eastAsia"/>
        </w:rPr>
        <w:t>）《岳阳市环境保护“十二五”规划》</w:t>
      </w:r>
      <w:r>
        <w:rPr>
          <w:rFonts w:hint="eastAsia"/>
          <w:kern w:val="0"/>
        </w:rPr>
        <w:t>《岳阳市中心城区云溪片区控制性详细规划》；</w:t>
      </w:r>
    </w:p>
    <w:p>
      <w:pPr>
        <w:ind w:firstLine="480"/>
        <w:rPr>
          <w:kern w:val="0"/>
        </w:rPr>
      </w:pPr>
      <w:r>
        <w:rPr>
          <w:rFonts w:hint="eastAsia"/>
          <w:kern w:val="0"/>
        </w:rPr>
        <w:t>（</w:t>
      </w:r>
      <w:r>
        <w:rPr>
          <w:kern w:val="0"/>
        </w:rPr>
        <w:t>9</w:t>
      </w:r>
      <w:r>
        <w:rPr>
          <w:rFonts w:hint="eastAsia"/>
          <w:kern w:val="0"/>
        </w:rPr>
        <w:t>）《岳阳市云溪区城乡统筹总体规划（</w:t>
      </w:r>
      <w:r>
        <w:rPr>
          <w:kern w:val="0"/>
        </w:rPr>
        <w:t>2013-2030</w:t>
      </w:r>
      <w:r>
        <w:rPr>
          <w:rFonts w:hint="eastAsia"/>
          <w:kern w:val="0"/>
        </w:rPr>
        <w:t>）》；</w:t>
      </w:r>
    </w:p>
    <w:p>
      <w:pPr>
        <w:ind w:firstLine="480" w:firstLineChars="0"/>
        <w:rPr>
          <w:kern w:val="0"/>
        </w:rPr>
      </w:pPr>
      <w:r>
        <w:rPr>
          <w:rFonts w:hint="eastAsia"/>
          <w:kern w:val="0"/>
        </w:rPr>
        <w:t>（</w:t>
      </w:r>
      <w:r>
        <w:rPr>
          <w:kern w:val="0"/>
        </w:rPr>
        <w:t>10</w:t>
      </w:r>
      <w:r>
        <w:rPr>
          <w:rFonts w:hint="eastAsia"/>
          <w:kern w:val="0"/>
        </w:rPr>
        <w:t>）《岳阳市人民政府关于印发</w:t>
      </w:r>
      <w:r>
        <w:rPr>
          <w:kern w:val="0"/>
        </w:rPr>
        <w:t>&lt;</w:t>
      </w:r>
      <w:r>
        <w:rPr>
          <w:rFonts w:hint="eastAsia"/>
          <w:kern w:val="0"/>
        </w:rPr>
        <w:t>岳阳市地表水环境功能区划分</w:t>
      </w:r>
      <w:r>
        <w:rPr>
          <w:kern w:val="0"/>
        </w:rPr>
        <w:t>&gt;</w:t>
      </w:r>
      <w:r>
        <w:rPr>
          <w:rFonts w:hint="eastAsia"/>
          <w:kern w:val="0"/>
        </w:rPr>
        <w:t>的通知》岳政办发</w:t>
      </w:r>
      <w:r>
        <w:rPr>
          <w:kern w:val="0"/>
        </w:rPr>
        <w:t>[2010]30</w:t>
      </w:r>
      <w:r>
        <w:rPr>
          <w:rFonts w:hint="eastAsia"/>
          <w:kern w:val="0"/>
        </w:rPr>
        <w:t>号，</w:t>
      </w:r>
      <w:r>
        <w:rPr>
          <w:kern w:val="0"/>
        </w:rPr>
        <w:t>2010</w:t>
      </w:r>
      <w:r>
        <w:rPr>
          <w:rFonts w:hint="eastAsia"/>
          <w:kern w:val="0"/>
        </w:rPr>
        <w:t>年</w:t>
      </w:r>
      <w:r>
        <w:rPr>
          <w:kern w:val="0"/>
        </w:rPr>
        <w:t>11</w:t>
      </w:r>
      <w:r>
        <w:rPr>
          <w:rFonts w:hint="eastAsia"/>
          <w:kern w:val="0"/>
        </w:rPr>
        <w:t>月</w:t>
      </w:r>
      <w:r>
        <w:rPr>
          <w:kern w:val="0"/>
        </w:rPr>
        <w:t>8</w:t>
      </w:r>
      <w:r>
        <w:rPr>
          <w:rFonts w:hint="eastAsia"/>
          <w:kern w:val="0"/>
        </w:rPr>
        <w:t>日</w:t>
      </w:r>
    </w:p>
    <w:p>
      <w:pPr>
        <w:ind w:firstLine="480"/>
        <w:rPr>
          <w:kern w:val="0"/>
        </w:rPr>
      </w:pPr>
      <w:r>
        <w:rPr>
          <w:rFonts w:hint="eastAsia"/>
          <w:kern w:val="0"/>
        </w:rPr>
        <w:t>（</w:t>
      </w:r>
      <w:r>
        <w:rPr>
          <w:kern w:val="0"/>
        </w:rPr>
        <w:t>11</w:t>
      </w:r>
      <w:r>
        <w:rPr>
          <w:rFonts w:hint="eastAsia"/>
          <w:kern w:val="0"/>
        </w:rPr>
        <w:t>）《岳阳市人民政府办公室关于印发岳阳市</w:t>
      </w:r>
      <w:r>
        <w:rPr>
          <w:kern w:val="0"/>
        </w:rPr>
        <w:t>“</w:t>
      </w:r>
      <w:r>
        <w:rPr>
          <w:rFonts w:hint="eastAsia"/>
          <w:kern w:val="0"/>
        </w:rPr>
        <w:t>十二五</w:t>
      </w:r>
      <w:r>
        <w:rPr>
          <w:kern w:val="0"/>
        </w:rPr>
        <w:t>”</w:t>
      </w:r>
      <w:r>
        <w:rPr>
          <w:rFonts w:hint="eastAsia"/>
          <w:kern w:val="0"/>
        </w:rPr>
        <w:t>主要污染物减排计划的通知》，岳政办发</w:t>
      </w:r>
      <w:r>
        <w:rPr>
          <w:kern w:val="0"/>
        </w:rPr>
        <w:t>[2011]24</w:t>
      </w:r>
      <w:r>
        <w:rPr>
          <w:rFonts w:hint="eastAsia"/>
          <w:kern w:val="0"/>
        </w:rPr>
        <w:t>号；</w:t>
      </w:r>
    </w:p>
    <w:p>
      <w:pPr>
        <w:ind w:firstLine="480"/>
      </w:pPr>
      <w:r>
        <w:rPr>
          <w:rFonts w:hint="eastAsia"/>
        </w:rPr>
        <w:t>（</w:t>
      </w:r>
      <w:r>
        <w:t>12</w:t>
      </w:r>
      <w:r>
        <w:rPr>
          <w:rFonts w:hint="eastAsia"/>
        </w:rPr>
        <w:t>）《云溪区土地利用总体规划（</w:t>
      </w:r>
      <w:r>
        <w:t>2006-2020</w:t>
      </w:r>
      <w:r>
        <w:rPr>
          <w:rFonts w:hint="eastAsia"/>
        </w:rPr>
        <w:t>）》</w:t>
      </w:r>
    </w:p>
    <w:p>
      <w:pPr>
        <w:pStyle w:val="4"/>
      </w:pPr>
      <w:bookmarkStart w:id="30" w:name="_Toc397521459"/>
      <w:r>
        <w:rPr>
          <w:rFonts w:hint="eastAsia"/>
        </w:rPr>
        <w:t>项目相关资料</w:t>
      </w:r>
      <w:bookmarkEnd w:id="30"/>
    </w:p>
    <w:p>
      <w:pPr>
        <w:ind w:firstLine="480"/>
        <w:rPr>
          <w:u w:val="single"/>
        </w:rPr>
      </w:pPr>
      <w:r>
        <w:rPr>
          <w:rFonts w:hint="eastAsia"/>
          <w:u w:val="single"/>
        </w:rPr>
        <w:t>（</w:t>
      </w:r>
      <w:r>
        <w:rPr>
          <w:u w:val="single"/>
        </w:rPr>
        <w:t>1</w:t>
      </w:r>
      <w:r>
        <w:rPr>
          <w:rFonts w:hint="eastAsia"/>
          <w:u w:val="single"/>
        </w:rPr>
        <w:t>）《云溪河下游沿岸工业历史遗留固废渣处置项目（变更）技术方案》（广东省环境保护工程研究设计院</w:t>
      </w:r>
      <w:r>
        <w:rPr>
          <w:u w:val="single"/>
        </w:rPr>
        <w:t>2016</w:t>
      </w:r>
      <w:r>
        <w:rPr>
          <w:rFonts w:hint="eastAsia"/>
          <w:u w:val="single"/>
        </w:rPr>
        <w:t>年</w:t>
      </w:r>
      <w:r>
        <w:rPr>
          <w:u w:val="single"/>
        </w:rPr>
        <w:t>7</w:t>
      </w:r>
      <w:r>
        <w:rPr>
          <w:rFonts w:hint="eastAsia"/>
          <w:u w:val="single"/>
        </w:rPr>
        <w:t>月）</w:t>
      </w:r>
    </w:p>
    <w:p>
      <w:pPr>
        <w:ind w:firstLine="480"/>
        <w:rPr>
          <w:u w:val="single"/>
        </w:rPr>
      </w:pPr>
      <w:r>
        <w:rPr>
          <w:rFonts w:hint="eastAsia"/>
          <w:u w:val="single"/>
        </w:rPr>
        <w:t>（2）</w:t>
      </w:r>
      <w:r>
        <w:rPr>
          <w:u w:val="single"/>
        </w:rPr>
        <w:t>《湘江重金属污染治理委员会办公室关于云溪河下游沿岸工业历史遗留固废渣处置项目（变更）技术方案的审查意见》湘重办函[2016]13</w:t>
      </w:r>
      <w:r>
        <w:rPr>
          <w:rFonts w:hAnsi="宋体"/>
          <w:u w:val="single"/>
        </w:rPr>
        <w:t>号</w:t>
      </w:r>
    </w:p>
    <w:p>
      <w:pPr>
        <w:ind w:firstLine="480"/>
        <w:rPr>
          <w:u w:val="single"/>
        </w:rPr>
      </w:pPr>
      <w:r>
        <w:rPr>
          <w:rFonts w:hint="eastAsia"/>
          <w:u w:val="single"/>
        </w:rPr>
        <w:t>（3）</w:t>
      </w:r>
      <w:r>
        <w:rPr>
          <w:u w:val="single"/>
        </w:rPr>
        <w:t>《云溪河下游沿岸工业历史遗留固废渣处理项目环境影响报告表》</w:t>
      </w:r>
      <w:r>
        <w:rPr>
          <w:rFonts w:hint="eastAsia"/>
          <w:u w:val="single"/>
        </w:rPr>
        <w:t>（常德市双赢环境咨询服务有限公司2014年9月）</w:t>
      </w:r>
    </w:p>
    <w:p>
      <w:pPr>
        <w:ind w:firstLine="480"/>
        <w:rPr>
          <w:u w:val="single"/>
        </w:rPr>
      </w:pPr>
      <w:r>
        <w:rPr>
          <w:rFonts w:hint="eastAsia"/>
          <w:u w:val="single"/>
        </w:rPr>
        <w:t>（4）</w:t>
      </w:r>
      <w:r>
        <w:rPr>
          <w:u w:val="single"/>
        </w:rPr>
        <w:t>《云溪河下游沿岸工业历史遗留固废渣处理项目环境影响报告表批复》岳环重评[2014]8</w:t>
      </w:r>
      <w:r>
        <w:rPr>
          <w:rFonts w:hAnsi="宋体"/>
          <w:u w:val="single"/>
        </w:rPr>
        <w:t>号</w:t>
      </w:r>
    </w:p>
    <w:p>
      <w:pPr>
        <w:ind w:firstLine="480"/>
        <w:rPr>
          <w:u w:val="single"/>
        </w:rPr>
      </w:pPr>
      <w:r>
        <w:rPr>
          <w:rFonts w:hint="eastAsia"/>
          <w:u w:val="single"/>
        </w:rPr>
        <w:t>（5）岳阳市云溪区环保局关于本项目执行标准的函。</w:t>
      </w:r>
    </w:p>
    <w:p>
      <w:pPr>
        <w:ind w:firstLine="480"/>
        <w:rPr>
          <w:u w:val="single"/>
        </w:rPr>
      </w:pPr>
      <w:r>
        <w:rPr>
          <w:rFonts w:hint="eastAsia"/>
          <w:u w:val="single"/>
        </w:rPr>
        <w:t>（6）建设单位提供的其他相关资料。</w:t>
      </w:r>
    </w:p>
    <w:p>
      <w:pPr>
        <w:pStyle w:val="3"/>
      </w:pPr>
      <w:bookmarkStart w:id="31" w:name="_Toc397322804"/>
      <w:bookmarkStart w:id="32" w:name="_Toc462818405"/>
      <w:r>
        <w:rPr>
          <w:rFonts w:hint="eastAsia"/>
        </w:rPr>
        <w:t>项目建设的必要性</w:t>
      </w:r>
      <w:bookmarkEnd w:id="31"/>
      <w:bookmarkEnd w:id="32"/>
    </w:p>
    <w:p>
      <w:pPr>
        <w:pStyle w:val="43"/>
        <w:numPr>
          <w:ilvl w:val="0"/>
          <w:numId w:val="2"/>
        </w:numPr>
        <w:ind w:firstLineChars="0"/>
      </w:pPr>
      <w:bookmarkStart w:id="33" w:name="_Toc393965317"/>
      <w:bookmarkStart w:id="34" w:name="_Toc371119378"/>
      <w:r>
        <w:rPr>
          <w:rFonts w:hint="eastAsia"/>
        </w:rPr>
        <w:t>消除云溪河环境安全隐患，保障居民生活安全</w:t>
      </w:r>
      <w:bookmarkEnd w:id="33"/>
      <w:bookmarkEnd w:id="34"/>
    </w:p>
    <w:p>
      <w:pPr>
        <w:ind w:firstLine="480"/>
      </w:pPr>
      <w:r>
        <w:rPr>
          <w:rFonts w:hint="eastAsia"/>
        </w:rPr>
        <w:t>本项目处置的废渣中含有重金属铅、砷、铬等，</w:t>
      </w:r>
      <w:r>
        <w:rPr>
          <w:rFonts w:hint="eastAsia"/>
          <w:kern w:val="24"/>
        </w:rPr>
        <w:t>无序露天堆放，无污染防治措施，在长期日照、风化、雨水淋溶及微生物等作用下，其中的重金属会逐渐溶出，迁移到周围环境中，</w:t>
      </w:r>
      <w:r>
        <w:rPr>
          <w:rFonts w:hint="eastAsia"/>
        </w:rPr>
        <w:t>会对云溪河及周边土壤环境造成污染，当地居民的耕种和粮食安全也将受到严重威胁。受污染的水体严重威胁到当地居民的生产生活、健康和生命安全。为保护云溪河环境，保障居民生活安全，项目建设是十分必要的。</w:t>
      </w:r>
    </w:p>
    <w:p>
      <w:pPr>
        <w:ind w:firstLine="480"/>
      </w:pPr>
      <w:bookmarkStart w:id="35" w:name="_Toc371119377"/>
      <w:bookmarkStart w:id="36" w:name="_Toc393965316"/>
      <w:r>
        <w:rPr>
          <w:rFonts w:hint="eastAsia"/>
        </w:rPr>
        <w:t>②可促进云溪区土地合理利用、拓展云溪区城市发展空间</w:t>
      </w:r>
      <w:bookmarkEnd w:id="35"/>
      <w:bookmarkEnd w:id="36"/>
    </w:p>
    <w:p>
      <w:pPr>
        <w:ind w:firstLine="480"/>
      </w:pPr>
      <w:r>
        <w:rPr>
          <w:rFonts w:hint="eastAsia"/>
        </w:rPr>
        <w:t>根据《云溪区土地利用总体规划（</w:t>
      </w:r>
      <w:r>
        <w:t>2006-2020</w:t>
      </w:r>
      <w:r>
        <w:rPr>
          <w:rFonts w:hint="eastAsia"/>
        </w:rPr>
        <w:t>年）》。该规划将松阳湖云溪河沿岸区域规划为城市建设用地区域，规划在该区域新建商业、住宅、道路、公共绿地等设施。</w:t>
      </w:r>
    </w:p>
    <w:p>
      <w:pPr>
        <w:ind w:firstLine="480"/>
      </w:pPr>
      <w:r>
        <w:rPr>
          <w:rFonts w:hint="eastAsia"/>
        </w:rPr>
        <w:t>重金属废渣的存在限制着城市的发展，使其不能满足调整后规划进行的商业、住宅、公共设施的建设用地要求。如不进行治理，将对按规划实施的工程设施和人民群众带来污染风险，严重制约土地的合理开发利用和城市的有序发展。因此，对云溪河下游沿岸的重金属废渣进行治理具有必要性。</w:t>
      </w:r>
    </w:p>
    <w:p>
      <w:pPr>
        <w:ind w:firstLine="480"/>
      </w:pPr>
      <w:bookmarkStart w:id="37" w:name="_Toc371119379"/>
      <w:bookmarkStart w:id="38" w:name="_Toc393965318"/>
      <w:r>
        <w:rPr>
          <w:rFonts w:hint="eastAsia"/>
        </w:rPr>
        <w:t>③可促进云溪区环境保护和区域经济的可持续发展</w:t>
      </w:r>
      <w:bookmarkEnd w:id="37"/>
      <w:bookmarkEnd w:id="38"/>
    </w:p>
    <w:p>
      <w:pPr>
        <w:ind w:firstLine="480"/>
      </w:pPr>
      <w:r>
        <w:rPr>
          <w:rFonts w:hint="eastAsia"/>
        </w:rPr>
        <w:t>《岳阳市国民经济与社会发展十二五规划》中提出了要加快建设现代生态宜居城市，其重点建设内容包括：加强生态环境治理和保护、坚持环境优先原则、大力推进</w:t>
      </w:r>
      <w:r>
        <w:t>“</w:t>
      </w:r>
      <w:r>
        <w:rPr>
          <w:rFonts w:hint="eastAsia"/>
        </w:rPr>
        <w:t>清水蓝天</w:t>
      </w:r>
      <w:r>
        <w:t>”</w:t>
      </w:r>
      <w:r>
        <w:rPr>
          <w:rFonts w:hint="eastAsia"/>
        </w:rPr>
        <w:t>工程、积极实施湘江流域重金属污染综合整治工程、积极推进云溪河和松阳湖区域水环境治理工程。根据《云溪区土地利用总体规划（</w:t>
      </w:r>
      <w:r>
        <w:t>2006-2020</w:t>
      </w:r>
      <w:r>
        <w:rPr>
          <w:rFonts w:hint="eastAsia"/>
        </w:rPr>
        <w:t>年）》，云溪河沿岸区域将成为云溪区未来的主城区范围，废渣堆的存在限制着云溪区招商引资和城市建设并制约了云溪区区域经济的持续发展。</w:t>
      </w:r>
    </w:p>
    <w:p>
      <w:pPr>
        <w:ind w:firstLine="480"/>
      </w:pPr>
      <w:r>
        <w:rPr>
          <w:rFonts w:hint="eastAsia"/>
        </w:rPr>
        <w:t>④促进云溪河流域的污染治理</w:t>
      </w:r>
    </w:p>
    <w:p>
      <w:pPr>
        <w:ind w:firstLine="480"/>
      </w:pPr>
      <w:r>
        <w:rPr>
          <w:rFonts w:hint="eastAsia"/>
        </w:rPr>
        <w:t>本项目将对云溪河下游老虎嘴、抓埠市等五个片区的重金属污染废渣进行治理。因此，本项目的顺利实施将为云溪河乃至松阳湖其他地区污染治理工作的开展起到良好的示范作用。</w:t>
      </w:r>
    </w:p>
    <w:p>
      <w:pPr>
        <w:ind w:firstLine="480"/>
      </w:pPr>
      <w:r>
        <w:rPr>
          <w:rFonts w:hint="eastAsia"/>
        </w:rPr>
        <w:t>⑤促进湘江流域重金属污染治理</w:t>
      </w:r>
    </w:p>
    <w:p>
      <w:pPr>
        <w:ind w:firstLine="480"/>
      </w:pPr>
      <w:r>
        <w:rPr>
          <w:rFonts w:hint="eastAsia"/>
        </w:rPr>
        <w:t>云溪河水体通过池口汇入东洞庭湖，影响到洞庭湖与湘江水域水体安全。本项目已纳入《湘江流域重金属污染治理实施方案》规划项目库（历史遗留重金属污染治理）之中，项目的实施对落实《湘江流域重金属污染治理规划》、解决湘江流域重金属污染问题、缓解长江中下游重金属污染问题十分重要。</w:t>
      </w:r>
    </w:p>
    <w:p>
      <w:pPr>
        <w:ind w:firstLine="480"/>
      </w:pPr>
      <w:r>
        <w:rPr>
          <w:rFonts w:hint="eastAsia"/>
        </w:rPr>
        <w:t>综上所述，本项目的实施，对于消除松阳湖流域乃至湘江流域重金属污染安全隐患、促进土地合理利用开发、拓展城市发展空间、改善云溪区环境质量、保障居民人身安全和身体健康、保护周边自然生态、维持社会稳定与促进可持续发展意义重大，因此，项目建设刻不容缓。</w:t>
      </w:r>
    </w:p>
    <w:p>
      <w:pPr>
        <w:pStyle w:val="3"/>
        <w:tabs>
          <w:tab w:val="left" w:pos="567"/>
        </w:tabs>
        <w:ind w:left="567" w:hanging="567"/>
        <w:jc w:val="both"/>
      </w:pPr>
      <w:bookmarkStart w:id="39" w:name="_Toc397521467"/>
      <w:bookmarkStart w:id="40" w:name="_Toc462818406"/>
      <w:r>
        <w:rPr>
          <w:rFonts w:hint="eastAsia"/>
        </w:rPr>
        <w:t>环境影响评价因子</w:t>
      </w:r>
      <w:bookmarkEnd w:id="39"/>
      <w:r>
        <w:rPr>
          <w:rFonts w:hint="eastAsia"/>
        </w:rPr>
        <w:t>与评价标准</w:t>
      </w:r>
      <w:bookmarkEnd w:id="40"/>
    </w:p>
    <w:p>
      <w:pPr>
        <w:pStyle w:val="4"/>
      </w:pPr>
      <w:r>
        <w:rPr>
          <w:rFonts w:hint="eastAsia"/>
        </w:rPr>
        <w:t>建设项目影响环境要素程度识别</w:t>
      </w:r>
    </w:p>
    <w:p>
      <w:pPr>
        <w:ind w:firstLine="480"/>
      </w:pPr>
      <w:r>
        <w:rPr>
          <w:rFonts w:hint="eastAsia"/>
        </w:rPr>
        <w:t>本项目建设分施工期、运行期和封场期三个阶段。</w:t>
      </w:r>
    </w:p>
    <w:p>
      <w:pPr>
        <w:ind w:firstLine="480"/>
      </w:pPr>
      <w:r>
        <w:rPr>
          <w:rFonts w:hint="eastAsia"/>
        </w:rPr>
        <w:t>根据建设项目的工程分析及污染物排放特点，结合当地的环境要素，采用工程影响环境要素与影响程度识别表，对建设项目影响环境的程度进行识别。识别结果见表</w:t>
      </w:r>
      <w:r>
        <w:t>1.3-1</w:t>
      </w:r>
      <w:r>
        <w:rPr>
          <w:rFonts w:hint="eastAsia"/>
        </w:rPr>
        <w:t>。</w:t>
      </w:r>
    </w:p>
    <w:p>
      <w:pPr>
        <w:pStyle w:val="14"/>
        <w:sectPr>
          <w:footerReference r:id="rId10" w:type="default"/>
          <w:pgSz w:w="11906" w:h="16838"/>
          <w:pgMar w:top="1440" w:right="1800" w:bottom="1440" w:left="1800" w:header="851" w:footer="992" w:gutter="0"/>
          <w:paperSrc w:first="15" w:other="15"/>
          <w:pgNumType w:start="1"/>
          <w:cols w:space="720" w:num="1"/>
          <w:docGrid w:type="linesAndChars" w:linePitch="312" w:charSpace="0"/>
        </w:sectPr>
      </w:pPr>
    </w:p>
    <w:p>
      <w:pPr>
        <w:pStyle w:val="14"/>
        <w:jc w:val="both"/>
      </w:pP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建设项目工程因素与影响程度识别</w:t>
      </w:r>
    </w:p>
    <w:tbl>
      <w:tblPr>
        <w:tblStyle w:val="35"/>
        <w:tblW w:w="1417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11"/>
        <w:gridCol w:w="517"/>
        <w:gridCol w:w="511"/>
        <w:gridCol w:w="511"/>
        <w:gridCol w:w="514"/>
        <w:gridCol w:w="514"/>
        <w:gridCol w:w="524"/>
        <w:gridCol w:w="519"/>
        <w:gridCol w:w="513"/>
        <w:gridCol w:w="513"/>
        <w:gridCol w:w="513"/>
        <w:gridCol w:w="513"/>
        <w:gridCol w:w="513"/>
        <w:gridCol w:w="634"/>
        <w:gridCol w:w="18"/>
        <w:gridCol w:w="506"/>
        <w:gridCol w:w="524"/>
        <w:gridCol w:w="513"/>
        <w:gridCol w:w="513"/>
        <w:gridCol w:w="513"/>
        <w:gridCol w:w="513"/>
        <w:gridCol w:w="603"/>
        <w:gridCol w:w="31"/>
        <w:gridCol w:w="513"/>
        <w:gridCol w:w="524"/>
        <w:gridCol w:w="524"/>
        <w:gridCol w:w="524"/>
        <w:gridCol w:w="513"/>
        <w:gridCol w:w="52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21" w:hRule="atLeast"/>
          <w:jc w:val="center"/>
        </w:trPr>
        <w:tc>
          <w:tcPr>
            <w:tcW w:w="1028" w:type="dxa"/>
            <w:gridSpan w:val="2"/>
            <w:vMerge w:val="restart"/>
            <w:tcBorders>
              <w:top w:val="single" w:color="auto" w:sz="12" w:space="0"/>
            </w:tcBorders>
            <w:vAlign w:val="center"/>
          </w:tcPr>
          <w:p>
            <w:pPr>
              <w:pStyle w:val="37"/>
            </w:pPr>
            <w:r>
              <w:rPr>
                <w:rFonts w:hint="eastAsia"/>
              </w:rPr>
              <w:t>环境资源</w:t>
            </w:r>
          </w:p>
          <w:p>
            <w:pPr>
              <w:pStyle w:val="37"/>
            </w:pPr>
            <w:r>
              <w:rPr>
                <w:rFonts w:hint="eastAsia"/>
              </w:rPr>
              <w:t>项目阶段</w:t>
            </w:r>
          </w:p>
        </w:tc>
        <w:tc>
          <w:tcPr>
            <w:tcW w:w="3093" w:type="dxa"/>
            <w:gridSpan w:val="6"/>
            <w:tcBorders>
              <w:top w:val="single" w:color="auto" w:sz="12" w:space="0"/>
            </w:tcBorders>
            <w:vAlign w:val="center"/>
          </w:tcPr>
          <w:p>
            <w:pPr>
              <w:pStyle w:val="37"/>
            </w:pPr>
            <w:r>
              <w:rPr>
                <w:rFonts w:hint="eastAsia"/>
              </w:rPr>
              <w:t>自　然　资　源</w:t>
            </w:r>
          </w:p>
        </w:tc>
        <w:tc>
          <w:tcPr>
            <w:tcW w:w="3217" w:type="dxa"/>
            <w:gridSpan w:val="7"/>
            <w:tcBorders>
              <w:top w:val="single" w:color="auto" w:sz="12" w:space="0"/>
            </w:tcBorders>
            <w:vAlign w:val="center"/>
          </w:tcPr>
          <w:p>
            <w:pPr>
              <w:pStyle w:val="37"/>
            </w:pPr>
            <w:r>
              <w:rPr>
                <w:rFonts w:hint="eastAsia"/>
              </w:rPr>
              <w:t>生　态　环　境</w:t>
            </w:r>
          </w:p>
        </w:tc>
        <w:tc>
          <w:tcPr>
            <w:tcW w:w="3685" w:type="dxa"/>
            <w:gridSpan w:val="7"/>
            <w:tcBorders>
              <w:top w:val="single" w:color="auto" w:sz="12" w:space="0"/>
            </w:tcBorders>
            <w:vAlign w:val="center"/>
          </w:tcPr>
          <w:p>
            <w:pPr>
              <w:pStyle w:val="37"/>
            </w:pPr>
            <w:r>
              <w:rPr>
                <w:rFonts w:hint="eastAsia"/>
              </w:rPr>
              <w:t>社　会　环　境</w:t>
            </w:r>
          </w:p>
        </w:tc>
        <w:tc>
          <w:tcPr>
            <w:tcW w:w="3151" w:type="dxa"/>
            <w:gridSpan w:val="7"/>
            <w:tcBorders>
              <w:top w:val="single" w:color="auto" w:sz="12" w:space="0"/>
            </w:tcBorders>
            <w:vAlign w:val="center"/>
          </w:tcPr>
          <w:p>
            <w:pPr>
              <w:pStyle w:val="37"/>
            </w:pPr>
            <w:r>
              <w:rPr>
                <w:rFonts w:hint="eastAsia"/>
              </w:rPr>
              <w:t>生　活　质　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58" w:hRule="atLeast"/>
          <w:jc w:val="center"/>
        </w:trPr>
        <w:tc>
          <w:tcPr>
            <w:tcW w:w="1028" w:type="dxa"/>
            <w:gridSpan w:val="2"/>
            <w:vMerge w:val="continue"/>
            <w:vAlign w:val="center"/>
          </w:tcPr>
          <w:p>
            <w:pPr>
              <w:pStyle w:val="37"/>
            </w:pPr>
          </w:p>
        </w:tc>
        <w:tc>
          <w:tcPr>
            <w:tcW w:w="511" w:type="dxa"/>
            <w:vAlign w:val="center"/>
          </w:tcPr>
          <w:p>
            <w:pPr>
              <w:pStyle w:val="37"/>
            </w:pPr>
            <w:r>
              <w:rPr>
                <w:rFonts w:hint="eastAsia"/>
              </w:rPr>
              <w:t>水土流失</w:t>
            </w:r>
          </w:p>
        </w:tc>
        <w:tc>
          <w:tcPr>
            <w:tcW w:w="511" w:type="dxa"/>
            <w:vAlign w:val="center"/>
          </w:tcPr>
          <w:p>
            <w:pPr>
              <w:pStyle w:val="37"/>
            </w:pPr>
            <w:r>
              <w:rPr>
                <w:rFonts w:hint="eastAsia"/>
              </w:rPr>
              <w:t>地下水质</w:t>
            </w:r>
          </w:p>
        </w:tc>
        <w:tc>
          <w:tcPr>
            <w:tcW w:w="514" w:type="dxa"/>
            <w:vAlign w:val="center"/>
          </w:tcPr>
          <w:p>
            <w:pPr>
              <w:pStyle w:val="37"/>
            </w:pPr>
            <w:r>
              <w:rPr>
                <w:rFonts w:hint="eastAsia"/>
              </w:rPr>
              <w:t>地表水文</w:t>
            </w:r>
          </w:p>
        </w:tc>
        <w:tc>
          <w:tcPr>
            <w:tcW w:w="514" w:type="dxa"/>
            <w:vAlign w:val="center"/>
          </w:tcPr>
          <w:p>
            <w:pPr>
              <w:pStyle w:val="37"/>
            </w:pPr>
            <w:r>
              <w:rPr>
                <w:rFonts w:hint="eastAsia"/>
              </w:rPr>
              <w:t>地表水质</w:t>
            </w:r>
          </w:p>
        </w:tc>
        <w:tc>
          <w:tcPr>
            <w:tcW w:w="524" w:type="dxa"/>
            <w:vAlign w:val="center"/>
          </w:tcPr>
          <w:p>
            <w:pPr>
              <w:pStyle w:val="37"/>
            </w:pPr>
            <w:r>
              <w:rPr>
                <w:rFonts w:hint="eastAsia"/>
              </w:rPr>
              <w:t>环境空气</w:t>
            </w:r>
          </w:p>
        </w:tc>
        <w:tc>
          <w:tcPr>
            <w:tcW w:w="519" w:type="dxa"/>
            <w:vAlign w:val="center"/>
          </w:tcPr>
          <w:p>
            <w:pPr>
              <w:pStyle w:val="37"/>
            </w:pPr>
            <w:r>
              <w:rPr>
                <w:rFonts w:hint="eastAsia"/>
              </w:rPr>
              <w:t>声环境</w:t>
            </w:r>
          </w:p>
        </w:tc>
        <w:tc>
          <w:tcPr>
            <w:tcW w:w="513" w:type="dxa"/>
            <w:vAlign w:val="center"/>
          </w:tcPr>
          <w:p>
            <w:pPr>
              <w:pStyle w:val="37"/>
            </w:pPr>
            <w:r>
              <w:rPr>
                <w:rFonts w:hint="eastAsia"/>
              </w:rPr>
              <w:t>农田植物</w:t>
            </w:r>
          </w:p>
        </w:tc>
        <w:tc>
          <w:tcPr>
            <w:tcW w:w="513" w:type="dxa"/>
            <w:vAlign w:val="center"/>
          </w:tcPr>
          <w:p>
            <w:pPr>
              <w:pStyle w:val="37"/>
            </w:pPr>
            <w:r>
              <w:rPr>
                <w:rFonts w:hint="eastAsia"/>
              </w:rPr>
              <w:t>森林植被</w:t>
            </w:r>
          </w:p>
        </w:tc>
        <w:tc>
          <w:tcPr>
            <w:tcW w:w="513" w:type="dxa"/>
            <w:vAlign w:val="center"/>
          </w:tcPr>
          <w:p>
            <w:pPr>
              <w:pStyle w:val="37"/>
            </w:pPr>
            <w:r>
              <w:rPr>
                <w:rFonts w:hint="eastAsia"/>
              </w:rPr>
              <w:t>野生动物</w:t>
            </w:r>
          </w:p>
        </w:tc>
        <w:tc>
          <w:tcPr>
            <w:tcW w:w="513" w:type="dxa"/>
            <w:vAlign w:val="center"/>
          </w:tcPr>
          <w:p>
            <w:pPr>
              <w:pStyle w:val="37"/>
            </w:pPr>
            <w:r>
              <w:rPr>
                <w:rFonts w:hint="eastAsia"/>
              </w:rPr>
              <w:t>水生动物</w:t>
            </w:r>
          </w:p>
        </w:tc>
        <w:tc>
          <w:tcPr>
            <w:tcW w:w="513" w:type="dxa"/>
            <w:vAlign w:val="center"/>
          </w:tcPr>
          <w:p>
            <w:pPr>
              <w:pStyle w:val="37"/>
            </w:pPr>
            <w:r>
              <w:rPr>
                <w:rFonts w:hint="eastAsia"/>
              </w:rPr>
              <w:t>濒危动物</w:t>
            </w:r>
          </w:p>
        </w:tc>
        <w:tc>
          <w:tcPr>
            <w:tcW w:w="634" w:type="dxa"/>
            <w:vAlign w:val="center"/>
          </w:tcPr>
          <w:p>
            <w:pPr>
              <w:pStyle w:val="37"/>
            </w:pPr>
            <w:r>
              <w:rPr>
                <w:rFonts w:hint="eastAsia"/>
              </w:rPr>
              <w:t>渔业养殖</w:t>
            </w:r>
          </w:p>
        </w:tc>
        <w:tc>
          <w:tcPr>
            <w:tcW w:w="524" w:type="dxa"/>
            <w:gridSpan w:val="2"/>
            <w:vAlign w:val="center"/>
          </w:tcPr>
          <w:p>
            <w:pPr>
              <w:pStyle w:val="37"/>
            </w:pPr>
            <w:r>
              <w:rPr>
                <w:rFonts w:hint="eastAsia"/>
              </w:rPr>
              <w:t>土地利用</w:t>
            </w:r>
          </w:p>
        </w:tc>
        <w:tc>
          <w:tcPr>
            <w:tcW w:w="524" w:type="dxa"/>
            <w:vAlign w:val="center"/>
          </w:tcPr>
          <w:p>
            <w:pPr>
              <w:pStyle w:val="37"/>
            </w:pPr>
            <w:r>
              <w:rPr>
                <w:rFonts w:hint="eastAsia"/>
              </w:rPr>
              <w:t>工业发展</w:t>
            </w:r>
          </w:p>
        </w:tc>
        <w:tc>
          <w:tcPr>
            <w:tcW w:w="513" w:type="dxa"/>
            <w:vAlign w:val="center"/>
          </w:tcPr>
          <w:p>
            <w:pPr>
              <w:pStyle w:val="37"/>
            </w:pPr>
            <w:r>
              <w:rPr>
                <w:rFonts w:hint="eastAsia"/>
              </w:rPr>
              <w:t>农业发展</w:t>
            </w:r>
          </w:p>
        </w:tc>
        <w:tc>
          <w:tcPr>
            <w:tcW w:w="513" w:type="dxa"/>
            <w:vAlign w:val="center"/>
          </w:tcPr>
          <w:p>
            <w:pPr>
              <w:pStyle w:val="37"/>
            </w:pPr>
            <w:r>
              <w:rPr>
                <w:rFonts w:hint="eastAsia"/>
              </w:rPr>
              <w:t>供</w:t>
            </w:r>
          </w:p>
          <w:p>
            <w:pPr>
              <w:pStyle w:val="37"/>
            </w:pPr>
          </w:p>
          <w:p>
            <w:pPr>
              <w:pStyle w:val="37"/>
            </w:pPr>
          </w:p>
          <w:p>
            <w:pPr>
              <w:pStyle w:val="37"/>
            </w:pPr>
            <w:r>
              <w:rPr>
                <w:rFonts w:hint="eastAsia"/>
              </w:rPr>
              <w:t>水</w:t>
            </w:r>
          </w:p>
        </w:tc>
        <w:tc>
          <w:tcPr>
            <w:tcW w:w="513" w:type="dxa"/>
            <w:vAlign w:val="center"/>
          </w:tcPr>
          <w:p>
            <w:pPr>
              <w:pStyle w:val="37"/>
            </w:pPr>
            <w:r>
              <w:rPr>
                <w:rFonts w:hint="eastAsia"/>
              </w:rPr>
              <w:t>交</w:t>
            </w:r>
          </w:p>
          <w:p>
            <w:pPr>
              <w:pStyle w:val="37"/>
            </w:pPr>
          </w:p>
          <w:p>
            <w:pPr>
              <w:pStyle w:val="37"/>
            </w:pPr>
          </w:p>
          <w:p>
            <w:pPr>
              <w:pStyle w:val="37"/>
            </w:pPr>
            <w:r>
              <w:rPr>
                <w:rFonts w:hint="eastAsia"/>
              </w:rPr>
              <w:t>通</w:t>
            </w:r>
          </w:p>
        </w:tc>
        <w:tc>
          <w:tcPr>
            <w:tcW w:w="513" w:type="dxa"/>
            <w:vAlign w:val="center"/>
          </w:tcPr>
          <w:p>
            <w:pPr>
              <w:pStyle w:val="37"/>
            </w:pPr>
            <w:r>
              <w:rPr>
                <w:rFonts w:hint="eastAsia"/>
              </w:rPr>
              <w:t>燃料结构</w:t>
            </w:r>
          </w:p>
        </w:tc>
        <w:tc>
          <w:tcPr>
            <w:tcW w:w="634" w:type="dxa"/>
            <w:gridSpan w:val="2"/>
            <w:vAlign w:val="center"/>
          </w:tcPr>
          <w:p>
            <w:pPr>
              <w:pStyle w:val="37"/>
            </w:pPr>
            <w:r>
              <w:rPr>
                <w:rFonts w:hint="eastAsia"/>
              </w:rPr>
              <w:t>节约能源</w:t>
            </w:r>
          </w:p>
        </w:tc>
        <w:tc>
          <w:tcPr>
            <w:tcW w:w="513" w:type="dxa"/>
            <w:vAlign w:val="center"/>
          </w:tcPr>
          <w:p>
            <w:pPr>
              <w:pStyle w:val="37"/>
            </w:pPr>
            <w:r>
              <w:rPr>
                <w:rFonts w:hint="eastAsia"/>
              </w:rPr>
              <w:t>美学旅游</w:t>
            </w:r>
          </w:p>
        </w:tc>
        <w:tc>
          <w:tcPr>
            <w:tcW w:w="524" w:type="dxa"/>
            <w:vAlign w:val="center"/>
          </w:tcPr>
          <w:p>
            <w:pPr>
              <w:pStyle w:val="37"/>
            </w:pPr>
            <w:r>
              <w:rPr>
                <w:rFonts w:hint="eastAsia"/>
              </w:rPr>
              <w:t>健康安全</w:t>
            </w:r>
          </w:p>
        </w:tc>
        <w:tc>
          <w:tcPr>
            <w:tcW w:w="524" w:type="dxa"/>
            <w:vAlign w:val="center"/>
          </w:tcPr>
          <w:p>
            <w:pPr>
              <w:pStyle w:val="37"/>
            </w:pPr>
            <w:r>
              <w:rPr>
                <w:rFonts w:hint="eastAsia"/>
              </w:rPr>
              <w:t>社会经济</w:t>
            </w:r>
          </w:p>
        </w:tc>
        <w:tc>
          <w:tcPr>
            <w:tcW w:w="524" w:type="dxa"/>
            <w:vAlign w:val="center"/>
          </w:tcPr>
          <w:p>
            <w:pPr>
              <w:pStyle w:val="37"/>
            </w:pPr>
            <w:r>
              <w:rPr>
                <w:rFonts w:hint="eastAsia"/>
              </w:rPr>
              <w:t>娱</w:t>
            </w:r>
          </w:p>
          <w:p>
            <w:pPr>
              <w:pStyle w:val="37"/>
            </w:pPr>
            <w:r>
              <w:rPr>
                <w:rFonts w:hint="eastAsia"/>
              </w:rPr>
              <w:t>乐</w:t>
            </w:r>
          </w:p>
        </w:tc>
        <w:tc>
          <w:tcPr>
            <w:tcW w:w="513" w:type="dxa"/>
            <w:vAlign w:val="center"/>
          </w:tcPr>
          <w:p>
            <w:pPr>
              <w:pStyle w:val="37"/>
            </w:pPr>
            <w:r>
              <w:rPr>
                <w:rFonts w:hint="eastAsia"/>
              </w:rPr>
              <w:t>文物古迹</w:t>
            </w:r>
          </w:p>
        </w:tc>
        <w:tc>
          <w:tcPr>
            <w:tcW w:w="522" w:type="dxa"/>
            <w:vAlign w:val="center"/>
          </w:tcPr>
          <w:p>
            <w:pPr>
              <w:pStyle w:val="37"/>
            </w:pPr>
            <w:r>
              <w:rPr>
                <w:rFonts w:hint="eastAsia"/>
              </w:rPr>
              <w:t>生活水平</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1319" w:hRule="atLeast"/>
          <w:jc w:val="center"/>
        </w:trPr>
        <w:tc>
          <w:tcPr>
            <w:tcW w:w="511" w:type="dxa"/>
            <w:vMerge w:val="restart"/>
            <w:vAlign w:val="center"/>
          </w:tcPr>
          <w:p>
            <w:pPr>
              <w:pStyle w:val="37"/>
            </w:pPr>
            <w:r>
              <w:rPr>
                <w:rFonts w:hint="eastAsia"/>
              </w:rPr>
              <w:t>施工期</w:t>
            </w:r>
          </w:p>
        </w:tc>
        <w:tc>
          <w:tcPr>
            <w:tcW w:w="517" w:type="dxa"/>
            <w:vAlign w:val="center"/>
          </w:tcPr>
          <w:p>
            <w:pPr>
              <w:pStyle w:val="37"/>
            </w:pPr>
            <w:r>
              <w:rPr>
                <w:rFonts w:hint="eastAsia"/>
              </w:rPr>
              <w:t>地面挖掘</w:t>
            </w:r>
          </w:p>
        </w:tc>
        <w:tc>
          <w:tcPr>
            <w:tcW w:w="511" w:type="dxa"/>
            <w:vAlign w:val="center"/>
          </w:tcPr>
          <w:p>
            <w:pPr>
              <w:pStyle w:val="37"/>
            </w:pPr>
            <w:r>
              <w:t>-1</w:t>
            </w: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-1</w:t>
            </w:r>
          </w:p>
        </w:tc>
        <w:tc>
          <w:tcPr>
            <w:tcW w:w="519" w:type="dxa"/>
            <w:vAlign w:val="center"/>
          </w:tcPr>
          <w:p>
            <w:pPr>
              <w:pStyle w:val="37"/>
            </w:pPr>
            <w:r>
              <w:t>-1</w:t>
            </w: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运　　输</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-1</w:t>
            </w: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r>
              <w:t>+1</w:t>
            </w: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安装建设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r>
              <w:t>-1</w:t>
            </w: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r>
              <w:t>+1</w:t>
            </w: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材料堆存</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小结</w:t>
            </w:r>
          </w:p>
        </w:tc>
        <w:tc>
          <w:tcPr>
            <w:tcW w:w="511" w:type="dxa"/>
            <w:vAlign w:val="center"/>
          </w:tcPr>
          <w:p>
            <w:pPr>
              <w:pStyle w:val="37"/>
            </w:pPr>
            <w:r>
              <w:t>-1</w:t>
            </w: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-2</w:t>
            </w:r>
          </w:p>
        </w:tc>
        <w:tc>
          <w:tcPr>
            <w:tcW w:w="519" w:type="dxa"/>
            <w:vAlign w:val="center"/>
          </w:tcPr>
          <w:p>
            <w:pPr>
              <w:pStyle w:val="37"/>
            </w:pPr>
            <w:r>
              <w:t>-2</w:t>
            </w: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r>
              <w:t>+2</w:t>
            </w: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restart"/>
            <w:vAlign w:val="center"/>
          </w:tcPr>
          <w:p>
            <w:pPr>
              <w:pStyle w:val="37"/>
            </w:pPr>
            <w:r>
              <w:rPr>
                <w:rFonts w:hint="eastAsia"/>
              </w:rPr>
              <w:t>运行期</w:t>
            </w:r>
          </w:p>
        </w:tc>
        <w:tc>
          <w:tcPr>
            <w:tcW w:w="517" w:type="dxa"/>
            <w:vAlign w:val="center"/>
          </w:tcPr>
          <w:p>
            <w:pPr>
              <w:pStyle w:val="37"/>
            </w:pPr>
            <w:r>
              <w:rPr>
                <w:rFonts w:hint="eastAsia"/>
              </w:rPr>
              <w:t>废水排放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废气排放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-1</w:t>
            </w: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噪　　声</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固废排放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就业</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r>
              <w:t>+1</w:t>
            </w:r>
          </w:p>
        </w:tc>
        <w:tc>
          <w:tcPr>
            <w:tcW w:w="524" w:type="dxa"/>
            <w:vAlign w:val="center"/>
          </w:tcPr>
          <w:p>
            <w:pPr>
              <w:pStyle w:val="37"/>
            </w:pPr>
            <w:r>
              <w:t>+1</w:t>
            </w: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r>
              <w:t>+1</w:t>
            </w:r>
          </w:p>
        </w:tc>
        <w:tc>
          <w:tcPr>
            <w:tcW w:w="524" w:type="dxa"/>
            <w:vAlign w:val="center"/>
          </w:tcPr>
          <w:p>
            <w:pPr>
              <w:pStyle w:val="37"/>
            </w:pPr>
            <w:r>
              <w:t>+1</w:t>
            </w:r>
          </w:p>
        </w:tc>
        <w:tc>
          <w:tcPr>
            <w:tcW w:w="524" w:type="dxa"/>
            <w:vAlign w:val="center"/>
          </w:tcPr>
          <w:p>
            <w:pPr>
              <w:pStyle w:val="37"/>
            </w:pPr>
            <w:r>
              <w:t>+1</w:t>
            </w:r>
          </w:p>
        </w:tc>
        <w:tc>
          <w:tcPr>
            <w:tcW w:w="513" w:type="dxa"/>
            <w:vAlign w:val="center"/>
          </w:tcPr>
          <w:p>
            <w:pPr>
              <w:pStyle w:val="37"/>
            </w:pPr>
          </w:p>
        </w:tc>
        <w:tc>
          <w:tcPr>
            <w:tcW w:w="522" w:type="dxa"/>
            <w:vAlign w:val="center"/>
          </w:tcPr>
          <w:p>
            <w:pPr>
              <w:pStyle w:val="37"/>
            </w:pPr>
            <w: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小结</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-1</w:t>
            </w: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r>
              <w:t>+1</w:t>
            </w:r>
          </w:p>
        </w:tc>
        <w:tc>
          <w:tcPr>
            <w:tcW w:w="524" w:type="dxa"/>
            <w:vAlign w:val="center"/>
          </w:tcPr>
          <w:p>
            <w:pPr>
              <w:pStyle w:val="37"/>
            </w:pPr>
            <w:r>
              <w:t>+1</w:t>
            </w: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r>
              <w:t>+1</w:t>
            </w:r>
          </w:p>
        </w:tc>
        <w:tc>
          <w:tcPr>
            <w:tcW w:w="524" w:type="dxa"/>
            <w:vAlign w:val="center"/>
          </w:tcPr>
          <w:p>
            <w:pPr>
              <w:pStyle w:val="37"/>
            </w:pPr>
            <w:r>
              <w:t>+1</w:t>
            </w:r>
          </w:p>
        </w:tc>
        <w:tc>
          <w:tcPr>
            <w:tcW w:w="524" w:type="dxa"/>
            <w:vAlign w:val="center"/>
          </w:tcPr>
          <w:p>
            <w:pPr>
              <w:pStyle w:val="37"/>
            </w:pPr>
            <w:r>
              <w:t>+1</w:t>
            </w:r>
          </w:p>
        </w:tc>
        <w:tc>
          <w:tcPr>
            <w:tcW w:w="513" w:type="dxa"/>
            <w:vAlign w:val="center"/>
          </w:tcPr>
          <w:p>
            <w:pPr>
              <w:pStyle w:val="37"/>
            </w:pPr>
          </w:p>
        </w:tc>
        <w:tc>
          <w:tcPr>
            <w:tcW w:w="522" w:type="dxa"/>
            <w:vAlign w:val="center"/>
          </w:tcPr>
          <w:p>
            <w:pPr>
              <w:pStyle w:val="37"/>
            </w:pPr>
            <w: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restart"/>
            <w:vAlign w:val="center"/>
          </w:tcPr>
          <w:p>
            <w:pPr>
              <w:pStyle w:val="37"/>
            </w:pPr>
            <w:r>
              <w:rPr>
                <w:rFonts w:hint="eastAsia"/>
              </w:rPr>
              <w:t>封场期</w:t>
            </w:r>
          </w:p>
        </w:tc>
        <w:tc>
          <w:tcPr>
            <w:tcW w:w="517" w:type="dxa"/>
            <w:vAlign w:val="center"/>
          </w:tcPr>
          <w:p>
            <w:pPr>
              <w:pStyle w:val="37"/>
            </w:pPr>
            <w:r>
              <w:rPr>
                <w:rFonts w:hint="eastAsia"/>
              </w:rPr>
              <w:t>废水排放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废气排放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r>
              <w:t>+1</w:t>
            </w: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噪　　声</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vAlign w:val="center"/>
          </w:tcPr>
          <w:p>
            <w:pPr>
              <w:pStyle w:val="37"/>
            </w:pPr>
          </w:p>
        </w:tc>
        <w:tc>
          <w:tcPr>
            <w:tcW w:w="517" w:type="dxa"/>
            <w:vAlign w:val="center"/>
          </w:tcPr>
          <w:p>
            <w:pPr>
              <w:pStyle w:val="37"/>
            </w:pPr>
            <w:r>
              <w:rPr>
                <w:rFonts w:hint="eastAsia"/>
              </w:rPr>
              <w:t>固废排放</w:t>
            </w:r>
          </w:p>
        </w:tc>
        <w:tc>
          <w:tcPr>
            <w:tcW w:w="511" w:type="dxa"/>
            <w:vAlign w:val="center"/>
          </w:tcPr>
          <w:p>
            <w:pPr>
              <w:pStyle w:val="37"/>
            </w:pPr>
          </w:p>
        </w:tc>
        <w:tc>
          <w:tcPr>
            <w:tcW w:w="511" w:type="dxa"/>
            <w:vAlign w:val="center"/>
          </w:tcPr>
          <w:p>
            <w:pPr>
              <w:pStyle w:val="37"/>
            </w:pPr>
          </w:p>
        </w:tc>
        <w:tc>
          <w:tcPr>
            <w:tcW w:w="514" w:type="dxa"/>
            <w:vAlign w:val="center"/>
          </w:tcPr>
          <w:p>
            <w:pPr>
              <w:pStyle w:val="37"/>
            </w:pPr>
          </w:p>
        </w:tc>
        <w:tc>
          <w:tcPr>
            <w:tcW w:w="514" w:type="dxa"/>
            <w:vAlign w:val="center"/>
          </w:tcPr>
          <w:p>
            <w:pPr>
              <w:pStyle w:val="37"/>
            </w:pPr>
          </w:p>
        </w:tc>
        <w:tc>
          <w:tcPr>
            <w:tcW w:w="524" w:type="dxa"/>
            <w:vAlign w:val="center"/>
          </w:tcPr>
          <w:p>
            <w:pPr>
              <w:pStyle w:val="37"/>
            </w:pPr>
          </w:p>
        </w:tc>
        <w:tc>
          <w:tcPr>
            <w:tcW w:w="519"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vAlign w:val="center"/>
          </w:tcPr>
          <w:p>
            <w:pPr>
              <w:pStyle w:val="37"/>
            </w:pPr>
          </w:p>
        </w:tc>
        <w:tc>
          <w:tcPr>
            <w:tcW w:w="524" w:type="dxa"/>
            <w:gridSpan w:val="2"/>
            <w:vAlign w:val="center"/>
          </w:tcPr>
          <w:p>
            <w:pPr>
              <w:pStyle w:val="37"/>
            </w:pPr>
            <w:r>
              <w:t>+1</w:t>
            </w:r>
          </w:p>
        </w:tc>
        <w:tc>
          <w:tcPr>
            <w:tcW w:w="524"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513" w:type="dxa"/>
            <w:vAlign w:val="center"/>
          </w:tcPr>
          <w:p>
            <w:pPr>
              <w:pStyle w:val="37"/>
            </w:pPr>
          </w:p>
        </w:tc>
        <w:tc>
          <w:tcPr>
            <w:tcW w:w="634" w:type="dxa"/>
            <w:gridSpan w:val="2"/>
            <w:vAlign w:val="center"/>
          </w:tcPr>
          <w:p>
            <w:pPr>
              <w:pStyle w:val="37"/>
            </w:pPr>
          </w:p>
        </w:tc>
        <w:tc>
          <w:tcPr>
            <w:tcW w:w="513" w:type="dxa"/>
            <w:vAlign w:val="center"/>
          </w:tcPr>
          <w:p>
            <w:pPr>
              <w:pStyle w:val="37"/>
            </w:pPr>
          </w:p>
        </w:tc>
        <w:tc>
          <w:tcPr>
            <w:tcW w:w="524" w:type="dxa"/>
            <w:vAlign w:val="center"/>
          </w:tcPr>
          <w:p>
            <w:pPr>
              <w:pStyle w:val="37"/>
            </w:pPr>
          </w:p>
        </w:tc>
        <w:tc>
          <w:tcPr>
            <w:tcW w:w="524" w:type="dxa"/>
            <w:vAlign w:val="center"/>
          </w:tcPr>
          <w:p>
            <w:pPr>
              <w:pStyle w:val="37"/>
            </w:pPr>
          </w:p>
        </w:tc>
        <w:tc>
          <w:tcPr>
            <w:tcW w:w="524" w:type="dxa"/>
            <w:vAlign w:val="center"/>
          </w:tcPr>
          <w:p>
            <w:pPr>
              <w:pStyle w:val="37"/>
            </w:pPr>
          </w:p>
        </w:tc>
        <w:tc>
          <w:tcPr>
            <w:tcW w:w="513" w:type="dxa"/>
            <w:vAlign w:val="center"/>
          </w:tcPr>
          <w:p>
            <w:pPr>
              <w:pStyle w:val="37"/>
            </w:pPr>
          </w:p>
        </w:tc>
        <w:tc>
          <w:tcPr>
            <w:tcW w:w="522" w:type="dxa"/>
            <w:vAlign w:val="center"/>
          </w:tcPr>
          <w:p>
            <w:pPr>
              <w:pStyle w:val="37"/>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419" w:hRule="atLeast"/>
          <w:jc w:val="center"/>
        </w:trPr>
        <w:tc>
          <w:tcPr>
            <w:tcW w:w="511" w:type="dxa"/>
            <w:vMerge w:val="continue"/>
            <w:tcBorders>
              <w:bottom w:val="single" w:color="auto" w:sz="12" w:space="0"/>
            </w:tcBorders>
            <w:vAlign w:val="center"/>
          </w:tcPr>
          <w:p>
            <w:pPr>
              <w:pStyle w:val="37"/>
            </w:pPr>
          </w:p>
        </w:tc>
        <w:tc>
          <w:tcPr>
            <w:tcW w:w="517" w:type="dxa"/>
            <w:tcBorders>
              <w:bottom w:val="single" w:color="auto" w:sz="12" w:space="0"/>
            </w:tcBorders>
            <w:vAlign w:val="center"/>
          </w:tcPr>
          <w:p>
            <w:pPr>
              <w:pStyle w:val="37"/>
            </w:pPr>
            <w:r>
              <w:rPr>
                <w:rFonts w:hint="eastAsia"/>
              </w:rPr>
              <w:t>小结</w:t>
            </w:r>
          </w:p>
        </w:tc>
        <w:tc>
          <w:tcPr>
            <w:tcW w:w="511" w:type="dxa"/>
            <w:tcBorders>
              <w:bottom w:val="single" w:color="auto" w:sz="12" w:space="0"/>
            </w:tcBorders>
            <w:vAlign w:val="center"/>
          </w:tcPr>
          <w:p>
            <w:pPr>
              <w:pStyle w:val="37"/>
            </w:pPr>
          </w:p>
        </w:tc>
        <w:tc>
          <w:tcPr>
            <w:tcW w:w="511" w:type="dxa"/>
            <w:tcBorders>
              <w:bottom w:val="single" w:color="auto" w:sz="12" w:space="0"/>
            </w:tcBorders>
            <w:vAlign w:val="center"/>
          </w:tcPr>
          <w:p>
            <w:pPr>
              <w:pStyle w:val="37"/>
            </w:pPr>
          </w:p>
        </w:tc>
        <w:tc>
          <w:tcPr>
            <w:tcW w:w="514" w:type="dxa"/>
            <w:tcBorders>
              <w:bottom w:val="single" w:color="auto" w:sz="12" w:space="0"/>
            </w:tcBorders>
            <w:vAlign w:val="center"/>
          </w:tcPr>
          <w:p>
            <w:pPr>
              <w:pStyle w:val="37"/>
            </w:pPr>
          </w:p>
        </w:tc>
        <w:tc>
          <w:tcPr>
            <w:tcW w:w="514" w:type="dxa"/>
            <w:tcBorders>
              <w:bottom w:val="single" w:color="auto" w:sz="12" w:space="0"/>
            </w:tcBorders>
            <w:vAlign w:val="center"/>
          </w:tcPr>
          <w:p>
            <w:pPr>
              <w:pStyle w:val="37"/>
            </w:pPr>
          </w:p>
        </w:tc>
        <w:tc>
          <w:tcPr>
            <w:tcW w:w="524" w:type="dxa"/>
            <w:tcBorders>
              <w:bottom w:val="single" w:color="auto" w:sz="12" w:space="0"/>
            </w:tcBorders>
            <w:vAlign w:val="center"/>
          </w:tcPr>
          <w:p>
            <w:pPr>
              <w:pStyle w:val="37"/>
            </w:pPr>
            <w:r>
              <w:t>+1</w:t>
            </w:r>
          </w:p>
        </w:tc>
        <w:tc>
          <w:tcPr>
            <w:tcW w:w="519"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634" w:type="dxa"/>
            <w:tcBorders>
              <w:bottom w:val="single" w:color="auto" w:sz="12" w:space="0"/>
            </w:tcBorders>
            <w:vAlign w:val="center"/>
          </w:tcPr>
          <w:p>
            <w:pPr>
              <w:pStyle w:val="37"/>
            </w:pPr>
          </w:p>
        </w:tc>
        <w:tc>
          <w:tcPr>
            <w:tcW w:w="524" w:type="dxa"/>
            <w:gridSpan w:val="2"/>
            <w:tcBorders>
              <w:bottom w:val="single" w:color="auto" w:sz="12" w:space="0"/>
            </w:tcBorders>
            <w:vAlign w:val="center"/>
          </w:tcPr>
          <w:p>
            <w:pPr>
              <w:pStyle w:val="37"/>
            </w:pPr>
            <w:r>
              <w:t>+1</w:t>
            </w:r>
          </w:p>
        </w:tc>
        <w:tc>
          <w:tcPr>
            <w:tcW w:w="524"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634" w:type="dxa"/>
            <w:gridSpan w:val="2"/>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24" w:type="dxa"/>
            <w:tcBorders>
              <w:bottom w:val="single" w:color="auto" w:sz="12" w:space="0"/>
            </w:tcBorders>
            <w:vAlign w:val="center"/>
          </w:tcPr>
          <w:p>
            <w:pPr>
              <w:pStyle w:val="37"/>
            </w:pPr>
          </w:p>
        </w:tc>
        <w:tc>
          <w:tcPr>
            <w:tcW w:w="524" w:type="dxa"/>
            <w:tcBorders>
              <w:bottom w:val="single" w:color="auto" w:sz="12" w:space="0"/>
            </w:tcBorders>
            <w:vAlign w:val="center"/>
          </w:tcPr>
          <w:p>
            <w:pPr>
              <w:pStyle w:val="37"/>
            </w:pPr>
          </w:p>
        </w:tc>
        <w:tc>
          <w:tcPr>
            <w:tcW w:w="524" w:type="dxa"/>
            <w:tcBorders>
              <w:bottom w:val="single" w:color="auto" w:sz="12" w:space="0"/>
            </w:tcBorders>
            <w:vAlign w:val="center"/>
          </w:tcPr>
          <w:p>
            <w:pPr>
              <w:pStyle w:val="37"/>
            </w:pPr>
          </w:p>
        </w:tc>
        <w:tc>
          <w:tcPr>
            <w:tcW w:w="513" w:type="dxa"/>
            <w:tcBorders>
              <w:bottom w:val="single" w:color="auto" w:sz="12" w:space="0"/>
            </w:tcBorders>
            <w:vAlign w:val="center"/>
          </w:tcPr>
          <w:p>
            <w:pPr>
              <w:pStyle w:val="37"/>
            </w:pPr>
          </w:p>
        </w:tc>
        <w:tc>
          <w:tcPr>
            <w:tcW w:w="522" w:type="dxa"/>
            <w:tcBorders>
              <w:bottom w:val="single" w:color="auto" w:sz="12" w:space="0"/>
            </w:tcBorders>
            <w:vAlign w:val="center"/>
          </w:tcPr>
          <w:p>
            <w:pPr>
              <w:pStyle w:val="37"/>
            </w:pPr>
          </w:p>
        </w:tc>
      </w:tr>
    </w:tbl>
    <w:p>
      <w:pPr>
        <w:ind w:firstLine="420"/>
        <w:rPr>
          <w:sz w:val="21"/>
        </w:rPr>
      </w:pPr>
      <w:r>
        <w:rPr>
          <w:rFonts w:hint="eastAsia"/>
          <w:sz w:val="21"/>
        </w:rPr>
        <w:t>注：</w:t>
      </w:r>
      <w:r>
        <w:rPr>
          <w:sz w:val="21"/>
        </w:rPr>
        <w:t>3—</w:t>
      </w:r>
      <w:r>
        <w:rPr>
          <w:rFonts w:hint="eastAsia"/>
          <w:sz w:val="21"/>
        </w:rPr>
        <w:t>重大影响；</w:t>
      </w:r>
      <w:r>
        <w:rPr>
          <w:sz w:val="21"/>
        </w:rPr>
        <w:t>2—</w:t>
      </w:r>
      <w:r>
        <w:rPr>
          <w:rFonts w:hint="eastAsia"/>
          <w:sz w:val="21"/>
        </w:rPr>
        <w:t>中等影响；</w:t>
      </w:r>
      <w:r>
        <w:rPr>
          <w:sz w:val="21"/>
        </w:rPr>
        <w:t>1—</w:t>
      </w:r>
      <w:r>
        <w:rPr>
          <w:rFonts w:hint="eastAsia"/>
          <w:sz w:val="21"/>
        </w:rPr>
        <w:t>轻微影响；</w:t>
      </w:r>
      <w:r>
        <w:rPr>
          <w:sz w:val="21"/>
        </w:rPr>
        <w:t>“</w:t>
      </w:r>
      <w:r>
        <w:rPr>
          <w:rFonts w:hint="eastAsia"/>
          <w:sz w:val="21"/>
        </w:rPr>
        <w:t>＋</w:t>
      </w:r>
      <w:r>
        <w:rPr>
          <w:sz w:val="21"/>
        </w:rPr>
        <w:t>”—</w:t>
      </w:r>
      <w:r>
        <w:rPr>
          <w:rFonts w:hint="eastAsia"/>
          <w:sz w:val="21"/>
        </w:rPr>
        <w:t>有利影响；</w:t>
      </w:r>
      <w:r>
        <w:rPr>
          <w:sz w:val="21"/>
        </w:rPr>
        <w:t>“</w:t>
      </w:r>
      <w:r>
        <w:rPr>
          <w:rFonts w:hint="eastAsia"/>
          <w:sz w:val="21"/>
        </w:rPr>
        <w:t>－</w:t>
      </w:r>
      <w:r>
        <w:rPr>
          <w:sz w:val="21"/>
        </w:rPr>
        <w:t>”—</w:t>
      </w:r>
      <w:r>
        <w:rPr>
          <w:rFonts w:hint="eastAsia"/>
          <w:sz w:val="21"/>
        </w:rPr>
        <w:t>不利影响。</w:t>
      </w:r>
    </w:p>
    <w:p>
      <w:pPr>
        <w:ind w:firstLine="480"/>
        <w:sectPr>
          <w:pgSz w:w="16838" w:h="11906" w:orient="landscape"/>
          <w:pgMar w:top="1800" w:right="1440" w:bottom="1800" w:left="1440" w:header="851" w:footer="992" w:gutter="0"/>
          <w:paperSrc w:first="15" w:other="15"/>
          <w:cols w:space="720" w:num="1"/>
          <w:docGrid w:type="linesAndChars" w:linePitch="326" w:charSpace="0"/>
        </w:sectPr>
      </w:pPr>
      <w:r>
        <w:rPr>
          <w:rFonts w:hint="eastAsia"/>
        </w:rPr>
        <w:t>从表</w:t>
      </w:r>
      <w:r>
        <w:t>1.4-1</w:t>
      </w:r>
      <w:r>
        <w:rPr>
          <w:rFonts w:hint="eastAsia"/>
        </w:rPr>
        <w:t>可知，施工期影响因素主要体现在施工扬尘、噪声等。这些影响是中等或轻微程度的影响。运行期对环境要素的不利影响主要表现在废气环境，产生的影响是轻微程度的，封场期对环境要素的不利影响主要表现为渗滤液的影响，但项目封场由上向下依次采用：</w:t>
      </w:r>
      <w:r>
        <w:t>300mm</w:t>
      </w:r>
      <w:r>
        <w:rPr>
          <w:rFonts w:hint="eastAsia"/>
        </w:rPr>
        <w:t>厚营养植被层；</w:t>
      </w:r>
      <w:r>
        <w:t>450mm</w:t>
      </w:r>
      <w:r>
        <w:rPr>
          <w:rFonts w:hint="eastAsia"/>
        </w:rPr>
        <w:t>厚覆盖支持土层；</w:t>
      </w:r>
      <w:r>
        <w:t xml:space="preserve"> 300g/m</w:t>
      </w:r>
      <w:r>
        <w:rPr>
          <w:vertAlign w:val="superscript"/>
        </w:rPr>
        <w:t>2</w:t>
      </w:r>
      <w:r>
        <w:rPr>
          <w:rFonts w:hint="eastAsia"/>
        </w:rPr>
        <w:t>无纺布保护层；</w:t>
      </w:r>
      <w:r>
        <w:t>HDPE</w:t>
      </w:r>
      <w:r>
        <w:rPr>
          <w:rFonts w:hint="eastAsia"/>
        </w:rPr>
        <w:t>复合土工网格（</w:t>
      </w:r>
      <w:r>
        <w:t>5mm</w:t>
      </w:r>
      <w:r>
        <w:rPr>
          <w:rFonts w:hint="eastAsia"/>
        </w:rPr>
        <w:t>）；</w:t>
      </w:r>
      <w:r>
        <w:t>300g/m</w:t>
      </w:r>
      <w:r>
        <w:rPr>
          <w:vertAlign w:val="superscript"/>
        </w:rPr>
        <w:t>2</w:t>
      </w:r>
      <w:r>
        <w:rPr>
          <w:rFonts w:hint="eastAsia"/>
        </w:rPr>
        <w:t>无纺布保护层；</w:t>
      </w:r>
      <w:r>
        <w:t>HDPE</w:t>
      </w:r>
      <w:r>
        <w:rPr>
          <w:rFonts w:hint="eastAsia"/>
        </w:rPr>
        <w:t>复合土工网格（</w:t>
      </w:r>
      <w:r>
        <w:t>1.5mm</w:t>
      </w:r>
      <w:r>
        <w:rPr>
          <w:rFonts w:hint="eastAsia"/>
        </w:rPr>
        <w:t>）；</w:t>
      </w:r>
      <w:r>
        <w:t>350mm</w:t>
      </w:r>
      <w:r>
        <w:rPr>
          <w:rFonts w:hint="eastAsia"/>
        </w:rPr>
        <w:t>厚粘土层等,具有良好的防渗效果，并进行跟踪监测，封场后对环境影响较小。</w:t>
      </w:r>
    </w:p>
    <w:p>
      <w:pPr>
        <w:ind w:firstLine="0" w:firstLineChars="0"/>
      </w:pPr>
    </w:p>
    <w:p>
      <w:pPr>
        <w:pStyle w:val="4"/>
      </w:pPr>
      <w:r>
        <w:rPr>
          <w:rFonts w:hint="eastAsia"/>
        </w:rPr>
        <w:t>建设项目影响对环境要素影响性质识别</w:t>
      </w:r>
    </w:p>
    <w:p>
      <w:pPr>
        <w:ind w:firstLine="480"/>
      </w:pPr>
      <w:r>
        <w:rPr>
          <w:rFonts w:hint="eastAsia"/>
        </w:rPr>
        <w:t>根据建设项目的工程分析及污染物排放特点，采用工程影响环境要素性质识别表，对建设工程影响环境因素性质进行识别。结果见表</w:t>
      </w:r>
      <w:r>
        <w:t>1.3-2</w:t>
      </w:r>
      <w:r>
        <w:rPr>
          <w:rFonts w:hint="eastAsia"/>
        </w:rPr>
        <w:t>。</w:t>
      </w:r>
    </w:p>
    <w:p>
      <w:pPr>
        <w:ind w:firstLine="480"/>
      </w:pPr>
      <w:r>
        <w:rPr>
          <w:rFonts w:hint="eastAsia"/>
        </w:rPr>
        <w:t>由表</w:t>
      </w:r>
      <w:r>
        <w:t>1.</w:t>
      </w:r>
      <w:r>
        <w:rPr>
          <w:rFonts w:hint="eastAsia"/>
        </w:rPr>
        <w:t>3</w:t>
      </w:r>
      <w:r>
        <w:t>-2</w:t>
      </w:r>
      <w:r>
        <w:rPr>
          <w:rFonts w:hint="eastAsia"/>
        </w:rPr>
        <w:t>可知，建设项目对环境要素的不利影响主要表现在水环境、声环境等方面，这些不利影响在施工期是短期的，在运行期是长期的。施工期影响是可逆的、局部的。对环境长期的有利影响表现在社会发展、社会经济和人们就医条件等方面，这些影响大多是长期和广泛的。</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建设项目环境影响的性质识别表</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3"/>
        <w:gridCol w:w="1159"/>
        <w:gridCol w:w="651"/>
        <w:gridCol w:w="651"/>
        <w:gridCol w:w="651"/>
        <w:gridCol w:w="912"/>
        <w:gridCol w:w="666"/>
        <w:gridCol w:w="791"/>
        <w:gridCol w:w="653"/>
        <w:gridCol w:w="651"/>
        <w:gridCol w:w="651"/>
        <w:gridCol w:w="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1592" w:type="dxa"/>
            <w:gridSpan w:val="2"/>
            <w:vMerge w:val="restart"/>
            <w:vAlign w:val="center"/>
          </w:tcPr>
          <w:p>
            <w:pPr>
              <w:pStyle w:val="37"/>
            </w:pPr>
            <w:r>
              <w:rPr>
                <w:rFonts w:hint="eastAsia"/>
              </w:rPr>
              <w:t>影响性质</w:t>
            </w:r>
          </w:p>
          <w:p>
            <w:pPr>
              <w:pStyle w:val="37"/>
            </w:pPr>
          </w:p>
          <w:p>
            <w:pPr>
              <w:pStyle w:val="37"/>
            </w:pPr>
            <w:r>
              <w:rPr>
                <w:rFonts w:hint="eastAsia"/>
              </w:rPr>
              <w:t>环境资源</w:t>
            </w:r>
          </w:p>
        </w:tc>
        <w:tc>
          <w:tcPr>
            <w:tcW w:w="4322" w:type="dxa"/>
            <w:gridSpan w:val="6"/>
            <w:vAlign w:val="center"/>
          </w:tcPr>
          <w:p>
            <w:pPr>
              <w:pStyle w:val="37"/>
            </w:pPr>
            <w:r>
              <w:rPr>
                <w:rFonts w:hint="eastAsia"/>
              </w:rPr>
              <w:t>不　利　影　响</w:t>
            </w:r>
          </w:p>
        </w:tc>
        <w:tc>
          <w:tcPr>
            <w:tcW w:w="2608" w:type="dxa"/>
            <w:gridSpan w:val="4"/>
            <w:vAlign w:val="center"/>
          </w:tcPr>
          <w:p>
            <w:pPr>
              <w:pStyle w:val="37"/>
            </w:pPr>
            <w:r>
              <w:rPr>
                <w:rFonts w:hint="eastAsia"/>
              </w:rPr>
              <w:t>有　利　影　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75" w:hRule="atLeast"/>
          <w:jc w:val="center"/>
        </w:trPr>
        <w:tc>
          <w:tcPr>
            <w:tcW w:w="1592" w:type="dxa"/>
            <w:gridSpan w:val="2"/>
            <w:vMerge w:val="continue"/>
            <w:vAlign w:val="center"/>
          </w:tcPr>
          <w:p>
            <w:pPr>
              <w:pStyle w:val="37"/>
            </w:pPr>
          </w:p>
        </w:tc>
        <w:tc>
          <w:tcPr>
            <w:tcW w:w="651" w:type="dxa"/>
            <w:vAlign w:val="center"/>
          </w:tcPr>
          <w:p>
            <w:pPr>
              <w:pStyle w:val="37"/>
            </w:pPr>
            <w:r>
              <w:rPr>
                <w:rFonts w:hint="eastAsia"/>
              </w:rPr>
              <w:t>短期</w:t>
            </w:r>
          </w:p>
        </w:tc>
        <w:tc>
          <w:tcPr>
            <w:tcW w:w="651" w:type="dxa"/>
            <w:vAlign w:val="center"/>
          </w:tcPr>
          <w:p>
            <w:pPr>
              <w:pStyle w:val="37"/>
            </w:pPr>
            <w:r>
              <w:rPr>
                <w:rFonts w:hint="eastAsia"/>
              </w:rPr>
              <w:t>长期</w:t>
            </w:r>
          </w:p>
        </w:tc>
        <w:tc>
          <w:tcPr>
            <w:tcW w:w="651" w:type="dxa"/>
            <w:vAlign w:val="center"/>
          </w:tcPr>
          <w:p>
            <w:pPr>
              <w:pStyle w:val="37"/>
            </w:pPr>
            <w:r>
              <w:rPr>
                <w:rFonts w:hint="eastAsia"/>
              </w:rPr>
              <w:t>可逆</w:t>
            </w:r>
          </w:p>
        </w:tc>
        <w:tc>
          <w:tcPr>
            <w:tcW w:w="912" w:type="dxa"/>
            <w:vAlign w:val="center"/>
          </w:tcPr>
          <w:p>
            <w:pPr>
              <w:pStyle w:val="37"/>
            </w:pPr>
            <w:r>
              <w:rPr>
                <w:rFonts w:hint="eastAsia"/>
              </w:rPr>
              <w:t>不可逆</w:t>
            </w:r>
          </w:p>
        </w:tc>
        <w:tc>
          <w:tcPr>
            <w:tcW w:w="666" w:type="dxa"/>
            <w:vAlign w:val="center"/>
          </w:tcPr>
          <w:p>
            <w:pPr>
              <w:pStyle w:val="37"/>
            </w:pPr>
            <w:r>
              <w:rPr>
                <w:rFonts w:hint="eastAsia"/>
              </w:rPr>
              <w:t>局部</w:t>
            </w:r>
          </w:p>
        </w:tc>
        <w:tc>
          <w:tcPr>
            <w:tcW w:w="791" w:type="dxa"/>
            <w:vAlign w:val="center"/>
          </w:tcPr>
          <w:p>
            <w:pPr>
              <w:pStyle w:val="37"/>
            </w:pPr>
            <w:r>
              <w:rPr>
                <w:rFonts w:hint="eastAsia"/>
              </w:rPr>
              <w:t>广泛</w:t>
            </w:r>
          </w:p>
        </w:tc>
        <w:tc>
          <w:tcPr>
            <w:tcW w:w="653" w:type="dxa"/>
            <w:vAlign w:val="center"/>
          </w:tcPr>
          <w:p>
            <w:pPr>
              <w:pStyle w:val="37"/>
            </w:pPr>
            <w:r>
              <w:rPr>
                <w:rFonts w:hint="eastAsia"/>
              </w:rPr>
              <w:t>短期</w:t>
            </w:r>
          </w:p>
        </w:tc>
        <w:tc>
          <w:tcPr>
            <w:tcW w:w="651" w:type="dxa"/>
            <w:vAlign w:val="center"/>
          </w:tcPr>
          <w:p>
            <w:pPr>
              <w:pStyle w:val="37"/>
            </w:pPr>
            <w:r>
              <w:rPr>
                <w:rFonts w:hint="eastAsia"/>
              </w:rPr>
              <w:t>长期</w:t>
            </w:r>
          </w:p>
        </w:tc>
        <w:tc>
          <w:tcPr>
            <w:tcW w:w="651" w:type="dxa"/>
            <w:vAlign w:val="center"/>
          </w:tcPr>
          <w:p>
            <w:pPr>
              <w:pStyle w:val="37"/>
            </w:pPr>
            <w:r>
              <w:rPr>
                <w:rFonts w:hint="eastAsia"/>
              </w:rPr>
              <w:t>广泛</w:t>
            </w:r>
          </w:p>
        </w:tc>
        <w:tc>
          <w:tcPr>
            <w:tcW w:w="653" w:type="dxa"/>
            <w:vAlign w:val="center"/>
          </w:tcPr>
          <w:p>
            <w:pPr>
              <w:pStyle w:val="37"/>
            </w:pPr>
            <w:r>
              <w:rPr>
                <w:rFonts w:hint="eastAsia"/>
              </w:rPr>
              <w:t>局部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restart"/>
            <w:vAlign w:val="center"/>
          </w:tcPr>
          <w:p>
            <w:pPr>
              <w:pStyle w:val="37"/>
            </w:pPr>
            <w:r>
              <w:rPr>
                <w:rFonts w:hint="eastAsia"/>
              </w:rPr>
              <w:t>自然资源</w:t>
            </w:r>
          </w:p>
        </w:tc>
        <w:tc>
          <w:tcPr>
            <w:tcW w:w="1159" w:type="dxa"/>
            <w:vAlign w:val="center"/>
          </w:tcPr>
          <w:p>
            <w:pPr>
              <w:pStyle w:val="37"/>
            </w:pPr>
            <w:r>
              <w:rPr>
                <w:rFonts w:hint="eastAsia"/>
              </w:rPr>
              <w:t>水土流失</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地下水质</w:t>
            </w:r>
          </w:p>
        </w:tc>
        <w:tc>
          <w:tcPr>
            <w:tcW w:w="651" w:type="dxa"/>
            <w:vAlign w:val="center"/>
          </w:tcPr>
          <w:p>
            <w:pPr>
              <w:pStyle w:val="37"/>
            </w:pPr>
          </w:p>
        </w:tc>
        <w:tc>
          <w:tcPr>
            <w:tcW w:w="651" w:type="dxa"/>
            <w:vAlign w:val="center"/>
          </w:tcPr>
          <w:p>
            <w:pPr>
              <w:pStyle w:val="37"/>
            </w:pPr>
            <w:r>
              <w:t>√</w:t>
            </w: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地表水文</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地表水质</w:t>
            </w:r>
          </w:p>
        </w:tc>
        <w:tc>
          <w:tcPr>
            <w:tcW w:w="651" w:type="dxa"/>
            <w:vAlign w:val="center"/>
          </w:tcPr>
          <w:p>
            <w:pPr>
              <w:pStyle w:val="37"/>
            </w:pPr>
          </w:p>
        </w:tc>
        <w:tc>
          <w:tcPr>
            <w:tcW w:w="651" w:type="dxa"/>
            <w:vAlign w:val="center"/>
          </w:tcPr>
          <w:p>
            <w:pPr>
              <w:pStyle w:val="37"/>
            </w:pPr>
          </w:p>
        </w:tc>
        <w:tc>
          <w:tcPr>
            <w:tcW w:w="651" w:type="dxa"/>
            <w:vAlign w:val="center"/>
          </w:tcPr>
          <w:p>
            <w:pPr>
              <w:pStyle w:val="37"/>
            </w:pPr>
            <w:r>
              <w:t>√</w:t>
            </w:r>
          </w:p>
        </w:tc>
        <w:tc>
          <w:tcPr>
            <w:tcW w:w="912" w:type="dxa"/>
            <w:vAlign w:val="center"/>
          </w:tcPr>
          <w:p>
            <w:pPr>
              <w:pStyle w:val="37"/>
            </w:pPr>
          </w:p>
        </w:tc>
        <w:tc>
          <w:tcPr>
            <w:tcW w:w="666" w:type="dxa"/>
            <w:vAlign w:val="center"/>
          </w:tcPr>
          <w:p>
            <w:pPr>
              <w:pStyle w:val="37"/>
            </w:pPr>
            <w:r>
              <w:t>√</w:t>
            </w: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continue"/>
            <w:vAlign w:val="center"/>
          </w:tcPr>
          <w:p>
            <w:pPr>
              <w:pStyle w:val="37"/>
            </w:pPr>
          </w:p>
        </w:tc>
        <w:tc>
          <w:tcPr>
            <w:tcW w:w="1159" w:type="dxa"/>
            <w:vAlign w:val="center"/>
          </w:tcPr>
          <w:p>
            <w:pPr>
              <w:pStyle w:val="37"/>
            </w:pPr>
            <w:r>
              <w:rPr>
                <w:rFonts w:hint="eastAsia"/>
              </w:rPr>
              <w:t>环境空气</w:t>
            </w:r>
          </w:p>
        </w:tc>
        <w:tc>
          <w:tcPr>
            <w:tcW w:w="651" w:type="dxa"/>
            <w:vAlign w:val="center"/>
          </w:tcPr>
          <w:p>
            <w:pPr>
              <w:pStyle w:val="37"/>
            </w:pPr>
            <w:r>
              <w:t>√</w:t>
            </w:r>
          </w:p>
        </w:tc>
        <w:tc>
          <w:tcPr>
            <w:tcW w:w="651" w:type="dxa"/>
            <w:vAlign w:val="center"/>
          </w:tcPr>
          <w:p>
            <w:pPr>
              <w:pStyle w:val="37"/>
            </w:pPr>
          </w:p>
        </w:tc>
        <w:tc>
          <w:tcPr>
            <w:tcW w:w="651" w:type="dxa"/>
            <w:vAlign w:val="center"/>
          </w:tcPr>
          <w:p>
            <w:pPr>
              <w:pStyle w:val="37"/>
            </w:pPr>
            <w:r>
              <w:t>√</w:t>
            </w:r>
          </w:p>
        </w:tc>
        <w:tc>
          <w:tcPr>
            <w:tcW w:w="912" w:type="dxa"/>
            <w:vAlign w:val="center"/>
          </w:tcPr>
          <w:p>
            <w:pPr>
              <w:pStyle w:val="37"/>
            </w:pPr>
          </w:p>
        </w:tc>
        <w:tc>
          <w:tcPr>
            <w:tcW w:w="666" w:type="dxa"/>
            <w:vAlign w:val="center"/>
          </w:tcPr>
          <w:p>
            <w:pPr>
              <w:pStyle w:val="37"/>
            </w:pPr>
            <w:r>
              <w:t>√</w:t>
            </w: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声环境</w:t>
            </w:r>
          </w:p>
        </w:tc>
        <w:tc>
          <w:tcPr>
            <w:tcW w:w="651" w:type="dxa"/>
            <w:vAlign w:val="center"/>
          </w:tcPr>
          <w:p>
            <w:pPr>
              <w:pStyle w:val="37"/>
            </w:pPr>
            <w:r>
              <w:t>√</w:t>
            </w:r>
          </w:p>
        </w:tc>
        <w:tc>
          <w:tcPr>
            <w:tcW w:w="651" w:type="dxa"/>
            <w:vAlign w:val="center"/>
          </w:tcPr>
          <w:p>
            <w:pPr>
              <w:pStyle w:val="37"/>
            </w:pPr>
          </w:p>
        </w:tc>
        <w:tc>
          <w:tcPr>
            <w:tcW w:w="651" w:type="dxa"/>
            <w:vAlign w:val="center"/>
          </w:tcPr>
          <w:p>
            <w:pPr>
              <w:pStyle w:val="37"/>
            </w:pPr>
            <w:r>
              <w:t>√</w:t>
            </w:r>
          </w:p>
        </w:tc>
        <w:tc>
          <w:tcPr>
            <w:tcW w:w="912" w:type="dxa"/>
            <w:vAlign w:val="center"/>
          </w:tcPr>
          <w:p>
            <w:pPr>
              <w:pStyle w:val="37"/>
            </w:pPr>
          </w:p>
        </w:tc>
        <w:tc>
          <w:tcPr>
            <w:tcW w:w="666" w:type="dxa"/>
            <w:vAlign w:val="center"/>
          </w:tcPr>
          <w:p>
            <w:pPr>
              <w:pStyle w:val="37"/>
            </w:pPr>
            <w:r>
              <w:t>√</w:t>
            </w: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restart"/>
            <w:vAlign w:val="center"/>
          </w:tcPr>
          <w:p>
            <w:pPr>
              <w:pStyle w:val="37"/>
            </w:pPr>
            <w:r>
              <w:rPr>
                <w:rFonts w:hint="eastAsia"/>
              </w:rPr>
              <w:t>生态环境</w:t>
            </w:r>
          </w:p>
        </w:tc>
        <w:tc>
          <w:tcPr>
            <w:tcW w:w="1159" w:type="dxa"/>
            <w:vAlign w:val="center"/>
          </w:tcPr>
          <w:p>
            <w:pPr>
              <w:pStyle w:val="37"/>
            </w:pPr>
            <w:r>
              <w:rPr>
                <w:rFonts w:hint="eastAsia"/>
              </w:rPr>
              <w:t>农田生态</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森林植被</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野生动物</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水生动物</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continue"/>
            <w:vAlign w:val="center"/>
          </w:tcPr>
          <w:p>
            <w:pPr>
              <w:pStyle w:val="37"/>
            </w:pPr>
          </w:p>
        </w:tc>
        <w:tc>
          <w:tcPr>
            <w:tcW w:w="1159" w:type="dxa"/>
            <w:vAlign w:val="center"/>
          </w:tcPr>
          <w:p>
            <w:pPr>
              <w:pStyle w:val="37"/>
            </w:pPr>
            <w:r>
              <w:rPr>
                <w:rFonts w:hint="eastAsia"/>
              </w:rPr>
              <w:t>濒危动物</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渔业养殖</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restart"/>
            <w:vAlign w:val="center"/>
          </w:tcPr>
          <w:p>
            <w:pPr>
              <w:pStyle w:val="37"/>
            </w:pPr>
            <w:r>
              <w:rPr>
                <w:rFonts w:hint="eastAsia"/>
              </w:rPr>
              <w:t>社会环境</w:t>
            </w:r>
          </w:p>
        </w:tc>
        <w:tc>
          <w:tcPr>
            <w:tcW w:w="1159" w:type="dxa"/>
            <w:vAlign w:val="center"/>
          </w:tcPr>
          <w:p>
            <w:pPr>
              <w:pStyle w:val="37"/>
            </w:pPr>
            <w:r>
              <w:rPr>
                <w:rFonts w:hint="eastAsia"/>
              </w:rPr>
              <w:t>土地利用</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p>
        </w:tc>
        <w:tc>
          <w:tcPr>
            <w:tcW w:w="653"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工业发展</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p>
        </w:tc>
        <w:tc>
          <w:tcPr>
            <w:tcW w:w="653"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农业发展</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p>
        </w:tc>
        <w:tc>
          <w:tcPr>
            <w:tcW w:w="653"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continue"/>
            <w:vAlign w:val="center"/>
          </w:tcPr>
          <w:p>
            <w:pPr>
              <w:pStyle w:val="37"/>
            </w:pPr>
          </w:p>
        </w:tc>
        <w:tc>
          <w:tcPr>
            <w:tcW w:w="1159" w:type="dxa"/>
            <w:vAlign w:val="center"/>
          </w:tcPr>
          <w:p>
            <w:pPr>
              <w:pStyle w:val="37"/>
            </w:pPr>
            <w:r>
              <w:rPr>
                <w:rFonts w:hint="eastAsia"/>
              </w:rPr>
              <w:t>供　　水</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交　　通</w:t>
            </w:r>
          </w:p>
        </w:tc>
        <w:tc>
          <w:tcPr>
            <w:tcW w:w="651" w:type="dxa"/>
            <w:vAlign w:val="center"/>
          </w:tcPr>
          <w:p>
            <w:pPr>
              <w:pStyle w:val="37"/>
            </w:pPr>
            <w:r>
              <w:t>√</w:t>
            </w:r>
          </w:p>
        </w:tc>
        <w:tc>
          <w:tcPr>
            <w:tcW w:w="651" w:type="dxa"/>
            <w:vAlign w:val="center"/>
          </w:tcPr>
          <w:p>
            <w:pPr>
              <w:pStyle w:val="37"/>
            </w:pPr>
          </w:p>
        </w:tc>
        <w:tc>
          <w:tcPr>
            <w:tcW w:w="651" w:type="dxa"/>
            <w:vAlign w:val="center"/>
          </w:tcPr>
          <w:p>
            <w:pPr>
              <w:pStyle w:val="37"/>
            </w:pPr>
            <w:r>
              <w:t>√</w:t>
            </w: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燃料结构</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节约能源</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restart"/>
            <w:vAlign w:val="center"/>
          </w:tcPr>
          <w:p>
            <w:pPr>
              <w:pStyle w:val="37"/>
            </w:pPr>
            <w:r>
              <w:rPr>
                <w:rFonts w:hint="eastAsia"/>
              </w:rPr>
              <w:t>生活质量</w:t>
            </w:r>
          </w:p>
        </w:tc>
        <w:tc>
          <w:tcPr>
            <w:tcW w:w="1159" w:type="dxa"/>
            <w:vAlign w:val="center"/>
          </w:tcPr>
          <w:p>
            <w:pPr>
              <w:pStyle w:val="37"/>
            </w:pPr>
            <w:r>
              <w:rPr>
                <w:rFonts w:hint="eastAsia"/>
              </w:rPr>
              <w:t>美学旅游</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健康安全</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p>
        </w:tc>
        <w:tc>
          <w:tcPr>
            <w:tcW w:w="653"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28" w:hRule="atLeast"/>
          <w:jc w:val="center"/>
        </w:trPr>
        <w:tc>
          <w:tcPr>
            <w:tcW w:w="433" w:type="dxa"/>
            <w:vMerge w:val="continue"/>
            <w:vAlign w:val="center"/>
          </w:tcPr>
          <w:p>
            <w:pPr>
              <w:pStyle w:val="37"/>
            </w:pPr>
          </w:p>
        </w:tc>
        <w:tc>
          <w:tcPr>
            <w:tcW w:w="1159" w:type="dxa"/>
            <w:vAlign w:val="center"/>
          </w:tcPr>
          <w:p>
            <w:pPr>
              <w:pStyle w:val="37"/>
            </w:pPr>
            <w:r>
              <w:rPr>
                <w:rFonts w:hint="eastAsia"/>
              </w:rPr>
              <w:t>社会经济</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r>
              <w:t>√</w:t>
            </w: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娱　　乐</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p>
        </w:tc>
        <w:tc>
          <w:tcPr>
            <w:tcW w:w="653"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文物古迹</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p>
        </w:tc>
        <w:tc>
          <w:tcPr>
            <w:tcW w:w="651" w:type="dxa"/>
            <w:vAlign w:val="center"/>
          </w:tcPr>
          <w:p>
            <w:pPr>
              <w:pStyle w:val="37"/>
            </w:pPr>
          </w:p>
        </w:tc>
        <w:tc>
          <w:tcPr>
            <w:tcW w:w="653"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6" w:hRule="atLeast"/>
          <w:jc w:val="center"/>
        </w:trPr>
        <w:tc>
          <w:tcPr>
            <w:tcW w:w="433" w:type="dxa"/>
            <w:vMerge w:val="continue"/>
            <w:vAlign w:val="center"/>
          </w:tcPr>
          <w:p>
            <w:pPr>
              <w:pStyle w:val="37"/>
            </w:pPr>
          </w:p>
        </w:tc>
        <w:tc>
          <w:tcPr>
            <w:tcW w:w="1159" w:type="dxa"/>
            <w:vAlign w:val="center"/>
          </w:tcPr>
          <w:p>
            <w:pPr>
              <w:pStyle w:val="37"/>
            </w:pPr>
            <w:r>
              <w:rPr>
                <w:rFonts w:hint="eastAsia"/>
              </w:rPr>
              <w:t>生活水平</w:t>
            </w:r>
          </w:p>
        </w:tc>
        <w:tc>
          <w:tcPr>
            <w:tcW w:w="651" w:type="dxa"/>
            <w:vAlign w:val="center"/>
          </w:tcPr>
          <w:p>
            <w:pPr>
              <w:pStyle w:val="37"/>
            </w:pPr>
          </w:p>
        </w:tc>
        <w:tc>
          <w:tcPr>
            <w:tcW w:w="651" w:type="dxa"/>
            <w:vAlign w:val="center"/>
          </w:tcPr>
          <w:p>
            <w:pPr>
              <w:pStyle w:val="37"/>
            </w:pPr>
          </w:p>
        </w:tc>
        <w:tc>
          <w:tcPr>
            <w:tcW w:w="651" w:type="dxa"/>
            <w:vAlign w:val="center"/>
          </w:tcPr>
          <w:p>
            <w:pPr>
              <w:pStyle w:val="37"/>
            </w:pPr>
          </w:p>
        </w:tc>
        <w:tc>
          <w:tcPr>
            <w:tcW w:w="912" w:type="dxa"/>
            <w:vAlign w:val="center"/>
          </w:tcPr>
          <w:p>
            <w:pPr>
              <w:pStyle w:val="37"/>
            </w:pPr>
          </w:p>
        </w:tc>
        <w:tc>
          <w:tcPr>
            <w:tcW w:w="666" w:type="dxa"/>
            <w:vAlign w:val="center"/>
          </w:tcPr>
          <w:p>
            <w:pPr>
              <w:pStyle w:val="37"/>
            </w:pPr>
          </w:p>
        </w:tc>
        <w:tc>
          <w:tcPr>
            <w:tcW w:w="791" w:type="dxa"/>
            <w:vAlign w:val="center"/>
          </w:tcPr>
          <w:p>
            <w:pPr>
              <w:pStyle w:val="37"/>
            </w:pPr>
          </w:p>
        </w:tc>
        <w:tc>
          <w:tcPr>
            <w:tcW w:w="653" w:type="dxa"/>
            <w:vAlign w:val="center"/>
          </w:tcPr>
          <w:p>
            <w:pPr>
              <w:pStyle w:val="37"/>
            </w:pPr>
          </w:p>
        </w:tc>
        <w:tc>
          <w:tcPr>
            <w:tcW w:w="651" w:type="dxa"/>
            <w:vAlign w:val="center"/>
          </w:tcPr>
          <w:p>
            <w:pPr>
              <w:pStyle w:val="37"/>
            </w:pPr>
            <w:r>
              <w:t>√</w:t>
            </w:r>
          </w:p>
        </w:tc>
        <w:tc>
          <w:tcPr>
            <w:tcW w:w="651" w:type="dxa"/>
            <w:vAlign w:val="center"/>
          </w:tcPr>
          <w:p>
            <w:pPr>
              <w:pStyle w:val="37"/>
            </w:pPr>
            <w:r>
              <w:t>√</w:t>
            </w:r>
          </w:p>
        </w:tc>
        <w:tc>
          <w:tcPr>
            <w:tcW w:w="653" w:type="dxa"/>
            <w:vAlign w:val="center"/>
          </w:tcPr>
          <w:p>
            <w:pPr>
              <w:pStyle w:val="37"/>
            </w:pPr>
          </w:p>
        </w:tc>
      </w:tr>
    </w:tbl>
    <w:p>
      <w:pPr>
        <w:ind w:firstLine="420"/>
        <w:rPr>
          <w:sz w:val="21"/>
        </w:rPr>
      </w:pPr>
      <w:r>
        <w:rPr>
          <w:rFonts w:hint="eastAsia"/>
          <w:sz w:val="21"/>
        </w:rPr>
        <w:t>注：短期指建设施工期，长期为运行期、封场期。</w:t>
      </w:r>
    </w:p>
    <w:p>
      <w:pPr>
        <w:pStyle w:val="4"/>
      </w:pPr>
      <w:r>
        <w:rPr>
          <w:rFonts w:hint="eastAsia"/>
        </w:rPr>
        <w:t>评价因子筛选</w:t>
      </w:r>
    </w:p>
    <w:p>
      <w:pPr>
        <w:ind w:firstLine="480"/>
      </w:pPr>
      <w:r>
        <w:rPr>
          <w:rFonts w:hint="eastAsia"/>
        </w:rPr>
        <w:t>从该工程特点及周围环境条件分析来看，该工程对外环境的影响主要是固体废物渗滤液废水对建设场地地下水质可能造成的影响，粉尘对环境空气的影响以及设备运行噪声对声环境的影响，工程施工及运行过程对生态环境的影响。</w:t>
      </w:r>
    </w:p>
    <w:p>
      <w:pPr>
        <w:ind w:firstLine="480"/>
      </w:pPr>
      <w:r>
        <w:rPr>
          <w:rFonts w:hint="eastAsia"/>
        </w:rPr>
        <w:t>通过对环境要素的识别及类比同类型建设项目已运行后的情况，根据工程拟建地环境特点和本次工程特点，筛选出本次环评的现状评价因子及预测评价因子，具体见表</w:t>
      </w:r>
      <w:r>
        <w:t>1.3-3</w:t>
      </w:r>
      <w:r>
        <w:rPr>
          <w:rFonts w:hint="eastAsia"/>
        </w:rPr>
        <w:t>。</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现状评价因子及预测评价因子</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5"/>
        <w:gridCol w:w="4394"/>
        <w:gridCol w:w="2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Align w:val="center"/>
          </w:tcPr>
          <w:p>
            <w:pPr>
              <w:pStyle w:val="37"/>
              <w:spacing w:line="276" w:lineRule="auto"/>
            </w:pPr>
            <w:r>
              <w:rPr>
                <w:rFonts w:hint="eastAsia"/>
              </w:rPr>
              <w:t>类别</w:t>
            </w:r>
          </w:p>
        </w:tc>
        <w:tc>
          <w:tcPr>
            <w:tcW w:w="4394" w:type="dxa"/>
            <w:vAlign w:val="center"/>
          </w:tcPr>
          <w:p>
            <w:pPr>
              <w:pStyle w:val="37"/>
              <w:spacing w:line="276" w:lineRule="auto"/>
            </w:pPr>
            <w:r>
              <w:rPr>
                <w:rFonts w:hint="eastAsia"/>
              </w:rPr>
              <w:t>现状评价因子</w:t>
            </w:r>
          </w:p>
        </w:tc>
        <w:tc>
          <w:tcPr>
            <w:tcW w:w="2603" w:type="dxa"/>
            <w:vAlign w:val="center"/>
          </w:tcPr>
          <w:p>
            <w:pPr>
              <w:pStyle w:val="37"/>
              <w:spacing w:line="276" w:lineRule="auto"/>
            </w:pPr>
            <w:r>
              <w:rPr>
                <w:rFonts w:hint="eastAsia"/>
              </w:rPr>
              <w:t>预测评价因子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1525" w:type="dxa"/>
            <w:vAlign w:val="center"/>
          </w:tcPr>
          <w:p>
            <w:pPr>
              <w:pStyle w:val="37"/>
              <w:spacing w:line="276" w:lineRule="auto"/>
            </w:pPr>
            <w:r>
              <w:rPr>
                <w:rFonts w:hint="eastAsia"/>
              </w:rPr>
              <w:t>环境空气</w:t>
            </w:r>
          </w:p>
        </w:tc>
        <w:tc>
          <w:tcPr>
            <w:tcW w:w="4394" w:type="dxa"/>
            <w:vAlign w:val="center"/>
          </w:tcPr>
          <w:p>
            <w:pPr>
              <w:pStyle w:val="37"/>
              <w:spacing w:line="276" w:lineRule="auto"/>
            </w:pPr>
            <w:r>
              <w:t>SO</w:t>
            </w:r>
            <w:r>
              <w:rPr>
                <w:vertAlign w:val="subscript"/>
              </w:rPr>
              <w:t>2</w:t>
            </w:r>
            <w:r>
              <w:rPr>
                <w:rFonts w:hint="eastAsia"/>
              </w:rPr>
              <w:t>、</w:t>
            </w:r>
            <w:r>
              <w:t>NO</w:t>
            </w:r>
            <w:r>
              <w:rPr>
                <w:vertAlign w:val="subscript"/>
              </w:rPr>
              <w:t>2</w:t>
            </w:r>
            <w:r>
              <w:rPr>
                <w:rFonts w:hint="eastAsia"/>
              </w:rPr>
              <w:t>、</w:t>
            </w:r>
            <w:r>
              <w:t>PM</w:t>
            </w:r>
            <w:r>
              <w:rPr>
                <w:vertAlign w:val="subscript"/>
              </w:rPr>
              <w:t>10</w:t>
            </w:r>
          </w:p>
        </w:tc>
        <w:tc>
          <w:tcPr>
            <w:tcW w:w="2603" w:type="dxa"/>
            <w:vAlign w:val="center"/>
          </w:tcPr>
          <w:p>
            <w:pPr>
              <w:pStyle w:val="37"/>
              <w:spacing w:line="276" w:lineRule="auto"/>
              <w:rPr>
                <w:highlight w:val="yellow"/>
              </w:rPr>
            </w:pPr>
            <w:r>
              <w:t>TSP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1525" w:type="dxa"/>
            <w:vAlign w:val="center"/>
          </w:tcPr>
          <w:p>
            <w:pPr>
              <w:pStyle w:val="37"/>
              <w:spacing w:line="276" w:lineRule="auto"/>
            </w:pPr>
            <w:r>
              <w:rPr>
                <w:rFonts w:hint="eastAsia"/>
              </w:rPr>
              <w:t>地表水环境</w:t>
            </w:r>
          </w:p>
        </w:tc>
        <w:tc>
          <w:tcPr>
            <w:tcW w:w="4394" w:type="dxa"/>
            <w:vAlign w:val="center"/>
          </w:tcPr>
          <w:p>
            <w:pPr>
              <w:pStyle w:val="37"/>
              <w:spacing w:line="276" w:lineRule="auto"/>
              <w:rPr>
                <w:color w:val="FF0000"/>
              </w:rPr>
            </w:pPr>
            <w:r>
              <w:t>pH</w:t>
            </w:r>
            <w:r>
              <w:rPr>
                <w:rFonts w:hint="eastAsia"/>
              </w:rPr>
              <w:t>、</w:t>
            </w:r>
            <w:r>
              <w:t>COD</w:t>
            </w:r>
            <w:r>
              <w:rPr>
                <w:rFonts w:hint="eastAsia"/>
              </w:rPr>
              <w:t>、</w:t>
            </w:r>
            <w:r>
              <w:t>NH</w:t>
            </w:r>
            <w:r>
              <w:rPr>
                <w:vertAlign w:val="subscript"/>
              </w:rPr>
              <w:t>3</w:t>
            </w:r>
            <w:r>
              <w:t>-N</w:t>
            </w:r>
            <w:r>
              <w:rPr>
                <w:rFonts w:hint="eastAsia"/>
              </w:rPr>
              <w:t>、</w:t>
            </w:r>
            <w:r>
              <w:t>BOD</w:t>
            </w:r>
            <w:r>
              <w:rPr>
                <w:vertAlign w:val="subscript"/>
              </w:rPr>
              <w:t>5</w:t>
            </w:r>
            <w:r>
              <w:rPr>
                <w:rFonts w:hint="eastAsia"/>
              </w:rPr>
              <w:t>、</w:t>
            </w:r>
            <w:r>
              <w:t>SS</w:t>
            </w:r>
            <w:r>
              <w:rPr>
                <w:rFonts w:hint="eastAsia"/>
                <w:color w:val="000000"/>
              </w:rPr>
              <w:t>、</w:t>
            </w:r>
            <w:r>
              <w:rPr>
                <w:rFonts w:hint="eastAsia"/>
              </w:rPr>
              <w:t>石油类、粪大肠菌群、砷、六价铬、铅。</w:t>
            </w:r>
          </w:p>
        </w:tc>
        <w:tc>
          <w:tcPr>
            <w:tcW w:w="2603" w:type="dxa"/>
            <w:vAlign w:val="center"/>
          </w:tcPr>
          <w:p>
            <w:pPr>
              <w:pStyle w:val="37"/>
              <w:spacing w:line="276" w:lineRule="auto"/>
              <w:rPr>
                <w:highlight w:val="yellow"/>
              </w:rPr>
            </w:pPr>
            <w:r>
              <w:rPr>
                <w:rFonts w:hint="eastAsia"/>
                <w:color w:val="000000"/>
              </w:rPr>
              <w:t>铅、</w:t>
            </w:r>
            <w:r>
              <w:rPr>
                <w:rFonts w:hint="eastAsia"/>
              </w:rPr>
              <w:t>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525" w:type="dxa"/>
            <w:vAlign w:val="center"/>
          </w:tcPr>
          <w:p>
            <w:pPr>
              <w:pStyle w:val="37"/>
              <w:spacing w:line="276" w:lineRule="auto"/>
            </w:pPr>
            <w:r>
              <w:rPr>
                <w:rFonts w:hint="eastAsia"/>
              </w:rPr>
              <w:t>地下水环境</w:t>
            </w:r>
          </w:p>
        </w:tc>
        <w:tc>
          <w:tcPr>
            <w:tcW w:w="4394" w:type="dxa"/>
            <w:vAlign w:val="center"/>
          </w:tcPr>
          <w:p>
            <w:pPr>
              <w:pStyle w:val="37"/>
              <w:spacing w:line="276" w:lineRule="auto"/>
              <w:rPr>
                <w:color w:val="FF0000"/>
              </w:rPr>
            </w:pPr>
            <w:r>
              <w:t>pH</w:t>
            </w:r>
            <w:r>
              <w:rPr>
                <w:rFonts w:hint="eastAsia"/>
              </w:rPr>
              <w:t>、高锰酸盐指数、氨氮、汞、砷、六价铬、铅、镉、铁、锰、铜、锌。</w:t>
            </w:r>
          </w:p>
        </w:tc>
        <w:tc>
          <w:tcPr>
            <w:tcW w:w="2603" w:type="dxa"/>
            <w:vAlign w:val="center"/>
          </w:tcPr>
          <w:p>
            <w:pPr>
              <w:pStyle w:val="37"/>
              <w:spacing w:line="276" w:lineRule="auto"/>
            </w:pPr>
            <w:r>
              <w:rPr>
                <w:rFonts w:hint="eastAsia"/>
              </w:rPr>
              <w:t>铅、砷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1525" w:type="dxa"/>
            <w:vAlign w:val="center"/>
          </w:tcPr>
          <w:p>
            <w:pPr>
              <w:pStyle w:val="37"/>
              <w:spacing w:line="276" w:lineRule="auto"/>
            </w:pPr>
            <w:r>
              <w:rPr>
                <w:rFonts w:hint="eastAsia"/>
              </w:rPr>
              <w:t>声环境</w:t>
            </w:r>
          </w:p>
        </w:tc>
        <w:tc>
          <w:tcPr>
            <w:tcW w:w="4394" w:type="dxa"/>
            <w:vAlign w:val="center"/>
          </w:tcPr>
          <w:p>
            <w:pPr>
              <w:pStyle w:val="37"/>
              <w:spacing w:line="276" w:lineRule="auto"/>
            </w:pPr>
            <w:r>
              <w:rPr>
                <w:rFonts w:hint="eastAsia"/>
              </w:rPr>
              <w:t>等效连续声级</w:t>
            </w:r>
            <w:r>
              <w:t>Leq(A)</w:t>
            </w:r>
          </w:p>
        </w:tc>
        <w:tc>
          <w:tcPr>
            <w:tcW w:w="2603" w:type="dxa"/>
            <w:vAlign w:val="center"/>
          </w:tcPr>
          <w:p>
            <w:pPr>
              <w:pStyle w:val="37"/>
              <w:spacing w:line="276" w:lineRule="auto"/>
            </w:pPr>
            <w:r>
              <w:rPr>
                <w:rFonts w:hint="eastAsia"/>
              </w:rPr>
              <w:t>等效连续声级</w:t>
            </w:r>
            <w:r>
              <w:t>Leq(A)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8" w:hRule="atLeast"/>
          <w:jc w:val="center"/>
        </w:trPr>
        <w:tc>
          <w:tcPr>
            <w:tcW w:w="1525" w:type="dxa"/>
            <w:vAlign w:val="center"/>
          </w:tcPr>
          <w:p>
            <w:pPr>
              <w:pStyle w:val="37"/>
              <w:spacing w:line="276" w:lineRule="auto"/>
            </w:pPr>
            <w:r>
              <w:rPr>
                <w:rFonts w:hint="eastAsia"/>
              </w:rPr>
              <w:t>土壤环境</w:t>
            </w:r>
          </w:p>
        </w:tc>
        <w:tc>
          <w:tcPr>
            <w:tcW w:w="4394" w:type="dxa"/>
            <w:vAlign w:val="center"/>
          </w:tcPr>
          <w:p>
            <w:pPr>
              <w:pStyle w:val="37"/>
              <w:spacing w:line="276" w:lineRule="auto"/>
            </w:pPr>
            <w:r>
              <w:t>pH</w:t>
            </w:r>
            <w:r>
              <w:rPr>
                <w:rFonts w:hint="eastAsia"/>
              </w:rPr>
              <w:t>值、砷、铬、铅、铜、锌。</w:t>
            </w:r>
          </w:p>
        </w:tc>
        <w:tc>
          <w:tcPr>
            <w:tcW w:w="2603" w:type="dxa"/>
            <w:vAlign w:val="center"/>
          </w:tcPr>
          <w:p>
            <w:pPr>
              <w:pStyle w:val="37"/>
              <w:spacing w:line="276" w:lineRule="auto"/>
            </w:pPr>
            <w:r>
              <w:rPr>
                <w:rFonts w:hint="eastAsia"/>
              </w:rPr>
              <w:t>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 w:hRule="atLeast"/>
          <w:jc w:val="center"/>
        </w:trPr>
        <w:tc>
          <w:tcPr>
            <w:tcW w:w="1525" w:type="dxa"/>
            <w:vAlign w:val="center"/>
          </w:tcPr>
          <w:p>
            <w:pPr>
              <w:pStyle w:val="37"/>
              <w:spacing w:line="276" w:lineRule="auto"/>
            </w:pPr>
            <w:r>
              <w:rPr>
                <w:rFonts w:hint="eastAsia"/>
              </w:rPr>
              <w:t>生态环境</w:t>
            </w:r>
          </w:p>
        </w:tc>
        <w:tc>
          <w:tcPr>
            <w:tcW w:w="4394" w:type="dxa"/>
            <w:vAlign w:val="center"/>
          </w:tcPr>
          <w:p>
            <w:pPr>
              <w:pStyle w:val="37"/>
              <w:spacing w:line="276" w:lineRule="auto"/>
            </w:pPr>
            <w:r>
              <w:t>——</w:t>
            </w:r>
          </w:p>
        </w:tc>
        <w:tc>
          <w:tcPr>
            <w:tcW w:w="2603" w:type="dxa"/>
            <w:vAlign w:val="center"/>
          </w:tcPr>
          <w:p>
            <w:pPr>
              <w:pStyle w:val="37"/>
              <w:spacing w:line="276" w:lineRule="auto"/>
            </w:pPr>
            <w:r>
              <w:rPr>
                <w:rFonts w:hint="eastAsia"/>
              </w:rPr>
              <w:t>植被、水土流失</w:t>
            </w:r>
          </w:p>
        </w:tc>
      </w:tr>
    </w:tbl>
    <w:p>
      <w:pPr>
        <w:pStyle w:val="4"/>
        <w:tabs>
          <w:tab w:val="left" w:pos="709"/>
        </w:tabs>
        <w:spacing w:line="415" w:lineRule="auto"/>
        <w:ind w:left="709" w:hanging="709"/>
        <w:jc w:val="both"/>
      </w:pPr>
      <w:r>
        <w:rPr>
          <w:rFonts w:hint="eastAsia"/>
        </w:rPr>
        <w:t>评价适用标准</w:t>
      </w:r>
    </w:p>
    <w:p>
      <w:pPr>
        <w:ind w:firstLine="480"/>
      </w:pPr>
      <w:r>
        <w:rPr>
          <w:rFonts w:hint="eastAsia"/>
        </w:rPr>
        <w:t>根据岳阳市环境保护局云溪区分局关于云溪河下游沿岸工业历史遗留固废渣处置项目环境影响评价执行标准的函，确定本项目评价标准如下：</w:t>
      </w:r>
    </w:p>
    <w:p>
      <w:pPr>
        <w:pStyle w:val="5"/>
      </w:pPr>
      <w:r>
        <w:rPr>
          <w:rFonts w:hint="eastAsia"/>
        </w:rPr>
        <w:t>环境质量标准</w:t>
      </w:r>
    </w:p>
    <w:p>
      <w:pPr>
        <w:ind w:firstLine="480"/>
      </w:pPr>
      <w:r>
        <w:rPr>
          <w:rFonts w:hint="eastAsia"/>
        </w:rPr>
        <w:t>（</w:t>
      </w:r>
      <w:r>
        <w:t>1</w:t>
      </w:r>
      <w:r>
        <w:rPr>
          <w:rFonts w:hint="eastAsia"/>
        </w:rPr>
        <w:t>）地表水：项目固废堆积处为云溪河下游，松阳湖流域，松阳湖执行《地表水环境质量标准》（</w:t>
      </w:r>
      <w:r>
        <w:t>GB3838-2002</w:t>
      </w:r>
      <w:r>
        <w:rPr>
          <w:rFonts w:hint="eastAsia"/>
        </w:rPr>
        <w:t>）</w:t>
      </w:r>
      <w:r>
        <w:rPr>
          <w:rFonts w:hint="eastAsia" w:ascii="宋体" w:hAnsi="宋体" w:cs="宋体"/>
        </w:rPr>
        <w:t>Ⅳ</w:t>
      </w:r>
      <w:r>
        <w:rPr>
          <w:rFonts w:hint="eastAsia"/>
        </w:rPr>
        <w:t>类标准，项目新建处置场场址西南侧约</w:t>
      </w:r>
      <w:r>
        <w:t>120m</w:t>
      </w:r>
      <w:r>
        <w:rPr>
          <w:rFonts w:hint="eastAsia"/>
          <w:color w:val="000000"/>
        </w:rPr>
        <w:t>郭家冲水库</w:t>
      </w:r>
      <w:r>
        <w:rPr>
          <w:color w:val="000000"/>
        </w:rPr>
        <w:t>水质</w:t>
      </w:r>
      <w:r>
        <w:rPr>
          <w:rFonts w:hint="eastAsia"/>
          <w:color w:val="000000"/>
        </w:rPr>
        <w:t>执行</w:t>
      </w:r>
      <w:r>
        <w:rPr>
          <w:rFonts w:hint="eastAsia"/>
        </w:rPr>
        <w:t>《地表水环境质量标准》</w:t>
      </w:r>
      <w:r>
        <w:t>(GB3838-2002)</w:t>
      </w:r>
      <w:r>
        <w:rPr>
          <w:rFonts w:hint="eastAsia"/>
        </w:rPr>
        <w:t>中</w:t>
      </w:r>
      <w:r>
        <w:t>III</w:t>
      </w:r>
      <w:r>
        <w:rPr>
          <w:rFonts w:hint="eastAsia"/>
        </w:rPr>
        <w:t>类标准。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r>
        <w:rPr>
          <w:rFonts w:hint="eastAsia"/>
          <w:bCs/>
        </w:rPr>
        <w:t>地表水质量评价标准</w:t>
      </w:r>
      <w:r>
        <w:rPr>
          <w:rFonts w:hint="eastAsia"/>
        </w:rPr>
        <w:t>单位：</w:t>
      </w:r>
      <w:r>
        <w:t>mg/L</w:t>
      </w:r>
      <w:r>
        <w:rPr>
          <w:rFonts w:hint="eastAsia"/>
        </w:rPr>
        <w:t>，除</w:t>
      </w:r>
      <w:r>
        <w:t>PH</w:t>
      </w:r>
      <w:r>
        <w:rPr>
          <w:rFonts w:hint="eastAsia"/>
        </w:rPr>
        <w:t>外（节选）</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4"/>
        <w:gridCol w:w="892"/>
        <w:gridCol w:w="909"/>
        <w:gridCol w:w="909"/>
        <w:gridCol w:w="960"/>
        <w:gridCol w:w="908"/>
        <w:gridCol w:w="908"/>
        <w:gridCol w:w="782"/>
        <w:gridCol w:w="782"/>
        <w:gridCol w:w="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74" w:type="dxa"/>
            <w:vAlign w:val="center"/>
          </w:tcPr>
          <w:p>
            <w:pPr>
              <w:pStyle w:val="37"/>
            </w:pPr>
            <w:r>
              <w:rPr>
                <w:rFonts w:hint="eastAsia"/>
              </w:rPr>
              <w:t>分类</w:t>
            </w:r>
          </w:p>
        </w:tc>
        <w:tc>
          <w:tcPr>
            <w:tcW w:w="892" w:type="dxa"/>
            <w:vAlign w:val="center"/>
          </w:tcPr>
          <w:p>
            <w:pPr>
              <w:pStyle w:val="37"/>
            </w:pPr>
            <w:r>
              <w:t>pH</w:t>
            </w:r>
          </w:p>
          <w:p>
            <w:pPr>
              <w:pStyle w:val="37"/>
            </w:pPr>
            <w:r>
              <w:rPr>
                <w:rFonts w:hint="eastAsia"/>
              </w:rPr>
              <w:t>（无量纲</w:t>
            </w:r>
            <w:r>
              <w:t>)</w:t>
            </w:r>
          </w:p>
        </w:tc>
        <w:tc>
          <w:tcPr>
            <w:tcW w:w="909" w:type="dxa"/>
            <w:vAlign w:val="center"/>
          </w:tcPr>
          <w:p>
            <w:pPr>
              <w:pStyle w:val="37"/>
              <w:rPr>
                <w:vertAlign w:val="subscript"/>
              </w:rPr>
            </w:pPr>
            <w:r>
              <w:t>BOD</w:t>
            </w:r>
            <w:r>
              <w:rPr>
                <w:vertAlign w:val="subscript"/>
              </w:rPr>
              <w:t>5</w:t>
            </w:r>
          </w:p>
          <w:p>
            <w:pPr>
              <w:pStyle w:val="37"/>
              <w:rPr>
                <w:vertAlign w:val="subscript"/>
              </w:rPr>
            </w:pPr>
            <w:r>
              <w:t>(mg/L)</w:t>
            </w:r>
          </w:p>
        </w:tc>
        <w:tc>
          <w:tcPr>
            <w:tcW w:w="909" w:type="dxa"/>
            <w:vAlign w:val="center"/>
          </w:tcPr>
          <w:p>
            <w:pPr>
              <w:pStyle w:val="37"/>
              <w:rPr>
                <w:vertAlign w:val="subscript"/>
              </w:rPr>
            </w:pPr>
            <w:r>
              <w:t>COD</w:t>
            </w:r>
          </w:p>
          <w:p>
            <w:pPr>
              <w:pStyle w:val="37"/>
            </w:pPr>
            <w:r>
              <w:t>(mg/L)</w:t>
            </w:r>
          </w:p>
        </w:tc>
        <w:tc>
          <w:tcPr>
            <w:tcW w:w="960" w:type="dxa"/>
            <w:vAlign w:val="center"/>
          </w:tcPr>
          <w:p>
            <w:pPr>
              <w:pStyle w:val="37"/>
            </w:pPr>
            <w:r>
              <w:rPr>
                <w:rFonts w:hint="eastAsia"/>
              </w:rPr>
              <w:t>粪大肠</w:t>
            </w:r>
          </w:p>
          <w:p>
            <w:pPr>
              <w:pStyle w:val="37"/>
            </w:pPr>
            <w:r>
              <w:rPr>
                <w:rFonts w:hint="eastAsia"/>
              </w:rPr>
              <w:t>菌群</w:t>
            </w:r>
          </w:p>
        </w:tc>
        <w:tc>
          <w:tcPr>
            <w:tcW w:w="908" w:type="dxa"/>
            <w:vAlign w:val="center"/>
          </w:tcPr>
          <w:p>
            <w:pPr>
              <w:pStyle w:val="37"/>
            </w:pPr>
            <w:r>
              <w:rPr>
                <w:rFonts w:hint="eastAsia"/>
              </w:rPr>
              <w:t>氨氮</w:t>
            </w:r>
          </w:p>
          <w:p>
            <w:pPr>
              <w:pStyle w:val="37"/>
            </w:pPr>
            <w:r>
              <w:t>(mg/L)</w:t>
            </w:r>
          </w:p>
        </w:tc>
        <w:tc>
          <w:tcPr>
            <w:tcW w:w="908" w:type="dxa"/>
            <w:vAlign w:val="center"/>
          </w:tcPr>
          <w:p>
            <w:pPr>
              <w:pStyle w:val="37"/>
            </w:pPr>
            <w:r>
              <w:rPr>
                <w:rFonts w:hint="eastAsia"/>
                <w:spacing w:val="-14"/>
              </w:rPr>
              <w:t>石油类</w:t>
            </w:r>
            <w:r>
              <w:t>(mg/L)</w:t>
            </w:r>
          </w:p>
        </w:tc>
        <w:tc>
          <w:tcPr>
            <w:tcW w:w="782" w:type="dxa"/>
            <w:vAlign w:val="center"/>
          </w:tcPr>
          <w:p>
            <w:pPr>
              <w:pStyle w:val="37"/>
            </w:pPr>
            <w:r>
              <w:rPr>
                <w:rFonts w:hint="eastAsia"/>
              </w:rPr>
              <w:t>砷</w:t>
            </w:r>
          </w:p>
        </w:tc>
        <w:tc>
          <w:tcPr>
            <w:tcW w:w="782" w:type="dxa"/>
            <w:vAlign w:val="center"/>
          </w:tcPr>
          <w:p>
            <w:pPr>
              <w:pStyle w:val="37"/>
            </w:pPr>
            <w:r>
              <w:rPr>
                <w:rFonts w:hint="eastAsia"/>
              </w:rPr>
              <w:t>铅</w:t>
            </w:r>
          </w:p>
        </w:tc>
        <w:tc>
          <w:tcPr>
            <w:tcW w:w="798" w:type="dxa"/>
            <w:vAlign w:val="center"/>
          </w:tcPr>
          <w:p>
            <w:pPr>
              <w:pStyle w:val="37"/>
            </w:pPr>
            <w:r>
              <w:rPr>
                <w:rFonts w:hint="eastAsia"/>
              </w:rPr>
              <w:t>铬（六价）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74" w:type="dxa"/>
            <w:vAlign w:val="center"/>
          </w:tcPr>
          <w:p>
            <w:pPr>
              <w:pStyle w:val="37"/>
            </w:pPr>
            <w:r>
              <w:t>III</w:t>
            </w:r>
            <w:r>
              <w:rPr>
                <w:rFonts w:hint="eastAsia"/>
              </w:rPr>
              <w:t>类</w:t>
            </w:r>
          </w:p>
        </w:tc>
        <w:tc>
          <w:tcPr>
            <w:tcW w:w="892" w:type="dxa"/>
            <w:vAlign w:val="center"/>
          </w:tcPr>
          <w:p>
            <w:pPr>
              <w:pStyle w:val="37"/>
            </w:pPr>
            <w:r>
              <w:t>6-9</w:t>
            </w:r>
          </w:p>
        </w:tc>
        <w:tc>
          <w:tcPr>
            <w:tcW w:w="909" w:type="dxa"/>
            <w:vAlign w:val="center"/>
          </w:tcPr>
          <w:p>
            <w:pPr>
              <w:pStyle w:val="37"/>
              <w:rPr>
                <w:spacing w:val="-6"/>
              </w:rPr>
            </w:pPr>
            <w:r>
              <w:t>≤4</w:t>
            </w:r>
          </w:p>
        </w:tc>
        <w:tc>
          <w:tcPr>
            <w:tcW w:w="909" w:type="dxa"/>
            <w:vAlign w:val="center"/>
          </w:tcPr>
          <w:p>
            <w:pPr>
              <w:pStyle w:val="37"/>
              <w:rPr>
                <w:spacing w:val="-6"/>
              </w:rPr>
            </w:pPr>
            <w:r>
              <w:t>≤20</w:t>
            </w:r>
          </w:p>
        </w:tc>
        <w:tc>
          <w:tcPr>
            <w:tcW w:w="960" w:type="dxa"/>
            <w:vAlign w:val="center"/>
          </w:tcPr>
          <w:p>
            <w:pPr>
              <w:pStyle w:val="37"/>
            </w:pPr>
            <w:r>
              <w:t>≤10000</w:t>
            </w:r>
          </w:p>
        </w:tc>
        <w:tc>
          <w:tcPr>
            <w:tcW w:w="908" w:type="dxa"/>
            <w:vAlign w:val="center"/>
          </w:tcPr>
          <w:p>
            <w:pPr>
              <w:pStyle w:val="37"/>
            </w:pPr>
            <w:r>
              <w:t>≤1.0</w:t>
            </w:r>
          </w:p>
        </w:tc>
        <w:tc>
          <w:tcPr>
            <w:tcW w:w="908" w:type="dxa"/>
            <w:vAlign w:val="center"/>
          </w:tcPr>
          <w:p>
            <w:pPr>
              <w:pStyle w:val="37"/>
              <w:rPr>
                <w:spacing w:val="-14"/>
              </w:rPr>
            </w:pPr>
            <w:r>
              <w:t>≤0.05</w:t>
            </w:r>
          </w:p>
        </w:tc>
        <w:tc>
          <w:tcPr>
            <w:tcW w:w="782" w:type="dxa"/>
            <w:vAlign w:val="center"/>
          </w:tcPr>
          <w:p>
            <w:pPr>
              <w:pStyle w:val="37"/>
            </w:pPr>
            <w:r>
              <w:t>≤0.05</w:t>
            </w:r>
          </w:p>
        </w:tc>
        <w:tc>
          <w:tcPr>
            <w:tcW w:w="782" w:type="dxa"/>
            <w:vAlign w:val="center"/>
          </w:tcPr>
          <w:p>
            <w:pPr>
              <w:pStyle w:val="37"/>
            </w:pPr>
            <w:r>
              <w:t>≤0.05</w:t>
            </w:r>
          </w:p>
        </w:tc>
        <w:tc>
          <w:tcPr>
            <w:tcW w:w="798" w:type="dxa"/>
            <w:vAlign w:val="center"/>
          </w:tcPr>
          <w:p>
            <w:pPr>
              <w:pStyle w:val="37"/>
            </w:pPr>
            <w: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674" w:type="dxa"/>
            <w:vAlign w:val="center"/>
          </w:tcPr>
          <w:p>
            <w:pPr>
              <w:pStyle w:val="37"/>
            </w:pPr>
            <w:r>
              <w:rPr>
                <w:rFonts w:hint="eastAsia" w:hAnsi="宋体"/>
              </w:rPr>
              <w:t>Ⅳ</w:t>
            </w:r>
            <w:r>
              <w:rPr>
                <w:rFonts w:hint="eastAsia"/>
              </w:rPr>
              <w:t>类</w:t>
            </w:r>
          </w:p>
        </w:tc>
        <w:tc>
          <w:tcPr>
            <w:tcW w:w="892" w:type="dxa"/>
            <w:vAlign w:val="center"/>
          </w:tcPr>
          <w:p>
            <w:pPr>
              <w:pStyle w:val="37"/>
            </w:pPr>
            <w:r>
              <w:t>6-9</w:t>
            </w:r>
          </w:p>
        </w:tc>
        <w:tc>
          <w:tcPr>
            <w:tcW w:w="909" w:type="dxa"/>
            <w:vAlign w:val="center"/>
          </w:tcPr>
          <w:p>
            <w:pPr>
              <w:pStyle w:val="37"/>
            </w:pPr>
            <w:r>
              <w:t>≤6</w:t>
            </w:r>
          </w:p>
        </w:tc>
        <w:tc>
          <w:tcPr>
            <w:tcW w:w="909" w:type="dxa"/>
            <w:vAlign w:val="center"/>
          </w:tcPr>
          <w:p>
            <w:pPr>
              <w:pStyle w:val="37"/>
            </w:pPr>
            <w:r>
              <w:t>≤30</w:t>
            </w:r>
          </w:p>
        </w:tc>
        <w:tc>
          <w:tcPr>
            <w:tcW w:w="960" w:type="dxa"/>
            <w:vAlign w:val="center"/>
          </w:tcPr>
          <w:p>
            <w:pPr>
              <w:pStyle w:val="37"/>
            </w:pPr>
            <w:r>
              <w:t>≤20000</w:t>
            </w:r>
          </w:p>
        </w:tc>
        <w:tc>
          <w:tcPr>
            <w:tcW w:w="908" w:type="dxa"/>
            <w:vAlign w:val="center"/>
          </w:tcPr>
          <w:p>
            <w:pPr>
              <w:pStyle w:val="37"/>
            </w:pPr>
            <w:r>
              <w:t>≤1.5</w:t>
            </w:r>
          </w:p>
        </w:tc>
        <w:tc>
          <w:tcPr>
            <w:tcW w:w="908" w:type="dxa"/>
            <w:vAlign w:val="center"/>
          </w:tcPr>
          <w:p>
            <w:pPr>
              <w:pStyle w:val="37"/>
            </w:pPr>
            <w:r>
              <w:t>≤0.5</w:t>
            </w:r>
          </w:p>
        </w:tc>
        <w:tc>
          <w:tcPr>
            <w:tcW w:w="782" w:type="dxa"/>
            <w:vAlign w:val="center"/>
          </w:tcPr>
          <w:p>
            <w:pPr>
              <w:pStyle w:val="37"/>
            </w:pPr>
            <w:r>
              <w:t>≤0.1</w:t>
            </w:r>
          </w:p>
        </w:tc>
        <w:tc>
          <w:tcPr>
            <w:tcW w:w="782" w:type="dxa"/>
            <w:vAlign w:val="center"/>
          </w:tcPr>
          <w:p>
            <w:pPr>
              <w:pStyle w:val="37"/>
            </w:pPr>
            <w:r>
              <w:t>≤0.05</w:t>
            </w:r>
          </w:p>
        </w:tc>
        <w:tc>
          <w:tcPr>
            <w:tcW w:w="798" w:type="dxa"/>
            <w:vAlign w:val="center"/>
          </w:tcPr>
          <w:p>
            <w:pPr>
              <w:pStyle w:val="37"/>
            </w:pPr>
            <w:r>
              <w:t>≤0.05</w:t>
            </w:r>
          </w:p>
        </w:tc>
      </w:tr>
    </w:tbl>
    <w:p>
      <w:pPr>
        <w:ind w:firstLine="480"/>
      </w:pPr>
      <w:r>
        <w:rPr>
          <w:rFonts w:hint="eastAsia"/>
        </w:rPr>
        <w:t>（</w:t>
      </w:r>
      <w:r>
        <w:t>2</w:t>
      </w:r>
      <w:r>
        <w:rPr>
          <w:rFonts w:hint="eastAsia"/>
        </w:rPr>
        <w:t>）地下水：厂址及附近地下水执行《地下水质量标准》（</w:t>
      </w:r>
      <w:r>
        <w:t>GB/T14848-93</w:t>
      </w:r>
      <w:r>
        <w:rPr>
          <w:rFonts w:hint="eastAsia"/>
        </w:rPr>
        <w:t>）中</w:t>
      </w:r>
      <w:r>
        <w:rPr>
          <w:rFonts w:hint="eastAsia" w:ascii="宋体" w:hAnsi="宋体" w:cs="宋体"/>
        </w:rPr>
        <w:t>Ⅲ</w:t>
      </w:r>
      <w:r>
        <w:rPr>
          <w:rFonts w:hint="eastAsia"/>
        </w:rPr>
        <w:t>类标准；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r>
        <w:rPr>
          <w:rFonts w:hint="eastAsia"/>
          <w:bCs/>
        </w:rPr>
        <w:t>地下水质量评价标准</w:t>
      </w:r>
      <w:r>
        <w:rPr>
          <w:rFonts w:hint="eastAsia"/>
        </w:rPr>
        <w:t>单位：</w:t>
      </w:r>
      <w:r>
        <w:t>mg/L</w:t>
      </w:r>
      <w:r>
        <w:rPr>
          <w:rFonts w:hint="eastAsia"/>
        </w:rPr>
        <w:t>，除</w:t>
      </w:r>
      <w:r>
        <w:t>PH</w:t>
      </w:r>
      <w:r>
        <w:rPr>
          <w:rFonts w:hint="eastAsia"/>
        </w:rPr>
        <w:t>外</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2"/>
        <w:gridCol w:w="1016"/>
        <w:gridCol w:w="1045"/>
        <w:gridCol w:w="1459"/>
        <w:gridCol w:w="1340"/>
        <w:gridCol w:w="1016"/>
        <w:gridCol w:w="944"/>
        <w:gridCol w:w="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732" w:type="dxa"/>
            <w:vAlign w:val="center"/>
          </w:tcPr>
          <w:p>
            <w:pPr>
              <w:pStyle w:val="37"/>
            </w:pPr>
            <w:r>
              <w:rPr>
                <w:rFonts w:hint="eastAsia"/>
              </w:rPr>
              <w:t>分类</w:t>
            </w:r>
          </w:p>
        </w:tc>
        <w:tc>
          <w:tcPr>
            <w:tcW w:w="1016" w:type="dxa"/>
            <w:vAlign w:val="center"/>
          </w:tcPr>
          <w:p>
            <w:pPr>
              <w:pStyle w:val="37"/>
            </w:pPr>
            <w:r>
              <w:t>pH</w:t>
            </w:r>
          </w:p>
          <w:p>
            <w:pPr>
              <w:pStyle w:val="37"/>
            </w:pPr>
            <w:r>
              <w:rPr>
                <w:rFonts w:hint="eastAsia"/>
              </w:rPr>
              <w:t>（无量纲</w:t>
            </w:r>
            <w:r>
              <w:t>)</w:t>
            </w:r>
          </w:p>
        </w:tc>
        <w:tc>
          <w:tcPr>
            <w:tcW w:w="1045" w:type="dxa"/>
            <w:vAlign w:val="center"/>
          </w:tcPr>
          <w:p>
            <w:pPr>
              <w:pStyle w:val="37"/>
            </w:pPr>
            <w:r>
              <w:rPr>
                <w:rFonts w:hint="eastAsia"/>
              </w:rPr>
              <w:t>高锰酸盐指数</w:t>
            </w:r>
          </w:p>
        </w:tc>
        <w:tc>
          <w:tcPr>
            <w:tcW w:w="1459" w:type="dxa"/>
            <w:vAlign w:val="center"/>
          </w:tcPr>
          <w:p>
            <w:pPr>
              <w:pStyle w:val="37"/>
            </w:pPr>
            <w:r>
              <w:rPr>
                <w:rFonts w:hint="eastAsia"/>
              </w:rPr>
              <w:t>氨氮</w:t>
            </w:r>
          </w:p>
        </w:tc>
        <w:tc>
          <w:tcPr>
            <w:tcW w:w="1340" w:type="dxa"/>
            <w:vAlign w:val="center"/>
          </w:tcPr>
          <w:p>
            <w:pPr>
              <w:pStyle w:val="37"/>
            </w:pPr>
            <w:r>
              <w:rPr>
                <w:rFonts w:hint="eastAsia"/>
              </w:rPr>
              <w:t>总大肠菌群</w:t>
            </w:r>
          </w:p>
        </w:tc>
        <w:tc>
          <w:tcPr>
            <w:tcW w:w="1016" w:type="dxa"/>
            <w:vAlign w:val="center"/>
          </w:tcPr>
          <w:p>
            <w:pPr>
              <w:pStyle w:val="37"/>
            </w:pPr>
            <w:r>
              <w:rPr>
                <w:rFonts w:hint="eastAsia"/>
              </w:rPr>
              <w:t>砷</w:t>
            </w:r>
          </w:p>
        </w:tc>
        <w:tc>
          <w:tcPr>
            <w:tcW w:w="944" w:type="dxa"/>
            <w:vAlign w:val="center"/>
          </w:tcPr>
          <w:p>
            <w:pPr>
              <w:pStyle w:val="37"/>
            </w:pPr>
            <w:r>
              <w:rPr>
                <w:rFonts w:hint="eastAsia"/>
              </w:rPr>
              <w:t>汞</w:t>
            </w:r>
          </w:p>
        </w:tc>
        <w:tc>
          <w:tcPr>
            <w:tcW w:w="970" w:type="dxa"/>
            <w:vAlign w:val="center"/>
          </w:tcPr>
          <w:p>
            <w:pPr>
              <w:pStyle w:val="37"/>
            </w:pPr>
            <w:r>
              <w:rPr>
                <w:rFonts w:hint="eastAsia"/>
              </w:rPr>
              <w:t>铬（六价）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732" w:type="dxa"/>
            <w:vAlign w:val="center"/>
          </w:tcPr>
          <w:p>
            <w:pPr>
              <w:pStyle w:val="37"/>
            </w:pPr>
            <w:r>
              <w:rPr>
                <w:rFonts w:hint="eastAsia" w:ascii="宋体" w:hAnsi="宋体" w:cs="宋体"/>
              </w:rPr>
              <w:t>Ⅲ</w:t>
            </w:r>
            <w:r>
              <w:rPr>
                <w:rFonts w:hint="eastAsia"/>
              </w:rPr>
              <w:t>类</w:t>
            </w:r>
          </w:p>
        </w:tc>
        <w:tc>
          <w:tcPr>
            <w:tcW w:w="1016" w:type="dxa"/>
            <w:vAlign w:val="center"/>
          </w:tcPr>
          <w:p>
            <w:pPr>
              <w:pStyle w:val="37"/>
            </w:pPr>
            <w:r>
              <w:t>6.5-8.5</w:t>
            </w:r>
          </w:p>
        </w:tc>
        <w:tc>
          <w:tcPr>
            <w:tcW w:w="1045" w:type="dxa"/>
            <w:vAlign w:val="center"/>
          </w:tcPr>
          <w:p>
            <w:pPr>
              <w:pStyle w:val="37"/>
            </w:pPr>
            <w:r>
              <w:t>≤3.0</w:t>
            </w:r>
          </w:p>
        </w:tc>
        <w:tc>
          <w:tcPr>
            <w:tcW w:w="1459" w:type="dxa"/>
            <w:vAlign w:val="center"/>
          </w:tcPr>
          <w:p>
            <w:pPr>
              <w:pStyle w:val="37"/>
            </w:pPr>
            <w:r>
              <w:t>≤0.2</w:t>
            </w:r>
          </w:p>
        </w:tc>
        <w:tc>
          <w:tcPr>
            <w:tcW w:w="1340" w:type="dxa"/>
            <w:vAlign w:val="center"/>
          </w:tcPr>
          <w:p>
            <w:pPr>
              <w:pStyle w:val="37"/>
            </w:pPr>
            <w:r>
              <w:t>≤3.0</w:t>
            </w:r>
          </w:p>
        </w:tc>
        <w:tc>
          <w:tcPr>
            <w:tcW w:w="1016" w:type="dxa"/>
            <w:vAlign w:val="center"/>
          </w:tcPr>
          <w:p>
            <w:pPr>
              <w:pStyle w:val="37"/>
            </w:pPr>
            <w:r>
              <w:t>≤0.05</w:t>
            </w:r>
          </w:p>
        </w:tc>
        <w:tc>
          <w:tcPr>
            <w:tcW w:w="944" w:type="dxa"/>
            <w:vAlign w:val="center"/>
          </w:tcPr>
          <w:p>
            <w:pPr>
              <w:pStyle w:val="37"/>
            </w:pPr>
            <w:r>
              <w:t>≤0.001</w:t>
            </w:r>
          </w:p>
        </w:tc>
        <w:tc>
          <w:tcPr>
            <w:tcW w:w="970" w:type="dxa"/>
            <w:vAlign w:val="center"/>
          </w:tcPr>
          <w:p>
            <w:pPr>
              <w:pStyle w:val="37"/>
            </w:pPr>
            <w: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732" w:type="dxa"/>
            <w:vAlign w:val="center"/>
          </w:tcPr>
          <w:p>
            <w:pPr>
              <w:pStyle w:val="37"/>
            </w:pPr>
            <w:r>
              <w:rPr>
                <w:rFonts w:hint="eastAsia"/>
              </w:rPr>
              <w:t>分类</w:t>
            </w:r>
          </w:p>
        </w:tc>
        <w:tc>
          <w:tcPr>
            <w:tcW w:w="1016" w:type="dxa"/>
            <w:vAlign w:val="center"/>
          </w:tcPr>
          <w:p>
            <w:pPr>
              <w:pStyle w:val="37"/>
            </w:pPr>
            <w:r>
              <w:rPr>
                <w:rFonts w:hint="eastAsia"/>
              </w:rPr>
              <w:t>铜</w:t>
            </w:r>
          </w:p>
        </w:tc>
        <w:tc>
          <w:tcPr>
            <w:tcW w:w="1045" w:type="dxa"/>
            <w:vAlign w:val="center"/>
          </w:tcPr>
          <w:p>
            <w:pPr>
              <w:pStyle w:val="37"/>
            </w:pPr>
            <w:r>
              <w:rPr>
                <w:rFonts w:hint="eastAsia"/>
              </w:rPr>
              <w:t>锌</w:t>
            </w:r>
          </w:p>
        </w:tc>
        <w:tc>
          <w:tcPr>
            <w:tcW w:w="1459" w:type="dxa"/>
            <w:vAlign w:val="center"/>
          </w:tcPr>
          <w:p>
            <w:pPr>
              <w:pStyle w:val="37"/>
            </w:pPr>
            <w:r>
              <w:rPr>
                <w:rFonts w:hint="eastAsia"/>
              </w:rPr>
              <w:t>铅</w:t>
            </w:r>
          </w:p>
        </w:tc>
        <w:tc>
          <w:tcPr>
            <w:tcW w:w="1340" w:type="dxa"/>
            <w:vAlign w:val="center"/>
          </w:tcPr>
          <w:p>
            <w:pPr>
              <w:pStyle w:val="37"/>
            </w:pPr>
            <w:r>
              <w:rPr>
                <w:rFonts w:hint="eastAsia"/>
              </w:rPr>
              <w:t>镉</w:t>
            </w:r>
          </w:p>
        </w:tc>
        <w:tc>
          <w:tcPr>
            <w:tcW w:w="1016" w:type="dxa"/>
            <w:vAlign w:val="center"/>
          </w:tcPr>
          <w:p>
            <w:pPr>
              <w:pStyle w:val="37"/>
            </w:pPr>
            <w:r>
              <w:rPr>
                <w:rFonts w:hint="eastAsia"/>
              </w:rPr>
              <w:t>铁</w:t>
            </w:r>
          </w:p>
        </w:tc>
        <w:tc>
          <w:tcPr>
            <w:tcW w:w="944" w:type="dxa"/>
            <w:vAlign w:val="center"/>
          </w:tcPr>
          <w:p>
            <w:pPr>
              <w:pStyle w:val="37"/>
            </w:pPr>
            <w:r>
              <w:rPr>
                <w:rFonts w:hint="eastAsia"/>
              </w:rPr>
              <w:t>锰</w:t>
            </w:r>
          </w:p>
        </w:tc>
        <w:tc>
          <w:tcPr>
            <w:tcW w:w="970"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732" w:type="dxa"/>
            <w:vAlign w:val="center"/>
          </w:tcPr>
          <w:p>
            <w:pPr>
              <w:pStyle w:val="37"/>
            </w:pPr>
            <w:r>
              <w:rPr>
                <w:rFonts w:hint="eastAsia" w:ascii="宋体" w:hAnsi="宋体" w:cs="宋体"/>
              </w:rPr>
              <w:t>Ⅲ</w:t>
            </w:r>
            <w:r>
              <w:rPr>
                <w:rFonts w:hint="eastAsia"/>
              </w:rPr>
              <w:t>类</w:t>
            </w:r>
          </w:p>
        </w:tc>
        <w:tc>
          <w:tcPr>
            <w:tcW w:w="1016" w:type="dxa"/>
            <w:vAlign w:val="center"/>
          </w:tcPr>
          <w:p>
            <w:pPr>
              <w:pStyle w:val="37"/>
            </w:pPr>
            <w:r>
              <w:t>≤1.0</w:t>
            </w:r>
          </w:p>
        </w:tc>
        <w:tc>
          <w:tcPr>
            <w:tcW w:w="1045" w:type="dxa"/>
            <w:vAlign w:val="center"/>
          </w:tcPr>
          <w:p>
            <w:pPr>
              <w:pStyle w:val="37"/>
            </w:pPr>
            <w:r>
              <w:t>≤1.0</w:t>
            </w:r>
          </w:p>
        </w:tc>
        <w:tc>
          <w:tcPr>
            <w:tcW w:w="1459" w:type="dxa"/>
            <w:vAlign w:val="center"/>
          </w:tcPr>
          <w:p>
            <w:pPr>
              <w:pStyle w:val="37"/>
            </w:pPr>
            <w:r>
              <w:t>≤0.05</w:t>
            </w:r>
          </w:p>
        </w:tc>
        <w:tc>
          <w:tcPr>
            <w:tcW w:w="1340" w:type="dxa"/>
            <w:vAlign w:val="center"/>
          </w:tcPr>
          <w:p>
            <w:pPr>
              <w:pStyle w:val="37"/>
            </w:pPr>
            <w:r>
              <w:t>≤0.01</w:t>
            </w:r>
          </w:p>
        </w:tc>
        <w:tc>
          <w:tcPr>
            <w:tcW w:w="1016" w:type="dxa"/>
            <w:vAlign w:val="center"/>
          </w:tcPr>
          <w:p>
            <w:pPr>
              <w:pStyle w:val="37"/>
            </w:pPr>
            <w:r>
              <w:t>≤0.3</w:t>
            </w:r>
          </w:p>
        </w:tc>
        <w:tc>
          <w:tcPr>
            <w:tcW w:w="944" w:type="dxa"/>
            <w:vAlign w:val="center"/>
          </w:tcPr>
          <w:p>
            <w:pPr>
              <w:pStyle w:val="37"/>
            </w:pPr>
            <w:r>
              <w:t>≤0.1</w:t>
            </w:r>
          </w:p>
        </w:tc>
        <w:tc>
          <w:tcPr>
            <w:tcW w:w="970" w:type="dxa"/>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40" w:hRule="atLeast"/>
          <w:jc w:val="center"/>
        </w:trPr>
        <w:tc>
          <w:tcPr>
            <w:tcW w:w="8522" w:type="dxa"/>
            <w:gridSpan w:val="8"/>
            <w:vAlign w:val="center"/>
          </w:tcPr>
          <w:p>
            <w:pPr>
              <w:pStyle w:val="37"/>
            </w:pPr>
            <w:r>
              <w:rPr>
                <w:rFonts w:hint="eastAsia"/>
              </w:rPr>
              <w:t>依据：《地下水质量标准》</w:t>
            </w:r>
            <w:r>
              <w:t>GB/T14848-93</w:t>
            </w:r>
          </w:p>
        </w:tc>
      </w:tr>
    </w:tbl>
    <w:p>
      <w:pPr>
        <w:ind w:firstLine="480"/>
        <w:rPr>
          <w:snapToGrid w:val="0"/>
          <w:kern w:val="0"/>
        </w:rPr>
      </w:pPr>
      <w:r>
        <w:rPr>
          <w:rFonts w:hint="eastAsia"/>
        </w:rPr>
        <w:t>（</w:t>
      </w:r>
      <w:r>
        <w:t>3</w:t>
      </w:r>
      <w:r>
        <w:rPr>
          <w:rFonts w:hint="eastAsia"/>
        </w:rPr>
        <w:t>）环境空气：执行《环境空气质量标准》</w:t>
      </w:r>
      <w:r>
        <w:t>(GB3095-2012)</w:t>
      </w:r>
      <w:r>
        <w:rPr>
          <w:rFonts w:hint="eastAsia"/>
        </w:rPr>
        <w:t>中二级标准；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6</w:t>
      </w:r>
      <w:r>
        <w:fldChar w:fldCharType="end"/>
      </w:r>
      <w:r>
        <w:rPr>
          <w:rFonts w:hint="eastAsia"/>
          <w:kern w:val="0"/>
        </w:rPr>
        <w:t>环境空气质量标准</w:t>
      </w:r>
    </w:p>
    <w:tbl>
      <w:tblPr>
        <w:tblStyle w:val="35"/>
        <w:tblpPr w:leftFromText="180" w:rightFromText="180" w:vertAnchor="text" w:tblpXSpec="center" w:tblpY="1"/>
        <w:tblOverlap w:val="never"/>
        <w:tblW w:w="85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3"/>
        <w:gridCol w:w="1297"/>
        <w:gridCol w:w="1537"/>
        <w:gridCol w:w="3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6" w:hRule="atLeast"/>
        </w:trPr>
        <w:tc>
          <w:tcPr>
            <w:tcW w:w="1703" w:type="dxa"/>
            <w:vAlign w:val="center"/>
          </w:tcPr>
          <w:p>
            <w:pPr>
              <w:pStyle w:val="37"/>
            </w:pPr>
            <w:r>
              <w:rPr>
                <w:rFonts w:hint="eastAsia"/>
              </w:rPr>
              <w:t>污染物名称</w:t>
            </w:r>
          </w:p>
        </w:tc>
        <w:tc>
          <w:tcPr>
            <w:tcW w:w="2834" w:type="dxa"/>
            <w:gridSpan w:val="2"/>
            <w:vAlign w:val="center"/>
          </w:tcPr>
          <w:p>
            <w:pPr>
              <w:pStyle w:val="37"/>
            </w:pPr>
            <w:r>
              <w:rPr>
                <w:rFonts w:hint="eastAsia"/>
              </w:rPr>
              <w:t>标准值</w:t>
            </w:r>
          </w:p>
        </w:tc>
        <w:tc>
          <w:tcPr>
            <w:tcW w:w="3985" w:type="dxa"/>
            <w:vAlign w:val="center"/>
          </w:tcPr>
          <w:p>
            <w:pPr>
              <w:pStyle w:val="37"/>
            </w:pPr>
            <w:r>
              <w:rPr>
                <w:rFonts w:hint="eastAsia"/>
              </w:rPr>
              <w:t>选用标准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703" w:type="dxa"/>
            <w:vMerge w:val="restart"/>
            <w:vAlign w:val="center"/>
          </w:tcPr>
          <w:p>
            <w:pPr>
              <w:pStyle w:val="37"/>
              <w:rPr>
                <w:vertAlign w:val="subscript"/>
              </w:rPr>
            </w:pPr>
            <w:r>
              <w:t>SO</w:t>
            </w:r>
            <w:r>
              <w:rPr>
                <w:vertAlign w:val="subscript"/>
              </w:rPr>
              <w:t>2</w:t>
            </w:r>
          </w:p>
        </w:tc>
        <w:tc>
          <w:tcPr>
            <w:tcW w:w="1297" w:type="dxa"/>
            <w:vAlign w:val="center"/>
          </w:tcPr>
          <w:p>
            <w:pPr>
              <w:pStyle w:val="37"/>
            </w:pPr>
            <w:r>
              <w:rPr>
                <w:rFonts w:hint="eastAsia"/>
              </w:rPr>
              <w:t>日平均</w:t>
            </w:r>
          </w:p>
        </w:tc>
        <w:tc>
          <w:tcPr>
            <w:tcW w:w="1537" w:type="dxa"/>
            <w:vAlign w:val="center"/>
          </w:tcPr>
          <w:p>
            <w:pPr>
              <w:pStyle w:val="37"/>
            </w:pPr>
            <w:r>
              <w:t>150</w:t>
            </w:r>
            <w:r>
              <w:rPr>
                <w:rFonts w:hint="eastAsia"/>
              </w:rPr>
              <w:t>（</w:t>
            </w:r>
            <w:r>
              <w:t>ug/m</w:t>
            </w:r>
            <w:r>
              <w:rPr>
                <w:vertAlign w:val="superscript"/>
              </w:rPr>
              <w:t>3</w:t>
            </w:r>
            <w:r>
              <w:rPr>
                <w:rFonts w:hint="eastAsia"/>
              </w:rPr>
              <w:t>）</w:t>
            </w:r>
          </w:p>
        </w:tc>
        <w:tc>
          <w:tcPr>
            <w:tcW w:w="3985" w:type="dxa"/>
            <w:vMerge w:val="restart"/>
            <w:vAlign w:val="center"/>
          </w:tcPr>
          <w:p>
            <w:pPr>
              <w:pStyle w:val="37"/>
            </w:pPr>
            <w:r>
              <w:rPr>
                <w:rFonts w:hint="eastAsia"/>
              </w:rPr>
              <w:t>《环境空气质量标准》（</w:t>
            </w:r>
            <w:r>
              <w:t>GB3095-2012</w:t>
            </w:r>
            <w:r>
              <w:rPr>
                <w:rFonts w:hint="eastAsia"/>
              </w:rPr>
              <w:t>）</w:t>
            </w:r>
          </w:p>
          <w:p>
            <w:pPr>
              <w:pStyle w:val="37"/>
            </w:pPr>
            <w:r>
              <w:rPr>
                <w:rFonts w:hint="eastAsia"/>
              </w:rPr>
              <w:t>中二级标准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703" w:type="dxa"/>
            <w:vMerge w:val="continue"/>
            <w:vAlign w:val="center"/>
          </w:tcPr>
          <w:p>
            <w:pPr>
              <w:pStyle w:val="37"/>
            </w:pPr>
          </w:p>
        </w:tc>
        <w:tc>
          <w:tcPr>
            <w:tcW w:w="1297" w:type="dxa"/>
            <w:vAlign w:val="center"/>
          </w:tcPr>
          <w:p>
            <w:pPr>
              <w:pStyle w:val="37"/>
            </w:pPr>
            <w:r>
              <w:t>1</w:t>
            </w:r>
            <w:r>
              <w:rPr>
                <w:rFonts w:hint="eastAsia"/>
              </w:rPr>
              <w:t>小时平均</w:t>
            </w:r>
          </w:p>
        </w:tc>
        <w:tc>
          <w:tcPr>
            <w:tcW w:w="1537" w:type="dxa"/>
            <w:vAlign w:val="center"/>
          </w:tcPr>
          <w:p>
            <w:pPr>
              <w:pStyle w:val="37"/>
            </w:pPr>
            <w:r>
              <w:t>500</w:t>
            </w:r>
            <w:r>
              <w:rPr>
                <w:rFonts w:hint="eastAsia"/>
              </w:rPr>
              <w:t>（</w:t>
            </w:r>
            <w:r>
              <w:t>ug/m</w:t>
            </w:r>
            <w:r>
              <w:rPr>
                <w:vertAlign w:val="superscript"/>
              </w:rPr>
              <w:t>3</w:t>
            </w:r>
            <w:r>
              <w:rPr>
                <w:rFonts w:hint="eastAsia"/>
              </w:rPr>
              <w:t>）</w:t>
            </w:r>
          </w:p>
        </w:tc>
        <w:tc>
          <w:tcPr>
            <w:tcW w:w="3985"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703" w:type="dxa"/>
            <w:vAlign w:val="center"/>
          </w:tcPr>
          <w:p>
            <w:pPr>
              <w:pStyle w:val="37"/>
            </w:pPr>
            <w:r>
              <w:t>PM</w:t>
            </w:r>
            <w:r>
              <w:rPr>
                <w:vertAlign w:val="subscript"/>
              </w:rPr>
              <w:t>10</w:t>
            </w:r>
          </w:p>
        </w:tc>
        <w:tc>
          <w:tcPr>
            <w:tcW w:w="1297" w:type="dxa"/>
            <w:vAlign w:val="center"/>
          </w:tcPr>
          <w:p>
            <w:pPr>
              <w:pStyle w:val="37"/>
            </w:pPr>
            <w:r>
              <w:rPr>
                <w:rFonts w:hint="eastAsia"/>
              </w:rPr>
              <w:t>日平均</w:t>
            </w:r>
          </w:p>
        </w:tc>
        <w:tc>
          <w:tcPr>
            <w:tcW w:w="1537" w:type="dxa"/>
            <w:vAlign w:val="center"/>
          </w:tcPr>
          <w:p>
            <w:pPr>
              <w:pStyle w:val="37"/>
            </w:pPr>
            <w:r>
              <w:t>150</w:t>
            </w:r>
            <w:r>
              <w:rPr>
                <w:rFonts w:hint="eastAsia"/>
              </w:rPr>
              <w:t>（</w:t>
            </w:r>
            <w:r>
              <w:t>ug/m</w:t>
            </w:r>
            <w:r>
              <w:rPr>
                <w:vertAlign w:val="superscript"/>
              </w:rPr>
              <w:t>3</w:t>
            </w:r>
            <w:r>
              <w:rPr>
                <w:rFonts w:hint="eastAsia"/>
              </w:rPr>
              <w:t>）</w:t>
            </w:r>
          </w:p>
        </w:tc>
        <w:tc>
          <w:tcPr>
            <w:tcW w:w="3985"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703" w:type="dxa"/>
            <w:vMerge w:val="restart"/>
            <w:vAlign w:val="center"/>
          </w:tcPr>
          <w:p>
            <w:pPr>
              <w:pStyle w:val="37"/>
            </w:pPr>
            <w:r>
              <w:t>NO</w:t>
            </w:r>
            <w:r>
              <w:rPr>
                <w:vertAlign w:val="subscript"/>
              </w:rPr>
              <w:t>2</w:t>
            </w:r>
          </w:p>
        </w:tc>
        <w:tc>
          <w:tcPr>
            <w:tcW w:w="1297" w:type="dxa"/>
            <w:vAlign w:val="center"/>
          </w:tcPr>
          <w:p>
            <w:pPr>
              <w:pStyle w:val="37"/>
            </w:pPr>
            <w:r>
              <w:rPr>
                <w:rFonts w:hint="eastAsia"/>
              </w:rPr>
              <w:t>日平均</w:t>
            </w:r>
          </w:p>
        </w:tc>
        <w:tc>
          <w:tcPr>
            <w:tcW w:w="1537" w:type="dxa"/>
            <w:vAlign w:val="center"/>
          </w:tcPr>
          <w:p>
            <w:pPr>
              <w:pStyle w:val="37"/>
            </w:pPr>
            <w:r>
              <w:t>80</w:t>
            </w:r>
            <w:r>
              <w:rPr>
                <w:rFonts w:hint="eastAsia"/>
              </w:rPr>
              <w:t>（</w:t>
            </w:r>
            <w:r>
              <w:t>ug/m</w:t>
            </w:r>
            <w:r>
              <w:rPr>
                <w:vertAlign w:val="superscript"/>
              </w:rPr>
              <w:t>3</w:t>
            </w:r>
            <w:r>
              <w:rPr>
                <w:rFonts w:hint="eastAsia"/>
              </w:rPr>
              <w:t>）</w:t>
            </w:r>
          </w:p>
        </w:tc>
        <w:tc>
          <w:tcPr>
            <w:tcW w:w="3985"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 w:hRule="atLeast"/>
        </w:trPr>
        <w:tc>
          <w:tcPr>
            <w:tcW w:w="1703" w:type="dxa"/>
            <w:vMerge w:val="continue"/>
            <w:vAlign w:val="center"/>
          </w:tcPr>
          <w:p>
            <w:pPr>
              <w:pStyle w:val="37"/>
            </w:pPr>
          </w:p>
        </w:tc>
        <w:tc>
          <w:tcPr>
            <w:tcW w:w="1297" w:type="dxa"/>
            <w:vAlign w:val="center"/>
          </w:tcPr>
          <w:p>
            <w:pPr>
              <w:pStyle w:val="37"/>
            </w:pPr>
            <w:r>
              <w:t>1</w:t>
            </w:r>
            <w:r>
              <w:rPr>
                <w:rFonts w:hint="eastAsia"/>
              </w:rPr>
              <w:t>小时平均</w:t>
            </w:r>
          </w:p>
        </w:tc>
        <w:tc>
          <w:tcPr>
            <w:tcW w:w="1537" w:type="dxa"/>
            <w:vAlign w:val="center"/>
          </w:tcPr>
          <w:p>
            <w:pPr>
              <w:pStyle w:val="37"/>
            </w:pPr>
            <w:r>
              <w:t>200</w:t>
            </w:r>
            <w:r>
              <w:rPr>
                <w:rFonts w:hint="eastAsia"/>
              </w:rPr>
              <w:t>（</w:t>
            </w:r>
            <w:r>
              <w:t>ug/m</w:t>
            </w:r>
            <w:r>
              <w:rPr>
                <w:vertAlign w:val="superscript"/>
              </w:rPr>
              <w:t>3</w:t>
            </w:r>
            <w:r>
              <w:rPr>
                <w:rFonts w:hint="eastAsia"/>
              </w:rPr>
              <w:t>）</w:t>
            </w:r>
          </w:p>
        </w:tc>
        <w:tc>
          <w:tcPr>
            <w:tcW w:w="3985" w:type="dxa"/>
            <w:vMerge w:val="continue"/>
            <w:vAlign w:val="center"/>
          </w:tcPr>
          <w:p>
            <w:pPr>
              <w:pStyle w:val="37"/>
            </w:pPr>
          </w:p>
        </w:tc>
      </w:tr>
    </w:tbl>
    <w:p>
      <w:pPr>
        <w:ind w:firstLine="480"/>
      </w:pPr>
      <w:r>
        <w:rPr>
          <w:rFonts w:hint="eastAsia"/>
        </w:rPr>
        <w:t>（</w:t>
      </w:r>
      <w:r>
        <w:t>4</w:t>
      </w:r>
      <w:r>
        <w:rPr>
          <w:rFonts w:hint="eastAsia"/>
        </w:rPr>
        <w:t>）声环境：执行《声环境质量标准》（</w:t>
      </w:r>
      <w:r>
        <w:t>GB3096-2008</w:t>
      </w:r>
      <w:r>
        <w:rPr>
          <w:rFonts w:hint="eastAsia"/>
        </w:rPr>
        <w:t>）中</w:t>
      </w:r>
      <w:r>
        <w:t>2</w:t>
      </w:r>
      <w:r>
        <w:rPr>
          <w:rFonts w:hint="eastAsia"/>
        </w:rPr>
        <w:t>类标准。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7</w:t>
      </w:r>
      <w:r>
        <w:fldChar w:fldCharType="end"/>
      </w:r>
      <w:r>
        <w:rPr>
          <w:rFonts w:hint="eastAsia"/>
        </w:rPr>
        <w:t>环境噪声评价标准</w:t>
      </w:r>
      <w:r>
        <w:rPr>
          <w:rFonts w:hint="eastAsia"/>
          <w:szCs w:val="21"/>
        </w:rPr>
        <w:t>等效声级</w:t>
      </w:r>
      <w:r>
        <w:rPr>
          <w:szCs w:val="21"/>
        </w:rPr>
        <w:t>LAeq</w:t>
      </w:r>
      <w:r>
        <w:rPr>
          <w:rFonts w:hint="eastAsia"/>
          <w:szCs w:val="21"/>
        </w:rPr>
        <w:t>：</w:t>
      </w:r>
      <w:r>
        <w:rPr>
          <w:szCs w:val="21"/>
        </w:rPr>
        <w:t>dB</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4"/>
        <w:gridCol w:w="3061"/>
        <w:gridCol w:w="37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664" w:type="dxa"/>
            <w:vAlign w:val="center"/>
          </w:tcPr>
          <w:p>
            <w:pPr>
              <w:pStyle w:val="37"/>
            </w:pPr>
            <w:r>
              <w:rPr>
                <w:rFonts w:hint="eastAsia"/>
              </w:rPr>
              <w:t>级别</w:t>
            </w:r>
          </w:p>
        </w:tc>
        <w:tc>
          <w:tcPr>
            <w:tcW w:w="3061" w:type="dxa"/>
            <w:vAlign w:val="center"/>
          </w:tcPr>
          <w:p>
            <w:pPr>
              <w:pStyle w:val="37"/>
            </w:pPr>
            <w:r>
              <w:rPr>
                <w:rFonts w:hint="eastAsia"/>
              </w:rPr>
              <w:t>昼间</w:t>
            </w:r>
          </w:p>
        </w:tc>
        <w:tc>
          <w:tcPr>
            <w:tcW w:w="3797" w:type="dxa"/>
            <w:vAlign w:val="center"/>
          </w:tcPr>
          <w:p>
            <w:pPr>
              <w:pStyle w:val="37"/>
            </w:pPr>
            <w:r>
              <w:rPr>
                <w:rFonts w:hint="eastAsia"/>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664" w:type="dxa"/>
            <w:vAlign w:val="center"/>
          </w:tcPr>
          <w:p>
            <w:pPr>
              <w:pStyle w:val="37"/>
            </w:pPr>
            <w:r>
              <w:t>2</w:t>
            </w:r>
            <w:r>
              <w:rPr>
                <w:rFonts w:hint="eastAsia"/>
              </w:rPr>
              <w:t>类</w:t>
            </w:r>
          </w:p>
        </w:tc>
        <w:tc>
          <w:tcPr>
            <w:tcW w:w="3061" w:type="dxa"/>
            <w:vAlign w:val="center"/>
          </w:tcPr>
          <w:p>
            <w:pPr>
              <w:pStyle w:val="37"/>
            </w:pPr>
            <w:r>
              <w:t>60</w:t>
            </w:r>
          </w:p>
        </w:tc>
        <w:tc>
          <w:tcPr>
            <w:tcW w:w="3797" w:type="dxa"/>
            <w:vAlign w:val="center"/>
          </w:tcPr>
          <w:p>
            <w:pPr>
              <w:pStyle w:val="37"/>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522" w:type="dxa"/>
            <w:gridSpan w:val="3"/>
            <w:vAlign w:val="center"/>
          </w:tcPr>
          <w:p>
            <w:pPr>
              <w:pStyle w:val="37"/>
            </w:pPr>
            <w:r>
              <w:rPr>
                <w:rFonts w:hint="eastAsia"/>
              </w:rPr>
              <w:t>依据：《声环境质量标准》</w:t>
            </w:r>
            <w:r>
              <w:t>GB3096-2008</w:t>
            </w:r>
          </w:p>
        </w:tc>
      </w:tr>
    </w:tbl>
    <w:p>
      <w:pPr>
        <w:pStyle w:val="5"/>
        <w:rPr>
          <w:kern w:val="0"/>
        </w:rPr>
      </w:pPr>
      <w:r>
        <w:rPr>
          <w:rFonts w:hint="eastAsia"/>
          <w:kern w:val="0"/>
        </w:rPr>
        <w:t>污染物排放标准</w:t>
      </w:r>
    </w:p>
    <w:p>
      <w:pPr>
        <w:ind w:firstLine="480"/>
        <w:rPr>
          <w:kern w:val="0"/>
        </w:rPr>
      </w:pPr>
      <w:r>
        <w:rPr>
          <w:rFonts w:hint="eastAsia"/>
          <w:kern w:val="0"/>
        </w:rPr>
        <w:t>（</w:t>
      </w:r>
      <w:r>
        <w:rPr>
          <w:kern w:val="0"/>
        </w:rPr>
        <w:t>1</w:t>
      </w:r>
      <w:r>
        <w:rPr>
          <w:rFonts w:hint="eastAsia"/>
          <w:kern w:val="0"/>
        </w:rPr>
        <w:t>）废水：废水排放</w:t>
      </w:r>
      <w:r>
        <w:rPr>
          <w:rFonts w:hint="eastAsia"/>
        </w:rPr>
        <w:t>执行《污水综合排放标准》（</w:t>
      </w:r>
      <w:r>
        <w:t>GB8978-1996</w:t>
      </w:r>
      <w:r>
        <w:rPr>
          <w:rFonts w:hint="eastAsia"/>
        </w:rPr>
        <w:t>）一级标准</w:t>
      </w:r>
      <w:r>
        <w:rPr>
          <w:rFonts w:hint="eastAsia"/>
          <w:kern w:val="0"/>
        </w:rPr>
        <w:t>；</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8</w:t>
      </w:r>
      <w:r>
        <w:fldChar w:fldCharType="end"/>
      </w:r>
      <w:r>
        <w:rPr>
          <w:rFonts w:hint="eastAsia"/>
        </w:rPr>
        <w:t>废水污染物排放限值（单位：</w:t>
      </w:r>
      <w:r>
        <w:t>mg/l</w:t>
      </w:r>
      <w:r>
        <w:rPr>
          <w:rFonts w:hint="eastAsia"/>
        </w:rPr>
        <w:t>）</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755"/>
        <w:gridCol w:w="687"/>
        <w:gridCol w:w="758"/>
        <w:gridCol w:w="661"/>
        <w:gridCol w:w="564"/>
        <w:gridCol w:w="8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4219" w:type="dxa"/>
            <w:vAlign w:val="center"/>
          </w:tcPr>
          <w:p>
            <w:pPr>
              <w:pStyle w:val="37"/>
              <w:rPr>
                <w:kern w:val="0"/>
              </w:rPr>
            </w:pPr>
            <w:r>
              <w:rPr>
                <w:rFonts w:hint="eastAsia"/>
                <w:kern w:val="0"/>
              </w:rPr>
              <w:t>指标</w:t>
            </w:r>
          </w:p>
        </w:tc>
        <w:tc>
          <w:tcPr>
            <w:tcW w:w="755" w:type="dxa"/>
            <w:vAlign w:val="center"/>
          </w:tcPr>
          <w:p>
            <w:pPr>
              <w:pStyle w:val="37"/>
              <w:rPr>
                <w:kern w:val="0"/>
              </w:rPr>
            </w:pPr>
            <w:r>
              <w:rPr>
                <w:kern w:val="0"/>
              </w:rPr>
              <w:t>pH</w:t>
            </w:r>
          </w:p>
        </w:tc>
        <w:tc>
          <w:tcPr>
            <w:tcW w:w="687" w:type="dxa"/>
            <w:vAlign w:val="center"/>
          </w:tcPr>
          <w:p>
            <w:pPr>
              <w:pStyle w:val="37"/>
              <w:rPr>
                <w:kern w:val="0"/>
              </w:rPr>
            </w:pPr>
            <w:r>
              <w:rPr>
                <w:kern w:val="0"/>
              </w:rPr>
              <w:t>COD</w:t>
            </w:r>
          </w:p>
        </w:tc>
        <w:tc>
          <w:tcPr>
            <w:tcW w:w="758" w:type="dxa"/>
            <w:vAlign w:val="center"/>
          </w:tcPr>
          <w:p>
            <w:pPr>
              <w:pStyle w:val="37"/>
              <w:rPr>
                <w:kern w:val="0"/>
              </w:rPr>
            </w:pPr>
            <w:r>
              <w:rPr>
                <w:kern w:val="0"/>
              </w:rPr>
              <w:t>BOD</w:t>
            </w:r>
            <w:r>
              <w:rPr>
                <w:kern w:val="0"/>
                <w:vertAlign w:val="subscript"/>
              </w:rPr>
              <w:t>5</w:t>
            </w:r>
          </w:p>
        </w:tc>
        <w:tc>
          <w:tcPr>
            <w:tcW w:w="661" w:type="dxa"/>
            <w:vAlign w:val="center"/>
          </w:tcPr>
          <w:p>
            <w:pPr>
              <w:pStyle w:val="37"/>
              <w:rPr>
                <w:kern w:val="0"/>
              </w:rPr>
            </w:pPr>
            <w:r>
              <w:rPr>
                <w:rFonts w:hint="eastAsia"/>
                <w:kern w:val="0"/>
              </w:rPr>
              <w:t>氨氮</w:t>
            </w:r>
          </w:p>
        </w:tc>
        <w:tc>
          <w:tcPr>
            <w:tcW w:w="564" w:type="dxa"/>
            <w:vAlign w:val="center"/>
          </w:tcPr>
          <w:p>
            <w:pPr>
              <w:pStyle w:val="37"/>
              <w:rPr>
                <w:kern w:val="0"/>
              </w:rPr>
            </w:pPr>
            <w:r>
              <w:rPr>
                <w:kern w:val="0"/>
              </w:rPr>
              <w:t>SS</w:t>
            </w:r>
          </w:p>
        </w:tc>
        <w:tc>
          <w:tcPr>
            <w:tcW w:w="878" w:type="dxa"/>
            <w:vAlign w:val="center"/>
          </w:tcPr>
          <w:p>
            <w:pPr>
              <w:pStyle w:val="37"/>
              <w:rPr>
                <w:kern w:val="0"/>
              </w:rPr>
            </w:pPr>
            <w:r>
              <w:rPr>
                <w:rFonts w:hint="eastAsia"/>
                <w:kern w:val="0"/>
              </w:rPr>
              <w:t>石油类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4219" w:type="dxa"/>
            <w:vAlign w:val="center"/>
          </w:tcPr>
          <w:p>
            <w:pPr>
              <w:pStyle w:val="37"/>
              <w:rPr>
                <w:kern w:val="0"/>
              </w:rPr>
            </w:pPr>
            <w:r>
              <w:rPr>
                <w:rFonts w:hint="eastAsia"/>
                <w:kern w:val="0"/>
              </w:rPr>
              <w:t>（</w:t>
            </w:r>
            <w:r>
              <w:rPr>
                <w:kern w:val="0"/>
              </w:rPr>
              <w:t>GB8978-1996</w:t>
            </w:r>
            <w:r>
              <w:rPr>
                <w:rFonts w:hint="eastAsia"/>
                <w:kern w:val="0"/>
              </w:rPr>
              <w:t>）一级标准</w:t>
            </w:r>
          </w:p>
        </w:tc>
        <w:tc>
          <w:tcPr>
            <w:tcW w:w="755" w:type="dxa"/>
            <w:vAlign w:val="center"/>
          </w:tcPr>
          <w:p>
            <w:pPr>
              <w:pStyle w:val="37"/>
              <w:rPr>
                <w:kern w:val="0"/>
              </w:rPr>
            </w:pPr>
            <w:r>
              <w:rPr>
                <w:kern w:val="0"/>
              </w:rPr>
              <w:t>6</w:t>
            </w:r>
            <w:r>
              <w:rPr>
                <w:rFonts w:hint="eastAsia"/>
                <w:kern w:val="0"/>
              </w:rPr>
              <w:t>～</w:t>
            </w:r>
            <w:r>
              <w:rPr>
                <w:kern w:val="0"/>
              </w:rPr>
              <w:t>9</w:t>
            </w:r>
          </w:p>
        </w:tc>
        <w:tc>
          <w:tcPr>
            <w:tcW w:w="687" w:type="dxa"/>
            <w:vAlign w:val="center"/>
          </w:tcPr>
          <w:p>
            <w:pPr>
              <w:pStyle w:val="37"/>
              <w:rPr>
                <w:kern w:val="0"/>
              </w:rPr>
            </w:pPr>
            <w:r>
              <w:rPr>
                <w:kern w:val="0"/>
              </w:rPr>
              <w:t>≤100</w:t>
            </w:r>
          </w:p>
        </w:tc>
        <w:tc>
          <w:tcPr>
            <w:tcW w:w="758" w:type="dxa"/>
            <w:vAlign w:val="center"/>
          </w:tcPr>
          <w:p>
            <w:pPr>
              <w:pStyle w:val="37"/>
              <w:rPr>
                <w:kern w:val="0"/>
              </w:rPr>
            </w:pPr>
            <w:r>
              <w:rPr>
                <w:kern w:val="0"/>
              </w:rPr>
              <w:t>≤20</w:t>
            </w:r>
          </w:p>
        </w:tc>
        <w:tc>
          <w:tcPr>
            <w:tcW w:w="661" w:type="dxa"/>
            <w:vAlign w:val="center"/>
          </w:tcPr>
          <w:p>
            <w:pPr>
              <w:pStyle w:val="37"/>
              <w:rPr>
                <w:kern w:val="0"/>
              </w:rPr>
            </w:pPr>
            <w:r>
              <w:rPr>
                <w:kern w:val="0"/>
              </w:rPr>
              <w:t>≤15</w:t>
            </w:r>
          </w:p>
        </w:tc>
        <w:tc>
          <w:tcPr>
            <w:tcW w:w="564" w:type="dxa"/>
            <w:vAlign w:val="center"/>
          </w:tcPr>
          <w:p>
            <w:pPr>
              <w:pStyle w:val="37"/>
              <w:rPr>
                <w:kern w:val="0"/>
              </w:rPr>
            </w:pPr>
            <w:r>
              <w:rPr>
                <w:kern w:val="0"/>
              </w:rPr>
              <w:t>≤70</w:t>
            </w:r>
          </w:p>
        </w:tc>
        <w:tc>
          <w:tcPr>
            <w:tcW w:w="878" w:type="dxa"/>
            <w:vAlign w:val="center"/>
          </w:tcPr>
          <w:p>
            <w:pPr>
              <w:pStyle w:val="37"/>
              <w:rPr>
                <w:kern w:val="0"/>
              </w:rPr>
            </w:pPr>
            <w:r>
              <w:rPr>
                <w:kern w:val="0"/>
              </w:rPr>
              <w:t>0.5</w:t>
            </w:r>
          </w:p>
        </w:tc>
      </w:tr>
    </w:tbl>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9</w:t>
      </w:r>
      <w:r>
        <w:fldChar w:fldCharType="end"/>
      </w:r>
      <w:r>
        <w:rPr>
          <w:rFonts w:hint="eastAsia"/>
        </w:rPr>
        <w:t>废水污染物排放限值（单位：</w:t>
      </w:r>
      <w:r>
        <w:t>mg/l</w:t>
      </w:r>
      <w:r>
        <w:rPr>
          <w:rFonts w:hint="eastAsia"/>
        </w:rPr>
        <w:t>）</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88"/>
        <w:gridCol w:w="1178"/>
        <w:gridCol w:w="668"/>
        <w:gridCol w:w="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788" w:type="dxa"/>
            <w:vAlign w:val="center"/>
          </w:tcPr>
          <w:p>
            <w:pPr>
              <w:pStyle w:val="37"/>
              <w:rPr>
                <w:kern w:val="0"/>
              </w:rPr>
            </w:pPr>
            <w:r>
              <w:rPr>
                <w:rFonts w:hint="eastAsia"/>
                <w:kern w:val="0"/>
              </w:rPr>
              <w:t>指标</w:t>
            </w:r>
          </w:p>
        </w:tc>
        <w:tc>
          <w:tcPr>
            <w:tcW w:w="1178" w:type="dxa"/>
            <w:vAlign w:val="center"/>
          </w:tcPr>
          <w:p>
            <w:pPr>
              <w:pStyle w:val="37"/>
              <w:rPr>
                <w:kern w:val="0"/>
              </w:rPr>
            </w:pPr>
            <w:r>
              <w:rPr>
                <w:rFonts w:hint="eastAsia"/>
                <w:kern w:val="0"/>
              </w:rPr>
              <w:t>六价铬</w:t>
            </w:r>
          </w:p>
        </w:tc>
        <w:tc>
          <w:tcPr>
            <w:tcW w:w="668" w:type="dxa"/>
            <w:vAlign w:val="center"/>
          </w:tcPr>
          <w:p>
            <w:pPr>
              <w:pStyle w:val="37"/>
              <w:rPr>
                <w:kern w:val="0"/>
              </w:rPr>
            </w:pPr>
            <w:r>
              <w:rPr>
                <w:rFonts w:hint="eastAsia"/>
                <w:kern w:val="0"/>
              </w:rPr>
              <w:t>砷</w:t>
            </w:r>
          </w:p>
        </w:tc>
        <w:tc>
          <w:tcPr>
            <w:tcW w:w="888" w:type="dxa"/>
            <w:vAlign w:val="center"/>
          </w:tcPr>
          <w:p>
            <w:pPr>
              <w:pStyle w:val="37"/>
              <w:rPr>
                <w:kern w:val="0"/>
              </w:rPr>
            </w:pPr>
            <w:r>
              <w:rPr>
                <w:rFonts w:hint="eastAsia"/>
                <w:kern w:val="0"/>
              </w:rPr>
              <w:t>总铅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788" w:type="dxa"/>
            <w:vAlign w:val="center"/>
          </w:tcPr>
          <w:p>
            <w:pPr>
              <w:pStyle w:val="37"/>
              <w:rPr>
                <w:kern w:val="0"/>
              </w:rPr>
            </w:pPr>
            <w:r>
              <w:rPr>
                <w:rFonts w:hint="eastAsia"/>
                <w:kern w:val="0"/>
              </w:rPr>
              <w:t>（</w:t>
            </w:r>
            <w:r>
              <w:rPr>
                <w:kern w:val="0"/>
              </w:rPr>
              <w:t>GB8978-1996</w:t>
            </w:r>
            <w:r>
              <w:rPr>
                <w:rFonts w:hint="eastAsia"/>
                <w:kern w:val="0"/>
              </w:rPr>
              <w:t>）一级标准</w:t>
            </w:r>
          </w:p>
        </w:tc>
        <w:tc>
          <w:tcPr>
            <w:tcW w:w="1178" w:type="dxa"/>
            <w:vAlign w:val="center"/>
          </w:tcPr>
          <w:p>
            <w:pPr>
              <w:pStyle w:val="37"/>
              <w:rPr>
                <w:kern w:val="0"/>
              </w:rPr>
            </w:pPr>
            <w:r>
              <w:rPr>
                <w:kern w:val="0"/>
              </w:rPr>
              <w:t>0.5</w:t>
            </w:r>
          </w:p>
        </w:tc>
        <w:tc>
          <w:tcPr>
            <w:tcW w:w="668" w:type="dxa"/>
            <w:vAlign w:val="center"/>
          </w:tcPr>
          <w:p>
            <w:pPr>
              <w:pStyle w:val="37"/>
              <w:rPr>
                <w:kern w:val="0"/>
              </w:rPr>
            </w:pPr>
            <w:r>
              <w:rPr>
                <w:kern w:val="0"/>
              </w:rPr>
              <w:t>0.5</w:t>
            </w:r>
          </w:p>
        </w:tc>
        <w:tc>
          <w:tcPr>
            <w:tcW w:w="888" w:type="dxa"/>
            <w:vAlign w:val="center"/>
          </w:tcPr>
          <w:p>
            <w:pPr>
              <w:pStyle w:val="37"/>
              <w:rPr>
                <w:kern w:val="0"/>
              </w:rPr>
            </w:pPr>
            <w:r>
              <w:rPr>
                <w:kern w:val="0"/>
              </w:rPr>
              <w:t>1.0</w:t>
            </w:r>
          </w:p>
        </w:tc>
      </w:tr>
    </w:tbl>
    <w:p>
      <w:pPr>
        <w:ind w:firstLine="0" w:firstLineChars="0"/>
      </w:pPr>
    </w:p>
    <w:p>
      <w:pPr>
        <w:ind w:firstLine="480"/>
        <w:rPr>
          <w:kern w:val="0"/>
        </w:rPr>
      </w:pPr>
      <w:r>
        <w:rPr>
          <w:rFonts w:hint="eastAsia"/>
        </w:rPr>
        <w:t>（</w:t>
      </w:r>
      <w:r>
        <w:t>2</w:t>
      </w:r>
      <w:r>
        <w:rPr>
          <w:rFonts w:hint="eastAsia"/>
        </w:rPr>
        <w:t>）废气：</w:t>
      </w:r>
      <w:r>
        <w:rPr>
          <w:rFonts w:hint="eastAsia"/>
          <w:kern w:val="0"/>
        </w:rPr>
        <w:t>项目粉尘污染物排放执行《大气污染物综合排放标准》（</w:t>
      </w:r>
      <w:r>
        <w:rPr>
          <w:kern w:val="0"/>
        </w:rPr>
        <w:t>GB16297-1996</w:t>
      </w:r>
      <w:r>
        <w:rPr>
          <w:rFonts w:hint="eastAsia"/>
          <w:kern w:val="0"/>
        </w:rPr>
        <w:t>）表</w:t>
      </w:r>
      <w:r>
        <w:rPr>
          <w:kern w:val="0"/>
        </w:rPr>
        <w:t>2</w:t>
      </w:r>
      <w:r>
        <w:rPr>
          <w:rFonts w:hint="eastAsia"/>
          <w:kern w:val="0"/>
        </w:rPr>
        <w:t>最高允许排放浓度、最高允许排放速率及无组织排放监控浓度限值标准；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10</w:t>
      </w:r>
      <w:r>
        <w:fldChar w:fldCharType="end"/>
      </w:r>
      <w:r>
        <w:rPr>
          <w:rFonts w:hint="eastAsia"/>
        </w:rPr>
        <w:t>大气污染物综合排放标准</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27"/>
        <w:gridCol w:w="1381"/>
        <w:gridCol w:w="1316"/>
        <w:gridCol w:w="2146"/>
        <w:gridCol w:w="1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921" w:type="dxa"/>
            <w:vMerge w:val="restart"/>
            <w:vAlign w:val="center"/>
          </w:tcPr>
          <w:p>
            <w:pPr>
              <w:pStyle w:val="37"/>
            </w:pPr>
            <w:r>
              <w:rPr>
                <w:rFonts w:hint="eastAsia"/>
              </w:rPr>
              <w:t>污染物</w:t>
            </w:r>
          </w:p>
        </w:tc>
        <w:tc>
          <w:tcPr>
            <w:tcW w:w="1227" w:type="dxa"/>
            <w:vMerge w:val="restart"/>
            <w:vAlign w:val="center"/>
          </w:tcPr>
          <w:p>
            <w:pPr>
              <w:pStyle w:val="37"/>
            </w:pPr>
            <w:r>
              <w:rPr>
                <w:rFonts w:hint="eastAsia"/>
              </w:rPr>
              <w:t>排放浓度（</w:t>
            </w:r>
            <w:r>
              <w:t>mg/m</w:t>
            </w:r>
            <w:r>
              <w:rPr>
                <w:vertAlign w:val="superscript"/>
              </w:rPr>
              <w:t>3</w:t>
            </w:r>
            <w:r>
              <w:rPr>
                <w:rFonts w:hint="eastAsia"/>
              </w:rPr>
              <w:t>）</w:t>
            </w:r>
          </w:p>
        </w:tc>
        <w:tc>
          <w:tcPr>
            <w:tcW w:w="2697" w:type="dxa"/>
            <w:gridSpan w:val="2"/>
            <w:vAlign w:val="center"/>
          </w:tcPr>
          <w:p>
            <w:pPr>
              <w:pStyle w:val="37"/>
            </w:pPr>
            <w:r>
              <w:rPr>
                <w:rFonts w:hint="eastAsia"/>
              </w:rPr>
              <w:t>最高允许排放速率</w:t>
            </w:r>
          </w:p>
        </w:tc>
        <w:tc>
          <w:tcPr>
            <w:tcW w:w="3677" w:type="dxa"/>
            <w:gridSpan w:val="2"/>
            <w:vAlign w:val="center"/>
          </w:tcPr>
          <w:p>
            <w:pPr>
              <w:pStyle w:val="37"/>
            </w:pPr>
            <w:r>
              <w:rPr>
                <w:rFonts w:hint="eastAsia"/>
              </w:rPr>
              <w:t>无组织排放监控浓度限值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jc w:val="center"/>
        </w:trPr>
        <w:tc>
          <w:tcPr>
            <w:tcW w:w="921" w:type="dxa"/>
            <w:vMerge w:val="continue"/>
            <w:vAlign w:val="center"/>
          </w:tcPr>
          <w:p>
            <w:pPr>
              <w:pStyle w:val="37"/>
            </w:pPr>
          </w:p>
        </w:tc>
        <w:tc>
          <w:tcPr>
            <w:tcW w:w="1227" w:type="dxa"/>
            <w:vMerge w:val="continue"/>
            <w:vAlign w:val="center"/>
          </w:tcPr>
          <w:p>
            <w:pPr>
              <w:pStyle w:val="37"/>
            </w:pPr>
          </w:p>
        </w:tc>
        <w:tc>
          <w:tcPr>
            <w:tcW w:w="1381" w:type="dxa"/>
            <w:vAlign w:val="center"/>
          </w:tcPr>
          <w:p>
            <w:pPr>
              <w:pStyle w:val="37"/>
            </w:pPr>
            <w:r>
              <w:rPr>
                <w:rFonts w:hint="eastAsia"/>
              </w:rPr>
              <w:t>排气筒（</w:t>
            </w:r>
            <w:r>
              <w:t>m</w:t>
            </w:r>
            <w:r>
              <w:rPr>
                <w:rFonts w:hint="eastAsia"/>
              </w:rPr>
              <w:t>）</w:t>
            </w:r>
          </w:p>
        </w:tc>
        <w:tc>
          <w:tcPr>
            <w:tcW w:w="1316" w:type="dxa"/>
            <w:vAlign w:val="center"/>
          </w:tcPr>
          <w:p>
            <w:pPr>
              <w:pStyle w:val="37"/>
            </w:pPr>
            <w:r>
              <w:rPr>
                <w:rFonts w:hint="eastAsia"/>
              </w:rPr>
              <w:t>二级（</w:t>
            </w:r>
            <w:r>
              <w:t>kg/h</w:t>
            </w:r>
            <w:r>
              <w:rPr>
                <w:rFonts w:hint="eastAsia"/>
              </w:rPr>
              <w:t>）</w:t>
            </w:r>
          </w:p>
        </w:tc>
        <w:tc>
          <w:tcPr>
            <w:tcW w:w="2146" w:type="dxa"/>
            <w:vAlign w:val="center"/>
          </w:tcPr>
          <w:p>
            <w:pPr>
              <w:pStyle w:val="37"/>
            </w:pPr>
            <w:r>
              <w:rPr>
                <w:rFonts w:hint="eastAsia"/>
              </w:rPr>
              <w:t>监控点</w:t>
            </w:r>
          </w:p>
        </w:tc>
        <w:tc>
          <w:tcPr>
            <w:tcW w:w="1531" w:type="dxa"/>
            <w:vAlign w:val="center"/>
          </w:tcPr>
          <w:p>
            <w:pPr>
              <w:pStyle w:val="37"/>
            </w:pPr>
            <w:r>
              <w:rPr>
                <w:rFonts w:hint="eastAsia"/>
              </w:rPr>
              <w:t>浓度</w:t>
            </w:r>
            <w:r>
              <w:t>(mg/m</w:t>
            </w:r>
            <w:r>
              <w:rPr>
                <w:vertAlign w:val="superscript"/>
              </w:rPr>
              <w:t>3</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21" w:type="dxa"/>
            <w:vAlign w:val="center"/>
          </w:tcPr>
          <w:p>
            <w:pPr>
              <w:pStyle w:val="37"/>
            </w:pPr>
            <w:r>
              <w:rPr>
                <w:rFonts w:hint="eastAsia"/>
              </w:rPr>
              <w:t>颗粒物</w:t>
            </w:r>
          </w:p>
        </w:tc>
        <w:tc>
          <w:tcPr>
            <w:tcW w:w="1227" w:type="dxa"/>
            <w:vAlign w:val="center"/>
          </w:tcPr>
          <w:p>
            <w:pPr>
              <w:pStyle w:val="37"/>
            </w:pPr>
            <w:r>
              <w:t>120</w:t>
            </w:r>
          </w:p>
        </w:tc>
        <w:tc>
          <w:tcPr>
            <w:tcW w:w="1381" w:type="dxa"/>
            <w:vAlign w:val="center"/>
          </w:tcPr>
          <w:p>
            <w:pPr>
              <w:pStyle w:val="37"/>
            </w:pPr>
            <w:r>
              <w:t>15</w:t>
            </w:r>
          </w:p>
        </w:tc>
        <w:tc>
          <w:tcPr>
            <w:tcW w:w="1316" w:type="dxa"/>
            <w:vAlign w:val="center"/>
          </w:tcPr>
          <w:p>
            <w:pPr>
              <w:pStyle w:val="37"/>
            </w:pPr>
            <w:r>
              <w:t>3.5</w:t>
            </w:r>
          </w:p>
        </w:tc>
        <w:tc>
          <w:tcPr>
            <w:tcW w:w="2146" w:type="dxa"/>
            <w:vAlign w:val="center"/>
          </w:tcPr>
          <w:p>
            <w:pPr>
              <w:pStyle w:val="37"/>
            </w:pPr>
            <w:r>
              <w:rPr>
                <w:rFonts w:hint="eastAsia"/>
              </w:rPr>
              <w:t>周界外浓度最高点</w:t>
            </w:r>
          </w:p>
        </w:tc>
        <w:tc>
          <w:tcPr>
            <w:tcW w:w="1531" w:type="dxa"/>
            <w:vAlign w:val="center"/>
          </w:tcPr>
          <w:p>
            <w:pPr>
              <w:pStyle w:val="37"/>
            </w:pPr>
            <w:r>
              <w:t>1.0</w:t>
            </w:r>
          </w:p>
        </w:tc>
      </w:tr>
    </w:tbl>
    <w:p>
      <w:pPr>
        <w:ind w:firstLine="480"/>
        <w:rPr>
          <w:kern w:val="0"/>
        </w:rPr>
      </w:pPr>
      <w:r>
        <w:rPr>
          <w:rFonts w:hint="eastAsia"/>
        </w:rPr>
        <w:t>（</w:t>
      </w:r>
      <w:r>
        <w:t>3</w:t>
      </w:r>
      <w:r>
        <w:rPr>
          <w:rFonts w:hint="eastAsia"/>
        </w:rPr>
        <w:t>）项目厂界噪声执行《工业企业厂界环境噪声排放标准》（</w:t>
      </w:r>
      <w:r>
        <w:t>GB12348-2008</w:t>
      </w:r>
      <w:r>
        <w:rPr>
          <w:rFonts w:hint="eastAsia"/>
        </w:rPr>
        <w:t>）中的</w:t>
      </w:r>
      <w:r>
        <w:t>2</w:t>
      </w:r>
      <w:r>
        <w:rPr>
          <w:rFonts w:hint="eastAsia"/>
        </w:rPr>
        <w:t>类标准；建筑施工期间噪声执行《建筑施工场界环境噪声排放标准》（</w:t>
      </w:r>
      <w:r>
        <w:t>GB12523-2011</w:t>
      </w:r>
      <w:r>
        <w:rPr>
          <w:rFonts w:hint="eastAsia"/>
        </w:rPr>
        <w:t>）中的噪声限值标准；</w:t>
      </w:r>
    </w:p>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11</w:t>
      </w:r>
      <w:r>
        <w:fldChar w:fldCharType="end"/>
      </w:r>
      <w:r>
        <w:rPr>
          <w:rFonts w:hint="eastAsia"/>
        </w:rPr>
        <w:t>厂界噪声标准限值等效声级</w:t>
      </w:r>
      <w:r>
        <w:t>Leq[dB(A)]</w:t>
      </w:r>
    </w:p>
    <w:tbl>
      <w:tblPr>
        <w:tblStyle w:val="35"/>
        <w:tblW w:w="85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
        <w:gridCol w:w="944"/>
        <w:gridCol w:w="944"/>
        <w:gridCol w:w="5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4" w:hRule="exact"/>
        </w:trPr>
        <w:tc>
          <w:tcPr>
            <w:tcW w:w="832" w:type="dxa"/>
            <w:vAlign w:val="center"/>
          </w:tcPr>
          <w:p>
            <w:pPr>
              <w:pStyle w:val="37"/>
            </w:pPr>
            <w:r>
              <w:rPr>
                <w:rFonts w:hint="eastAsia"/>
              </w:rPr>
              <w:t>类别</w:t>
            </w:r>
          </w:p>
        </w:tc>
        <w:tc>
          <w:tcPr>
            <w:tcW w:w="944" w:type="dxa"/>
            <w:vAlign w:val="center"/>
          </w:tcPr>
          <w:p>
            <w:pPr>
              <w:pStyle w:val="37"/>
            </w:pPr>
            <w:r>
              <w:rPr>
                <w:rFonts w:hint="eastAsia"/>
              </w:rPr>
              <w:t>昼间</w:t>
            </w:r>
          </w:p>
        </w:tc>
        <w:tc>
          <w:tcPr>
            <w:tcW w:w="944" w:type="dxa"/>
            <w:vAlign w:val="center"/>
          </w:tcPr>
          <w:p>
            <w:pPr>
              <w:pStyle w:val="37"/>
            </w:pPr>
            <w:r>
              <w:rPr>
                <w:rFonts w:hint="eastAsia"/>
              </w:rPr>
              <w:t>夜间</w:t>
            </w:r>
          </w:p>
        </w:tc>
        <w:tc>
          <w:tcPr>
            <w:tcW w:w="5802" w:type="dxa"/>
            <w:vAlign w:val="center"/>
          </w:tcPr>
          <w:p>
            <w:pPr>
              <w:pStyle w:val="37"/>
            </w:pPr>
            <w:r>
              <w:rPr>
                <w:rFonts w:hint="eastAsia"/>
              </w:rPr>
              <w:t>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71" w:hRule="atLeast"/>
        </w:trPr>
        <w:tc>
          <w:tcPr>
            <w:tcW w:w="832" w:type="dxa"/>
            <w:vAlign w:val="center"/>
          </w:tcPr>
          <w:p>
            <w:pPr>
              <w:pStyle w:val="37"/>
            </w:pPr>
            <w:r>
              <w:t>2</w:t>
            </w:r>
            <w:r>
              <w:rPr>
                <w:rFonts w:hint="eastAsia"/>
              </w:rPr>
              <w:t>类</w:t>
            </w:r>
          </w:p>
        </w:tc>
        <w:tc>
          <w:tcPr>
            <w:tcW w:w="944" w:type="dxa"/>
            <w:vAlign w:val="center"/>
          </w:tcPr>
          <w:p>
            <w:pPr>
              <w:pStyle w:val="37"/>
            </w:pPr>
            <w:r>
              <w:t>60</w:t>
            </w:r>
          </w:p>
        </w:tc>
        <w:tc>
          <w:tcPr>
            <w:tcW w:w="944" w:type="dxa"/>
            <w:vAlign w:val="center"/>
          </w:tcPr>
          <w:p>
            <w:pPr>
              <w:pStyle w:val="37"/>
            </w:pPr>
            <w:r>
              <w:t>50</w:t>
            </w:r>
          </w:p>
        </w:tc>
        <w:tc>
          <w:tcPr>
            <w:tcW w:w="5802" w:type="dxa"/>
            <w:vAlign w:val="center"/>
          </w:tcPr>
          <w:p>
            <w:pPr>
              <w:pStyle w:val="37"/>
            </w:pPr>
            <w:r>
              <w:rPr>
                <w:rFonts w:hint="eastAsia"/>
              </w:rPr>
              <w:t>《工业企业厂界环境噪声排放标准》</w:t>
            </w:r>
            <w:r>
              <w:t>GB12348-2008</w:t>
            </w:r>
          </w:p>
        </w:tc>
      </w:tr>
    </w:tbl>
    <w:p>
      <w:pPr>
        <w:pStyle w:val="14"/>
      </w:pPr>
      <w:r>
        <w:rPr>
          <w:rFonts w:hint="eastAsia"/>
        </w:rPr>
        <w:t>表</w:t>
      </w:r>
      <w:r>
        <w:fldChar w:fldCharType="begin"/>
      </w:r>
      <w:r>
        <w:instrText xml:space="preserve"> STYLEREF 2 \s </w:instrText>
      </w:r>
      <w:r>
        <w:fldChar w:fldCharType="separate"/>
      </w:r>
      <w:r>
        <w:t>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12</w:t>
      </w:r>
      <w:r>
        <w:fldChar w:fldCharType="end"/>
      </w:r>
      <w:r>
        <w:rPr>
          <w:rFonts w:hint="eastAsia"/>
        </w:rPr>
        <w:t>建筑施工场界环境噪声排放标准单位：</w:t>
      </w:r>
      <w:r>
        <w:t>dB(A)</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92"/>
        <w:gridCol w:w="4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jc w:val="center"/>
        </w:trPr>
        <w:tc>
          <w:tcPr>
            <w:tcW w:w="4292" w:type="dxa"/>
            <w:vAlign w:val="center"/>
          </w:tcPr>
          <w:p>
            <w:pPr>
              <w:pStyle w:val="37"/>
            </w:pPr>
            <w:r>
              <w:rPr>
                <w:rFonts w:hint="eastAsia"/>
              </w:rPr>
              <w:t>昼间</w:t>
            </w:r>
          </w:p>
        </w:tc>
        <w:tc>
          <w:tcPr>
            <w:tcW w:w="4230" w:type="dxa"/>
            <w:vAlign w:val="center"/>
          </w:tcPr>
          <w:p>
            <w:pPr>
              <w:pStyle w:val="37"/>
            </w:pPr>
            <w:r>
              <w:rPr>
                <w:rFonts w:hint="eastAsia"/>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 w:hRule="atLeast"/>
          <w:jc w:val="center"/>
        </w:trPr>
        <w:tc>
          <w:tcPr>
            <w:tcW w:w="4292" w:type="dxa"/>
            <w:vAlign w:val="center"/>
          </w:tcPr>
          <w:p>
            <w:pPr>
              <w:pStyle w:val="37"/>
            </w:pPr>
            <w:r>
              <w:t>70</w:t>
            </w:r>
          </w:p>
        </w:tc>
        <w:tc>
          <w:tcPr>
            <w:tcW w:w="4230" w:type="dxa"/>
            <w:vAlign w:val="center"/>
          </w:tcPr>
          <w:p>
            <w:pPr>
              <w:pStyle w:val="37"/>
            </w:pPr>
            <w: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 w:hRule="atLeast"/>
          <w:jc w:val="center"/>
        </w:trPr>
        <w:tc>
          <w:tcPr>
            <w:tcW w:w="8522" w:type="dxa"/>
            <w:gridSpan w:val="2"/>
            <w:vAlign w:val="center"/>
          </w:tcPr>
          <w:p>
            <w:pPr>
              <w:pStyle w:val="37"/>
            </w:pPr>
            <w:r>
              <w:rPr>
                <w:rFonts w:hint="eastAsia"/>
              </w:rPr>
              <w:t>依据：《建筑施工场界噪声排放标准》</w:t>
            </w:r>
            <w:r>
              <w:t>GB12523-2011</w:t>
            </w:r>
          </w:p>
        </w:tc>
      </w:tr>
    </w:tbl>
    <w:p>
      <w:pPr>
        <w:ind w:firstLine="480"/>
      </w:pPr>
      <w:r>
        <w:rPr>
          <w:rFonts w:hint="eastAsia"/>
        </w:rPr>
        <w:t>（</w:t>
      </w:r>
      <w:r>
        <w:t>4</w:t>
      </w:r>
      <w:r>
        <w:rPr>
          <w:rFonts w:hint="eastAsia"/>
        </w:rPr>
        <w:t>）一般固体废物执行《一般工业固体废物贮存、处置场污染控制标准》（</w:t>
      </w:r>
      <w:r>
        <w:t>GB18599-2001</w:t>
      </w:r>
      <w:r>
        <w:rPr>
          <w:rFonts w:hint="eastAsia"/>
        </w:rPr>
        <w:t>）中的固体废物控制要求；生活垃圾执行《生活垃圾填埋污染控制标准》</w:t>
      </w:r>
      <w:r>
        <w:t>(GB16889-2008)</w:t>
      </w:r>
      <w:r>
        <w:rPr>
          <w:rFonts w:hint="eastAsia"/>
        </w:rPr>
        <w:t>，填埋物入场要求。</w:t>
      </w:r>
    </w:p>
    <w:p>
      <w:pPr>
        <w:pStyle w:val="3"/>
      </w:pPr>
      <w:bookmarkStart w:id="41" w:name="_Toc462818407"/>
      <w:bookmarkStart w:id="42" w:name="_Toc397521470"/>
      <w:r>
        <w:rPr>
          <w:rFonts w:hint="eastAsia"/>
        </w:rPr>
        <w:t>评价工作等级及评价重点</w:t>
      </w:r>
      <w:bookmarkEnd w:id="41"/>
    </w:p>
    <w:p>
      <w:pPr>
        <w:pStyle w:val="4"/>
      </w:pPr>
      <w:r>
        <w:rPr>
          <w:rFonts w:hint="eastAsia"/>
        </w:rPr>
        <w:t>评价工作等级</w:t>
      </w:r>
    </w:p>
    <w:p>
      <w:pPr>
        <w:ind w:firstLine="480"/>
      </w:pPr>
      <w:r>
        <w:rPr>
          <w:rFonts w:hint="eastAsia"/>
        </w:rPr>
        <w:t>（</w:t>
      </w:r>
      <w:r>
        <w:t>1</w:t>
      </w:r>
      <w:r>
        <w:rPr>
          <w:rFonts w:hint="eastAsia"/>
        </w:rPr>
        <w:t>）地表水环境影响评价等级</w:t>
      </w:r>
    </w:p>
    <w:p>
      <w:pPr>
        <w:ind w:firstLine="480"/>
      </w:pPr>
      <w:r>
        <w:rPr>
          <w:rFonts w:hint="eastAsia"/>
        </w:rPr>
        <w:t>根据《环境影响评价技术导则地面水环境》（</w:t>
      </w:r>
      <w:r>
        <w:t>HJ/T2.3-93</w:t>
      </w:r>
      <w:r>
        <w:rPr>
          <w:rFonts w:hint="eastAsia"/>
        </w:rPr>
        <w:t>）表</w:t>
      </w:r>
      <w:r>
        <w:t>2</w:t>
      </w:r>
      <w:r>
        <w:rPr>
          <w:rFonts w:hint="eastAsia"/>
        </w:rPr>
        <w:t>有关分级判别定义要求，水环境影响评价等级根据废水量、受纳水体水域规模和水质要求确定。本项目的主要水污染源是渗滤液，污水主要污染物是</w:t>
      </w:r>
      <w:r>
        <w:t>pH</w:t>
      </w:r>
      <w:r>
        <w:rPr>
          <w:rFonts w:hint="eastAsia"/>
        </w:rPr>
        <w:t>、</w:t>
      </w:r>
      <w:r>
        <w:t>COD</w:t>
      </w:r>
      <w:r>
        <w:rPr>
          <w:rFonts w:hint="eastAsia"/>
        </w:rPr>
        <w:t>、</w:t>
      </w:r>
      <w:r>
        <w:t>SS</w:t>
      </w:r>
      <w:r>
        <w:rPr>
          <w:rFonts w:hint="eastAsia"/>
        </w:rPr>
        <w:t>、</w:t>
      </w:r>
      <w:r>
        <w:t>BOD</w:t>
      </w:r>
      <w:r>
        <w:rPr>
          <w:vertAlign w:val="subscript"/>
        </w:rPr>
        <w:t>5</w:t>
      </w:r>
      <w:r>
        <w:rPr>
          <w:rFonts w:hint="eastAsia"/>
        </w:rPr>
        <w:t>、氨氮、石油类、铅、砷等，复杂程度为中等。故确定地表水环境评价工作等级为三级。</w:t>
      </w:r>
    </w:p>
    <w:p>
      <w:pPr>
        <w:ind w:firstLine="480"/>
      </w:pPr>
      <w:r>
        <w:rPr>
          <w:rFonts w:hint="eastAsia"/>
        </w:rPr>
        <w:t>（</w:t>
      </w:r>
      <w:r>
        <w:t>2</w:t>
      </w:r>
      <w:r>
        <w:rPr>
          <w:rFonts w:hint="eastAsia"/>
        </w:rPr>
        <w:t>）地下水环境影响评价等级</w:t>
      </w:r>
    </w:p>
    <w:p>
      <w:pPr>
        <w:ind w:firstLine="480"/>
      </w:pPr>
      <w:r>
        <w:rPr>
          <w:rFonts w:hint="eastAsia"/>
        </w:rPr>
        <w:t>①建设项目分类</w:t>
      </w:r>
    </w:p>
    <w:p>
      <w:pPr>
        <w:ind w:firstLine="480"/>
      </w:pPr>
      <w:r>
        <w:rPr>
          <w:rFonts w:hint="eastAsia"/>
        </w:rPr>
        <w:t>根据《环境影响评价技术导则地下水环境》（</w:t>
      </w:r>
      <w:r>
        <w:t>HJ610-2016</w:t>
      </w:r>
      <w:r>
        <w:rPr>
          <w:rFonts w:hint="eastAsia"/>
        </w:rPr>
        <w:t>）附录</w:t>
      </w:r>
      <w:r>
        <w:t>A</w:t>
      </w:r>
      <w:r>
        <w:rPr>
          <w:rFonts w:hint="eastAsia"/>
        </w:rPr>
        <w:t>地下水环境影响评价行业分类表，本项目为工业固体废物（含污泥）集中处置项目，且处置固废为</w:t>
      </w:r>
      <w:r>
        <w:t>II</w:t>
      </w:r>
      <w:r>
        <w:rPr>
          <w:rFonts w:hint="eastAsia"/>
        </w:rPr>
        <w:t>类固废，本项目属于</w:t>
      </w:r>
      <w:r>
        <w:rPr>
          <w:rFonts w:hint="eastAsia" w:ascii="宋体" w:hAnsi="宋体" w:cs="宋体"/>
        </w:rPr>
        <w:t>Ⅱ</w:t>
      </w:r>
      <w:r>
        <w:rPr>
          <w:rFonts w:hint="eastAsia"/>
        </w:rPr>
        <w:t>类建设项目。</w:t>
      </w:r>
    </w:p>
    <w:p>
      <w:pPr>
        <w:ind w:firstLine="480"/>
      </w:pPr>
      <w:r>
        <w:rPr>
          <w:rFonts w:hint="eastAsia"/>
        </w:rPr>
        <w:t>②建设项目工作等级划分</w:t>
      </w:r>
    </w:p>
    <w:p>
      <w:pPr>
        <w:ind w:firstLine="480"/>
      </w:pPr>
      <w:r>
        <w:rPr>
          <w:rFonts w:hint="eastAsia"/>
        </w:rPr>
        <w:t>根据《环境影响评价技术导则地下水环境》（</w:t>
      </w:r>
      <w:r>
        <w:t>HJ610-2016</w:t>
      </w:r>
      <w:r>
        <w:rPr>
          <w:rFonts w:hint="eastAsia"/>
        </w:rPr>
        <w:t>），建设项目地下水环境敏感程度可分为敏感、较敏感、不敏感三级，分级原则如下表</w:t>
      </w:r>
    </w:p>
    <w:p>
      <w:pPr>
        <w:ind w:firstLine="480"/>
      </w:pPr>
      <w:r>
        <w:rPr>
          <w:rFonts w:ascii="宋体" w:hAnsi="宋体" w:cs="宋体"/>
        </w:rPr>
        <w:fldChar w:fldCharType="begin"/>
      </w:r>
      <w:r>
        <w:rPr>
          <w:rFonts w:ascii="宋体" w:hAnsi="宋体" w:cs="宋体"/>
        </w:rPr>
        <w:instrText xml:space="preserve"> </w:instrText>
      </w:r>
      <w:r>
        <w:rPr>
          <w:rFonts w:hint="eastAsia" w:ascii="宋体" w:hAnsi="宋体" w:cs="宋体"/>
        </w:rPr>
        <w:instrText xml:space="preserve">= 2 \* ROMAN</w:instrText>
      </w:r>
      <w:r>
        <w:rPr>
          <w:rFonts w:ascii="宋体" w:hAnsi="宋体" w:cs="宋体"/>
        </w:rPr>
        <w:instrText xml:space="preserve"> </w:instrText>
      </w:r>
      <w:r>
        <w:rPr>
          <w:rFonts w:ascii="宋体" w:hAnsi="宋体" w:cs="宋体"/>
        </w:rPr>
        <w:fldChar w:fldCharType="separate"/>
      </w:r>
      <w:r>
        <w:rPr>
          <w:rFonts w:ascii="宋体" w:hAnsi="宋体" w:cs="宋体"/>
        </w:rPr>
        <w:t>II</w:t>
      </w:r>
      <w:r>
        <w:rPr>
          <w:rFonts w:ascii="宋体" w:hAnsi="宋体" w:cs="宋体"/>
        </w:rPr>
        <w:fldChar w:fldCharType="end"/>
      </w:r>
      <w:r>
        <w:rPr>
          <w:rFonts w:hint="eastAsia"/>
        </w:rPr>
        <w:t>类建设项目地下水环境影响评价工作等级划分情况见表</w:t>
      </w:r>
      <w:r>
        <w:t>1.4-1</w:t>
      </w:r>
      <w:r>
        <w:rPr>
          <w:rFonts w:hint="eastAsia"/>
        </w:rPr>
        <w:t>。</w:t>
      </w:r>
    </w:p>
    <w:p>
      <w:pPr>
        <w:pStyle w:val="14"/>
      </w:pPr>
    </w:p>
    <w:p>
      <w:pPr>
        <w:pStyle w:val="14"/>
      </w:pPr>
    </w:p>
    <w:p>
      <w:pPr>
        <w:pStyle w:val="14"/>
      </w:pPr>
      <w:r>
        <w:rPr>
          <w:rFonts w:hint="eastAsia"/>
        </w:rPr>
        <w:t>表</w:t>
      </w:r>
      <w:r>
        <w:fldChar w:fldCharType="begin"/>
      </w:r>
      <w:r>
        <w:instrText xml:space="preserve"> STYLEREF 2 \s </w:instrText>
      </w:r>
      <w:r>
        <w:fldChar w:fldCharType="separate"/>
      </w:r>
      <w:r>
        <w:t>1.4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地下水环境影响敏感程度分级表</w:t>
      </w:r>
    </w:p>
    <w:tbl>
      <w:tblPr>
        <w:tblStyle w:val="35"/>
        <w:tblW w:w="85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7"/>
        <w:gridCol w:w="7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157" w:type="dxa"/>
            <w:vAlign w:val="center"/>
          </w:tcPr>
          <w:p>
            <w:pPr>
              <w:pStyle w:val="37"/>
              <w:spacing w:line="276" w:lineRule="auto"/>
            </w:pPr>
            <w:r>
              <w:rPr>
                <w:rFonts w:hint="eastAsia"/>
              </w:rPr>
              <w:t>敏感程度</w:t>
            </w:r>
          </w:p>
        </w:tc>
        <w:tc>
          <w:tcPr>
            <w:tcW w:w="7365" w:type="dxa"/>
            <w:vAlign w:val="center"/>
          </w:tcPr>
          <w:p>
            <w:pPr>
              <w:pStyle w:val="37"/>
              <w:spacing w:line="276" w:lineRule="auto"/>
            </w:pPr>
            <w:r>
              <w:rPr>
                <w:rFonts w:hint="eastAsia"/>
              </w:rPr>
              <w:t>地下水环境敏感特征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157" w:type="dxa"/>
            <w:vAlign w:val="center"/>
          </w:tcPr>
          <w:p>
            <w:pPr>
              <w:pStyle w:val="37"/>
              <w:spacing w:line="276" w:lineRule="auto"/>
            </w:pPr>
            <w:r>
              <w:rPr>
                <w:rFonts w:hint="eastAsia"/>
              </w:rPr>
              <w:t>敏感</w:t>
            </w:r>
          </w:p>
        </w:tc>
        <w:tc>
          <w:tcPr>
            <w:tcW w:w="7365" w:type="dxa"/>
            <w:vAlign w:val="center"/>
          </w:tcPr>
          <w:p>
            <w:pPr>
              <w:pStyle w:val="37"/>
              <w:spacing w:line="276" w:lineRule="auto"/>
            </w:pPr>
            <w:r>
              <w:rPr>
                <w:rFonts w:hint="eastAsia"/>
              </w:rPr>
              <w:t>集中式饮用水源（包括已建成的在用、备用，应急水源，在建和规划的饮用水水源）准保护区，除集中式饮用水源以外的国家或地方政府设立与地下水环境相容的其他保护区，如热水、矿泉水、温泉等特殊地下水源保护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157" w:type="dxa"/>
            <w:vAlign w:val="center"/>
          </w:tcPr>
          <w:p>
            <w:pPr>
              <w:pStyle w:val="37"/>
              <w:spacing w:line="276" w:lineRule="auto"/>
            </w:pPr>
            <w:r>
              <w:rPr>
                <w:rFonts w:hint="eastAsia"/>
              </w:rPr>
              <w:t>较敏感</w:t>
            </w:r>
          </w:p>
        </w:tc>
        <w:tc>
          <w:tcPr>
            <w:tcW w:w="7365" w:type="dxa"/>
            <w:vAlign w:val="center"/>
          </w:tcPr>
          <w:p>
            <w:pPr>
              <w:pStyle w:val="37"/>
              <w:spacing w:line="276" w:lineRule="auto"/>
            </w:pPr>
            <w:r>
              <w:rPr>
                <w:rFonts w:hint="eastAsia"/>
              </w:rPr>
              <w:t>集中式饮用水源（包括已建成的在用、备用，应急水源，在建和规划的饮用水水源）准保护区以外的补给径流区；未划定准保护区的集中式饮用水源，其保护区意外的补给径流区；分散式饮用水水源地；特殊地下水资源（如矿泉、温泉等）保护区以外的分布区等其他未列入上述敏感分级的环境敏感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157" w:type="dxa"/>
            <w:vAlign w:val="center"/>
          </w:tcPr>
          <w:p>
            <w:pPr>
              <w:pStyle w:val="37"/>
              <w:spacing w:line="276" w:lineRule="auto"/>
            </w:pPr>
            <w:r>
              <w:rPr>
                <w:rFonts w:hint="eastAsia"/>
              </w:rPr>
              <w:t>不敏感</w:t>
            </w:r>
          </w:p>
        </w:tc>
        <w:tc>
          <w:tcPr>
            <w:tcW w:w="7365" w:type="dxa"/>
            <w:vAlign w:val="center"/>
          </w:tcPr>
          <w:p>
            <w:pPr>
              <w:pStyle w:val="37"/>
              <w:spacing w:line="276" w:lineRule="auto"/>
            </w:pPr>
            <w:r>
              <w:rPr>
                <w:rFonts w:hint="eastAsia"/>
              </w:rPr>
              <w:t>上述地区之外的其他地区。</w:t>
            </w:r>
          </w:p>
        </w:tc>
      </w:tr>
    </w:tbl>
    <w:p>
      <w:pPr>
        <w:ind w:firstLine="480"/>
        <w:rPr>
          <w:u w:val="single"/>
        </w:rPr>
      </w:pPr>
      <w:r>
        <w:rPr>
          <w:rFonts w:hint="eastAsia"/>
        </w:rPr>
        <w:t>项目所在区域不属于集中式饮用水源（包括已建成的在用、备用，应急水源，在建和规划的饮用水水源）准保护区以外的补给径流区；未划定准保护区的集中式饮用水源，其保护区意外的补给径流区、不属于热水、矿泉水、温泉等特殊地下水源保护区、也不属于补给径流区，</w:t>
      </w:r>
      <w:r>
        <w:rPr>
          <w:rFonts w:hint="eastAsia"/>
          <w:u w:val="single"/>
        </w:rPr>
        <w:t>根据调查，</w:t>
      </w:r>
      <w:r>
        <w:rPr>
          <w:rFonts w:hint="eastAsia"/>
          <w:sz w:val="23"/>
          <w:szCs w:val="23"/>
          <w:u w:val="single"/>
          <w:shd w:val="clear" w:color="auto" w:fill="FFFFFF"/>
        </w:rPr>
        <w:t>云溪区居民用水来源部分为位于岳阳市云溪区云溪镇的云溪区自来水厂提供。</w:t>
      </w:r>
      <w:r>
        <w:rPr>
          <w:rFonts w:hint="eastAsia"/>
          <w:u w:val="single"/>
        </w:rPr>
        <w:t>云溪区实行雨污水分流，区域生活污水排入</w:t>
      </w:r>
      <w:r>
        <w:rPr>
          <w:rFonts w:ascii="宋体" w:hAnsi="宋体"/>
          <w:color w:val="000000"/>
          <w:sz w:val="23"/>
          <w:szCs w:val="23"/>
          <w:u w:val="single"/>
        </w:rPr>
        <w:t>位于岳阳市云溪区云溪乡东凤村，设计处理能力为日处理污水2.00万立方米</w:t>
      </w:r>
      <w:r>
        <w:rPr>
          <w:rFonts w:hint="eastAsia" w:ascii="宋体" w:hAnsi="宋体"/>
          <w:color w:val="000000"/>
          <w:sz w:val="23"/>
          <w:szCs w:val="23"/>
          <w:u w:val="single"/>
        </w:rPr>
        <w:t>的云溪区污水处理厂。</w:t>
      </w:r>
      <w:r>
        <w:rPr>
          <w:rFonts w:hint="eastAsia"/>
          <w:u w:val="single"/>
        </w:rPr>
        <w:t>项目周边居民大部分均使用自来水，但项目北面约</w:t>
      </w:r>
      <w:r>
        <w:rPr>
          <w:u w:val="single"/>
        </w:rPr>
        <w:t>380m</w:t>
      </w:r>
      <w:r>
        <w:rPr>
          <w:rFonts w:hint="eastAsia"/>
          <w:u w:val="single"/>
        </w:rPr>
        <w:t>处，有六户居民使用地下水作为饮用水源。地下水流向为东南方向至西北方向（见附图5），该居民使用水井为本项目填埋场水文地质单元下游，评价范围内有分散式饮用水水源地，则项目场地地下水敏感程度为较敏感。</w:t>
      </w:r>
    </w:p>
    <w:p>
      <w:pPr>
        <w:ind w:firstLine="480"/>
      </w:pPr>
      <w:r>
        <w:rPr>
          <w:rFonts w:hint="eastAsia"/>
        </w:rPr>
        <w:t>综上所述，本项目地下水影响评价等级为二级。</w:t>
      </w:r>
    </w:p>
    <w:p>
      <w:pPr>
        <w:ind w:firstLine="480"/>
      </w:pPr>
      <w:r>
        <w:rPr>
          <w:rFonts w:hint="eastAsia"/>
        </w:rPr>
        <w:t>（</w:t>
      </w:r>
      <w:r>
        <w:t>3</w:t>
      </w:r>
      <w:r>
        <w:rPr>
          <w:rFonts w:hint="eastAsia"/>
        </w:rPr>
        <w:t>）环境空气评价工作等级</w:t>
      </w:r>
    </w:p>
    <w:p>
      <w:pPr>
        <w:ind w:firstLine="480"/>
      </w:pPr>
      <w:r>
        <w:rPr>
          <w:rFonts w:hint="eastAsia"/>
        </w:rPr>
        <w:t>根据项目工程分析，本项目建成运营后主要废气包括填埋作业粉尘以及运输车辆尾气。根据《环境影响评价技术导则大气环境》（</w:t>
      </w:r>
      <w:r>
        <w:t>HJ2.2-2008</w:t>
      </w:r>
      <w:r>
        <w:rPr>
          <w:rFonts w:hint="eastAsia"/>
        </w:rPr>
        <w:t>）有关规定，选取固体废物处置场污染物</w:t>
      </w:r>
      <w:r>
        <w:t>TSP</w:t>
      </w:r>
      <w:r>
        <w:rPr>
          <w:rFonts w:hint="eastAsia"/>
        </w:rPr>
        <w:t>作为主要污染物。根据导则</w:t>
      </w:r>
      <w:r>
        <w:t>5.3.2</w:t>
      </w:r>
      <w:r>
        <w:rPr>
          <w:rFonts w:hint="eastAsia"/>
        </w:rPr>
        <w:t>要求，采用估算模式计算</w:t>
      </w:r>
      <w:r>
        <w:t>TSP</w:t>
      </w:r>
      <w:r>
        <w:rPr>
          <w:rFonts w:hint="eastAsia"/>
        </w:rPr>
        <w:t>最大地面浓度达标准限值</w:t>
      </w:r>
      <w:r>
        <w:t>10%</w:t>
      </w:r>
      <w:r>
        <w:rPr>
          <w:rFonts w:hint="eastAsia"/>
        </w:rPr>
        <w:t>时所对应的最远距离</w:t>
      </w:r>
      <w:r>
        <w:t>D</w:t>
      </w:r>
      <w:r>
        <w:rPr>
          <w:vertAlign w:val="subscript"/>
        </w:rPr>
        <w:t>10%</w:t>
      </w:r>
      <w:r>
        <w:rPr>
          <w:rFonts w:hint="eastAsia"/>
        </w:rPr>
        <w:t>，并按下式计算其最大地面浓度占标率，从而确定本次大气环境影响评价工作等级。</w:t>
      </w:r>
    </w:p>
    <w:p>
      <w:pPr>
        <w:ind w:firstLine="480"/>
        <w:jc w:val="center"/>
      </w:pPr>
      <w:r>
        <w:t>P</w:t>
      </w:r>
      <w:r>
        <w:rPr>
          <w:vertAlign w:val="subscript"/>
        </w:rPr>
        <w:t>i</w:t>
      </w:r>
      <w:r>
        <w:t xml:space="preserve"> =</w:t>
      </w:r>
      <w:r>
        <w:rPr>
          <w:rFonts w:hint="eastAsia"/>
        </w:rPr>
        <w:t>（</w:t>
      </w:r>
      <w:r>
        <w:t>C</w:t>
      </w:r>
      <w:r>
        <w:rPr>
          <w:vertAlign w:val="subscript"/>
        </w:rPr>
        <w:t>i</w:t>
      </w:r>
      <w:r>
        <w:t>/C</w:t>
      </w:r>
      <w:r>
        <w:rPr>
          <w:vertAlign w:val="subscript"/>
        </w:rPr>
        <w:t>oi</w:t>
      </w:r>
      <w:r>
        <w:rPr>
          <w:rFonts w:hint="eastAsia"/>
        </w:rPr>
        <w:t>）</w:t>
      </w:r>
      <w:r>
        <w:t>×100%</w:t>
      </w:r>
    </w:p>
    <w:p>
      <w:pPr>
        <w:ind w:firstLine="480"/>
      </w:pPr>
      <w:r>
        <w:rPr>
          <w:rFonts w:hint="eastAsia"/>
        </w:rPr>
        <w:t>式中：</w:t>
      </w:r>
      <w:r>
        <w:t>P</w:t>
      </w:r>
      <w:r>
        <w:rPr>
          <w:vertAlign w:val="subscript"/>
        </w:rPr>
        <w:t>i</w:t>
      </w:r>
      <w:r>
        <w:t>—</w:t>
      </w:r>
      <w:r>
        <w:rPr>
          <w:rFonts w:hint="eastAsia"/>
        </w:rPr>
        <w:t>第</w:t>
      </w:r>
      <w:r>
        <w:t>i</w:t>
      </w:r>
      <w:r>
        <w:rPr>
          <w:rFonts w:hint="eastAsia"/>
        </w:rPr>
        <w:t>个污染物的最大地面浓度占标率，</w:t>
      </w:r>
      <w:r>
        <w:t>%</w:t>
      </w:r>
      <w:r>
        <w:rPr>
          <w:rFonts w:hint="eastAsia"/>
        </w:rPr>
        <w:t>；</w:t>
      </w:r>
    </w:p>
    <w:p>
      <w:pPr>
        <w:ind w:firstLine="199" w:firstLineChars="83"/>
        <w:jc w:val="left"/>
      </w:pPr>
      <w:r>
        <w:t>C</w:t>
      </w:r>
      <w:r>
        <w:rPr>
          <w:vertAlign w:val="subscript"/>
        </w:rPr>
        <w:t>i</w:t>
      </w:r>
      <w:r>
        <w:t>—</w:t>
      </w:r>
      <w:r>
        <w:rPr>
          <w:rFonts w:hint="eastAsia"/>
        </w:rPr>
        <w:t>采用估算模式计算处的第</w:t>
      </w:r>
      <w:r>
        <w:t>i</w:t>
      </w:r>
      <w:r>
        <w:rPr>
          <w:rFonts w:hint="eastAsia"/>
        </w:rPr>
        <w:t>个污染物的最大地面浓度，</w:t>
      </w:r>
      <w:r>
        <w:t>mg/m</w:t>
      </w:r>
      <w:r>
        <w:rPr>
          <w:vertAlign w:val="superscript"/>
        </w:rPr>
        <w:t>3</w:t>
      </w:r>
      <w:r>
        <w:rPr>
          <w:rFonts w:hint="eastAsia"/>
        </w:rPr>
        <w:t>；</w:t>
      </w:r>
    </w:p>
    <w:p>
      <w:pPr>
        <w:ind w:firstLine="0" w:firstLineChars="0"/>
        <w:rPr>
          <w:highlight w:val="yellow"/>
        </w:rPr>
      </w:pPr>
      <w:r>
        <w:t>C</w:t>
      </w:r>
      <w:r>
        <w:rPr>
          <w:vertAlign w:val="subscript"/>
        </w:rPr>
        <w:t>oi</w:t>
      </w:r>
      <w:r>
        <w:t>—</w:t>
      </w:r>
      <w:r>
        <w:rPr>
          <w:rFonts w:hint="eastAsia"/>
        </w:rPr>
        <w:t>第</w:t>
      </w:r>
      <w:r>
        <w:t>i</w:t>
      </w:r>
      <w:r>
        <w:rPr>
          <w:rFonts w:hint="eastAsia"/>
        </w:rPr>
        <w:t>类污染物空气质量标准，</w:t>
      </w:r>
      <w:r>
        <w:t>mg/m</w:t>
      </w:r>
      <w:r>
        <w:rPr>
          <w:vertAlign w:val="superscript"/>
        </w:rPr>
        <w:t>3</w:t>
      </w:r>
      <w:r>
        <w:rPr>
          <w:rFonts w:hint="eastAsia"/>
        </w:rPr>
        <w:t>。</w:t>
      </w:r>
    </w:p>
    <w:p>
      <w:pPr>
        <w:pStyle w:val="14"/>
      </w:pPr>
      <w:r>
        <w:rPr>
          <w:rFonts w:hint="eastAsia"/>
        </w:rPr>
        <w:t>表</w:t>
      </w:r>
      <w:r>
        <w:fldChar w:fldCharType="begin"/>
      </w:r>
      <w:r>
        <w:instrText xml:space="preserve"> STYLEREF 2 \s </w:instrText>
      </w:r>
      <w:r>
        <w:fldChar w:fldCharType="separate"/>
      </w:r>
      <w:r>
        <w:t>1.4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主要污染物</w:t>
      </w:r>
      <w:r>
        <w:t>Pi</w:t>
      </w:r>
      <w:r>
        <w:rPr>
          <w:rFonts w:hint="eastAsia"/>
        </w:rPr>
        <w:t>计算结果表</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4"/>
        <w:gridCol w:w="1382"/>
        <w:gridCol w:w="1057"/>
        <w:gridCol w:w="1450"/>
        <w:gridCol w:w="1398"/>
        <w:gridCol w:w="1096"/>
        <w:gridCol w:w="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jc w:val="center"/>
        </w:trPr>
        <w:tc>
          <w:tcPr>
            <w:tcW w:w="1174" w:type="dxa"/>
            <w:vAlign w:val="center"/>
          </w:tcPr>
          <w:p>
            <w:pPr>
              <w:pStyle w:val="37"/>
            </w:pPr>
            <w:r>
              <w:rPr>
                <w:rFonts w:hint="eastAsia"/>
              </w:rPr>
              <w:t>污染源</w:t>
            </w:r>
          </w:p>
        </w:tc>
        <w:tc>
          <w:tcPr>
            <w:tcW w:w="1382" w:type="dxa"/>
            <w:vAlign w:val="center"/>
          </w:tcPr>
          <w:p>
            <w:pPr>
              <w:pStyle w:val="37"/>
            </w:pPr>
            <w:r>
              <w:rPr>
                <w:rFonts w:hint="eastAsia"/>
              </w:rPr>
              <w:t>污染物名称</w:t>
            </w:r>
          </w:p>
        </w:tc>
        <w:tc>
          <w:tcPr>
            <w:tcW w:w="1057" w:type="dxa"/>
            <w:vAlign w:val="center"/>
          </w:tcPr>
          <w:p>
            <w:pPr>
              <w:pStyle w:val="37"/>
            </w:pPr>
            <w:r>
              <w:rPr>
                <w:rFonts w:hint="eastAsia"/>
              </w:rPr>
              <w:t>源强（</w:t>
            </w:r>
            <w:r>
              <w:t>t/a</w:t>
            </w:r>
            <w:r>
              <w:rPr>
                <w:rFonts w:hint="eastAsia"/>
              </w:rPr>
              <w:t>）</w:t>
            </w:r>
          </w:p>
        </w:tc>
        <w:tc>
          <w:tcPr>
            <w:tcW w:w="1450" w:type="dxa"/>
            <w:vAlign w:val="center"/>
          </w:tcPr>
          <w:p>
            <w:pPr>
              <w:pStyle w:val="37"/>
            </w:pPr>
            <w:r>
              <w:t>C</w:t>
            </w:r>
            <w:r>
              <w:rPr>
                <w:rFonts w:hint="eastAsia"/>
              </w:rPr>
              <w:t>（</w:t>
            </w:r>
            <w:r>
              <w:t>mg/m</w:t>
            </w:r>
            <w:r>
              <w:rPr>
                <w:vertAlign w:val="superscript"/>
              </w:rPr>
              <w:t>3</w:t>
            </w:r>
            <w:r>
              <w:rPr>
                <w:rFonts w:hint="eastAsia"/>
              </w:rPr>
              <w:t>）</w:t>
            </w:r>
          </w:p>
        </w:tc>
        <w:tc>
          <w:tcPr>
            <w:tcW w:w="1398" w:type="dxa"/>
            <w:vAlign w:val="center"/>
          </w:tcPr>
          <w:p>
            <w:pPr>
              <w:pStyle w:val="37"/>
            </w:pPr>
            <w:r>
              <w:t>C</w:t>
            </w:r>
            <w:r>
              <w:rPr>
                <w:vertAlign w:val="subscript"/>
              </w:rPr>
              <w:t>0</w:t>
            </w:r>
            <w:r>
              <w:rPr>
                <w:rFonts w:hint="eastAsia"/>
              </w:rPr>
              <w:t>（</w:t>
            </w:r>
            <w:r>
              <w:t>mg/m</w:t>
            </w:r>
            <w:r>
              <w:rPr>
                <w:vertAlign w:val="superscript"/>
              </w:rPr>
              <w:t>3</w:t>
            </w:r>
            <w:r>
              <w:rPr>
                <w:rFonts w:hint="eastAsia"/>
              </w:rPr>
              <w:t>）</w:t>
            </w:r>
          </w:p>
        </w:tc>
        <w:tc>
          <w:tcPr>
            <w:tcW w:w="1096" w:type="dxa"/>
            <w:vAlign w:val="center"/>
          </w:tcPr>
          <w:p>
            <w:pPr>
              <w:pStyle w:val="37"/>
            </w:pPr>
            <w:r>
              <w:t>P</w:t>
            </w:r>
            <w:r>
              <w:rPr>
                <w:rFonts w:hint="eastAsia"/>
              </w:rPr>
              <w:t>（</w:t>
            </w:r>
            <w:r>
              <w:t>%</w:t>
            </w:r>
            <w:r>
              <w:rPr>
                <w:rFonts w:hint="eastAsia"/>
              </w:rPr>
              <w:t>）</w:t>
            </w:r>
          </w:p>
        </w:tc>
        <w:tc>
          <w:tcPr>
            <w:tcW w:w="965" w:type="dxa"/>
            <w:vAlign w:val="center"/>
          </w:tcPr>
          <w:p>
            <w:pPr>
              <w:pStyle w:val="37"/>
            </w:pPr>
            <w:r>
              <w:t>D</w:t>
            </w:r>
            <w:r>
              <w:rPr>
                <w:vertAlign w:val="subscript"/>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1174" w:type="dxa"/>
            <w:vAlign w:val="center"/>
          </w:tcPr>
          <w:p>
            <w:pPr>
              <w:pStyle w:val="37"/>
            </w:pPr>
            <w:r>
              <w:rPr>
                <w:rFonts w:hint="eastAsia"/>
              </w:rPr>
              <w:t>场区无组织面源</w:t>
            </w:r>
          </w:p>
        </w:tc>
        <w:tc>
          <w:tcPr>
            <w:tcW w:w="1382" w:type="dxa"/>
            <w:vAlign w:val="center"/>
          </w:tcPr>
          <w:p>
            <w:pPr>
              <w:pStyle w:val="37"/>
            </w:pPr>
            <w:r>
              <w:t>TSP</w:t>
            </w:r>
          </w:p>
        </w:tc>
        <w:tc>
          <w:tcPr>
            <w:tcW w:w="1057" w:type="dxa"/>
            <w:vAlign w:val="center"/>
          </w:tcPr>
          <w:p>
            <w:pPr>
              <w:pStyle w:val="37"/>
            </w:pPr>
            <w:r>
              <w:t>0.985</w:t>
            </w:r>
          </w:p>
        </w:tc>
        <w:tc>
          <w:tcPr>
            <w:tcW w:w="1450" w:type="dxa"/>
            <w:vAlign w:val="center"/>
          </w:tcPr>
          <w:p>
            <w:pPr>
              <w:pStyle w:val="37"/>
            </w:pPr>
            <w:r>
              <w:t>0.0096</w:t>
            </w:r>
          </w:p>
        </w:tc>
        <w:tc>
          <w:tcPr>
            <w:tcW w:w="1398" w:type="dxa"/>
            <w:vAlign w:val="center"/>
          </w:tcPr>
          <w:p>
            <w:pPr>
              <w:pStyle w:val="37"/>
            </w:pPr>
            <w:r>
              <w:t>0.9</w:t>
            </w:r>
          </w:p>
        </w:tc>
        <w:tc>
          <w:tcPr>
            <w:tcW w:w="1096" w:type="dxa"/>
            <w:vAlign w:val="center"/>
          </w:tcPr>
          <w:p>
            <w:pPr>
              <w:pStyle w:val="37"/>
            </w:pPr>
            <w:r>
              <w:t>1.07</w:t>
            </w:r>
          </w:p>
        </w:tc>
        <w:tc>
          <w:tcPr>
            <w:tcW w:w="965" w:type="dxa"/>
            <w:vAlign w:val="center"/>
          </w:tcPr>
          <w:p>
            <w:pPr>
              <w:pStyle w:val="37"/>
            </w:pPr>
            <w:r>
              <w:t>10m</w:t>
            </w:r>
          </w:p>
        </w:tc>
      </w:tr>
    </w:tbl>
    <w:p>
      <w:pPr>
        <w:keepNext/>
        <w:ind w:firstLine="480"/>
      </w:pPr>
      <w:r>
        <w:rPr>
          <w:rFonts w:hint="eastAsia"/>
        </w:rPr>
        <w:t>评价工作分级判据见表</w:t>
      </w:r>
      <w:r>
        <w:t>1.4-3</w:t>
      </w:r>
    </w:p>
    <w:p>
      <w:pPr>
        <w:pStyle w:val="14"/>
      </w:pPr>
      <w:r>
        <w:rPr>
          <w:rFonts w:hint="eastAsia"/>
        </w:rPr>
        <w:t>表</w:t>
      </w:r>
      <w:r>
        <w:fldChar w:fldCharType="begin"/>
      </w:r>
      <w:r>
        <w:instrText xml:space="preserve"> STYLEREF 2 \s </w:instrText>
      </w:r>
      <w:r>
        <w:fldChar w:fldCharType="separate"/>
      </w:r>
      <w:r>
        <w:t>1.4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大气环境影响评价工作等级</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6"/>
        <w:gridCol w:w="6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2296" w:type="dxa"/>
            <w:vAlign w:val="center"/>
          </w:tcPr>
          <w:p>
            <w:pPr>
              <w:pStyle w:val="37"/>
            </w:pPr>
            <w:r>
              <w:rPr>
                <w:rFonts w:hint="eastAsia"/>
              </w:rPr>
              <w:t>评价工作等级</w:t>
            </w:r>
          </w:p>
        </w:tc>
        <w:tc>
          <w:tcPr>
            <w:tcW w:w="6226" w:type="dxa"/>
            <w:vAlign w:val="center"/>
          </w:tcPr>
          <w:p>
            <w:pPr>
              <w:pStyle w:val="37"/>
            </w:pPr>
            <w:r>
              <w:rPr>
                <w:rFonts w:hint="eastAsia"/>
              </w:rPr>
              <w:t>评价工作分级判据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2296" w:type="dxa"/>
            <w:vAlign w:val="center"/>
          </w:tcPr>
          <w:p>
            <w:pPr>
              <w:pStyle w:val="37"/>
            </w:pPr>
            <w:r>
              <w:rPr>
                <w:rFonts w:hint="eastAsia"/>
              </w:rPr>
              <w:t>一级</w:t>
            </w:r>
          </w:p>
        </w:tc>
        <w:tc>
          <w:tcPr>
            <w:tcW w:w="6226" w:type="dxa"/>
            <w:vAlign w:val="center"/>
          </w:tcPr>
          <w:p>
            <w:pPr>
              <w:pStyle w:val="37"/>
            </w:pPr>
            <w:r>
              <w:t>Pmax≥80%</w:t>
            </w:r>
            <w:r>
              <w:rPr>
                <w:rFonts w:hint="eastAsia"/>
              </w:rPr>
              <w:t>，且</w:t>
            </w:r>
            <w:r>
              <w:t>D</w:t>
            </w:r>
            <w:r>
              <w:rPr>
                <w:vertAlign w:val="subscript"/>
              </w:rPr>
              <w:t>10%</w:t>
            </w:r>
            <w:r>
              <w:t>≥5km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8" w:hRule="atLeast"/>
          <w:jc w:val="center"/>
        </w:trPr>
        <w:tc>
          <w:tcPr>
            <w:tcW w:w="2296" w:type="dxa"/>
            <w:vAlign w:val="center"/>
          </w:tcPr>
          <w:p>
            <w:pPr>
              <w:pStyle w:val="37"/>
            </w:pPr>
            <w:r>
              <w:rPr>
                <w:rFonts w:hint="eastAsia"/>
              </w:rPr>
              <w:t>二级</w:t>
            </w:r>
          </w:p>
        </w:tc>
        <w:tc>
          <w:tcPr>
            <w:tcW w:w="6226" w:type="dxa"/>
            <w:vAlign w:val="center"/>
          </w:tcPr>
          <w:p>
            <w:pPr>
              <w:pStyle w:val="37"/>
            </w:pPr>
            <w:r>
              <w:rPr>
                <w:rFonts w:hint="eastAsia"/>
              </w:rPr>
              <w:t>其它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2296" w:type="dxa"/>
            <w:vAlign w:val="center"/>
          </w:tcPr>
          <w:p>
            <w:pPr>
              <w:pStyle w:val="37"/>
            </w:pPr>
            <w:r>
              <w:rPr>
                <w:rFonts w:hint="eastAsia"/>
              </w:rPr>
              <w:t>三级</w:t>
            </w:r>
          </w:p>
        </w:tc>
        <w:tc>
          <w:tcPr>
            <w:tcW w:w="6226" w:type="dxa"/>
            <w:vAlign w:val="center"/>
          </w:tcPr>
          <w:p>
            <w:pPr>
              <w:pStyle w:val="37"/>
            </w:pPr>
            <w:r>
              <w:t>Pmax</w:t>
            </w:r>
            <w:r>
              <w:rPr>
                <w:rFonts w:hint="eastAsia"/>
              </w:rPr>
              <w:t>＜</w:t>
            </w:r>
            <w:r>
              <w:t>10%</w:t>
            </w:r>
            <w:r>
              <w:rPr>
                <w:rFonts w:hint="eastAsia"/>
              </w:rPr>
              <w:t>或</w:t>
            </w:r>
            <w:r>
              <w:t>D</w:t>
            </w:r>
            <w:r>
              <w:rPr>
                <w:vertAlign w:val="subscript"/>
              </w:rPr>
              <w:t>10%</w:t>
            </w:r>
            <w:r>
              <w:rPr>
                <w:rFonts w:hint="eastAsia"/>
              </w:rPr>
              <w:t>＜污染源距厂界最近距离</w:t>
            </w:r>
          </w:p>
        </w:tc>
      </w:tr>
    </w:tbl>
    <w:p>
      <w:pPr>
        <w:ind w:firstLine="480"/>
      </w:pPr>
      <w:r>
        <w:rPr>
          <w:rFonts w:hint="eastAsia"/>
        </w:rPr>
        <w:t>结果表明</w:t>
      </w:r>
      <w:r>
        <w:t>TSP</w:t>
      </w:r>
      <w:r>
        <w:rPr>
          <w:rFonts w:hint="eastAsia"/>
        </w:rPr>
        <w:t>的最大地面质量浓度占标率均小于</w:t>
      </w:r>
      <w:r>
        <w:t>10%</w:t>
      </w:r>
      <w:r>
        <w:rPr>
          <w:rFonts w:hint="eastAsia"/>
        </w:rPr>
        <w:t>。根据表</w:t>
      </w:r>
      <w:r>
        <w:t>1.5-3</w:t>
      </w:r>
      <w:r>
        <w:rPr>
          <w:rFonts w:hint="eastAsia"/>
        </w:rPr>
        <w:t>大气环境影响评价工作等级表，确定项目大气环境影响评价等级为三级。</w:t>
      </w:r>
    </w:p>
    <w:p>
      <w:pPr>
        <w:ind w:firstLine="480"/>
      </w:pPr>
      <w:r>
        <w:rPr>
          <w:rFonts w:hint="eastAsia"/>
        </w:rPr>
        <w:t>（</w:t>
      </w:r>
      <w:r>
        <w:t>4</w:t>
      </w:r>
      <w:r>
        <w:rPr>
          <w:rFonts w:hint="eastAsia"/>
        </w:rPr>
        <w:t>）声环境评价工作等级</w:t>
      </w:r>
    </w:p>
    <w:p>
      <w:pPr>
        <w:ind w:firstLine="480"/>
      </w:pPr>
      <w:r>
        <w:rPr>
          <w:rFonts w:hint="eastAsia"/>
        </w:rPr>
        <w:t>本项目所在区域声环境功能区划为</w:t>
      </w:r>
      <w:r>
        <w:t>2</w:t>
      </w:r>
      <w:r>
        <w:rPr>
          <w:rFonts w:hint="eastAsia"/>
        </w:rPr>
        <w:t>类区，项目建设前后噪声级增量很小，噪声级增量小于</w:t>
      </w:r>
      <w:r>
        <w:t>3dB</w:t>
      </w:r>
      <w:r>
        <w:rPr>
          <w:rFonts w:hint="eastAsia"/>
        </w:rPr>
        <w:t>（</w:t>
      </w:r>
      <w:r>
        <w:t>A</w:t>
      </w:r>
      <w:r>
        <w:rPr>
          <w:rFonts w:hint="eastAsia"/>
        </w:rPr>
        <w:t>），且受影响人群变化不大，根据《环境影响评价技术导则声环境》（</w:t>
      </w:r>
      <w:r>
        <w:t>HJ2.4-2009</w:t>
      </w:r>
      <w:r>
        <w:rPr>
          <w:rFonts w:hint="eastAsia"/>
        </w:rPr>
        <w:t>）“如建设项目符合两个以上级别的划分原则，按较高级别的评价等级评价”确定本次噪声环境影响评价等级为二级。</w:t>
      </w:r>
    </w:p>
    <w:p>
      <w:pPr>
        <w:ind w:firstLine="480"/>
      </w:pPr>
      <w:r>
        <w:rPr>
          <w:rFonts w:hint="eastAsia"/>
        </w:rPr>
        <w:t>（</w:t>
      </w:r>
      <w:r>
        <w:t>5</w:t>
      </w:r>
      <w:r>
        <w:rPr>
          <w:rFonts w:hint="eastAsia"/>
        </w:rPr>
        <w:t>）生态环境影响评价等级</w:t>
      </w:r>
    </w:p>
    <w:p>
      <w:pPr>
        <w:ind w:firstLine="480"/>
      </w:pPr>
      <w:r>
        <w:rPr>
          <w:rFonts w:hint="eastAsia"/>
        </w:rPr>
        <w:t>本项目处置场生态恢复面积</w:t>
      </w:r>
      <w:r>
        <w:t>20074m</w:t>
      </w:r>
      <w:r>
        <w:rPr>
          <w:kern w:val="10"/>
          <w:vertAlign w:val="superscript"/>
        </w:rPr>
        <w:t>2</w:t>
      </w:r>
      <w:r>
        <w:rPr>
          <w:rFonts w:hint="eastAsia"/>
        </w:rPr>
        <w:t>（</w:t>
      </w:r>
      <w:r>
        <w:rPr>
          <w:shd w:val="clear" w:color="auto" w:fill="FFFFFF"/>
        </w:rPr>
        <w:t>0.020074</w:t>
      </w:r>
      <w:r>
        <w:t xml:space="preserve"> km</w:t>
      </w:r>
      <w:r>
        <w:rPr>
          <w:vertAlign w:val="superscript"/>
        </w:rPr>
        <w:t>2</w:t>
      </w:r>
      <w:r>
        <w:rPr>
          <w:rFonts w:hint="eastAsia"/>
        </w:rPr>
        <w:t>）小于</w:t>
      </w:r>
      <w:r>
        <w:t>2km</w:t>
      </w:r>
      <w:r>
        <w:rPr>
          <w:vertAlign w:val="superscript"/>
        </w:rPr>
        <w:t>2</w:t>
      </w:r>
      <w:r>
        <w:rPr>
          <w:rFonts w:hint="eastAsia"/>
        </w:rPr>
        <w:t>，建设占地面积较小；拟建地目前场址为采石场废弃矿坑，周边主要植被为灌木、杂草，不属于特殊、重要生态敏感区，对照《环境影响评价技术导则生态影响》</w:t>
      </w:r>
      <w:r>
        <w:t>(HJ 19</w:t>
      </w:r>
      <w:r>
        <w:rPr>
          <w:rFonts w:hint="eastAsia"/>
        </w:rPr>
        <w:t>－</w:t>
      </w:r>
      <w:r>
        <w:t>2011)</w:t>
      </w:r>
      <w:r>
        <w:rPr>
          <w:rFonts w:hint="eastAsia"/>
        </w:rPr>
        <w:t>相关内容，生态环境影响按照三级评价。</w:t>
      </w:r>
    </w:p>
    <w:p>
      <w:pPr>
        <w:ind w:firstLine="480"/>
      </w:pPr>
      <w:r>
        <w:rPr>
          <w:rFonts w:hint="eastAsia"/>
        </w:rPr>
        <w:t>（</w:t>
      </w:r>
      <w:r>
        <w:t>6</w:t>
      </w:r>
      <w:r>
        <w:rPr>
          <w:rFonts w:hint="eastAsia"/>
        </w:rPr>
        <w:t>）风险评价等级</w:t>
      </w:r>
    </w:p>
    <w:p>
      <w:pPr>
        <w:ind w:firstLine="480"/>
      </w:pPr>
      <w:r>
        <w:rPr>
          <w:rFonts w:hint="eastAsia"/>
        </w:rPr>
        <w:t>本项目工业固体废物处置过程中，项目固废在雨水冲刷等作用下，其渗滤液中含有砷等重金属</w:t>
      </w:r>
      <w:r>
        <w:rPr>
          <w:rFonts w:hint="eastAsia"/>
          <w:color w:val="FF0000"/>
        </w:rPr>
        <w:t>。</w:t>
      </w:r>
      <w:r>
        <w:rPr>
          <w:rFonts w:hint="eastAsia"/>
        </w:rPr>
        <w:t>本项目敏感保护目标为项目西南侧郭家冲水库、北面池塘及周边居民饮用水井等，如在运营过程中发生固废的事故洒落，渗滤液的事故排放等，将对周围环境造成影响。对照《建设项目环境风险评价技术导则》（</w:t>
      </w:r>
      <w:r>
        <w:t>HJ/T169-2004</w:t>
      </w:r>
      <w:r>
        <w:rPr>
          <w:rFonts w:hint="eastAsia"/>
        </w:rPr>
        <w:t>），本项目环境风险影响评价工作等级定为二级，在本评价报告中做简要评述。</w:t>
      </w:r>
    </w:p>
    <w:p>
      <w:pPr>
        <w:pStyle w:val="14"/>
      </w:pPr>
      <w:r>
        <w:rPr>
          <w:rFonts w:hint="eastAsia"/>
        </w:rPr>
        <w:t>表</w:t>
      </w:r>
      <w:r>
        <w:fldChar w:fldCharType="begin"/>
      </w:r>
      <w:r>
        <w:instrText xml:space="preserve"> STYLEREF 2 \s </w:instrText>
      </w:r>
      <w:r>
        <w:fldChar w:fldCharType="separate"/>
      </w:r>
      <w:r>
        <w:t>1.4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r>
        <w:rPr>
          <w:rFonts w:hint="eastAsia"/>
        </w:rPr>
        <w:t>评价工作级别（一、二级）</w:t>
      </w:r>
    </w:p>
    <w:tbl>
      <w:tblPr>
        <w:tblStyle w:val="35"/>
        <w:tblW w:w="85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4"/>
        <w:gridCol w:w="1505"/>
        <w:gridCol w:w="2253"/>
        <w:gridCol w:w="1505"/>
        <w:gridCol w:w="1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4" w:type="dxa"/>
            <w:vAlign w:val="center"/>
          </w:tcPr>
          <w:p>
            <w:pPr>
              <w:pStyle w:val="37"/>
            </w:pPr>
          </w:p>
        </w:tc>
        <w:tc>
          <w:tcPr>
            <w:tcW w:w="1505" w:type="dxa"/>
            <w:vAlign w:val="center"/>
          </w:tcPr>
          <w:p>
            <w:pPr>
              <w:pStyle w:val="37"/>
            </w:pPr>
            <w:r>
              <w:rPr>
                <w:rFonts w:hint="eastAsia"/>
              </w:rPr>
              <w:t>剧毒危险性</w:t>
            </w:r>
          </w:p>
          <w:p>
            <w:pPr>
              <w:pStyle w:val="37"/>
            </w:pPr>
            <w:r>
              <w:rPr>
                <w:rFonts w:hint="eastAsia"/>
              </w:rPr>
              <w:t>物质</w:t>
            </w:r>
          </w:p>
        </w:tc>
        <w:tc>
          <w:tcPr>
            <w:tcW w:w="2253" w:type="dxa"/>
            <w:vAlign w:val="center"/>
          </w:tcPr>
          <w:p>
            <w:pPr>
              <w:pStyle w:val="37"/>
            </w:pPr>
            <w:r>
              <w:rPr>
                <w:rFonts w:hint="eastAsia"/>
              </w:rPr>
              <w:t>一般毒性危险物质</w:t>
            </w:r>
          </w:p>
        </w:tc>
        <w:tc>
          <w:tcPr>
            <w:tcW w:w="1505" w:type="dxa"/>
            <w:vAlign w:val="center"/>
          </w:tcPr>
          <w:p>
            <w:pPr>
              <w:pStyle w:val="37"/>
            </w:pPr>
            <w:r>
              <w:rPr>
                <w:rFonts w:hint="eastAsia"/>
              </w:rPr>
              <w:t>可燃、易燃</w:t>
            </w:r>
          </w:p>
          <w:p>
            <w:pPr>
              <w:pStyle w:val="37"/>
            </w:pPr>
            <w:r>
              <w:rPr>
                <w:rFonts w:hint="eastAsia"/>
              </w:rPr>
              <w:t>危险性物质</w:t>
            </w:r>
          </w:p>
        </w:tc>
        <w:tc>
          <w:tcPr>
            <w:tcW w:w="1505" w:type="dxa"/>
            <w:vAlign w:val="center"/>
          </w:tcPr>
          <w:p>
            <w:pPr>
              <w:pStyle w:val="37"/>
            </w:pPr>
            <w:r>
              <w:rPr>
                <w:rFonts w:hint="eastAsia"/>
              </w:rPr>
              <w:t>爆炸危险性</w:t>
            </w:r>
          </w:p>
          <w:p>
            <w:pPr>
              <w:pStyle w:val="37"/>
            </w:pPr>
            <w:r>
              <w:rPr>
                <w:rFonts w:hint="eastAsia"/>
              </w:rPr>
              <w:t>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4" w:type="dxa"/>
            <w:vAlign w:val="center"/>
          </w:tcPr>
          <w:p>
            <w:pPr>
              <w:pStyle w:val="37"/>
            </w:pPr>
            <w:r>
              <w:rPr>
                <w:rFonts w:hint="eastAsia"/>
              </w:rPr>
              <w:t>重大危险源</w:t>
            </w:r>
          </w:p>
        </w:tc>
        <w:tc>
          <w:tcPr>
            <w:tcW w:w="1505" w:type="dxa"/>
            <w:vAlign w:val="center"/>
          </w:tcPr>
          <w:p>
            <w:pPr>
              <w:pStyle w:val="37"/>
            </w:pPr>
            <w:r>
              <w:rPr>
                <w:rFonts w:hint="eastAsia"/>
              </w:rPr>
              <w:t>一</w:t>
            </w:r>
          </w:p>
        </w:tc>
        <w:tc>
          <w:tcPr>
            <w:tcW w:w="2253" w:type="dxa"/>
            <w:vAlign w:val="center"/>
          </w:tcPr>
          <w:p>
            <w:pPr>
              <w:pStyle w:val="37"/>
            </w:pPr>
            <w:r>
              <w:rPr>
                <w:rFonts w:hint="eastAsia"/>
              </w:rPr>
              <w:t>二</w:t>
            </w:r>
          </w:p>
        </w:tc>
        <w:tc>
          <w:tcPr>
            <w:tcW w:w="1505" w:type="dxa"/>
            <w:vAlign w:val="center"/>
          </w:tcPr>
          <w:p>
            <w:pPr>
              <w:pStyle w:val="37"/>
            </w:pPr>
            <w:r>
              <w:rPr>
                <w:rFonts w:hint="eastAsia"/>
              </w:rPr>
              <w:t>一</w:t>
            </w:r>
          </w:p>
        </w:tc>
        <w:tc>
          <w:tcPr>
            <w:tcW w:w="1505" w:type="dxa"/>
            <w:vAlign w:val="center"/>
          </w:tcPr>
          <w:p>
            <w:pPr>
              <w:pStyle w:val="37"/>
            </w:pPr>
            <w:r>
              <w:rPr>
                <w:rFonts w:hint="eastAsia"/>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4" w:type="dxa"/>
            <w:vAlign w:val="center"/>
          </w:tcPr>
          <w:p>
            <w:pPr>
              <w:pStyle w:val="37"/>
            </w:pPr>
            <w:r>
              <w:rPr>
                <w:rFonts w:hint="eastAsia"/>
              </w:rPr>
              <w:t>非重大危险源</w:t>
            </w:r>
          </w:p>
        </w:tc>
        <w:tc>
          <w:tcPr>
            <w:tcW w:w="1505" w:type="dxa"/>
            <w:vAlign w:val="center"/>
          </w:tcPr>
          <w:p>
            <w:pPr>
              <w:pStyle w:val="37"/>
            </w:pPr>
            <w:r>
              <w:rPr>
                <w:rFonts w:hint="eastAsia"/>
              </w:rPr>
              <w:t>二</w:t>
            </w:r>
          </w:p>
        </w:tc>
        <w:tc>
          <w:tcPr>
            <w:tcW w:w="2253" w:type="dxa"/>
            <w:vAlign w:val="center"/>
          </w:tcPr>
          <w:p>
            <w:pPr>
              <w:pStyle w:val="37"/>
            </w:pPr>
            <w:r>
              <w:rPr>
                <w:rFonts w:hint="eastAsia"/>
              </w:rPr>
              <w:t>二</w:t>
            </w:r>
          </w:p>
        </w:tc>
        <w:tc>
          <w:tcPr>
            <w:tcW w:w="1505" w:type="dxa"/>
            <w:vAlign w:val="center"/>
          </w:tcPr>
          <w:p>
            <w:pPr>
              <w:pStyle w:val="37"/>
            </w:pPr>
            <w:r>
              <w:rPr>
                <w:rFonts w:hint="eastAsia"/>
              </w:rPr>
              <w:t>二</w:t>
            </w:r>
          </w:p>
        </w:tc>
        <w:tc>
          <w:tcPr>
            <w:tcW w:w="1505" w:type="dxa"/>
            <w:vAlign w:val="center"/>
          </w:tcPr>
          <w:p>
            <w:pPr>
              <w:pStyle w:val="37"/>
            </w:pPr>
            <w:r>
              <w:rPr>
                <w:rFonts w:hint="eastAsia"/>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4" w:type="dxa"/>
            <w:vAlign w:val="center"/>
          </w:tcPr>
          <w:p>
            <w:pPr>
              <w:pStyle w:val="37"/>
            </w:pPr>
            <w:r>
              <w:rPr>
                <w:rFonts w:hint="eastAsia"/>
              </w:rPr>
              <w:t>环境敏感地区</w:t>
            </w:r>
          </w:p>
        </w:tc>
        <w:tc>
          <w:tcPr>
            <w:tcW w:w="1505" w:type="dxa"/>
            <w:vAlign w:val="center"/>
          </w:tcPr>
          <w:p>
            <w:pPr>
              <w:pStyle w:val="37"/>
            </w:pPr>
            <w:r>
              <w:rPr>
                <w:rFonts w:hint="eastAsia"/>
              </w:rPr>
              <w:t>一</w:t>
            </w:r>
          </w:p>
        </w:tc>
        <w:tc>
          <w:tcPr>
            <w:tcW w:w="2253" w:type="dxa"/>
            <w:vAlign w:val="center"/>
          </w:tcPr>
          <w:p>
            <w:pPr>
              <w:pStyle w:val="37"/>
            </w:pPr>
            <w:r>
              <w:rPr>
                <w:rFonts w:hint="eastAsia"/>
              </w:rPr>
              <w:t>一</w:t>
            </w:r>
          </w:p>
        </w:tc>
        <w:tc>
          <w:tcPr>
            <w:tcW w:w="1505" w:type="dxa"/>
            <w:vAlign w:val="center"/>
          </w:tcPr>
          <w:p>
            <w:pPr>
              <w:pStyle w:val="37"/>
            </w:pPr>
            <w:r>
              <w:rPr>
                <w:rFonts w:hint="eastAsia"/>
              </w:rPr>
              <w:t>一</w:t>
            </w:r>
          </w:p>
        </w:tc>
        <w:tc>
          <w:tcPr>
            <w:tcW w:w="1505" w:type="dxa"/>
            <w:vAlign w:val="center"/>
          </w:tcPr>
          <w:p>
            <w:pPr>
              <w:pStyle w:val="37"/>
            </w:pPr>
            <w:r>
              <w:rPr>
                <w:rFonts w:hint="eastAsia"/>
              </w:rPr>
              <w:t>一</w:t>
            </w:r>
          </w:p>
        </w:tc>
      </w:tr>
    </w:tbl>
    <w:p>
      <w:pPr>
        <w:pStyle w:val="4"/>
      </w:pPr>
      <w:r>
        <w:rPr>
          <w:rFonts w:hint="eastAsia"/>
        </w:rPr>
        <w:t>评价重点</w:t>
      </w:r>
    </w:p>
    <w:p>
      <w:pPr>
        <w:ind w:firstLine="480"/>
      </w:pPr>
      <w:r>
        <w:rPr>
          <w:rFonts w:hint="eastAsia"/>
        </w:rPr>
        <w:t>固体废物处置场建设类项目对环境影响而言，具有双重性，一方面是它们在建设和建成后有自身产生的废水、废气、噪声等可能对外环境产生不利影响，是一个环境污染源；另一方面，它是外环境产生的固废一个处置场所。</w:t>
      </w:r>
    </w:p>
    <w:p>
      <w:pPr>
        <w:ind w:firstLine="480"/>
      </w:pPr>
      <w:r>
        <w:rPr>
          <w:rFonts w:hint="eastAsia"/>
        </w:rPr>
        <w:t>根据固体废物在处置过程中的产污特点，评价将重点从环保角度论证固体废物处置场选址的可行性，并对产生的废水、废气对环境的影响进行预测分析评价，对污染防治措施进行分析论证，以最大限度地减轻工程可能产生的二次污染。</w:t>
      </w:r>
    </w:p>
    <w:bookmarkEnd w:id="42"/>
    <w:p>
      <w:pPr>
        <w:pStyle w:val="3"/>
      </w:pPr>
      <w:bookmarkStart w:id="43" w:name="_Toc462818408"/>
      <w:r>
        <w:rPr>
          <w:rFonts w:hint="eastAsia"/>
        </w:rPr>
        <w:t>评价范围与环境敏感区</w:t>
      </w:r>
      <w:bookmarkEnd w:id="43"/>
    </w:p>
    <w:p>
      <w:pPr>
        <w:pStyle w:val="4"/>
      </w:pPr>
      <w:r>
        <w:rPr>
          <w:rFonts w:hint="eastAsia"/>
        </w:rPr>
        <w:t>评价范围</w:t>
      </w:r>
    </w:p>
    <w:p>
      <w:pPr>
        <w:ind w:firstLine="480"/>
        <w:rPr>
          <w:b/>
        </w:rPr>
      </w:pPr>
      <w:r>
        <w:rPr>
          <w:rFonts w:hint="eastAsia"/>
        </w:rPr>
        <w:t>项目环境影响评价技术导则，本项目环境影响评价范围如表</w:t>
      </w:r>
      <w:r>
        <w:t>1.5-1</w:t>
      </w:r>
      <w:r>
        <w:rPr>
          <w:rFonts w:hint="eastAsia"/>
        </w:rPr>
        <w:t>。</w:t>
      </w:r>
    </w:p>
    <w:p>
      <w:pPr>
        <w:pStyle w:val="14"/>
      </w:pPr>
      <w:r>
        <w:rPr>
          <w:rFonts w:hint="eastAsia"/>
        </w:rPr>
        <w:t>表</w:t>
      </w:r>
      <w:r>
        <w:fldChar w:fldCharType="begin"/>
      </w:r>
      <w:r>
        <w:instrText xml:space="preserve"> STYLEREF 2 \s </w:instrText>
      </w:r>
      <w:r>
        <w:fldChar w:fldCharType="separate"/>
      </w:r>
      <w:r>
        <w:t>1.5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环境影响评价范围</w:t>
      </w:r>
    </w:p>
    <w:tbl>
      <w:tblPr>
        <w:tblStyle w:val="35"/>
        <w:tblW w:w="8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1"/>
        <w:gridCol w:w="7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2" w:hRule="atLeast"/>
          <w:jc w:val="center"/>
        </w:trPr>
        <w:tc>
          <w:tcPr>
            <w:tcW w:w="1011" w:type="dxa"/>
            <w:tcMar>
              <w:left w:w="0" w:type="dxa"/>
              <w:right w:w="0" w:type="dxa"/>
            </w:tcMar>
            <w:vAlign w:val="center"/>
          </w:tcPr>
          <w:p>
            <w:pPr>
              <w:pStyle w:val="37"/>
            </w:pPr>
            <w:r>
              <w:rPr>
                <w:rFonts w:hint="eastAsia"/>
              </w:rPr>
              <w:t>评价内容</w:t>
            </w:r>
          </w:p>
        </w:tc>
        <w:tc>
          <w:tcPr>
            <w:tcW w:w="7305" w:type="dxa"/>
            <w:tcMar>
              <w:left w:w="0" w:type="dxa"/>
              <w:right w:w="0" w:type="dxa"/>
            </w:tcMar>
            <w:vAlign w:val="center"/>
          </w:tcPr>
          <w:p>
            <w:pPr>
              <w:pStyle w:val="37"/>
            </w:pPr>
            <w:r>
              <w:rPr>
                <w:rFonts w:hint="eastAsia"/>
              </w:rPr>
              <w:t>评价范围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1011" w:type="dxa"/>
            <w:tcMar>
              <w:left w:w="0" w:type="dxa"/>
              <w:right w:w="0" w:type="dxa"/>
            </w:tcMar>
            <w:vAlign w:val="center"/>
          </w:tcPr>
          <w:p>
            <w:pPr>
              <w:pStyle w:val="37"/>
            </w:pPr>
            <w:r>
              <w:rPr>
                <w:rFonts w:hint="eastAsia"/>
              </w:rPr>
              <w:t>环境空气</w:t>
            </w:r>
          </w:p>
        </w:tc>
        <w:tc>
          <w:tcPr>
            <w:tcW w:w="7305" w:type="dxa"/>
            <w:tcMar>
              <w:left w:w="0" w:type="dxa"/>
              <w:right w:w="0" w:type="dxa"/>
            </w:tcMar>
            <w:vAlign w:val="center"/>
          </w:tcPr>
          <w:p>
            <w:pPr>
              <w:pStyle w:val="37"/>
            </w:pPr>
            <w:r>
              <w:rPr>
                <w:rFonts w:hint="eastAsia"/>
              </w:rPr>
              <w:t>以固体废物处置场场址为中心，以</w:t>
            </w:r>
            <w:r>
              <w:t>2.5km</w:t>
            </w:r>
            <w:r>
              <w:rPr>
                <w:rFonts w:hint="eastAsia"/>
              </w:rPr>
              <w:t>为半径的圆形区域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jc w:val="center"/>
        </w:trPr>
        <w:tc>
          <w:tcPr>
            <w:tcW w:w="1011" w:type="dxa"/>
            <w:tcMar>
              <w:left w:w="0" w:type="dxa"/>
              <w:right w:w="0" w:type="dxa"/>
            </w:tcMar>
            <w:vAlign w:val="center"/>
          </w:tcPr>
          <w:p>
            <w:pPr>
              <w:pStyle w:val="37"/>
            </w:pPr>
            <w:r>
              <w:rPr>
                <w:rFonts w:hint="eastAsia"/>
              </w:rPr>
              <w:t>声环境</w:t>
            </w:r>
          </w:p>
        </w:tc>
        <w:tc>
          <w:tcPr>
            <w:tcW w:w="7305" w:type="dxa"/>
            <w:tcMar>
              <w:left w:w="0" w:type="dxa"/>
              <w:right w:w="0" w:type="dxa"/>
            </w:tcMar>
            <w:vAlign w:val="center"/>
          </w:tcPr>
          <w:p>
            <w:pPr>
              <w:pStyle w:val="37"/>
            </w:pPr>
            <w:r>
              <w:rPr>
                <w:rFonts w:hint="eastAsia"/>
              </w:rPr>
              <w:t>项目厂界外</w:t>
            </w:r>
            <w:r>
              <w:t>200m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jc w:val="center"/>
        </w:trPr>
        <w:tc>
          <w:tcPr>
            <w:tcW w:w="1011" w:type="dxa"/>
            <w:tcMar>
              <w:left w:w="0" w:type="dxa"/>
              <w:right w:w="0" w:type="dxa"/>
            </w:tcMar>
            <w:vAlign w:val="center"/>
          </w:tcPr>
          <w:p>
            <w:pPr>
              <w:pStyle w:val="37"/>
            </w:pPr>
            <w:r>
              <w:rPr>
                <w:rFonts w:hint="eastAsia"/>
              </w:rPr>
              <w:t>地表水</w:t>
            </w:r>
          </w:p>
        </w:tc>
        <w:tc>
          <w:tcPr>
            <w:tcW w:w="7305" w:type="dxa"/>
            <w:tcMar>
              <w:left w:w="0" w:type="dxa"/>
              <w:right w:w="0" w:type="dxa"/>
            </w:tcMar>
            <w:vAlign w:val="center"/>
          </w:tcPr>
          <w:p>
            <w:pPr>
              <w:pStyle w:val="37"/>
            </w:pPr>
            <w:r>
              <w:rPr>
                <w:rFonts w:hint="eastAsia"/>
              </w:rPr>
              <w:t>郭家冲水库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1011" w:type="dxa"/>
            <w:tcMar>
              <w:left w:w="0" w:type="dxa"/>
              <w:right w:w="0" w:type="dxa"/>
            </w:tcMar>
            <w:vAlign w:val="center"/>
          </w:tcPr>
          <w:p>
            <w:pPr>
              <w:pStyle w:val="37"/>
            </w:pPr>
            <w:r>
              <w:rPr>
                <w:rFonts w:hint="eastAsia"/>
              </w:rPr>
              <w:t>地下水</w:t>
            </w:r>
          </w:p>
        </w:tc>
        <w:tc>
          <w:tcPr>
            <w:tcW w:w="7305" w:type="dxa"/>
            <w:tcMar>
              <w:left w:w="0" w:type="dxa"/>
              <w:right w:w="0" w:type="dxa"/>
            </w:tcMar>
            <w:vAlign w:val="center"/>
          </w:tcPr>
          <w:p>
            <w:pPr>
              <w:pStyle w:val="37"/>
            </w:pPr>
            <w:r>
              <w:rPr>
                <w:rFonts w:hint="eastAsia"/>
              </w:rPr>
              <w:t>以项目场地为中心，面积为20</w:t>
            </w:r>
            <w:r>
              <w:t>km</w:t>
            </w:r>
            <w:r>
              <w:rPr>
                <w:vertAlign w:val="superscript"/>
              </w:rPr>
              <w:t>2</w:t>
            </w:r>
            <w:r>
              <w:rPr>
                <w:rFonts w:hint="eastAsia"/>
              </w:rPr>
              <w:t>的矩形区域内地下含水层及周边居民使用水井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jc w:val="center"/>
        </w:trPr>
        <w:tc>
          <w:tcPr>
            <w:tcW w:w="1011" w:type="dxa"/>
            <w:tcMar>
              <w:left w:w="0" w:type="dxa"/>
              <w:right w:w="0" w:type="dxa"/>
            </w:tcMar>
            <w:vAlign w:val="center"/>
          </w:tcPr>
          <w:p>
            <w:pPr>
              <w:pStyle w:val="37"/>
            </w:pPr>
            <w:r>
              <w:rPr>
                <w:rFonts w:hint="eastAsia"/>
              </w:rPr>
              <w:t>生态环境</w:t>
            </w:r>
          </w:p>
        </w:tc>
        <w:tc>
          <w:tcPr>
            <w:tcW w:w="7305" w:type="dxa"/>
            <w:tcMar>
              <w:left w:w="0" w:type="dxa"/>
              <w:right w:w="0" w:type="dxa"/>
            </w:tcMar>
            <w:vAlign w:val="center"/>
          </w:tcPr>
          <w:p>
            <w:pPr>
              <w:pStyle w:val="37"/>
            </w:pPr>
            <w:r>
              <w:rPr>
                <w:rFonts w:hint="eastAsia"/>
              </w:rPr>
              <w:t>处置场及土料场周边</w:t>
            </w:r>
            <w:r>
              <w:t>300</w:t>
            </w:r>
            <w:r>
              <w:rPr>
                <w:rFonts w:hint="eastAsia"/>
              </w:rPr>
              <w:t>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jc w:val="center"/>
        </w:trPr>
        <w:tc>
          <w:tcPr>
            <w:tcW w:w="1011" w:type="dxa"/>
            <w:tcMar>
              <w:left w:w="0" w:type="dxa"/>
              <w:right w:w="0" w:type="dxa"/>
            </w:tcMar>
            <w:vAlign w:val="center"/>
          </w:tcPr>
          <w:p>
            <w:pPr>
              <w:pStyle w:val="37"/>
            </w:pPr>
            <w:r>
              <w:rPr>
                <w:rFonts w:hint="eastAsia"/>
              </w:rPr>
              <w:t>环境风险</w:t>
            </w:r>
          </w:p>
        </w:tc>
        <w:tc>
          <w:tcPr>
            <w:tcW w:w="7305" w:type="dxa"/>
            <w:tcMar>
              <w:left w:w="0" w:type="dxa"/>
              <w:right w:w="0" w:type="dxa"/>
            </w:tcMar>
            <w:vAlign w:val="center"/>
          </w:tcPr>
          <w:p>
            <w:pPr>
              <w:pStyle w:val="37"/>
            </w:pPr>
            <w:r>
              <w:rPr>
                <w:rFonts w:hint="eastAsia"/>
              </w:rPr>
              <w:t>以固体废物处置场厂址为中心</w:t>
            </w:r>
            <w:r>
              <w:t>3km</w:t>
            </w:r>
            <w:r>
              <w:rPr>
                <w:rFonts w:hint="eastAsia"/>
              </w:rPr>
              <w:t>的范围</w:t>
            </w:r>
          </w:p>
        </w:tc>
      </w:tr>
    </w:tbl>
    <w:p>
      <w:pPr>
        <w:pStyle w:val="4"/>
      </w:pPr>
      <w:r>
        <w:rPr>
          <w:rFonts w:hint="eastAsia"/>
        </w:rPr>
        <w:t>环境敏感区</w:t>
      </w:r>
    </w:p>
    <w:p>
      <w:pPr>
        <w:ind w:firstLine="480"/>
      </w:pPr>
      <w:r>
        <w:rPr>
          <w:rFonts w:hint="eastAsia"/>
        </w:rPr>
        <w:t>本工程拟建地处于现状主要植被为灌木杂草。经现场勘踏，项目周边为林地、耕地。固体废物处置场四邻以及周边环境情况分别见表</w:t>
      </w:r>
      <w:r>
        <w:t>1.6-1</w:t>
      </w:r>
      <w:r>
        <w:rPr>
          <w:rFonts w:hint="eastAsia"/>
        </w:rPr>
        <w:t>，图</w:t>
      </w:r>
      <w:r>
        <w:t>1.6-1</w:t>
      </w:r>
      <w:r>
        <w:rPr>
          <w:rFonts w:hint="eastAsia"/>
        </w:rPr>
        <w:t>。</w:t>
      </w:r>
    </w:p>
    <w:p>
      <w:pPr>
        <w:pStyle w:val="14"/>
      </w:pPr>
      <w:r>
        <w:rPr>
          <w:rFonts w:hint="eastAsia"/>
        </w:rPr>
        <w:t>表</w:t>
      </w:r>
      <w:r>
        <w:fldChar w:fldCharType="begin"/>
      </w:r>
      <w:r>
        <w:instrText xml:space="preserve"> STYLEREF 2 \s </w:instrText>
      </w:r>
      <w:r>
        <w:fldChar w:fldCharType="separate"/>
      </w:r>
      <w:r>
        <w:t>1.5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主要环境保护目标</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582"/>
        <w:gridCol w:w="566"/>
        <w:gridCol w:w="661"/>
        <w:gridCol w:w="1744"/>
        <w:gridCol w:w="2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165" w:type="dxa"/>
            <w:vAlign w:val="center"/>
          </w:tcPr>
          <w:p>
            <w:pPr>
              <w:pStyle w:val="37"/>
            </w:pPr>
            <w:r>
              <w:rPr>
                <w:rFonts w:hint="eastAsia"/>
              </w:rPr>
              <w:t>环境要素</w:t>
            </w:r>
          </w:p>
        </w:tc>
        <w:tc>
          <w:tcPr>
            <w:tcW w:w="1582" w:type="dxa"/>
            <w:vAlign w:val="center"/>
          </w:tcPr>
          <w:p>
            <w:pPr>
              <w:pStyle w:val="37"/>
            </w:pPr>
            <w:r>
              <w:rPr>
                <w:rFonts w:hint="eastAsia"/>
              </w:rPr>
              <w:t>保护对象名称</w:t>
            </w:r>
          </w:p>
        </w:tc>
        <w:tc>
          <w:tcPr>
            <w:tcW w:w="566" w:type="dxa"/>
            <w:vAlign w:val="center"/>
          </w:tcPr>
          <w:p>
            <w:pPr>
              <w:pStyle w:val="37"/>
            </w:pPr>
            <w:r>
              <w:rPr>
                <w:rFonts w:hint="eastAsia"/>
              </w:rPr>
              <w:t>方位</w:t>
            </w:r>
          </w:p>
        </w:tc>
        <w:tc>
          <w:tcPr>
            <w:tcW w:w="661" w:type="dxa"/>
            <w:vAlign w:val="center"/>
          </w:tcPr>
          <w:p>
            <w:pPr>
              <w:pStyle w:val="37"/>
            </w:pPr>
            <w:r>
              <w:rPr>
                <w:rFonts w:hint="eastAsia"/>
              </w:rPr>
              <w:t>距离</w:t>
            </w:r>
            <w:r>
              <w:t>(m)</w:t>
            </w:r>
          </w:p>
        </w:tc>
        <w:tc>
          <w:tcPr>
            <w:tcW w:w="1744" w:type="dxa"/>
            <w:vAlign w:val="center"/>
          </w:tcPr>
          <w:p>
            <w:pPr>
              <w:pStyle w:val="37"/>
            </w:pPr>
            <w:r>
              <w:rPr>
                <w:rFonts w:hint="eastAsia"/>
              </w:rPr>
              <w:t>规模</w:t>
            </w:r>
          </w:p>
        </w:tc>
        <w:tc>
          <w:tcPr>
            <w:tcW w:w="2804" w:type="dxa"/>
            <w:vAlign w:val="center"/>
          </w:tcPr>
          <w:p>
            <w:pPr>
              <w:pStyle w:val="37"/>
            </w:pPr>
            <w:r>
              <w:rPr>
                <w:rFonts w:hint="eastAsia"/>
              </w:rPr>
              <w:t>环境功能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1165" w:type="dxa"/>
            <w:vMerge w:val="restart"/>
            <w:vAlign w:val="center"/>
          </w:tcPr>
          <w:p>
            <w:pPr>
              <w:pStyle w:val="37"/>
            </w:pPr>
            <w:r>
              <w:rPr>
                <w:rFonts w:hint="eastAsia"/>
              </w:rPr>
              <w:t>空气环境</w:t>
            </w:r>
          </w:p>
        </w:tc>
        <w:tc>
          <w:tcPr>
            <w:tcW w:w="1582" w:type="dxa"/>
            <w:vAlign w:val="center"/>
          </w:tcPr>
          <w:p>
            <w:pPr>
              <w:pStyle w:val="37"/>
            </w:pPr>
            <w:r>
              <w:rPr>
                <w:rFonts w:hint="eastAsia"/>
              </w:rPr>
              <w:t>居民</w:t>
            </w:r>
          </w:p>
        </w:tc>
        <w:tc>
          <w:tcPr>
            <w:tcW w:w="566" w:type="dxa"/>
            <w:vAlign w:val="center"/>
          </w:tcPr>
          <w:p>
            <w:pPr>
              <w:pStyle w:val="37"/>
            </w:pPr>
            <w:r>
              <w:t>N</w:t>
            </w:r>
          </w:p>
        </w:tc>
        <w:tc>
          <w:tcPr>
            <w:tcW w:w="661" w:type="dxa"/>
            <w:vAlign w:val="center"/>
          </w:tcPr>
          <w:p>
            <w:pPr>
              <w:pStyle w:val="37"/>
            </w:pPr>
            <w:r>
              <w:t>380</w:t>
            </w:r>
          </w:p>
        </w:tc>
        <w:tc>
          <w:tcPr>
            <w:tcW w:w="1744" w:type="dxa"/>
            <w:vAlign w:val="center"/>
          </w:tcPr>
          <w:p>
            <w:pPr>
              <w:pStyle w:val="37"/>
            </w:pPr>
            <w:r>
              <w:t>20</w:t>
            </w:r>
            <w:r>
              <w:rPr>
                <w:rFonts w:hint="eastAsia"/>
              </w:rPr>
              <w:t>户</w:t>
            </w:r>
            <w:r>
              <w:t>64</w:t>
            </w:r>
            <w:r>
              <w:rPr>
                <w:rFonts w:hint="eastAsia"/>
              </w:rPr>
              <w:t>人</w:t>
            </w:r>
          </w:p>
        </w:tc>
        <w:tc>
          <w:tcPr>
            <w:tcW w:w="2804" w:type="dxa"/>
            <w:vMerge w:val="restart"/>
            <w:vAlign w:val="center"/>
          </w:tcPr>
          <w:p>
            <w:pPr>
              <w:pStyle w:val="37"/>
            </w:pPr>
          </w:p>
          <w:p>
            <w:pPr>
              <w:pStyle w:val="37"/>
            </w:pPr>
            <w:r>
              <w:rPr>
                <w:rFonts w:hint="eastAsia"/>
              </w:rPr>
              <w:t>《环境空气质量标准》（</w:t>
            </w:r>
            <w:r>
              <w:t>GB3095</w:t>
            </w:r>
            <w:r>
              <w:rPr>
                <w:rFonts w:hint="eastAsia"/>
              </w:rPr>
              <w:t>－</w:t>
            </w:r>
            <w:r>
              <w:t>2012</w:t>
            </w:r>
            <w:r>
              <w:rPr>
                <w:rFonts w:hint="eastAsia"/>
              </w:rPr>
              <w:t>）二级标准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1165" w:type="dxa"/>
            <w:vMerge w:val="continue"/>
            <w:vAlign w:val="center"/>
          </w:tcPr>
          <w:p>
            <w:pPr>
              <w:pStyle w:val="37"/>
            </w:pPr>
          </w:p>
        </w:tc>
        <w:tc>
          <w:tcPr>
            <w:tcW w:w="1582" w:type="dxa"/>
            <w:vAlign w:val="center"/>
          </w:tcPr>
          <w:p>
            <w:pPr>
              <w:pStyle w:val="37"/>
            </w:pPr>
            <w:r>
              <w:rPr>
                <w:rFonts w:hint="eastAsia"/>
              </w:rPr>
              <w:t>居民</w:t>
            </w:r>
          </w:p>
        </w:tc>
        <w:tc>
          <w:tcPr>
            <w:tcW w:w="566" w:type="dxa"/>
            <w:vAlign w:val="center"/>
          </w:tcPr>
          <w:p>
            <w:pPr>
              <w:pStyle w:val="37"/>
            </w:pPr>
            <w:r>
              <w:t>N</w:t>
            </w:r>
          </w:p>
        </w:tc>
        <w:tc>
          <w:tcPr>
            <w:tcW w:w="661" w:type="dxa"/>
            <w:vAlign w:val="center"/>
          </w:tcPr>
          <w:p>
            <w:pPr>
              <w:pStyle w:val="37"/>
            </w:pPr>
            <w:r>
              <w:t>720</w:t>
            </w:r>
          </w:p>
        </w:tc>
        <w:tc>
          <w:tcPr>
            <w:tcW w:w="1744" w:type="dxa"/>
            <w:vAlign w:val="center"/>
          </w:tcPr>
          <w:p>
            <w:pPr>
              <w:pStyle w:val="37"/>
            </w:pPr>
            <w:r>
              <w:t>35</w:t>
            </w:r>
            <w:r>
              <w:rPr>
                <w:rFonts w:hint="eastAsia"/>
              </w:rPr>
              <w:t>户</w:t>
            </w:r>
            <w:r>
              <w:t>112</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居民</w:t>
            </w:r>
          </w:p>
        </w:tc>
        <w:tc>
          <w:tcPr>
            <w:tcW w:w="566" w:type="dxa"/>
            <w:vAlign w:val="center"/>
          </w:tcPr>
          <w:p>
            <w:pPr>
              <w:pStyle w:val="37"/>
            </w:pPr>
            <w:r>
              <w:t>N</w:t>
            </w:r>
          </w:p>
        </w:tc>
        <w:tc>
          <w:tcPr>
            <w:tcW w:w="661" w:type="dxa"/>
            <w:vAlign w:val="center"/>
          </w:tcPr>
          <w:p>
            <w:pPr>
              <w:pStyle w:val="37"/>
            </w:pPr>
            <w:r>
              <w:t>924</w:t>
            </w:r>
          </w:p>
        </w:tc>
        <w:tc>
          <w:tcPr>
            <w:tcW w:w="1744" w:type="dxa"/>
            <w:vAlign w:val="center"/>
          </w:tcPr>
          <w:p>
            <w:pPr>
              <w:pStyle w:val="37"/>
            </w:pPr>
            <w:r>
              <w:t>90</w:t>
            </w:r>
            <w:r>
              <w:rPr>
                <w:rFonts w:hint="eastAsia"/>
              </w:rPr>
              <w:t>户约</w:t>
            </w:r>
            <w:r>
              <w:t>300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莲花塘居民</w:t>
            </w:r>
          </w:p>
        </w:tc>
        <w:tc>
          <w:tcPr>
            <w:tcW w:w="566" w:type="dxa"/>
            <w:vAlign w:val="center"/>
          </w:tcPr>
          <w:p>
            <w:pPr>
              <w:pStyle w:val="37"/>
            </w:pPr>
            <w:r>
              <w:t>NE</w:t>
            </w:r>
          </w:p>
        </w:tc>
        <w:tc>
          <w:tcPr>
            <w:tcW w:w="661" w:type="dxa"/>
            <w:vAlign w:val="center"/>
          </w:tcPr>
          <w:p>
            <w:pPr>
              <w:pStyle w:val="37"/>
            </w:pPr>
            <w:r>
              <w:t>601</w:t>
            </w:r>
          </w:p>
        </w:tc>
        <w:tc>
          <w:tcPr>
            <w:tcW w:w="1744" w:type="dxa"/>
            <w:vAlign w:val="center"/>
          </w:tcPr>
          <w:p>
            <w:pPr>
              <w:pStyle w:val="37"/>
            </w:pPr>
            <w:r>
              <w:t>80</w:t>
            </w:r>
            <w:r>
              <w:rPr>
                <w:rFonts w:hint="eastAsia"/>
              </w:rPr>
              <w:t>户约</w:t>
            </w:r>
            <w:r>
              <w:t>280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活水塘居民</w:t>
            </w:r>
          </w:p>
        </w:tc>
        <w:tc>
          <w:tcPr>
            <w:tcW w:w="566" w:type="dxa"/>
            <w:vAlign w:val="center"/>
          </w:tcPr>
          <w:p>
            <w:pPr>
              <w:pStyle w:val="37"/>
            </w:pPr>
            <w:r>
              <w:t>NE</w:t>
            </w:r>
          </w:p>
        </w:tc>
        <w:tc>
          <w:tcPr>
            <w:tcW w:w="661" w:type="dxa"/>
            <w:vAlign w:val="center"/>
          </w:tcPr>
          <w:p>
            <w:pPr>
              <w:pStyle w:val="37"/>
            </w:pPr>
            <w:r>
              <w:t>775</w:t>
            </w:r>
          </w:p>
        </w:tc>
        <w:tc>
          <w:tcPr>
            <w:tcW w:w="1744" w:type="dxa"/>
            <w:vAlign w:val="center"/>
          </w:tcPr>
          <w:p>
            <w:pPr>
              <w:pStyle w:val="37"/>
            </w:pPr>
            <w:r>
              <w:t>35</w:t>
            </w:r>
            <w:r>
              <w:rPr>
                <w:rFonts w:hint="eastAsia"/>
              </w:rPr>
              <w:t>户</w:t>
            </w:r>
            <w:r>
              <w:t>112</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破屋里居民</w:t>
            </w:r>
          </w:p>
        </w:tc>
        <w:tc>
          <w:tcPr>
            <w:tcW w:w="566" w:type="dxa"/>
            <w:vAlign w:val="center"/>
          </w:tcPr>
          <w:p>
            <w:pPr>
              <w:pStyle w:val="37"/>
            </w:pPr>
            <w:r>
              <w:t>NE</w:t>
            </w:r>
          </w:p>
        </w:tc>
        <w:tc>
          <w:tcPr>
            <w:tcW w:w="661" w:type="dxa"/>
            <w:vAlign w:val="center"/>
          </w:tcPr>
          <w:p>
            <w:pPr>
              <w:pStyle w:val="37"/>
            </w:pPr>
            <w:r>
              <w:t>860</w:t>
            </w:r>
          </w:p>
        </w:tc>
        <w:tc>
          <w:tcPr>
            <w:tcW w:w="1744" w:type="dxa"/>
            <w:vAlign w:val="center"/>
          </w:tcPr>
          <w:p>
            <w:pPr>
              <w:pStyle w:val="37"/>
            </w:pPr>
            <w:r>
              <w:t>28</w:t>
            </w:r>
            <w:r>
              <w:rPr>
                <w:rFonts w:hint="eastAsia"/>
              </w:rPr>
              <w:t>户约</w:t>
            </w:r>
            <w:r>
              <w:t>90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袁家岭居民</w:t>
            </w:r>
          </w:p>
        </w:tc>
        <w:tc>
          <w:tcPr>
            <w:tcW w:w="566" w:type="dxa"/>
            <w:vAlign w:val="center"/>
          </w:tcPr>
          <w:p>
            <w:pPr>
              <w:pStyle w:val="37"/>
            </w:pPr>
            <w:r>
              <w:t>NE</w:t>
            </w:r>
          </w:p>
        </w:tc>
        <w:tc>
          <w:tcPr>
            <w:tcW w:w="661" w:type="dxa"/>
            <w:vAlign w:val="center"/>
          </w:tcPr>
          <w:p>
            <w:pPr>
              <w:pStyle w:val="37"/>
            </w:pPr>
            <w:r>
              <w:t>1220</w:t>
            </w:r>
          </w:p>
        </w:tc>
        <w:tc>
          <w:tcPr>
            <w:tcW w:w="1744" w:type="dxa"/>
            <w:vAlign w:val="center"/>
          </w:tcPr>
          <w:p>
            <w:pPr>
              <w:pStyle w:val="37"/>
            </w:pPr>
            <w:r>
              <w:t>100</w:t>
            </w:r>
            <w:r>
              <w:rPr>
                <w:rFonts w:hint="eastAsia"/>
              </w:rPr>
              <w:t>户约</w:t>
            </w:r>
            <w:r>
              <w:t>320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陈家坡居民</w:t>
            </w:r>
          </w:p>
        </w:tc>
        <w:tc>
          <w:tcPr>
            <w:tcW w:w="566" w:type="dxa"/>
            <w:vAlign w:val="center"/>
          </w:tcPr>
          <w:p>
            <w:pPr>
              <w:pStyle w:val="37"/>
            </w:pPr>
            <w:r>
              <w:t>S</w:t>
            </w:r>
          </w:p>
        </w:tc>
        <w:tc>
          <w:tcPr>
            <w:tcW w:w="661" w:type="dxa"/>
            <w:vAlign w:val="center"/>
          </w:tcPr>
          <w:p>
            <w:pPr>
              <w:pStyle w:val="37"/>
            </w:pPr>
            <w:r>
              <w:t>500</w:t>
            </w:r>
          </w:p>
        </w:tc>
        <w:tc>
          <w:tcPr>
            <w:tcW w:w="1744" w:type="dxa"/>
            <w:vAlign w:val="center"/>
          </w:tcPr>
          <w:p>
            <w:pPr>
              <w:pStyle w:val="37"/>
            </w:pPr>
            <w:r>
              <w:t>5</w:t>
            </w:r>
            <w:r>
              <w:rPr>
                <w:rFonts w:hint="eastAsia"/>
              </w:rPr>
              <w:t>户</w:t>
            </w:r>
            <w:r>
              <w:t>15</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坳上居民</w:t>
            </w:r>
          </w:p>
        </w:tc>
        <w:tc>
          <w:tcPr>
            <w:tcW w:w="566" w:type="dxa"/>
            <w:vAlign w:val="center"/>
          </w:tcPr>
          <w:p>
            <w:pPr>
              <w:pStyle w:val="37"/>
            </w:pPr>
            <w:r>
              <w:t>S</w:t>
            </w:r>
          </w:p>
        </w:tc>
        <w:tc>
          <w:tcPr>
            <w:tcW w:w="661" w:type="dxa"/>
            <w:vAlign w:val="center"/>
          </w:tcPr>
          <w:p>
            <w:pPr>
              <w:pStyle w:val="37"/>
            </w:pPr>
            <w:r>
              <w:t>669</w:t>
            </w:r>
          </w:p>
        </w:tc>
        <w:tc>
          <w:tcPr>
            <w:tcW w:w="1744" w:type="dxa"/>
            <w:vAlign w:val="center"/>
          </w:tcPr>
          <w:p>
            <w:pPr>
              <w:pStyle w:val="37"/>
            </w:pPr>
            <w:r>
              <w:t>5</w:t>
            </w:r>
            <w:r>
              <w:rPr>
                <w:rFonts w:hint="eastAsia"/>
              </w:rPr>
              <w:t>户</w:t>
            </w:r>
            <w:r>
              <w:t>15</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胡家居民</w:t>
            </w:r>
          </w:p>
        </w:tc>
        <w:tc>
          <w:tcPr>
            <w:tcW w:w="566" w:type="dxa"/>
            <w:vAlign w:val="center"/>
          </w:tcPr>
          <w:p>
            <w:pPr>
              <w:pStyle w:val="37"/>
            </w:pPr>
            <w:r>
              <w:t>WS</w:t>
            </w:r>
          </w:p>
        </w:tc>
        <w:tc>
          <w:tcPr>
            <w:tcW w:w="661" w:type="dxa"/>
            <w:vAlign w:val="center"/>
          </w:tcPr>
          <w:p>
            <w:pPr>
              <w:pStyle w:val="37"/>
            </w:pPr>
            <w:r>
              <w:t>860</w:t>
            </w:r>
          </w:p>
        </w:tc>
        <w:tc>
          <w:tcPr>
            <w:tcW w:w="1744" w:type="dxa"/>
            <w:vAlign w:val="center"/>
          </w:tcPr>
          <w:p>
            <w:pPr>
              <w:pStyle w:val="37"/>
            </w:pPr>
            <w:r>
              <w:t>6</w:t>
            </w:r>
            <w:r>
              <w:rPr>
                <w:rFonts w:hint="eastAsia"/>
              </w:rPr>
              <w:t>户约</w:t>
            </w:r>
            <w:r>
              <w:t>20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池塘居民</w:t>
            </w:r>
          </w:p>
        </w:tc>
        <w:tc>
          <w:tcPr>
            <w:tcW w:w="566" w:type="dxa"/>
            <w:vAlign w:val="center"/>
          </w:tcPr>
          <w:p>
            <w:pPr>
              <w:pStyle w:val="37"/>
            </w:pPr>
            <w:r>
              <w:t>W</w:t>
            </w:r>
          </w:p>
        </w:tc>
        <w:tc>
          <w:tcPr>
            <w:tcW w:w="661" w:type="dxa"/>
            <w:vAlign w:val="center"/>
          </w:tcPr>
          <w:p>
            <w:pPr>
              <w:pStyle w:val="37"/>
            </w:pPr>
            <w:r>
              <w:t>560</w:t>
            </w:r>
          </w:p>
        </w:tc>
        <w:tc>
          <w:tcPr>
            <w:tcW w:w="1744" w:type="dxa"/>
            <w:vAlign w:val="center"/>
          </w:tcPr>
          <w:p>
            <w:pPr>
              <w:pStyle w:val="37"/>
            </w:pPr>
            <w:r>
              <w:t>2</w:t>
            </w:r>
            <w:r>
              <w:rPr>
                <w:rFonts w:hint="eastAsia"/>
              </w:rPr>
              <w:t>户约</w:t>
            </w:r>
            <w:r>
              <w:t>8</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Merge w:val="continue"/>
            <w:vAlign w:val="center"/>
          </w:tcPr>
          <w:p>
            <w:pPr>
              <w:pStyle w:val="37"/>
            </w:pPr>
          </w:p>
        </w:tc>
        <w:tc>
          <w:tcPr>
            <w:tcW w:w="1582" w:type="dxa"/>
            <w:vAlign w:val="center"/>
          </w:tcPr>
          <w:p>
            <w:pPr>
              <w:pStyle w:val="37"/>
            </w:pPr>
            <w:r>
              <w:rPr>
                <w:rFonts w:hint="eastAsia"/>
              </w:rPr>
              <w:t>南太村居民</w:t>
            </w:r>
          </w:p>
        </w:tc>
        <w:tc>
          <w:tcPr>
            <w:tcW w:w="566" w:type="dxa"/>
            <w:vAlign w:val="center"/>
          </w:tcPr>
          <w:p>
            <w:pPr>
              <w:pStyle w:val="37"/>
            </w:pPr>
            <w:r>
              <w:t>NW</w:t>
            </w:r>
          </w:p>
        </w:tc>
        <w:tc>
          <w:tcPr>
            <w:tcW w:w="661" w:type="dxa"/>
            <w:vAlign w:val="center"/>
          </w:tcPr>
          <w:p>
            <w:pPr>
              <w:pStyle w:val="37"/>
            </w:pPr>
            <w:r>
              <w:t>1050</w:t>
            </w:r>
          </w:p>
        </w:tc>
        <w:tc>
          <w:tcPr>
            <w:tcW w:w="1744" w:type="dxa"/>
            <w:vAlign w:val="center"/>
          </w:tcPr>
          <w:p>
            <w:pPr>
              <w:pStyle w:val="37"/>
            </w:pPr>
            <w:r>
              <w:t>25</w:t>
            </w:r>
            <w:r>
              <w:rPr>
                <w:rFonts w:hint="eastAsia"/>
              </w:rPr>
              <w:t>户月</w:t>
            </w:r>
            <w:r>
              <w:t>80</w:t>
            </w:r>
            <w:r>
              <w:rPr>
                <w:rFonts w:hint="eastAsia"/>
              </w:rPr>
              <w:t>人</w:t>
            </w:r>
          </w:p>
        </w:tc>
        <w:tc>
          <w:tcPr>
            <w:tcW w:w="280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165" w:type="dxa"/>
            <w:vAlign w:val="center"/>
          </w:tcPr>
          <w:p>
            <w:pPr>
              <w:pStyle w:val="37"/>
              <w:rPr>
                <w:u w:val="single"/>
              </w:rPr>
            </w:pPr>
            <w:r>
              <w:rPr>
                <w:rFonts w:hint="eastAsia"/>
                <w:u w:val="single"/>
              </w:rPr>
              <w:t>地表水环境</w:t>
            </w:r>
          </w:p>
        </w:tc>
        <w:tc>
          <w:tcPr>
            <w:tcW w:w="1582" w:type="dxa"/>
            <w:vAlign w:val="center"/>
          </w:tcPr>
          <w:p>
            <w:pPr>
              <w:pStyle w:val="37"/>
              <w:jc w:val="both"/>
              <w:rPr>
                <w:u w:val="single"/>
              </w:rPr>
            </w:pPr>
            <w:r>
              <w:rPr>
                <w:rFonts w:hint="eastAsia"/>
                <w:u w:val="single"/>
              </w:rPr>
              <w:t>郭家冲水库</w:t>
            </w:r>
          </w:p>
        </w:tc>
        <w:tc>
          <w:tcPr>
            <w:tcW w:w="566" w:type="dxa"/>
            <w:vAlign w:val="center"/>
          </w:tcPr>
          <w:p>
            <w:pPr>
              <w:pStyle w:val="37"/>
              <w:rPr>
                <w:u w:val="single"/>
              </w:rPr>
            </w:pPr>
            <w:r>
              <w:rPr>
                <w:u w:val="single"/>
              </w:rPr>
              <w:t>SW</w:t>
            </w:r>
          </w:p>
        </w:tc>
        <w:tc>
          <w:tcPr>
            <w:tcW w:w="661" w:type="dxa"/>
            <w:vAlign w:val="center"/>
          </w:tcPr>
          <w:p>
            <w:pPr>
              <w:pStyle w:val="37"/>
              <w:rPr>
                <w:u w:val="single"/>
              </w:rPr>
            </w:pPr>
            <w:r>
              <w:rPr>
                <w:u w:val="single"/>
              </w:rPr>
              <w:t>120</w:t>
            </w:r>
          </w:p>
        </w:tc>
        <w:tc>
          <w:tcPr>
            <w:tcW w:w="1744" w:type="dxa"/>
            <w:vAlign w:val="center"/>
          </w:tcPr>
          <w:p>
            <w:pPr>
              <w:pStyle w:val="37"/>
              <w:rPr>
                <w:u w:val="single"/>
              </w:rPr>
            </w:pPr>
            <w:r>
              <w:rPr>
                <w:rFonts w:hint="eastAsia"/>
                <w:u w:val="single"/>
              </w:rPr>
              <w:t>小型水库（农用）</w:t>
            </w:r>
          </w:p>
        </w:tc>
        <w:tc>
          <w:tcPr>
            <w:tcW w:w="2804" w:type="dxa"/>
            <w:vAlign w:val="center"/>
          </w:tcPr>
          <w:p>
            <w:pPr>
              <w:pStyle w:val="37"/>
              <w:rPr>
                <w:u w:val="single"/>
              </w:rPr>
            </w:pPr>
            <w:r>
              <w:rPr>
                <w:rFonts w:hint="eastAsia"/>
                <w:u w:val="single"/>
              </w:rPr>
              <w:t>《地表水环境质量标准》（</w:t>
            </w:r>
            <w:r>
              <w:rPr>
                <w:u w:val="single"/>
              </w:rPr>
              <w:t>GB3838-2002</w:t>
            </w:r>
            <w:r>
              <w:rPr>
                <w:rFonts w:hint="eastAsia"/>
                <w:u w:val="single"/>
              </w:rPr>
              <w:t>）</w:t>
            </w:r>
            <w:r>
              <w:rPr>
                <w:rFonts w:hint="eastAsia" w:ascii="宋体" w:hAnsi="宋体" w:cs="宋体"/>
                <w:u w:val="single"/>
              </w:rPr>
              <w:t>Ⅲ</w:t>
            </w:r>
            <w:r>
              <w:rPr>
                <w:rFonts w:hint="eastAsia"/>
                <w:u w:val="single"/>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165" w:type="dxa"/>
            <w:vAlign w:val="center"/>
          </w:tcPr>
          <w:p>
            <w:pPr>
              <w:pStyle w:val="37"/>
            </w:pPr>
            <w:r>
              <w:rPr>
                <w:rFonts w:hint="eastAsia"/>
              </w:rPr>
              <w:t>地下水环境</w:t>
            </w:r>
          </w:p>
        </w:tc>
        <w:tc>
          <w:tcPr>
            <w:tcW w:w="1582" w:type="dxa"/>
            <w:vAlign w:val="center"/>
          </w:tcPr>
          <w:p>
            <w:pPr>
              <w:pStyle w:val="37"/>
            </w:pPr>
            <w:r>
              <w:rPr>
                <w:rFonts w:hint="eastAsia"/>
              </w:rPr>
              <w:t>以项目场地为中心，面积为20</w:t>
            </w:r>
            <w:r>
              <w:t>km</w:t>
            </w:r>
            <w:r>
              <w:rPr>
                <w:vertAlign w:val="superscript"/>
              </w:rPr>
              <w:t>2</w:t>
            </w:r>
            <w:r>
              <w:rPr>
                <w:rFonts w:hint="eastAsia"/>
              </w:rPr>
              <w:t>的矩形区域内地下含水层及周边居民使用水井</w:t>
            </w:r>
          </w:p>
        </w:tc>
        <w:tc>
          <w:tcPr>
            <w:tcW w:w="566" w:type="dxa"/>
            <w:vAlign w:val="center"/>
          </w:tcPr>
          <w:p>
            <w:pPr>
              <w:pStyle w:val="37"/>
            </w:pPr>
            <w:r>
              <w:t>/</w:t>
            </w:r>
          </w:p>
        </w:tc>
        <w:tc>
          <w:tcPr>
            <w:tcW w:w="661" w:type="dxa"/>
            <w:vAlign w:val="center"/>
          </w:tcPr>
          <w:p>
            <w:pPr>
              <w:pStyle w:val="37"/>
            </w:pPr>
            <w:r>
              <w:t>/</w:t>
            </w:r>
          </w:p>
        </w:tc>
        <w:tc>
          <w:tcPr>
            <w:tcW w:w="1744" w:type="dxa"/>
            <w:vAlign w:val="center"/>
          </w:tcPr>
          <w:p>
            <w:pPr>
              <w:pStyle w:val="37"/>
            </w:pPr>
            <w:r>
              <w:t>/</w:t>
            </w:r>
          </w:p>
        </w:tc>
        <w:tc>
          <w:tcPr>
            <w:tcW w:w="2804" w:type="dxa"/>
            <w:vAlign w:val="center"/>
          </w:tcPr>
          <w:p>
            <w:pPr>
              <w:pStyle w:val="37"/>
            </w:pPr>
            <w:r>
              <w:rPr>
                <w:rFonts w:hint="eastAsia"/>
              </w:rPr>
              <w:t>《地下水质量标准》（</w:t>
            </w:r>
            <w:r>
              <w:t>GB/T14848-93</w:t>
            </w:r>
            <w:r>
              <w:rPr>
                <w:rFonts w:hint="eastAsia"/>
              </w:rPr>
              <w:t>）</w:t>
            </w:r>
            <w:r>
              <w:rPr>
                <w:rFonts w:hint="eastAsia" w:ascii="宋体" w:hAnsi="宋体" w:cs="宋体"/>
              </w:rPr>
              <w:t>Ⅲ</w:t>
            </w:r>
            <w:r>
              <w:rPr>
                <w:rFonts w:hint="eastAsia"/>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1165" w:type="dxa"/>
            <w:vAlign w:val="center"/>
          </w:tcPr>
          <w:p>
            <w:pPr>
              <w:pStyle w:val="37"/>
            </w:pPr>
            <w:r>
              <w:rPr>
                <w:rFonts w:hint="eastAsia"/>
              </w:rPr>
              <w:t>声环境</w:t>
            </w:r>
          </w:p>
        </w:tc>
        <w:tc>
          <w:tcPr>
            <w:tcW w:w="1582" w:type="dxa"/>
            <w:vAlign w:val="center"/>
          </w:tcPr>
          <w:p>
            <w:pPr>
              <w:pStyle w:val="37"/>
            </w:pPr>
            <w:r>
              <w:rPr>
                <w:rFonts w:hint="eastAsia"/>
              </w:rPr>
              <w:t>区域声环境质量</w:t>
            </w:r>
          </w:p>
        </w:tc>
        <w:tc>
          <w:tcPr>
            <w:tcW w:w="566" w:type="dxa"/>
            <w:vAlign w:val="center"/>
          </w:tcPr>
          <w:p>
            <w:pPr>
              <w:pStyle w:val="37"/>
            </w:pPr>
            <w:r>
              <w:t>/</w:t>
            </w:r>
          </w:p>
        </w:tc>
        <w:tc>
          <w:tcPr>
            <w:tcW w:w="661" w:type="dxa"/>
            <w:vAlign w:val="center"/>
          </w:tcPr>
          <w:p>
            <w:pPr>
              <w:pStyle w:val="37"/>
            </w:pPr>
            <w:r>
              <w:t>/</w:t>
            </w:r>
          </w:p>
        </w:tc>
        <w:tc>
          <w:tcPr>
            <w:tcW w:w="1744" w:type="dxa"/>
            <w:vAlign w:val="center"/>
          </w:tcPr>
          <w:p>
            <w:pPr>
              <w:pStyle w:val="37"/>
            </w:pPr>
            <w:r>
              <w:t>/</w:t>
            </w:r>
          </w:p>
        </w:tc>
        <w:tc>
          <w:tcPr>
            <w:tcW w:w="2804" w:type="dxa"/>
            <w:vAlign w:val="center"/>
          </w:tcPr>
          <w:p>
            <w:pPr>
              <w:pStyle w:val="37"/>
            </w:pPr>
            <w:r>
              <w:rPr>
                <w:rFonts w:hint="eastAsia"/>
              </w:rPr>
              <w:t>《声环境质量标准》（</w:t>
            </w:r>
            <w:r>
              <w:t>GB3096-2008</w:t>
            </w:r>
            <w:r>
              <w:rPr>
                <w:rFonts w:hint="eastAsia"/>
              </w:rPr>
              <w:t>）</w:t>
            </w:r>
            <w:r>
              <w:t>2</w:t>
            </w:r>
            <w:r>
              <w:rPr>
                <w:rFonts w:hint="eastAsia"/>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Align w:val="center"/>
          </w:tcPr>
          <w:p>
            <w:pPr>
              <w:pStyle w:val="37"/>
            </w:pPr>
            <w:r>
              <w:rPr>
                <w:rFonts w:hint="eastAsia"/>
              </w:rPr>
              <w:t>生态环境</w:t>
            </w:r>
          </w:p>
        </w:tc>
        <w:tc>
          <w:tcPr>
            <w:tcW w:w="7357" w:type="dxa"/>
            <w:gridSpan w:val="5"/>
            <w:vAlign w:val="center"/>
          </w:tcPr>
          <w:p>
            <w:pPr>
              <w:pStyle w:val="37"/>
            </w:pPr>
            <w:r>
              <w:rPr>
                <w:rFonts w:hint="eastAsia"/>
              </w:rPr>
              <w:t>厂址周围生态环境，评价范围内无生态敏感区、珍稀动植物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165" w:type="dxa"/>
            <w:vAlign w:val="center"/>
          </w:tcPr>
          <w:p>
            <w:pPr>
              <w:pStyle w:val="37"/>
              <w:rPr>
                <w:u w:val="single"/>
              </w:rPr>
            </w:pPr>
            <w:r>
              <w:rPr>
                <w:rFonts w:hint="eastAsia"/>
                <w:u w:val="single"/>
              </w:rPr>
              <w:t>社会环境</w:t>
            </w:r>
          </w:p>
        </w:tc>
        <w:tc>
          <w:tcPr>
            <w:tcW w:w="7357" w:type="dxa"/>
            <w:gridSpan w:val="5"/>
            <w:vAlign w:val="center"/>
          </w:tcPr>
          <w:p>
            <w:pPr>
              <w:pStyle w:val="37"/>
              <w:rPr>
                <w:u w:val="single"/>
              </w:rPr>
            </w:pPr>
            <w:r>
              <w:rPr>
                <w:rFonts w:hint="eastAsia"/>
                <w:u w:val="single"/>
              </w:rPr>
              <w:t>工业固废渣运输道路、G107国道沿线居民（胜利村及零散约89户居民）</w:t>
            </w:r>
          </w:p>
        </w:tc>
      </w:tr>
    </w:tbl>
    <w:p>
      <w:pPr>
        <w:pStyle w:val="14"/>
      </w:pPr>
    </w:p>
    <w:p>
      <w:pPr>
        <w:ind w:firstLine="480"/>
        <w:sectPr>
          <w:pgSz w:w="11906" w:h="16838"/>
          <w:pgMar w:top="1440" w:right="1800" w:bottom="1440" w:left="1800" w:header="851" w:footer="992" w:gutter="0"/>
          <w:paperSrc w:first="15" w:other="15"/>
          <w:cols w:space="720" w:num="1"/>
          <w:docGrid w:type="linesAndChars" w:linePitch="312" w:charSpace="0"/>
        </w:sectPr>
      </w:pPr>
    </w:p>
    <w:p>
      <w:pPr>
        <w:pStyle w:val="14"/>
      </w:pPr>
      <w:r>
        <w:rPr>
          <w:rFonts w:ascii="Times New Roman" w:hAnsi="Times New Roman" w:eastAsia="宋体" w:cs="Times New Roman"/>
          <w:b/>
          <w:kern w:val="2"/>
          <w:sz w:val="21"/>
          <w:szCs w:val="20"/>
          <w:lang w:val="en-US" w:eastAsia="zh-CN" w:bidi="ar-SA"/>
        </w:rPr>
        <w:pict>
          <v:rect id="Rectangle 52" o:spid="_x0000_s1076" style="position:absolute;left:0;margin-left:288.9pt;margin-top:178.5pt;height:27pt;width:24.6pt;rotation:0f;z-index:251670528;" o:ole="f" fillcolor="#FFFFFF" filled="f" o:preferrelative="t" stroked="t" coordsize="21600,21600">
            <v:fill on="f" color2="#FFFFFF" focus="0%"/>
            <v:stroke weight="1.5pt" color="#FF0000" color2="#FFFFFF" miterlimit="2"/>
            <v:imagedata gain="65536f" blacklevel="0f" gamma="0"/>
            <o:lock v:ext="edit" position="f" selection="f" grouping="f" rotation="f" cropping="f" text="f" aspectratio="f"/>
          </v:rect>
        </w:pict>
      </w:r>
      <w:r>
        <w:rPr>
          <w:rFonts w:ascii="Times New Roman" w:hAnsi="Times New Roman" w:eastAsia="宋体" w:cs="Times New Roman"/>
          <w:b/>
          <w:kern w:val="2"/>
          <w:sz w:val="21"/>
          <w:szCs w:val="20"/>
          <w:lang w:val="en-US" w:eastAsia="zh-CN" w:bidi="ar-SA"/>
        </w:rPr>
        <w:pict>
          <v:shape id="图片 1" o:spid="_x0000_s1077" type="#_x0000_t75" style="height:333pt;width:618.7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p>
    <w:p>
      <w:pPr>
        <w:pStyle w:val="14"/>
      </w:pPr>
      <w:r>
        <w:rPr>
          <w:rFonts w:hint="eastAsia"/>
        </w:rPr>
        <w:t>图</w:t>
      </w:r>
      <w:r>
        <w:fldChar w:fldCharType="begin"/>
      </w:r>
      <w:r>
        <w:instrText xml:space="preserve"> STYLEREF 2 \s </w:instrText>
      </w:r>
      <w:r>
        <w:fldChar w:fldCharType="separate"/>
      </w:r>
      <w:r>
        <w:t>1.5</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项目周边环境敏感区分布图</w:t>
      </w:r>
    </w:p>
    <w:p>
      <w:pPr>
        <w:ind w:firstLine="199" w:firstLineChars="83"/>
        <w:sectPr>
          <w:pgSz w:w="16838" w:h="11906" w:orient="landscape"/>
          <w:pgMar w:top="1800" w:right="1440" w:bottom="1800" w:left="1440" w:header="851" w:footer="992" w:gutter="0"/>
          <w:paperSrc w:first="15" w:other="15"/>
          <w:cols w:space="720" w:num="1"/>
          <w:docGrid w:type="linesAndChars" w:linePitch="326" w:charSpace="0"/>
        </w:sectPr>
      </w:pPr>
    </w:p>
    <w:p>
      <w:pPr>
        <w:pStyle w:val="3"/>
      </w:pPr>
      <w:bookmarkStart w:id="44" w:name="_Toc462818409"/>
      <w:r>
        <w:rPr>
          <w:rFonts w:hint="eastAsia"/>
        </w:rPr>
        <w:t>相关规划及环境功能区划</w:t>
      </w:r>
      <w:bookmarkEnd w:id="44"/>
    </w:p>
    <w:p>
      <w:pPr>
        <w:pStyle w:val="4"/>
        <w:tabs>
          <w:tab w:val="left" w:pos="709"/>
        </w:tabs>
        <w:spacing w:line="415" w:lineRule="auto"/>
        <w:ind w:left="709" w:hanging="709"/>
        <w:jc w:val="both"/>
      </w:pPr>
      <w:r>
        <w:rPr>
          <w:rFonts w:hint="eastAsia"/>
        </w:rPr>
        <w:t>环境功能区划</w:t>
      </w:r>
    </w:p>
    <w:p>
      <w:pPr>
        <w:ind w:firstLine="480"/>
      </w:pPr>
      <w:r>
        <w:rPr>
          <w:rFonts w:hint="eastAsia"/>
        </w:rPr>
        <w:t>（</w:t>
      </w:r>
      <w:r>
        <w:t>1</w:t>
      </w:r>
      <w:r>
        <w:rPr>
          <w:rFonts w:hint="eastAsia"/>
        </w:rPr>
        <w:t>）地表水环境功能区划</w:t>
      </w:r>
    </w:p>
    <w:p>
      <w:pPr>
        <w:ind w:firstLine="480"/>
        <w:rPr>
          <w:color w:val="000000"/>
        </w:rPr>
      </w:pPr>
      <w:r>
        <w:rPr>
          <w:rFonts w:hint="eastAsia"/>
        </w:rPr>
        <w:t>根据《湖南省主要水系地表水环境功能区划》</w:t>
      </w:r>
      <w:r>
        <w:t xml:space="preserve">(DB43/023-2005) </w:t>
      </w:r>
      <w:r>
        <w:rPr>
          <w:rFonts w:hint="eastAsia"/>
        </w:rPr>
        <w:t>和《岳阳市水环境功能区管理规定》，</w:t>
      </w:r>
      <w:r>
        <w:rPr>
          <w:rFonts w:hint="eastAsia"/>
          <w:color w:val="000000"/>
        </w:rPr>
        <w:t>郭家冲水库为</w:t>
      </w:r>
      <w:r>
        <w:rPr>
          <w:rFonts w:hint="eastAsia"/>
        </w:rPr>
        <w:t>《地表水环境质量标准》</w:t>
      </w:r>
      <w:r>
        <w:t>(GB3838-2002)</w:t>
      </w:r>
      <w:r>
        <w:rPr>
          <w:rFonts w:hint="eastAsia"/>
        </w:rPr>
        <w:t>中</w:t>
      </w:r>
      <w:r>
        <w:t>III</w:t>
      </w:r>
      <w:r>
        <w:rPr>
          <w:rFonts w:hint="eastAsia"/>
        </w:rPr>
        <w:t>类水体。</w:t>
      </w:r>
    </w:p>
    <w:p>
      <w:pPr>
        <w:ind w:firstLine="480"/>
      </w:pPr>
      <w:r>
        <w:rPr>
          <w:rFonts w:hint="eastAsia"/>
        </w:rPr>
        <w:t>区域地下水主要适用于工、农业水，执行《地下水质量标准》</w:t>
      </w:r>
      <w:r>
        <w:t>(GB/T14848-93)III</w:t>
      </w:r>
      <w:r>
        <w:rPr>
          <w:rFonts w:hint="eastAsia"/>
        </w:rPr>
        <w:t>类。</w:t>
      </w:r>
    </w:p>
    <w:p>
      <w:pPr>
        <w:ind w:firstLine="480"/>
      </w:pPr>
      <w:r>
        <w:rPr>
          <w:rFonts w:hint="eastAsia"/>
        </w:rPr>
        <w:t>（</w:t>
      </w:r>
      <w:r>
        <w:t>2</w:t>
      </w:r>
      <w:r>
        <w:rPr>
          <w:rFonts w:hint="eastAsia"/>
        </w:rPr>
        <w:t>）大气环境功能区划</w:t>
      </w:r>
    </w:p>
    <w:p>
      <w:pPr>
        <w:ind w:firstLine="480"/>
      </w:pPr>
      <w:r>
        <w:rPr>
          <w:rFonts w:hint="eastAsia"/>
        </w:rPr>
        <w:t>本项目位于岳阳市云溪区路口镇牌楼村，根据《环境空气质量标准》（</w:t>
      </w:r>
      <w:r>
        <w:t>GB3095-2012</w:t>
      </w:r>
      <w:r>
        <w:rPr>
          <w:rFonts w:hint="eastAsia"/>
        </w:rPr>
        <w:t>）中环境空气质量功能区分类，属于二类区。</w:t>
      </w:r>
    </w:p>
    <w:p>
      <w:pPr>
        <w:ind w:firstLine="480"/>
      </w:pPr>
      <w:r>
        <w:rPr>
          <w:rFonts w:hint="eastAsia"/>
        </w:rPr>
        <w:t>（</w:t>
      </w:r>
      <w:r>
        <w:t>3</w:t>
      </w:r>
      <w:r>
        <w:rPr>
          <w:rFonts w:hint="eastAsia"/>
        </w:rPr>
        <w:t>）声环境功能区划</w:t>
      </w:r>
    </w:p>
    <w:p>
      <w:pPr>
        <w:ind w:firstLine="480"/>
        <w:sectPr>
          <w:pgSz w:w="11906" w:h="16838"/>
          <w:pgMar w:top="1440" w:right="1800" w:bottom="1440" w:left="1800" w:header="851" w:footer="992" w:gutter="0"/>
          <w:paperSrc w:first="15" w:other="15"/>
          <w:cols w:space="720" w:num="1"/>
          <w:docGrid w:type="linesAndChars" w:linePitch="312" w:charSpace="0"/>
        </w:sectPr>
      </w:pPr>
      <w:r>
        <w:rPr>
          <w:rFonts w:hint="eastAsia"/>
        </w:rPr>
        <w:t>本项目所在地区位于农村地区，根据《声环境质量标准》（</w:t>
      </w:r>
      <w:r>
        <w:t>GB3096-2008</w:t>
      </w:r>
      <w:r>
        <w:rPr>
          <w:rFonts w:hint="eastAsia"/>
        </w:rPr>
        <w:t>）声功能区分类，属</w:t>
      </w:r>
      <w:r>
        <w:t>2</w:t>
      </w:r>
      <w:r>
        <w:rPr>
          <w:rFonts w:hint="eastAsia"/>
        </w:rPr>
        <w:t>类区。</w:t>
      </w:r>
    </w:p>
    <w:p>
      <w:pPr>
        <w:pStyle w:val="2"/>
      </w:pPr>
      <w:bookmarkStart w:id="45" w:name="_Toc462818410"/>
      <w:r>
        <w:rPr>
          <w:rFonts w:hint="eastAsia"/>
        </w:rPr>
        <w:t>项目概况与工程分析</w:t>
      </w:r>
      <w:bookmarkEnd w:id="45"/>
    </w:p>
    <w:p>
      <w:pPr>
        <w:pStyle w:val="3"/>
      </w:pPr>
      <w:bookmarkStart w:id="46" w:name="_Toc462818411"/>
      <w:r>
        <w:rPr>
          <w:rFonts w:hint="eastAsia"/>
        </w:rPr>
        <w:t>工程概况</w:t>
      </w:r>
      <w:bookmarkEnd w:id="46"/>
    </w:p>
    <w:p>
      <w:pPr>
        <w:pStyle w:val="4"/>
      </w:pPr>
      <w:r>
        <w:rPr>
          <w:rFonts w:hint="eastAsia"/>
        </w:rPr>
        <w:t>工程基本情况</w:t>
      </w:r>
    </w:p>
    <w:p>
      <w:pPr>
        <w:ind w:firstLine="480"/>
      </w:pPr>
      <w:r>
        <w:rPr>
          <w:rFonts w:hint="eastAsia"/>
          <w:u w:val="single"/>
        </w:rPr>
        <w:t>（</w:t>
      </w:r>
      <w:r>
        <w:rPr>
          <w:u w:val="single"/>
        </w:rPr>
        <w:t>1</w:t>
      </w:r>
      <w:r>
        <w:rPr>
          <w:rFonts w:hint="eastAsia"/>
          <w:u w:val="single"/>
        </w:rPr>
        <w:t>）项目名称：云溪河下游沿岸工业历史遗留固废渣处置项目（变更）</w:t>
      </w:r>
      <w:r>
        <w:rPr>
          <w:rFonts w:hint="eastAsia"/>
        </w:rPr>
        <w:t>；</w:t>
      </w:r>
    </w:p>
    <w:p>
      <w:pPr>
        <w:ind w:firstLine="480"/>
      </w:pPr>
      <w:r>
        <w:rPr>
          <w:rFonts w:hint="eastAsia"/>
        </w:rPr>
        <w:t>（</w:t>
      </w:r>
      <w:r>
        <w:t>2</w:t>
      </w:r>
      <w:r>
        <w:rPr>
          <w:rFonts w:hint="eastAsia"/>
        </w:rPr>
        <w:t>）建设单位：岳阳市云溪区城市建设投资有限责任公司；</w:t>
      </w:r>
    </w:p>
    <w:p>
      <w:pPr>
        <w:ind w:firstLine="480"/>
      </w:pPr>
      <w:r>
        <w:rPr>
          <w:rFonts w:hint="eastAsia"/>
        </w:rPr>
        <w:t>（</w:t>
      </w:r>
      <w:r>
        <w:t>3</w:t>
      </w:r>
      <w:r>
        <w:rPr>
          <w:rFonts w:hint="eastAsia"/>
        </w:rPr>
        <w:t>）建设性质：新建；行业类别：</w:t>
      </w:r>
      <w:r>
        <w:t xml:space="preserve">N7723  </w:t>
      </w:r>
      <w:r>
        <w:rPr>
          <w:rFonts w:hint="eastAsia"/>
        </w:rPr>
        <w:t>固体废物治理</w:t>
      </w:r>
    </w:p>
    <w:p>
      <w:pPr>
        <w:ind w:firstLine="480"/>
      </w:pPr>
      <w:r>
        <w:rPr>
          <w:rFonts w:hint="eastAsia"/>
        </w:rPr>
        <w:t>（</w:t>
      </w:r>
      <w:r>
        <w:t>4</w:t>
      </w:r>
      <w:r>
        <w:rPr>
          <w:rFonts w:hint="eastAsia"/>
        </w:rPr>
        <w:t>）建设规模：在云溪区路口镇牌楼村九房组采石场废弃矿坑建设一座一般工业固体废物的处置场（简称</w:t>
      </w:r>
      <w:r>
        <w:rPr>
          <w:rFonts w:hint="eastAsia" w:ascii="宋体" w:hAnsi="宋体" w:cs="宋体"/>
        </w:rPr>
        <w:t>Ⅱ</w:t>
      </w:r>
      <w:r>
        <w:rPr>
          <w:rFonts w:hint="eastAsia"/>
        </w:rPr>
        <w:t>类场，设计总库容</w:t>
      </w:r>
      <w:r>
        <w:t>11.5</w:t>
      </w:r>
      <w:r>
        <w:rPr>
          <w:rFonts w:hint="eastAsia"/>
        </w:rPr>
        <w:t>万</w:t>
      </w:r>
      <w:r>
        <w:t>m</w:t>
      </w:r>
      <w:r>
        <w:rPr>
          <w:vertAlign w:val="superscript"/>
        </w:rPr>
        <w:t>3</w:t>
      </w:r>
      <w:r>
        <w:rPr>
          <w:rFonts w:hint="eastAsia"/>
        </w:rPr>
        <w:t>），以及对10.63万</w:t>
      </w:r>
      <w:r>
        <w:t xml:space="preserve"> m</w:t>
      </w:r>
      <w:r>
        <w:rPr>
          <w:vertAlign w:val="superscript"/>
        </w:rPr>
        <w:t>3</w:t>
      </w:r>
      <w:r>
        <w:rPr>
          <w:rFonts w:hint="eastAsia"/>
        </w:rPr>
        <w:t>历史遗留废渣勘测</w:t>
      </w:r>
      <w:r>
        <w:rPr>
          <w:rFonts w:hint="eastAsia"/>
          <w:szCs w:val="24"/>
        </w:rPr>
        <w:t>挖运、</w:t>
      </w:r>
      <w:r>
        <w:rPr>
          <w:rFonts w:hint="eastAsia"/>
        </w:rPr>
        <w:t>处置场进行封场、覆土还绿生态恢复等工程。</w:t>
      </w:r>
    </w:p>
    <w:p>
      <w:pPr>
        <w:ind w:firstLine="480"/>
      </w:pPr>
      <w:r>
        <w:rPr>
          <w:rFonts w:hint="eastAsia"/>
        </w:rPr>
        <w:t>（</w:t>
      </w:r>
      <w:r>
        <w:t>5</w:t>
      </w:r>
      <w:r>
        <w:rPr>
          <w:rFonts w:hint="eastAsia"/>
        </w:rPr>
        <w:t>）工程投资：总投资</w:t>
      </w:r>
      <w:r>
        <w:t>2294.56</w:t>
      </w:r>
      <w:r>
        <w:rPr>
          <w:rFonts w:hint="eastAsia"/>
        </w:rPr>
        <w:t>万元，其中自筹</w:t>
      </w:r>
      <w:r>
        <w:t>1294.56</w:t>
      </w:r>
      <w:r>
        <w:rPr>
          <w:rFonts w:hint="eastAsia"/>
        </w:rPr>
        <w:t>万元，环保专项资金</w:t>
      </w:r>
      <w:r>
        <w:t>1000</w:t>
      </w:r>
      <w:r>
        <w:rPr>
          <w:rFonts w:hint="eastAsia"/>
        </w:rPr>
        <w:t>万元；</w:t>
      </w:r>
    </w:p>
    <w:p>
      <w:pPr>
        <w:ind w:firstLine="480"/>
      </w:pPr>
      <w:r>
        <w:rPr>
          <w:rFonts w:hint="eastAsia"/>
        </w:rPr>
        <w:t>（</w:t>
      </w:r>
      <w:r>
        <w:t>6</w:t>
      </w:r>
      <w:r>
        <w:rPr>
          <w:rFonts w:hint="eastAsia"/>
        </w:rPr>
        <w:t>）建设进度：本工程建设周期为</w:t>
      </w:r>
      <w:r>
        <w:t>7</w:t>
      </w:r>
      <w:r>
        <w:rPr>
          <w:rFonts w:hint="eastAsia"/>
        </w:rPr>
        <w:t>个月；</w:t>
      </w:r>
      <w:r>
        <w:t>2016</w:t>
      </w:r>
      <w:r>
        <w:rPr>
          <w:rFonts w:hint="eastAsia"/>
        </w:rPr>
        <w:t>年</w:t>
      </w:r>
      <w:r>
        <w:t>8</w:t>
      </w:r>
      <w:r>
        <w:rPr>
          <w:rFonts w:hint="eastAsia"/>
        </w:rPr>
        <w:t>月至</w:t>
      </w:r>
      <w:r>
        <w:t>2017</w:t>
      </w:r>
      <w:r>
        <w:rPr>
          <w:rFonts w:hint="eastAsia"/>
        </w:rPr>
        <w:t>年</w:t>
      </w:r>
      <w:r>
        <w:t>2</w:t>
      </w:r>
      <w:r>
        <w:rPr>
          <w:rFonts w:hint="eastAsia"/>
        </w:rPr>
        <w:t>月。</w:t>
      </w:r>
    </w:p>
    <w:p>
      <w:pPr>
        <w:ind w:firstLine="480"/>
      </w:pPr>
      <w:r>
        <w:rPr>
          <w:rFonts w:hint="eastAsia"/>
        </w:rPr>
        <w:t>（</w:t>
      </w:r>
      <w:r>
        <w:t>7</w:t>
      </w:r>
      <w:r>
        <w:rPr>
          <w:rFonts w:hint="eastAsia"/>
        </w:rPr>
        <w:t>）地理位置及选址情况：云溪河沿岸废渣集中浅埋、堆置于云溪河岸东风嘴处、老虎嘴处、抓埠市处、老水井处、胜利矶处</w:t>
      </w:r>
      <w:r>
        <w:t>5</w:t>
      </w:r>
      <w:r>
        <w:rPr>
          <w:rFonts w:hint="eastAsia"/>
        </w:rPr>
        <w:t>片区域，项目处置场位于湖南省岳阳市云溪区路口镇牌楼村九房组采石场废弃矿坑，根据实际测量，该矿坑上口长</w:t>
      </w:r>
      <w:r>
        <w:t>125m</w:t>
      </w:r>
      <w:r>
        <w:rPr>
          <w:rFonts w:hint="eastAsia"/>
        </w:rPr>
        <w:t>、宽</w:t>
      </w:r>
      <w:r>
        <w:t>110m</w:t>
      </w:r>
      <w:r>
        <w:rPr>
          <w:rFonts w:hint="eastAsia"/>
        </w:rPr>
        <w:t>，深约</w:t>
      </w:r>
      <w:r>
        <w:t>14m</w:t>
      </w:r>
      <w:r>
        <w:rPr>
          <w:rFonts w:hint="eastAsia"/>
        </w:rPr>
        <w:t>、底部面积</w:t>
      </w:r>
      <w:r>
        <w:t>6000m</w:t>
      </w:r>
      <w:r>
        <w:rPr>
          <w:vertAlign w:val="superscript"/>
        </w:rPr>
        <w:t>2</w:t>
      </w:r>
      <w:r>
        <w:rPr>
          <w:rFonts w:hint="eastAsia"/>
        </w:rPr>
        <w:t>，估算总容量</w:t>
      </w:r>
      <w:r>
        <w:t>11.5</w:t>
      </w:r>
      <w:r>
        <w:rPr>
          <w:rFonts w:hint="eastAsia"/>
        </w:rPr>
        <w:t>万</w:t>
      </w:r>
      <w:r>
        <w:t>m</w:t>
      </w:r>
      <w:r>
        <w:rPr>
          <w:vertAlign w:val="superscript"/>
        </w:rPr>
        <w:t>3</w:t>
      </w:r>
      <w:r>
        <w:rPr>
          <w:rFonts w:hint="eastAsia"/>
        </w:rPr>
        <w:t>，满足废渣填埋。</w:t>
      </w:r>
    </w:p>
    <w:p>
      <w:pPr>
        <w:ind w:firstLine="480"/>
      </w:pPr>
      <w:r>
        <w:rPr>
          <w:rFonts w:hint="eastAsia"/>
        </w:rPr>
        <w:t>本项目地理位置见附图</w:t>
      </w:r>
      <w:r>
        <w:t>1</w:t>
      </w:r>
      <w:r>
        <w:rPr>
          <w:rFonts w:hint="eastAsia"/>
        </w:rPr>
        <w:t>。</w:t>
      </w:r>
    </w:p>
    <w:p>
      <w:pPr>
        <w:pStyle w:val="3"/>
      </w:pPr>
      <w:bookmarkStart w:id="47" w:name="_Toc462818412"/>
      <w:r>
        <w:rPr>
          <w:rFonts w:hint="eastAsia"/>
        </w:rPr>
        <w:t>工程组成</w:t>
      </w:r>
      <w:bookmarkEnd w:id="47"/>
    </w:p>
    <w:p>
      <w:pPr>
        <w:ind w:firstLine="480"/>
      </w:pPr>
      <w:r>
        <w:rPr>
          <w:rFonts w:hAnsi="宋体" w:eastAsia="宋体"/>
          <w:szCs w:val="24"/>
          <w:u w:val="single"/>
        </w:rPr>
        <w:t>本项目严格按照《一般工业固体废物贮存、处置污染物控制标准》（</w:t>
      </w:r>
      <w:r>
        <w:rPr>
          <w:rFonts w:eastAsia="宋体"/>
          <w:szCs w:val="24"/>
          <w:u w:val="single"/>
        </w:rPr>
        <w:t>GB18599-2001</w:t>
      </w:r>
      <w:r>
        <w:rPr>
          <w:rFonts w:hAnsi="宋体" w:eastAsia="宋体"/>
          <w:szCs w:val="24"/>
          <w:u w:val="single"/>
        </w:rPr>
        <w:t>）Ⅱ类场相关要求设计</w:t>
      </w:r>
      <w:r>
        <w:rPr>
          <w:rFonts w:hint="eastAsia" w:ascii="Calibri" w:hAnsi="Calibri"/>
          <w:szCs w:val="24"/>
        </w:rPr>
        <w:t>，</w:t>
      </w:r>
      <w:r>
        <w:rPr>
          <w:rFonts w:hint="eastAsia"/>
        </w:rPr>
        <w:t>本项目工程组成见</w:t>
      </w:r>
      <w:r>
        <w:fldChar w:fldCharType="begin"/>
      </w:r>
      <w:r>
        <w:instrText xml:space="preserve"> REF _Ref460511524 \h </w:instrText>
      </w:r>
      <w:r>
        <w:fldChar w:fldCharType="separate"/>
      </w:r>
      <w:r>
        <w:rPr>
          <w:rFonts w:hint="eastAsia"/>
        </w:rPr>
        <w:t>表</w:t>
      </w:r>
      <w:r>
        <w:t>2.2</w:t>
      </w:r>
      <w:r>
        <w:noBreakHyphen/>
      </w:r>
      <w:r>
        <w:t>1</w:t>
      </w:r>
      <w:r>
        <w:fldChar w:fldCharType="end"/>
      </w:r>
      <w:r>
        <w:rPr>
          <w:rFonts w:hint="eastAsia"/>
        </w:rPr>
        <w:t>。</w:t>
      </w:r>
    </w:p>
    <w:p>
      <w:pPr>
        <w:pStyle w:val="14"/>
        <w:keepNext/>
      </w:pPr>
      <w:bookmarkStart w:id="48" w:name="_Ref460511524"/>
      <w:r>
        <w:rPr>
          <w:rFonts w:hint="eastAsia"/>
        </w:rPr>
        <w:t>表</w:t>
      </w:r>
      <w:r>
        <w:fldChar w:fldCharType="begin"/>
      </w:r>
      <w:r>
        <w:instrText xml:space="preserve"> STYLEREF 2 \s </w:instrText>
      </w:r>
      <w:r>
        <w:fldChar w:fldCharType="separate"/>
      </w:r>
      <w:r>
        <w:t>2.2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48"/>
      <w:r>
        <w:rPr>
          <w:rFonts w:hint="eastAsia"/>
        </w:rPr>
        <w:t>工程组成内容一览表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2"/>
        <w:gridCol w:w="1957"/>
        <w:gridCol w:w="5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2" w:hRule="atLeast"/>
        </w:trPr>
        <w:tc>
          <w:tcPr>
            <w:tcW w:w="1412" w:type="dxa"/>
            <w:vAlign w:val="center"/>
          </w:tcPr>
          <w:p>
            <w:pPr>
              <w:pStyle w:val="37"/>
            </w:pPr>
            <w:r>
              <w:rPr>
                <w:rFonts w:hint="eastAsia"/>
              </w:rPr>
              <w:t>工程类别</w:t>
            </w:r>
          </w:p>
        </w:tc>
        <w:tc>
          <w:tcPr>
            <w:tcW w:w="1957" w:type="dxa"/>
            <w:vAlign w:val="center"/>
          </w:tcPr>
          <w:p>
            <w:pPr>
              <w:pStyle w:val="37"/>
            </w:pPr>
            <w:r>
              <w:rPr>
                <w:rFonts w:hint="eastAsia"/>
              </w:rPr>
              <w:t>工程名称</w:t>
            </w:r>
          </w:p>
        </w:tc>
        <w:tc>
          <w:tcPr>
            <w:tcW w:w="5777" w:type="dxa"/>
            <w:vAlign w:val="center"/>
          </w:tcPr>
          <w:p>
            <w:pPr>
              <w:pStyle w:val="37"/>
            </w:pPr>
            <w:r>
              <w:rPr>
                <w:rFonts w:hint="eastAsia"/>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8" w:hRule="atLeast"/>
        </w:trPr>
        <w:tc>
          <w:tcPr>
            <w:tcW w:w="1412" w:type="dxa"/>
            <w:vAlign w:val="center"/>
          </w:tcPr>
          <w:p>
            <w:pPr>
              <w:pStyle w:val="37"/>
            </w:pPr>
            <w:r>
              <w:rPr>
                <w:rFonts w:hint="eastAsia"/>
              </w:rPr>
              <w:t>主体工程</w:t>
            </w:r>
          </w:p>
        </w:tc>
        <w:tc>
          <w:tcPr>
            <w:tcW w:w="1957" w:type="dxa"/>
            <w:vAlign w:val="center"/>
          </w:tcPr>
          <w:p>
            <w:pPr>
              <w:pStyle w:val="37"/>
            </w:pPr>
            <w:r>
              <w:rPr>
                <w:rFonts w:hint="eastAsia"/>
              </w:rPr>
              <w:t>固体废物处置场</w:t>
            </w:r>
          </w:p>
        </w:tc>
        <w:tc>
          <w:tcPr>
            <w:tcW w:w="5777" w:type="dxa"/>
            <w:vAlign w:val="center"/>
          </w:tcPr>
          <w:p>
            <w:pPr>
              <w:pStyle w:val="37"/>
            </w:pPr>
            <w:r>
              <w:rPr>
                <w:rFonts w:hint="eastAsia"/>
              </w:rPr>
              <w:t>包括土地平整、边坡及库区防渗工程、地表、地下水集排系统、渗滤液收集系统工程、</w:t>
            </w:r>
            <w:r>
              <w:t>2</w:t>
            </w:r>
            <w:r>
              <w:rPr>
                <w:rFonts w:hint="eastAsia"/>
              </w:rPr>
              <w:t>处拦渣坝、表层封场防渗工程。渗滤液收集池，长</w:t>
            </w:r>
            <w:r>
              <w:t>6m</w:t>
            </w:r>
            <w:r>
              <w:rPr>
                <w:rFonts w:hint="eastAsia"/>
              </w:rPr>
              <w:t>，宽</w:t>
            </w:r>
            <w:r>
              <w:t>5m</w:t>
            </w:r>
            <w:r>
              <w:rPr>
                <w:rFonts w:hint="eastAsia"/>
              </w:rPr>
              <w:t>，高</w:t>
            </w:r>
            <w:r>
              <w:t>3m</w:t>
            </w:r>
            <w:r>
              <w:rPr>
                <w:rFonts w:hint="eastAsia"/>
              </w:rPr>
              <w:t>，总容量</w:t>
            </w:r>
            <w:r>
              <w:t>90m</w:t>
            </w:r>
            <w:r>
              <w:rPr>
                <w:vertAlign w:val="superscript"/>
              </w:rPr>
              <w:t>3</w:t>
            </w:r>
            <w:r>
              <w:rPr>
                <w:rFonts w:hint="eastAsia"/>
              </w:rPr>
              <w:t>。有效库容</w:t>
            </w:r>
            <w:r>
              <w:t>11.5</w:t>
            </w:r>
            <w:r>
              <w:rPr>
                <w:rFonts w:hint="eastAsia"/>
              </w:rPr>
              <w:t>万</w:t>
            </w:r>
            <w:r>
              <w:t>m</w:t>
            </w:r>
            <w:r>
              <w:rPr>
                <w:vertAlign w:val="superscript"/>
              </w:rPr>
              <w:t>3</w:t>
            </w:r>
            <w:r>
              <w:rPr>
                <w:rFonts w:hint="eastAsia"/>
              </w:rPr>
              <w:t>，处置</w:t>
            </w:r>
            <w:r>
              <w:t>10.63</w:t>
            </w:r>
            <w:r>
              <w:rPr>
                <w:rFonts w:hint="eastAsia"/>
              </w:rPr>
              <w:t>万</w:t>
            </w:r>
            <w:r>
              <w:t>m</w:t>
            </w:r>
            <w:r>
              <w:rPr>
                <w:vertAlign w:val="superscript"/>
              </w:rPr>
              <w:t>3</w:t>
            </w:r>
            <w:r>
              <w:rPr>
                <w:rFonts w:hint="eastAsia"/>
              </w:rPr>
              <w:t>一般工业固废，不接收其他固废。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2" w:hRule="atLeast"/>
        </w:trPr>
        <w:tc>
          <w:tcPr>
            <w:tcW w:w="1412" w:type="dxa"/>
            <w:vAlign w:val="center"/>
          </w:tcPr>
          <w:p>
            <w:pPr>
              <w:pStyle w:val="37"/>
            </w:pPr>
            <w:r>
              <w:rPr>
                <w:rFonts w:hint="eastAsia"/>
              </w:rPr>
              <w:t>辅助工程</w:t>
            </w:r>
          </w:p>
        </w:tc>
        <w:tc>
          <w:tcPr>
            <w:tcW w:w="1957" w:type="dxa"/>
            <w:vAlign w:val="center"/>
          </w:tcPr>
          <w:p>
            <w:pPr>
              <w:pStyle w:val="37"/>
            </w:pPr>
            <w:r>
              <w:rPr>
                <w:rFonts w:hint="eastAsia"/>
              </w:rPr>
              <w:t>截排水沟</w:t>
            </w:r>
          </w:p>
        </w:tc>
        <w:tc>
          <w:tcPr>
            <w:tcW w:w="5777" w:type="dxa"/>
            <w:vAlign w:val="center"/>
          </w:tcPr>
          <w:p>
            <w:pPr>
              <w:pStyle w:val="37"/>
              <w:jc w:val="both"/>
              <w:rPr>
                <w:highlight w:val="yellow"/>
              </w:rPr>
            </w:pPr>
            <w:r>
              <w:rPr>
                <w:rFonts w:hint="eastAsia"/>
              </w:rPr>
              <w:t>新建截洪沟</w:t>
            </w:r>
            <w:r>
              <w:t>519m</w:t>
            </w:r>
            <w:r>
              <w:rPr>
                <w:rFonts w:hint="eastAsia"/>
              </w:rPr>
              <w:t>，填埋场平台排水沟</w:t>
            </w:r>
            <w:r>
              <w:t>372m</w:t>
            </w:r>
            <w:r>
              <w:rPr>
                <w:rFonts w:hint="eastAsia"/>
              </w:rPr>
              <w:t>，</w:t>
            </w:r>
            <w:r>
              <w:t>1#</w:t>
            </w:r>
            <w:r>
              <w:rPr>
                <w:rFonts w:hint="eastAsia"/>
              </w:rPr>
              <w:t>拦渣中间平台排水沟</w:t>
            </w:r>
            <w:r>
              <w:t>35m</w:t>
            </w:r>
            <w:r>
              <w:rPr>
                <w:rFonts w:hint="eastAsia"/>
              </w:rPr>
              <w:t>，截洪沟出口处</w:t>
            </w:r>
            <w:r>
              <w:t>42m</w:t>
            </w:r>
            <w:r>
              <w:rPr>
                <w:rFonts w:hint="eastAsia"/>
              </w:rPr>
              <w:t>长挡墙。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trPr>
        <w:tc>
          <w:tcPr>
            <w:tcW w:w="1412" w:type="dxa"/>
            <w:vMerge w:val="restart"/>
            <w:vAlign w:val="center"/>
          </w:tcPr>
          <w:p>
            <w:pPr>
              <w:pStyle w:val="37"/>
            </w:pPr>
            <w:r>
              <w:rPr>
                <w:rFonts w:hint="eastAsia"/>
              </w:rPr>
              <w:t>公用工程</w:t>
            </w:r>
          </w:p>
        </w:tc>
        <w:tc>
          <w:tcPr>
            <w:tcW w:w="1957" w:type="dxa"/>
            <w:vAlign w:val="center"/>
          </w:tcPr>
          <w:p>
            <w:pPr>
              <w:pStyle w:val="37"/>
            </w:pPr>
            <w:r>
              <w:rPr>
                <w:rFonts w:hint="eastAsia"/>
              </w:rPr>
              <w:t>给排水</w:t>
            </w:r>
          </w:p>
        </w:tc>
        <w:tc>
          <w:tcPr>
            <w:tcW w:w="5777" w:type="dxa"/>
            <w:vAlign w:val="center"/>
          </w:tcPr>
          <w:p>
            <w:pPr>
              <w:pStyle w:val="37"/>
            </w:pPr>
            <w:r>
              <w:rPr>
                <w:rFonts w:hint="eastAsia"/>
              </w:rPr>
              <w:t>项目用水直接由原采石场供给；处置场渗滤液汇入渗滤液收集池，统一外运至具有处理重金属能力的单位处理。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0" w:hRule="atLeast"/>
        </w:trPr>
        <w:tc>
          <w:tcPr>
            <w:tcW w:w="1412" w:type="dxa"/>
            <w:vMerge w:val="continue"/>
            <w:vAlign w:val="center"/>
          </w:tcPr>
          <w:p>
            <w:pPr>
              <w:pStyle w:val="37"/>
            </w:pPr>
          </w:p>
        </w:tc>
        <w:tc>
          <w:tcPr>
            <w:tcW w:w="1957" w:type="dxa"/>
            <w:vAlign w:val="center"/>
          </w:tcPr>
          <w:p>
            <w:pPr>
              <w:pStyle w:val="37"/>
            </w:pPr>
            <w:r>
              <w:rPr>
                <w:rFonts w:hint="eastAsia"/>
              </w:rPr>
              <w:t>供电</w:t>
            </w:r>
          </w:p>
        </w:tc>
        <w:tc>
          <w:tcPr>
            <w:tcW w:w="5777" w:type="dxa"/>
            <w:vAlign w:val="center"/>
          </w:tcPr>
          <w:p>
            <w:pPr>
              <w:pStyle w:val="37"/>
            </w:pPr>
            <w:r>
              <w:rPr>
                <w:rFonts w:hint="eastAsia"/>
              </w:rPr>
              <w:t>电源由原采石场供电线路引入场区低压配电系统。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7" w:hRule="atLeast"/>
        </w:trPr>
        <w:tc>
          <w:tcPr>
            <w:tcW w:w="1412" w:type="dxa"/>
            <w:vAlign w:val="center"/>
          </w:tcPr>
          <w:p>
            <w:pPr>
              <w:pStyle w:val="37"/>
            </w:pPr>
            <w:r>
              <w:rPr>
                <w:rFonts w:hint="eastAsia"/>
              </w:rPr>
              <w:t>运输工程</w:t>
            </w:r>
          </w:p>
        </w:tc>
        <w:tc>
          <w:tcPr>
            <w:tcW w:w="1957" w:type="dxa"/>
            <w:vAlign w:val="center"/>
          </w:tcPr>
          <w:p>
            <w:pPr>
              <w:pStyle w:val="37"/>
            </w:pPr>
            <w:r>
              <w:rPr>
                <w:rFonts w:hint="eastAsia"/>
              </w:rPr>
              <w:t>包括进场道路和处置场作业道路</w:t>
            </w:r>
          </w:p>
        </w:tc>
        <w:tc>
          <w:tcPr>
            <w:tcW w:w="5777" w:type="dxa"/>
            <w:vAlign w:val="center"/>
          </w:tcPr>
          <w:p>
            <w:pPr>
              <w:pStyle w:val="37"/>
            </w:pPr>
            <w:r>
              <w:rPr>
                <w:rFonts w:hint="eastAsia"/>
              </w:rPr>
              <w:t>长</w:t>
            </w:r>
            <w:r>
              <w:t>1415m</w:t>
            </w:r>
            <w:r>
              <w:rPr>
                <w:rFonts w:hint="eastAsia"/>
              </w:rPr>
              <w:t>，宽</w:t>
            </w:r>
            <w:r>
              <w:t>4.5m</w:t>
            </w:r>
            <w:r>
              <w:rPr>
                <w:rFonts w:hint="eastAsia"/>
              </w:rPr>
              <w:t>（采石场原有道路）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trPr>
        <w:tc>
          <w:tcPr>
            <w:tcW w:w="1412" w:type="dxa"/>
            <w:vMerge w:val="restart"/>
            <w:vAlign w:val="center"/>
          </w:tcPr>
          <w:p>
            <w:pPr>
              <w:pStyle w:val="37"/>
            </w:pPr>
            <w:r>
              <w:rPr>
                <w:rFonts w:hint="eastAsia"/>
              </w:rPr>
              <w:t>环保工程</w:t>
            </w:r>
          </w:p>
        </w:tc>
        <w:tc>
          <w:tcPr>
            <w:tcW w:w="1957" w:type="dxa"/>
            <w:vAlign w:val="center"/>
          </w:tcPr>
          <w:p>
            <w:pPr>
              <w:pStyle w:val="37"/>
              <w:rPr>
                <w:bCs/>
              </w:rPr>
            </w:pPr>
            <w:r>
              <w:rPr>
                <w:rFonts w:hint="eastAsia"/>
              </w:rPr>
              <w:t>场内底部防渗工程（</w:t>
            </w:r>
            <w:r>
              <w:t>4600m</w:t>
            </w:r>
            <w:r>
              <w:rPr>
                <w:vertAlign w:val="superscript"/>
              </w:rPr>
              <w:t>2</w:t>
            </w:r>
            <w:r>
              <w:rPr>
                <w:rFonts w:hint="eastAsia"/>
              </w:rPr>
              <w:t>）</w:t>
            </w:r>
          </w:p>
        </w:tc>
        <w:tc>
          <w:tcPr>
            <w:tcW w:w="5777" w:type="dxa"/>
            <w:vAlign w:val="center"/>
          </w:tcPr>
          <w:p>
            <w:pPr>
              <w:pStyle w:val="37"/>
            </w:pPr>
            <w:r>
              <w:rPr>
                <w:rFonts w:hint="eastAsia"/>
              </w:rPr>
              <w:t>由上向下依次为：</w:t>
            </w:r>
            <w:r>
              <w:t>200g/m</w:t>
            </w:r>
            <w:r>
              <w:rPr>
                <w:vertAlign w:val="superscript"/>
              </w:rPr>
              <w:t>2</w:t>
            </w:r>
            <w:r>
              <w:rPr>
                <w:rFonts w:hint="eastAsia"/>
              </w:rPr>
              <w:t>无纺布保护层；</w:t>
            </w:r>
            <w:r>
              <w:t>500mm</w:t>
            </w:r>
            <w:r>
              <w:rPr>
                <w:rFonts w:hint="eastAsia"/>
              </w:rPr>
              <w:t>卵石渗滤液收集排水层；</w:t>
            </w:r>
            <w:r>
              <w:t>600g/m</w:t>
            </w:r>
            <w:r>
              <w:rPr>
                <w:vertAlign w:val="superscript"/>
              </w:rPr>
              <w:t>2</w:t>
            </w:r>
            <w:r>
              <w:rPr>
                <w:rFonts w:hint="eastAsia"/>
              </w:rPr>
              <w:t>无纺布保护层；</w:t>
            </w:r>
            <w:r>
              <w:t>2.0mm HDPE</w:t>
            </w:r>
            <w:r>
              <w:rPr>
                <w:rFonts w:hint="eastAsia"/>
              </w:rPr>
              <w:t>防渗膜；</w:t>
            </w:r>
            <w:r>
              <w:t>600g/m</w:t>
            </w:r>
            <w:r>
              <w:rPr>
                <w:vertAlign w:val="superscript"/>
              </w:rPr>
              <w:t>2</w:t>
            </w:r>
            <w:r>
              <w:rPr>
                <w:rFonts w:hint="eastAsia"/>
              </w:rPr>
              <w:t>无纺布保护层；</w:t>
            </w:r>
            <w:r>
              <w:t>300mm</w:t>
            </w:r>
            <w:r>
              <w:rPr>
                <w:rFonts w:hint="eastAsia"/>
              </w:rPr>
              <w:t>厚粘土层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trPr>
        <w:tc>
          <w:tcPr>
            <w:tcW w:w="1412" w:type="dxa"/>
            <w:vMerge w:val="continue"/>
            <w:vAlign w:val="center"/>
          </w:tcPr>
          <w:p>
            <w:pPr>
              <w:pStyle w:val="37"/>
            </w:pPr>
          </w:p>
        </w:tc>
        <w:tc>
          <w:tcPr>
            <w:tcW w:w="1957" w:type="dxa"/>
            <w:vAlign w:val="center"/>
          </w:tcPr>
          <w:p>
            <w:pPr>
              <w:pStyle w:val="37"/>
            </w:pPr>
            <w:r>
              <w:rPr>
                <w:rFonts w:hint="eastAsia"/>
              </w:rPr>
              <w:t>边坡防渗（</w:t>
            </w:r>
            <w:r>
              <w:t>9600 m</w:t>
            </w:r>
            <w:r>
              <w:rPr>
                <w:vertAlign w:val="superscript"/>
              </w:rPr>
              <w:t>2</w:t>
            </w:r>
            <w:r>
              <w:rPr>
                <w:rFonts w:hint="eastAsia"/>
              </w:rPr>
              <w:t>）</w:t>
            </w:r>
          </w:p>
        </w:tc>
        <w:tc>
          <w:tcPr>
            <w:tcW w:w="5777" w:type="dxa"/>
            <w:vAlign w:val="center"/>
          </w:tcPr>
          <w:p>
            <w:pPr>
              <w:pStyle w:val="37"/>
            </w:pPr>
            <w:r>
              <w:rPr>
                <w:rFonts w:hint="eastAsia"/>
              </w:rPr>
              <w:t>由上向下依次为：</w:t>
            </w:r>
            <w:r>
              <w:t>300mm</w:t>
            </w:r>
            <w:r>
              <w:rPr>
                <w:rFonts w:hint="eastAsia"/>
              </w:rPr>
              <w:t>袋装粗沙层；</w:t>
            </w:r>
            <w:r>
              <w:t xml:space="preserve"> 600g/m</w:t>
            </w:r>
            <w:r>
              <w:rPr>
                <w:vertAlign w:val="superscript"/>
              </w:rPr>
              <w:t>2</w:t>
            </w:r>
            <w:r>
              <w:rPr>
                <w:rFonts w:hint="eastAsia"/>
              </w:rPr>
              <w:t>无纺布保护层；</w:t>
            </w:r>
            <w:r>
              <w:t>2.0mm HDPE</w:t>
            </w:r>
            <w:r>
              <w:rPr>
                <w:rFonts w:hint="eastAsia"/>
              </w:rPr>
              <w:t>防渗膜；</w:t>
            </w:r>
            <w:r>
              <w:t>600g/m</w:t>
            </w:r>
            <w:r>
              <w:rPr>
                <w:vertAlign w:val="superscript"/>
              </w:rPr>
              <w:t>2</w:t>
            </w:r>
            <w:r>
              <w:rPr>
                <w:rFonts w:hint="eastAsia"/>
              </w:rPr>
              <w:t>无纺布保护层；</w:t>
            </w:r>
            <w:r>
              <w:t>HDPE</w:t>
            </w:r>
            <w:r>
              <w:rPr>
                <w:rFonts w:hint="eastAsia"/>
              </w:rPr>
              <w:t>复合土工网格（</w:t>
            </w:r>
            <w:r>
              <w:t>5mm</w:t>
            </w:r>
            <w:r>
              <w:rPr>
                <w:rFonts w:hint="eastAsia"/>
              </w:rPr>
              <w:t>）；</w:t>
            </w:r>
            <w:r>
              <w:t>450g/m</w:t>
            </w:r>
            <w:r>
              <w:rPr>
                <w:vertAlign w:val="superscript"/>
              </w:rPr>
              <w:t>2</w:t>
            </w:r>
            <w:r>
              <w:rPr>
                <w:rFonts w:hint="eastAsia"/>
              </w:rPr>
              <w:t>无纺布保护层；</w:t>
            </w:r>
            <w:r>
              <w:t>300mm</w:t>
            </w:r>
            <w:r>
              <w:rPr>
                <w:rFonts w:hint="eastAsia"/>
              </w:rPr>
              <w:t>厚粘土层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trPr>
        <w:tc>
          <w:tcPr>
            <w:tcW w:w="1412" w:type="dxa"/>
            <w:vMerge w:val="continue"/>
            <w:vAlign w:val="center"/>
          </w:tcPr>
          <w:p>
            <w:pPr>
              <w:pStyle w:val="37"/>
            </w:pPr>
          </w:p>
        </w:tc>
        <w:tc>
          <w:tcPr>
            <w:tcW w:w="1957" w:type="dxa"/>
            <w:vAlign w:val="center"/>
          </w:tcPr>
          <w:p>
            <w:pPr>
              <w:pStyle w:val="37"/>
            </w:pPr>
            <w:r>
              <w:rPr>
                <w:rFonts w:hint="eastAsia"/>
              </w:rPr>
              <w:t>封场防渗</w:t>
            </w:r>
          </w:p>
        </w:tc>
        <w:tc>
          <w:tcPr>
            <w:tcW w:w="5777" w:type="dxa"/>
            <w:vAlign w:val="center"/>
          </w:tcPr>
          <w:p>
            <w:pPr>
              <w:pStyle w:val="37"/>
            </w:pPr>
            <w:r>
              <w:rPr>
                <w:rFonts w:hint="eastAsia"/>
              </w:rPr>
              <w:t>由上向下依次为：</w:t>
            </w:r>
            <w:r>
              <w:t>300mm</w:t>
            </w:r>
            <w:r>
              <w:rPr>
                <w:rFonts w:hint="eastAsia"/>
              </w:rPr>
              <w:t>厚营养植被层；</w:t>
            </w:r>
            <w:r>
              <w:t>450mm</w:t>
            </w:r>
            <w:r>
              <w:rPr>
                <w:rFonts w:hint="eastAsia"/>
              </w:rPr>
              <w:t>厚覆盖支持土层；</w:t>
            </w:r>
            <w:r>
              <w:t xml:space="preserve"> 300g/m</w:t>
            </w:r>
            <w:r>
              <w:rPr>
                <w:vertAlign w:val="superscript"/>
              </w:rPr>
              <w:t>2</w:t>
            </w:r>
            <w:r>
              <w:rPr>
                <w:rFonts w:hint="eastAsia"/>
              </w:rPr>
              <w:t>无纺布保护层；</w:t>
            </w:r>
            <w:r>
              <w:t>HDPE</w:t>
            </w:r>
            <w:r>
              <w:rPr>
                <w:rFonts w:hint="eastAsia"/>
              </w:rPr>
              <w:t>复合土工网格（</w:t>
            </w:r>
            <w:r>
              <w:t>5mm</w:t>
            </w:r>
            <w:r>
              <w:rPr>
                <w:rFonts w:hint="eastAsia"/>
              </w:rPr>
              <w:t>）；</w:t>
            </w:r>
            <w:r>
              <w:t>300g/m</w:t>
            </w:r>
            <w:r>
              <w:rPr>
                <w:vertAlign w:val="superscript"/>
              </w:rPr>
              <w:t>2</w:t>
            </w:r>
            <w:r>
              <w:rPr>
                <w:rFonts w:hint="eastAsia"/>
              </w:rPr>
              <w:t>无纺布保护层；</w:t>
            </w:r>
            <w:r>
              <w:t>HDPE</w:t>
            </w:r>
            <w:r>
              <w:rPr>
                <w:rFonts w:hint="eastAsia"/>
              </w:rPr>
              <w:t>复合土工网格（</w:t>
            </w:r>
            <w:r>
              <w:t>1.5mm</w:t>
            </w:r>
            <w:r>
              <w:rPr>
                <w:rFonts w:hint="eastAsia"/>
              </w:rPr>
              <w:t>）；</w:t>
            </w:r>
            <w:r>
              <w:t>350mm</w:t>
            </w:r>
            <w:r>
              <w:rPr>
                <w:rFonts w:hint="eastAsia"/>
              </w:rPr>
              <w:t>厚粘土层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1412" w:type="dxa"/>
            <w:vMerge w:val="continue"/>
            <w:vAlign w:val="center"/>
          </w:tcPr>
          <w:p>
            <w:pPr>
              <w:pStyle w:val="37"/>
            </w:pPr>
          </w:p>
        </w:tc>
        <w:tc>
          <w:tcPr>
            <w:tcW w:w="1957" w:type="dxa"/>
            <w:vMerge w:val="restart"/>
            <w:vAlign w:val="center"/>
          </w:tcPr>
          <w:p>
            <w:pPr>
              <w:pStyle w:val="37"/>
            </w:pPr>
            <w:r>
              <w:rPr>
                <w:rFonts w:hint="eastAsia"/>
              </w:rPr>
              <w:t>地表水、地下水集排系统</w:t>
            </w:r>
          </w:p>
        </w:tc>
        <w:tc>
          <w:tcPr>
            <w:tcW w:w="5777" w:type="dxa"/>
            <w:vAlign w:val="center"/>
          </w:tcPr>
          <w:p>
            <w:pPr>
              <w:pStyle w:val="37"/>
            </w:pPr>
            <w:r>
              <w:rPr>
                <w:rFonts w:hint="eastAsia"/>
              </w:rPr>
              <w:t>设置渗滤液疏水层、收集管，渗滤液收集池做防渗措施、滤液收集池容量</w:t>
            </w:r>
            <w:r>
              <w:t>90m</w:t>
            </w:r>
            <w:r>
              <w:rPr>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1412" w:type="dxa"/>
            <w:vMerge w:val="continue"/>
            <w:vAlign w:val="center"/>
          </w:tcPr>
          <w:p>
            <w:pPr>
              <w:pStyle w:val="37"/>
            </w:pPr>
          </w:p>
        </w:tc>
        <w:tc>
          <w:tcPr>
            <w:tcW w:w="1957" w:type="dxa"/>
            <w:vMerge w:val="continue"/>
            <w:vAlign w:val="center"/>
          </w:tcPr>
          <w:p>
            <w:pPr>
              <w:pStyle w:val="37"/>
            </w:pPr>
          </w:p>
        </w:tc>
        <w:tc>
          <w:tcPr>
            <w:tcW w:w="5777" w:type="dxa"/>
            <w:vAlign w:val="center"/>
          </w:tcPr>
          <w:p>
            <w:pPr>
              <w:pStyle w:val="37"/>
            </w:pPr>
            <w:r>
              <w:rPr>
                <w:rFonts w:hint="eastAsia"/>
              </w:rPr>
              <w:t>截洪沟、排水沟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1412" w:type="dxa"/>
            <w:vMerge w:val="continue"/>
            <w:vAlign w:val="center"/>
          </w:tcPr>
          <w:p>
            <w:pPr>
              <w:pStyle w:val="37"/>
            </w:pPr>
          </w:p>
        </w:tc>
        <w:tc>
          <w:tcPr>
            <w:tcW w:w="1957" w:type="dxa"/>
            <w:vAlign w:val="center"/>
          </w:tcPr>
          <w:p>
            <w:pPr>
              <w:pStyle w:val="37"/>
            </w:pPr>
            <w:r>
              <w:rPr>
                <w:rFonts w:hint="eastAsia"/>
              </w:rPr>
              <w:t>监测井</w:t>
            </w:r>
          </w:p>
        </w:tc>
        <w:tc>
          <w:tcPr>
            <w:tcW w:w="5777" w:type="dxa"/>
            <w:vAlign w:val="center"/>
          </w:tcPr>
          <w:p>
            <w:pPr>
              <w:pStyle w:val="37"/>
            </w:pPr>
            <w:r>
              <w:rPr>
                <w:rFonts w:hint="eastAsia"/>
              </w:rPr>
              <w:t>设置地下水监测井</w:t>
            </w:r>
            <w:r>
              <w:t>3</w:t>
            </w:r>
            <w:r>
              <w:rPr>
                <w:rFonts w:hint="eastAsia"/>
              </w:rPr>
              <w:t>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continue"/>
            <w:vAlign w:val="center"/>
          </w:tcPr>
          <w:p>
            <w:pPr>
              <w:pStyle w:val="37"/>
            </w:pPr>
          </w:p>
        </w:tc>
        <w:tc>
          <w:tcPr>
            <w:tcW w:w="1957" w:type="dxa"/>
            <w:vAlign w:val="center"/>
          </w:tcPr>
          <w:p>
            <w:pPr>
              <w:pStyle w:val="37"/>
            </w:pPr>
            <w:r>
              <w:rPr>
                <w:rFonts w:hint="eastAsia"/>
              </w:rPr>
              <w:t>水土保持、生态恢复工程</w:t>
            </w:r>
          </w:p>
        </w:tc>
        <w:tc>
          <w:tcPr>
            <w:tcW w:w="5777" w:type="dxa"/>
            <w:vAlign w:val="center"/>
          </w:tcPr>
          <w:p>
            <w:pPr>
              <w:pStyle w:val="37"/>
            </w:pPr>
            <w:r>
              <w:rPr>
                <w:rFonts w:hint="eastAsia"/>
              </w:rPr>
              <w:t>在场区四周设置排水渠，加强边坡、护坡构筑；加强绿化，填埋区草皮</w:t>
            </w:r>
            <w:r>
              <w:t>14268</w:t>
            </w:r>
            <w:r>
              <w:rPr>
                <w:rFonts w:hint="eastAsia"/>
              </w:rPr>
              <w:t>，原废渣点播种草籽</w:t>
            </w:r>
            <w:r>
              <w:t>9821 m</w:t>
            </w:r>
            <w:r>
              <w:rPr>
                <w:vertAlign w:val="superscript"/>
              </w:rPr>
              <w:t>2</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restart"/>
            <w:vAlign w:val="center"/>
          </w:tcPr>
          <w:p>
            <w:pPr>
              <w:pStyle w:val="37"/>
            </w:pPr>
            <w:r>
              <w:rPr>
                <w:rFonts w:hint="eastAsia"/>
              </w:rPr>
              <w:t>废渣挖运及填埋工程</w:t>
            </w:r>
          </w:p>
        </w:tc>
        <w:tc>
          <w:tcPr>
            <w:tcW w:w="1957" w:type="dxa"/>
            <w:vAlign w:val="center"/>
          </w:tcPr>
          <w:p>
            <w:pPr>
              <w:pStyle w:val="37"/>
            </w:pPr>
            <w:r>
              <w:rPr>
                <w:rFonts w:hint="eastAsia"/>
              </w:rPr>
              <w:t>老虎嘴</w:t>
            </w:r>
          </w:p>
        </w:tc>
        <w:tc>
          <w:tcPr>
            <w:tcW w:w="5777" w:type="dxa"/>
            <w:vAlign w:val="center"/>
          </w:tcPr>
          <w:p>
            <w:pPr>
              <w:pStyle w:val="37"/>
            </w:pPr>
            <w:r>
              <w:rPr>
                <w:rFonts w:hint="eastAsia"/>
              </w:rPr>
              <w:t>共</w:t>
            </w:r>
            <w:r>
              <w:t>4.85</w:t>
            </w:r>
            <w:r>
              <w:rPr>
                <w:rFonts w:hint="eastAsia"/>
              </w:rPr>
              <w:t>万</w:t>
            </w:r>
            <w:r>
              <w:t>m</w:t>
            </w:r>
            <w:r>
              <w:rPr>
                <w:vertAlign w:val="superscript"/>
              </w:rPr>
              <w:t>3</w:t>
            </w:r>
            <w:r>
              <w:rPr>
                <w:rFonts w:hint="eastAsia"/>
              </w:rPr>
              <w:t>废渣，运距</w:t>
            </w:r>
            <w:r>
              <w:t>10.5km</w:t>
            </w:r>
            <w:r>
              <w:rPr>
                <w:rFonts w:hint="eastAsia"/>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continue"/>
            <w:vAlign w:val="center"/>
          </w:tcPr>
          <w:p>
            <w:pPr>
              <w:pStyle w:val="37"/>
            </w:pPr>
          </w:p>
        </w:tc>
        <w:tc>
          <w:tcPr>
            <w:tcW w:w="1957" w:type="dxa"/>
            <w:vAlign w:val="center"/>
          </w:tcPr>
          <w:p>
            <w:pPr>
              <w:pStyle w:val="37"/>
            </w:pPr>
            <w:r>
              <w:rPr>
                <w:rFonts w:hint="eastAsia"/>
              </w:rPr>
              <w:t>东风嘴</w:t>
            </w:r>
          </w:p>
        </w:tc>
        <w:tc>
          <w:tcPr>
            <w:tcW w:w="5777" w:type="dxa"/>
            <w:vAlign w:val="center"/>
          </w:tcPr>
          <w:p>
            <w:pPr>
              <w:pStyle w:val="37"/>
            </w:pPr>
            <w:r>
              <w:rPr>
                <w:rFonts w:hint="eastAsia"/>
              </w:rPr>
              <w:t>共</w:t>
            </w:r>
            <w:r>
              <w:t>1.53</w:t>
            </w:r>
            <w:r>
              <w:rPr>
                <w:rFonts w:hint="eastAsia"/>
              </w:rPr>
              <w:t>万</w:t>
            </w:r>
            <w:r>
              <w:t>m</w:t>
            </w:r>
            <w:r>
              <w:rPr>
                <w:vertAlign w:val="superscript"/>
              </w:rPr>
              <w:t>3</w:t>
            </w:r>
            <w:r>
              <w:rPr>
                <w:rFonts w:hint="eastAsia"/>
              </w:rPr>
              <w:t>废渣，运距</w:t>
            </w:r>
            <w:r>
              <w:t>10.0km</w:t>
            </w:r>
            <w:r>
              <w:rPr>
                <w:rFonts w:hint="eastAsia"/>
              </w:rPr>
              <w:t>，播种草籽绿化，配套种植马尾松，废渣堆存点整平</w:t>
            </w:r>
            <w:r>
              <w:t>6115m</w:t>
            </w:r>
            <w:r>
              <w:rPr>
                <w:vertAlign w:val="superscript"/>
              </w:rPr>
              <w:t>2</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continue"/>
            <w:vAlign w:val="center"/>
          </w:tcPr>
          <w:p>
            <w:pPr>
              <w:pStyle w:val="37"/>
            </w:pPr>
          </w:p>
        </w:tc>
        <w:tc>
          <w:tcPr>
            <w:tcW w:w="1957" w:type="dxa"/>
            <w:vAlign w:val="center"/>
          </w:tcPr>
          <w:p>
            <w:pPr>
              <w:pStyle w:val="37"/>
            </w:pPr>
            <w:r>
              <w:rPr>
                <w:rFonts w:hint="eastAsia"/>
              </w:rPr>
              <w:t>老水井</w:t>
            </w:r>
          </w:p>
        </w:tc>
        <w:tc>
          <w:tcPr>
            <w:tcW w:w="5777" w:type="dxa"/>
            <w:vAlign w:val="center"/>
          </w:tcPr>
          <w:p>
            <w:pPr>
              <w:pStyle w:val="37"/>
            </w:pPr>
            <w:r>
              <w:rPr>
                <w:rFonts w:hint="eastAsia"/>
              </w:rPr>
              <w:t>共</w:t>
            </w:r>
            <w:r>
              <w:t>1.72</w:t>
            </w:r>
            <w:r>
              <w:rPr>
                <w:rFonts w:hint="eastAsia"/>
              </w:rPr>
              <w:t>万</w:t>
            </w:r>
            <w:r>
              <w:t>m</w:t>
            </w:r>
            <w:r>
              <w:rPr>
                <w:vertAlign w:val="superscript"/>
              </w:rPr>
              <w:t>3</w:t>
            </w:r>
            <w:r>
              <w:rPr>
                <w:rFonts w:hint="eastAsia"/>
              </w:rPr>
              <w:t>废渣，运距</w:t>
            </w:r>
            <w:r>
              <w:t>9.0km</w:t>
            </w:r>
            <w:r>
              <w:rPr>
                <w:rFonts w:hint="eastAsia"/>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continue"/>
            <w:vAlign w:val="center"/>
          </w:tcPr>
          <w:p>
            <w:pPr>
              <w:pStyle w:val="37"/>
            </w:pPr>
          </w:p>
        </w:tc>
        <w:tc>
          <w:tcPr>
            <w:tcW w:w="1957" w:type="dxa"/>
            <w:vAlign w:val="center"/>
          </w:tcPr>
          <w:p>
            <w:pPr>
              <w:pStyle w:val="37"/>
            </w:pPr>
            <w:r>
              <w:rPr>
                <w:rFonts w:hint="eastAsia"/>
              </w:rPr>
              <w:t>抓埠市</w:t>
            </w:r>
          </w:p>
        </w:tc>
        <w:tc>
          <w:tcPr>
            <w:tcW w:w="5777" w:type="dxa"/>
            <w:vAlign w:val="center"/>
          </w:tcPr>
          <w:p>
            <w:pPr>
              <w:pStyle w:val="37"/>
            </w:pPr>
            <w:r>
              <w:rPr>
                <w:rFonts w:hint="eastAsia"/>
              </w:rPr>
              <w:t>共</w:t>
            </w:r>
            <w:r>
              <w:t>1.42</w:t>
            </w:r>
            <w:r>
              <w:rPr>
                <w:rFonts w:hint="eastAsia"/>
              </w:rPr>
              <w:t>万</w:t>
            </w:r>
            <w:r>
              <w:t>m</w:t>
            </w:r>
            <w:r>
              <w:rPr>
                <w:vertAlign w:val="superscript"/>
              </w:rPr>
              <w:t>3</w:t>
            </w:r>
            <w:r>
              <w:rPr>
                <w:rFonts w:hint="eastAsia"/>
              </w:rPr>
              <w:t>废渣，运距</w:t>
            </w:r>
            <w:r>
              <w:t>9.5km</w:t>
            </w:r>
            <w:r>
              <w:rPr>
                <w:rFonts w:hint="eastAsia"/>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412" w:type="dxa"/>
            <w:vMerge w:val="continue"/>
            <w:vAlign w:val="center"/>
          </w:tcPr>
          <w:p>
            <w:pPr>
              <w:pStyle w:val="37"/>
            </w:pPr>
          </w:p>
        </w:tc>
        <w:tc>
          <w:tcPr>
            <w:tcW w:w="1957" w:type="dxa"/>
            <w:vAlign w:val="center"/>
          </w:tcPr>
          <w:p>
            <w:pPr>
              <w:pStyle w:val="37"/>
            </w:pPr>
            <w:r>
              <w:rPr>
                <w:rFonts w:hint="eastAsia"/>
              </w:rPr>
              <w:t>胜利矶</w:t>
            </w:r>
          </w:p>
        </w:tc>
        <w:tc>
          <w:tcPr>
            <w:tcW w:w="5777" w:type="dxa"/>
            <w:vAlign w:val="center"/>
          </w:tcPr>
          <w:p>
            <w:pPr>
              <w:pStyle w:val="37"/>
            </w:pPr>
            <w:r>
              <w:rPr>
                <w:rFonts w:hint="eastAsia"/>
              </w:rPr>
              <w:t>共</w:t>
            </w:r>
            <w:r>
              <w:t>0.9</w:t>
            </w:r>
            <w:r>
              <w:rPr>
                <w:rFonts w:hint="eastAsia"/>
              </w:rPr>
              <w:t>万</w:t>
            </w:r>
            <w:r>
              <w:t>m</w:t>
            </w:r>
            <w:r>
              <w:rPr>
                <w:vertAlign w:val="superscript"/>
              </w:rPr>
              <w:t>3</w:t>
            </w:r>
            <w:r>
              <w:rPr>
                <w:rFonts w:hint="eastAsia"/>
              </w:rPr>
              <w:t>废渣，运距</w:t>
            </w:r>
            <w:r>
              <w:t>8.5km</w:t>
            </w:r>
            <w:r>
              <w:rPr>
                <w:rFonts w:hint="eastAsia"/>
              </w:rPr>
              <w:t>，播种草籽绿化，配套种植马尾松，废渣堆存点整平</w:t>
            </w:r>
            <w:r>
              <w:t>2069m</w:t>
            </w:r>
            <w:r>
              <w:rPr>
                <w:vertAlign w:val="superscript"/>
              </w:rPr>
              <w:t>2</w:t>
            </w:r>
            <w:r>
              <w:rPr>
                <w:rFonts w:hint="eastAsia"/>
              </w:rPr>
              <w:t>。</w:t>
            </w:r>
          </w:p>
        </w:tc>
      </w:tr>
    </w:tbl>
    <w:p>
      <w:pPr>
        <w:ind w:firstLine="0" w:firstLineChars="0"/>
      </w:pPr>
    </w:p>
    <w:p>
      <w:pPr>
        <w:pStyle w:val="3"/>
      </w:pPr>
      <w:bookmarkStart w:id="49" w:name="_Toc462818413"/>
      <w:r>
        <w:rPr>
          <w:rFonts w:hint="eastAsia"/>
        </w:rPr>
        <w:t>项目主要建设内容</w:t>
      </w:r>
      <w:bookmarkEnd w:id="49"/>
    </w:p>
    <w:p>
      <w:pPr>
        <w:pStyle w:val="4"/>
      </w:pPr>
      <w:r>
        <w:rPr>
          <w:rFonts w:hint="eastAsia"/>
        </w:rPr>
        <w:t>废渣挖运</w:t>
      </w:r>
    </w:p>
    <w:p>
      <w:pPr>
        <w:ind w:firstLine="480"/>
      </w:pPr>
      <w:r>
        <w:rPr>
          <w:rFonts w:hint="eastAsia"/>
        </w:rPr>
        <w:t>（</w:t>
      </w:r>
      <w:r>
        <w:t>1</w:t>
      </w:r>
      <w:r>
        <w:rPr>
          <w:rFonts w:hint="eastAsia"/>
        </w:rPr>
        <w:t>）废渣堆积点及堆积量</w:t>
      </w:r>
    </w:p>
    <w:p>
      <w:pPr>
        <w:ind w:firstLine="480"/>
      </w:pPr>
      <w:r>
        <w:rPr>
          <w:rFonts w:hint="eastAsia"/>
        </w:rPr>
        <w:t>经实地勘测，云溪河沿岸废渣集中浅埋、堆置于</w:t>
      </w:r>
      <w:r>
        <w:rPr>
          <w:rFonts w:hint="eastAsia"/>
          <w:kern w:val="0"/>
        </w:rPr>
        <w:t>云溪河岸东风嘴处、老虎嘴处、抓埠市处、老水井处、胜利矶处</w:t>
      </w:r>
      <w:r>
        <w:t>5</w:t>
      </w:r>
      <w:r>
        <w:rPr>
          <w:rFonts w:hint="eastAsia"/>
        </w:rPr>
        <w:t>片区域，分别对应图中</w:t>
      </w:r>
      <w:r>
        <w:t>A</w:t>
      </w:r>
      <w:r>
        <w:rPr>
          <w:rFonts w:hint="eastAsia"/>
        </w:rPr>
        <w:t>、</w:t>
      </w:r>
      <w:r>
        <w:t>B</w:t>
      </w:r>
      <w:r>
        <w:rPr>
          <w:rFonts w:hint="eastAsia"/>
        </w:rPr>
        <w:t>、</w:t>
      </w:r>
      <w:r>
        <w:t>C</w:t>
      </w:r>
      <w:r>
        <w:rPr>
          <w:rFonts w:hint="eastAsia"/>
        </w:rPr>
        <w:t>、</w:t>
      </w:r>
      <w:r>
        <w:t>D</w:t>
      </w:r>
      <w:r>
        <w:rPr>
          <w:rFonts w:hint="eastAsia"/>
        </w:rPr>
        <w:t>、</w:t>
      </w:r>
      <w:r>
        <w:t>E</w:t>
      </w:r>
      <w:r>
        <w:rPr>
          <w:rFonts w:hint="eastAsia"/>
        </w:rPr>
        <w:t>区块。废渣中间杂着部分生活垃圾和建筑垃圾，为混合废渣。</w:t>
      </w:r>
    </w:p>
    <w:p>
      <w:pPr>
        <w:pStyle w:val="14"/>
        <w:rPr>
          <w:kern w:val="0"/>
          <w:sz w:val="24"/>
        </w:rPr>
      </w:pPr>
      <w:r>
        <w:rPr>
          <w:rFonts w:ascii="Times New Roman" w:hAnsi="Times New Roman" w:eastAsia="宋体" w:cs="Times New Roman"/>
          <w:b/>
          <w:kern w:val="2"/>
          <w:sz w:val="21"/>
          <w:szCs w:val="20"/>
          <w:lang w:val="en-US" w:eastAsia="zh-CN" w:bidi="ar-SA"/>
        </w:rPr>
        <w:pict>
          <v:shape id="图片 2" o:spid="_x0000_s1078" type="#_x0000_t75" style="height:310.5pt;width:413.2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pStyle w:val="14"/>
      </w:pPr>
      <w:r>
        <w:rPr>
          <w:rFonts w:hint="eastAsia"/>
        </w:rPr>
        <w:t>图</w:t>
      </w:r>
      <w:r>
        <w:fldChar w:fldCharType="begin"/>
      </w:r>
      <w:r>
        <w:instrText xml:space="preserve"> STYLEREF 2 \s </w:instrText>
      </w:r>
      <w:r>
        <w:fldChar w:fldCharType="separate"/>
      </w:r>
      <w:r>
        <w:t>2.3</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kern w:val="0"/>
        </w:rPr>
        <w:t>云溪河沿岸重金属废渣分布图</w:t>
      </w:r>
    </w:p>
    <w:p>
      <w:pPr>
        <w:ind w:firstLine="480"/>
        <w:rPr>
          <w:u w:val="single"/>
        </w:rPr>
      </w:pPr>
      <w:r>
        <w:rPr>
          <w:rFonts w:hint="eastAsia"/>
          <w:u w:val="single"/>
        </w:rPr>
        <w:t>云溪河沿岸区域重金属废渣总量约为</w:t>
      </w:r>
      <w:r>
        <w:rPr>
          <w:u w:val="single"/>
        </w:rPr>
        <w:t>10.63</w:t>
      </w:r>
      <w:r>
        <w:rPr>
          <w:rFonts w:hint="eastAsia"/>
          <w:u w:val="single"/>
        </w:rPr>
        <w:t>万</w:t>
      </w:r>
      <w:r>
        <w:rPr>
          <w:u w:val="single"/>
        </w:rPr>
        <w:t>m</w:t>
      </w:r>
      <w:r>
        <w:rPr>
          <w:u w:val="single"/>
          <w:vertAlign w:val="superscript"/>
        </w:rPr>
        <w:t>3</w:t>
      </w:r>
      <w:r>
        <w:rPr>
          <w:rFonts w:hint="eastAsia"/>
          <w:u w:val="single"/>
        </w:rPr>
        <w:t>，详细分布及其数量见表</w:t>
      </w:r>
      <w:r>
        <w:rPr>
          <w:u w:val="single"/>
        </w:rPr>
        <w:t>2.3-1</w:t>
      </w:r>
      <w:r>
        <w:rPr>
          <w:rFonts w:hint="eastAsia"/>
          <w:u w:val="single"/>
        </w:rPr>
        <w:t>。</w:t>
      </w:r>
    </w:p>
    <w:p>
      <w:pPr>
        <w:pStyle w:val="14"/>
      </w:pPr>
      <w:r>
        <w:rPr>
          <w:rFonts w:hint="eastAsia"/>
        </w:rPr>
        <w:t>表</w:t>
      </w:r>
      <w:r>
        <w:fldChar w:fldCharType="begin"/>
      </w:r>
      <w:r>
        <w:instrText xml:space="preserve"> STYLEREF 2 \s </w:instrText>
      </w:r>
      <w:r>
        <w:fldChar w:fldCharType="separate"/>
      </w:r>
      <w:r>
        <w:t>2.3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kern w:val="0"/>
        </w:rPr>
        <w:t>废渣渣量计算结果表</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
        <w:gridCol w:w="2478"/>
        <w:gridCol w:w="1532"/>
        <w:gridCol w:w="1544"/>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rFonts w:hint="eastAsia"/>
                <w:kern w:val="0"/>
              </w:rPr>
              <w:t>序号</w:t>
            </w:r>
          </w:p>
        </w:tc>
        <w:tc>
          <w:tcPr>
            <w:tcW w:w="2478" w:type="dxa"/>
            <w:vAlign w:val="center"/>
          </w:tcPr>
          <w:p>
            <w:pPr>
              <w:pStyle w:val="37"/>
              <w:rPr>
                <w:kern w:val="0"/>
              </w:rPr>
            </w:pPr>
            <w:r>
              <w:rPr>
                <w:rFonts w:hint="eastAsia"/>
                <w:kern w:val="0"/>
              </w:rPr>
              <w:t>地点</w:t>
            </w:r>
          </w:p>
        </w:tc>
        <w:tc>
          <w:tcPr>
            <w:tcW w:w="1532" w:type="dxa"/>
            <w:vAlign w:val="center"/>
          </w:tcPr>
          <w:p>
            <w:pPr>
              <w:pStyle w:val="37"/>
            </w:pPr>
            <w:r>
              <w:rPr>
                <w:rFonts w:hint="eastAsia"/>
              </w:rPr>
              <w:t>平均深度（</w:t>
            </w:r>
            <w:r>
              <w:t>m</w:t>
            </w:r>
            <w:r>
              <w:rPr>
                <w:rFonts w:hint="eastAsia"/>
              </w:rPr>
              <w:t>）</w:t>
            </w:r>
          </w:p>
        </w:tc>
        <w:tc>
          <w:tcPr>
            <w:tcW w:w="1544" w:type="dxa"/>
            <w:vAlign w:val="center"/>
          </w:tcPr>
          <w:p>
            <w:pPr>
              <w:pStyle w:val="37"/>
            </w:pPr>
            <w:r>
              <w:rPr>
                <w:rFonts w:hint="eastAsia"/>
              </w:rPr>
              <w:t>占地面积（</w:t>
            </w:r>
            <w:r>
              <w:t>m</w:t>
            </w:r>
            <w:r>
              <w:rPr>
                <w:vertAlign w:val="superscript"/>
              </w:rPr>
              <w:t>2</w:t>
            </w:r>
            <w:r>
              <w:rPr>
                <w:rFonts w:hint="eastAsia"/>
              </w:rPr>
              <w:t>）</w:t>
            </w:r>
          </w:p>
        </w:tc>
        <w:tc>
          <w:tcPr>
            <w:tcW w:w="2255" w:type="dxa"/>
            <w:vAlign w:val="center"/>
          </w:tcPr>
          <w:p>
            <w:pPr>
              <w:pStyle w:val="37"/>
            </w:pPr>
            <w:r>
              <w:rPr>
                <w:rFonts w:hint="eastAsia"/>
              </w:rPr>
              <w:t>渣土混合物量（</w:t>
            </w:r>
            <w:r>
              <w:t>m</w:t>
            </w:r>
            <w:r>
              <w:rPr>
                <w:vertAlign w:val="superscript"/>
              </w:rPr>
              <w:t>3</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kern w:val="0"/>
              </w:rPr>
              <w:t>A</w:t>
            </w:r>
          </w:p>
        </w:tc>
        <w:tc>
          <w:tcPr>
            <w:tcW w:w="2478" w:type="dxa"/>
            <w:vAlign w:val="center"/>
          </w:tcPr>
          <w:p>
            <w:pPr>
              <w:pStyle w:val="37"/>
              <w:rPr>
                <w:kern w:val="0"/>
              </w:rPr>
            </w:pPr>
            <w:r>
              <w:rPr>
                <w:rFonts w:hint="eastAsia"/>
                <w:kern w:val="0"/>
              </w:rPr>
              <w:t>云溪河岸东风嘴处</w:t>
            </w:r>
          </w:p>
        </w:tc>
        <w:tc>
          <w:tcPr>
            <w:tcW w:w="1532" w:type="dxa"/>
            <w:vAlign w:val="center"/>
          </w:tcPr>
          <w:p>
            <w:pPr>
              <w:pStyle w:val="37"/>
            </w:pPr>
            <w:r>
              <w:t>2.5</w:t>
            </w:r>
          </w:p>
        </w:tc>
        <w:tc>
          <w:tcPr>
            <w:tcW w:w="1544" w:type="dxa"/>
            <w:vAlign w:val="center"/>
          </w:tcPr>
          <w:p>
            <w:pPr>
              <w:pStyle w:val="37"/>
            </w:pPr>
            <w:r>
              <w:t>6115.1</w:t>
            </w:r>
          </w:p>
        </w:tc>
        <w:tc>
          <w:tcPr>
            <w:tcW w:w="2255" w:type="dxa"/>
            <w:vAlign w:val="center"/>
          </w:tcPr>
          <w:p>
            <w:pPr>
              <w:pStyle w:val="37"/>
              <w:rPr>
                <w:u w:val="single"/>
              </w:rPr>
            </w:pPr>
            <w:r>
              <w:rPr>
                <w:rFonts w:hint="eastAsia"/>
                <w:u w:val="single"/>
              </w:rPr>
              <w:t>14065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kern w:val="0"/>
              </w:rPr>
              <w:t>B</w:t>
            </w:r>
          </w:p>
        </w:tc>
        <w:tc>
          <w:tcPr>
            <w:tcW w:w="2478" w:type="dxa"/>
            <w:vAlign w:val="center"/>
          </w:tcPr>
          <w:p>
            <w:pPr>
              <w:pStyle w:val="37"/>
              <w:rPr>
                <w:kern w:val="0"/>
              </w:rPr>
            </w:pPr>
            <w:r>
              <w:rPr>
                <w:rFonts w:hint="eastAsia"/>
                <w:kern w:val="0"/>
              </w:rPr>
              <w:t>云溪河岸老虎嘴处</w:t>
            </w:r>
          </w:p>
        </w:tc>
        <w:tc>
          <w:tcPr>
            <w:tcW w:w="1532" w:type="dxa"/>
            <w:vAlign w:val="center"/>
          </w:tcPr>
          <w:p>
            <w:pPr>
              <w:pStyle w:val="37"/>
            </w:pPr>
            <w:r>
              <w:t>4.2</w:t>
            </w:r>
          </w:p>
        </w:tc>
        <w:tc>
          <w:tcPr>
            <w:tcW w:w="1544" w:type="dxa"/>
            <w:vAlign w:val="center"/>
          </w:tcPr>
          <w:p>
            <w:pPr>
              <w:pStyle w:val="37"/>
            </w:pPr>
            <w:r>
              <w:t>11442.6</w:t>
            </w:r>
          </w:p>
        </w:tc>
        <w:tc>
          <w:tcPr>
            <w:tcW w:w="2255" w:type="dxa"/>
            <w:vAlign w:val="center"/>
          </w:tcPr>
          <w:p>
            <w:pPr>
              <w:pStyle w:val="37"/>
              <w:rPr>
                <w:u w:val="single"/>
              </w:rPr>
            </w:pPr>
            <w:r>
              <w:rPr>
                <w:rFonts w:hint="eastAsia"/>
                <w:u w:val="single"/>
              </w:rPr>
              <w:t>47572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kern w:val="0"/>
              </w:rPr>
              <w:t>C</w:t>
            </w:r>
          </w:p>
        </w:tc>
        <w:tc>
          <w:tcPr>
            <w:tcW w:w="2478" w:type="dxa"/>
            <w:vAlign w:val="center"/>
          </w:tcPr>
          <w:p>
            <w:pPr>
              <w:pStyle w:val="37"/>
              <w:rPr>
                <w:kern w:val="0"/>
              </w:rPr>
            </w:pPr>
            <w:r>
              <w:rPr>
                <w:rFonts w:hint="eastAsia"/>
                <w:kern w:val="0"/>
              </w:rPr>
              <w:t>云溪河岸抓埠市处</w:t>
            </w:r>
          </w:p>
        </w:tc>
        <w:tc>
          <w:tcPr>
            <w:tcW w:w="1532" w:type="dxa"/>
            <w:vAlign w:val="center"/>
          </w:tcPr>
          <w:p>
            <w:pPr>
              <w:pStyle w:val="37"/>
            </w:pPr>
            <w:r>
              <w:t>7.0</w:t>
            </w:r>
          </w:p>
        </w:tc>
        <w:tc>
          <w:tcPr>
            <w:tcW w:w="1544" w:type="dxa"/>
            <w:vAlign w:val="center"/>
          </w:tcPr>
          <w:p>
            <w:pPr>
              <w:pStyle w:val="37"/>
            </w:pPr>
            <w:r>
              <w:t>2069.3</w:t>
            </w:r>
          </w:p>
        </w:tc>
        <w:tc>
          <w:tcPr>
            <w:tcW w:w="2255" w:type="dxa"/>
            <w:vAlign w:val="center"/>
          </w:tcPr>
          <w:p>
            <w:pPr>
              <w:pStyle w:val="37"/>
              <w:rPr>
                <w:u w:val="single"/>
              </w:rPr>
            </w:pPr>
            <w:r>
              <w:rPr>
                <w:rFonts w:hint="eastAsia"/>
                <w:u w:val="single"/>
              </w:rPr>
              <w:t>16099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kern w:val="0"/>
              </w:rPr>
              <w:t>D</w:t>
            </w:r>
          </w:p>
        </w:tc>
        <w:tc>
          <w:tcPr>
            <w:tcW w:w="2478" w:type="dxa"/>
            <w:vAlign w:val="center"/>
          </w:tcPr>
          <w:p>
            <w:pPr>
              <w:pStyle w:val="37"/>
              <w:rPr>
                <w:kern w:val="0"/>
              </w:rPr>
            </w:pPr>
            <w:r>
              <w:rPr>
                <w:rFonts w:hint="eastAsia"/>
                <w:kern w:val="0"/>
              </w:rPr>
              <w:t>云溪河岸老水井处</w:t>
            </w:r>
          </w:p>
        </w:tc>
        <w:tc>
          <w:tcPr>
            <w:tcW w:w="1532" w:type="dxa"/>
            <w:vAlign w:val="center"/>
          </w:tcPr>
          <w:p>
            <w:pPr>
              <w:pStyle w:val="37"/>
            </w:pPr>
            <w:r>
              <w:t>5.9</w:t>
            </w:r>
          </w:p>
        </w:tc>
        <w:tc>
          <w:tcPr>
            <w:tcW w:w="1544" w:type="dxa"/>
            <w:vAlign w:val="center"/>
          </w:tcPr>
          <w:p>
            <w:pPr>
              <w:pStyle w:val="37"/>
            </w:pPr>
            <w:r>
              <w:t>2895.5</w:t>
            </w:r>
          </w:p>
        </w:tc>
        <w:tc>
          <w:tcPr>
            <w:tcW w:w="2255" w:type="dxa"/>
            <w:vAlign w:val="center"/>
          </w:tcPr>
          <w:p>
            <w:pPr>
              <w:pStyle w:val="37"/>
              <w:rPr>
                <w:u w:val="single"/>
              </w:rPr>
            </w:pPr>
            <w:r>
              <w:rPr>
                <w:rFonts w:hint="eastAsia"/>
                <w:u w:val="single"/>
              </w:rPr>
              <w:t>18039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713" w:type="dxa"/>
            <w:vAlign w:val="center"/>
          </w:tcPr>
          <w:p>
            <w:pPr>
              <w:pStyle w:val="37"/>
              <w:rPr>
                <w:kern w:val="0"/>
              </w:rPr>
            </w:pPr>
            <w:r>
              <w:rPr>
                <w:kern w:val="0"/>
              </w:rPr>
              <w:t>E</w:t>
            </w:r>
          </w:p>
        </w:tc>
        <w:tc>
          <w:tcPr>
            <w:tcW w:w="2478" w:type="dxa"/>
            <w:vAlign w:val="center"/>
          </w:tcPr>
          <w:p>
            <w:pPr>
              <w:pStyle w:val="37"/>
              <w:rPr>
                <w:kern w:val="0"/>
              </w:rPr>
            </w:pPr>
            <w:r>
              <w:rPr>
                <w:rFonts w:hint="eastAsia"/>
                <w:kern w:val="0"/>
              </w:rPr>
              <w:t>云溪河岸胜利矶处</w:t>
            </w:r>
          </w:p>
        </w:tc>
        <w:tc>
          <w:tcPr>
            <w:tcW w:w="1532" w:type="dxa"/>
            <w:vAlign w:val="center"/>
          </w:tcPr>
          <w:p>
            <w:pPr>
              <w:pStyle w:val="37"/>
            </w:pPr>
            <w:r>
              <w:t>4.8</w:t>
            </w:r>
          </w:p>
        </w:tc>
        <w:tc>
          <w:tcPr>
            <w:tcW w:w="1544" w:type="dxa"/>
            <w:vAlign w:val="center"/>
          </w:tcPr>
          <w:p>
            <w:pPr>
              <w:pStyle w:val="37"/>
            </w:pPr>
            <w:r>
              <w:t>1853.0</w:t>
            </w:r>
          </w:p>
        </w:tc>
        <w:tc>
          <w:tcPr>
            <w:tcW w:w="2255" w:type="dxa"/>
            <w:vAlign w:val="center"/>
          </w:tcPr>
          <w:p>
            <w:pPr>
              <w:pStyle w:val="37"/>
              <w:rPr>
                <w:u w:val="single"/>
              </w:rPr>
            </w:pPr>
            <w:r>
              <w:rPr>
                <w:rFonts w:hint="eastAsia"/>
                <w:u w:val="single"/>
              </w:rPr>
              <w:t>10568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6267" w:type="dxa"/>
            <w:gridSpan w:val="4"/>
            <w:vAlign w:val="center"/>
          </w:tcPr>
          <w:p>
            <w:pPr>
              <w:pStyle w:val="37"/>
              <w:rPr>
                <w:kern w:val="0"/>
              </w:rPr>
            </w:pPr>
            <w:r>
              <w:rPr>
                <w:rFonts w:hint="eastAsia"/>
                <w:kern w:val="0"/>
              </w:rPr>
              <w:t>合计</w:t>
            </w:r>
            <w:r>
              <w:rPr>
                <w:rFonts w:hint="eastAsia"/>
              </w:rPr>
              <w:t>　</w:t>
            </w:r>
          </w:p>
        </w:tc>
        <w:tc>
          <w:tcPr>
            <w:tcW w:w="2255" w:type="dxa"/>
            <w:vAlign w:val="center"/>
          </w:tcPr>
          <w:p>
            <w:pPr>
              <w:pStyle w:val="37"/>
              <w:rPr>
                <w:u w:val="single"/>
              </w:rPr>
            </w:pPr>
            <w:r>
              <w:rPr>
                <w:rFonts w:hint="eastAsia"/>
                <w:u w:val="single"/>
              </w:rPr>
              <w:t>106343</w:t>
            </w:r>
          </w:p>
        </w:tc>
      </w:tr>
    </w:tbl>
    <w:p>
      <w:pPr>
        <w:ind w:firstLine="480"/>
      </w:pPr>
      <w:r>
        <w:rPr>
          <w:rFonts w:hint="eastAsia"/>
        </w:rPr>
        <w:t>（</w:t>
      </w:r>
      <w:r>
        <w:t>2</w:t>
      </w:r>
      <w:r>
        <w:rPr>
          <w:rFonts w:hint="eastAsia"/>
        </w:rPr>
        <w:t>）废渣运输路线</w:t>
      </w:r>
    </w:p>
    <w:p>
      <w:pPr>
        <w:ind w:firstLine="480"/>
      </w:pPr>
    </w:p>
    <w:p>
      <w:pPr>
        <w:pStyle w:val="14"/>
      </w:pPr>
      <w:r>
        <w:rPr>
          <w:rFonts w:ascii="Times New Roman" w:hAnsi="Times New Roman" w:eastAsia="宋体" w:cs="Times New Roman"/>
          <w:b/>
          <w:kern w:val="2"/>
          <w:sz w:val="21"/>
          <w:szCs w:val="20"/>
          <w:lang w:val="en-US" w:eastAsia="zh-CN" w:bidi="ar-SA"/>
        </w:rPr>
        <w:pict>
          <v:shape id="图片 3" o:spid="_x0000_s1079" type="#_x0000_t75" style="position:absolute;left:0;height:211.8pt;width:412.9pt;mso-position-horizontal:center;mso-position-horizontal-relative:margin;mso-position-vertical:top;mso-position-vertical-relative:margin;mso-wrap-distance-bottom:0pt;mso-wrap-distance-left:9pt;mso-wrap-distance-right:9pt;mso-wrap-distance-top:0pt;rotation:0f;z-index:251675648;" o:ole="f" fillcolor="#FFFFFF" filled="f" o:preferrelative="t" stroked="f" coordorigin="0,0" coordsize="21600,21600">
            <v:fill on="f" color2="#FFFFFF" focus="0%"/>
            <v:imagedata gain="65536f" blacklevel="0f" gamma="0" o:title="" r:id="rId21"/>
            <o:lock v:ext="edit" position="f" selection="f" grouping="f" rotation="f" cropping="f" text="f" aspectratio="t"/>
            <w10:wrap type="square"/>
          </v:shape>
        </w:pict>
      </w:r>
      <w:r>
        <w:rPr>
          <w:rFonts w:hint="eastAsia"/>
        </w:rPr>
        <w:t>图</w:t>
      </w:r>
      <w:r>
        <w:fldChar w:fldCharType="begin"/>
      </w:r>
      <w:r>
        <w:instrText xml:space="preserve"> STYLEREF 2 \s </w:instrText>
      </w:r>
      <w:r>
        <w:fldChar w:fldCharType="separate"/>
      </w:r>
      <w:r>
        <w:t>2.3</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2</w:t>
      </w:r>
      <w:r>
        <w:fldChar w:fldCharType="end"/>
      </w:r>
      <w:r>
        <w:rPr>
          <w:rFonts w:hint="eastAsia"/>
        </w:rPr>
        <w:t>废渣运输路线图</w:t>
      </w:r>
    </w:p>
    <w:p>
      <w:pPr>
        <w:pStyle w:val="4"/>
      </w:pPr>
      <w:bookmarkStart w:id="50" w:name="_Toc391370127"/>
      <w:r>
        <w:rPr>
          <w:rFonts w:hint="eastAsia"/>
        </w:rPr>
        <w:t>处置场平整</w:t>
      </w:r>
    </w:p>
    <w:p>
      <w:pPr>
        <w:ind w:firstLine="480"/>
      </w:pPr>
      <w:r>
        <w:rPr>
          <w:rFonts w:hint="eastAsia"/>
        </w:rPr>
        <w:t>（</w:t>
      </w:r>
      <w:r>
        <w:t>1</w:t>
      </w:r>
      <w:r>
        <w:rPr>
          <w:rFonts w:hint="eastAsia"/>
        </w:rPr>
        <w:t>）处置场建造方案</w:t>
      </w:r>
    </w:p>
    <w:p>
      <w:pPr>
        <w:ind w:firstLine="480"/>
      </w:pPr>
      <w:r>
        <w:rPr>
          <w:rFonts w:hint="eastAsia"/>
        </w:rPr>
        <w:t>本项目处置场就近选址，位于云溪区路口镇牌楼村九房组附近，地理位置较好，路况较好，交通条件便利。</w:t>
      </w:r>
    </w:p>
    <w:p>
      <w:pPr>
        <w:ind w:firstLine="480"/>
      </w:pPr>
      <w:r>
        <w:rPr>
          <w:rFonts w:hint="eastAsia"/>
        </w:rPr>
        <w:t>从场区自然地形条件来看，场地四周均为地势较高位置，只在西边有一缺口，地形地貌较好，利用采石场废弃矿坑无需拆迁等，是理想的处置场选址位置。</w:t>
      </w:r>
    </w:p>
    <w:p>
      <w:pPr>
        <w:ind w:firstLine="480"/>
      </w:pPr>
      <w:r>
        <w:rPr>
          <w:rFonts w:hint="eastAsia"/>
        </w:rPr>
        <w:t>（</w:t>
      </w:r>
      <w:r>
        <w:t>2</w:t>
      </w:r>
      <w:r>
        <w:rPr>
          <w:rFonts w:hint="eastAsia"/>
        </w:rPr>
        <w:t>）边坡及场底平整</w:t>
      </w:r>
    </w:p>
    <w:p>
      <w:pPr>
        <w:ind w:firstLine="480"/>
      </w:pPr>
      <w:r>
        <w:rPr>
          <w:rFonts w:hint="eastAsia"/>
        </w:rPr>
        <w:t>本次设计的安全处置场边坡及场底平整以尽量利用天然地形条件、减少土石方开挖量、增大填埋库容为原则，同时考虑了人工防渗衬垫铺设的施工需要。</w:t>
      </w:r>
    </w:p>
    <w:p>
      <w:pPr>
        <w:ind w:firstLine="480"/>
      </w:pPr>
      <w:r>
        <w:rPr>
          <w:rFonts w:hint="eastAsia"/>
        </w:rPr>
        <w:t>项目建设场地边坡自然坡角适中，边坡较为平缓，建设时须对边坡进行整体平整。基础层必须坚实平整，垂直深度</w:t>
      </w:r>
      <w:r>
        <w:t>10cm</w:t>
      </w:r>
      <w:r>
        <w:rPr>
          <w:rFonts w:hint="eastAsia"/>
        </w:rPr>
        <w:t>内不得有树根、瓦砾、石子等有可能损伤人工防渗层材料的杂物。处置场平整需要清除上部全部耕植土层及淤泥层等所有不良土层，再按设计要求进行必要的挖、填平整，回填土要求分层压实，密实度达</w:t>
      </w:r>
      <w:r>
        <w:t>94%</w:t>
      </w:r>
      <w:r>
        <w:rPr>
          <w:rFonts w:hint="eastAsia"/>
        </w:rPr>
        <w:t>以上。</w:t>
      </w:r>
    </w:p>
    <w:p>
      <w:pPr>
        <w:pStyle w:val="4"/>
      </w:pPr>
      <w:r>
        <w:rPr>
          <w:rFonts w:hint="eastAsia"/>
        </w:rPr>
        <w:t>拦渣坝设计</w:t>
      </w:r>
    </w:p>
    <w:p>
      <w:pPr>
        <w:ind w:firstLine="480"/>
      </w:pPr>
      <w:r>
        <w:rPr>
          <w:rFonts w:hint="eastAsia"/>
        </w:rPr>
        <w:t>（</w:t>
      </w:r>
      <w:r>
        <w:t>1</w:t>
      </w:r>
      <w:r>
        <w:rPr>
          <w:rFonts w:hint="eastAsia"/>
        </w:rPr>
        <w:t>）拦渣坝的坝型</w:t>
      </w:r>
    </w:p>
    <w:p>
      <w:pPr>
        <w:ind w:firstLine="480"/>
      </w:pPr>
      <w:r>
        <w:rPr>
          <w:rFonts w:hint="eastAsia"/>
        </w:rPr>
        <w:t>根据对本工程现场查勘可知，项目地内粘土、沙石资源丰富，碾压土石坝优势明显，且施工方便，节省工程投资。因此，拦渣坝坝设计选用碾压土石坝。</w:t>
      </w:r>
    </w:p>
    <w:p>
      <w:pPr>
        <w:ind w:firstLine="480"/>
      </w:pPr>
      <w:r>
        <w:rPr>
          <w:rFonts w:hint="eastAsia"/>
        </w:rPr>
        <w:t>（</w:t>
      </w:r>
      <w:r>
        <w:t>2</w:t>
      </w:r>
      <w:r>
        <w:rPr>
          <w:rFonts w:hint="eastAsia"/>
        </w:rPr>
        <w:t>）拦渣坝的结构设计</w:t>
      </w:r>
    </w:p>
    <w:p>
      <w:pPr>
        <w:ind w:firstLine="480"/>
      </w:pPr>
      <w:r>
        <w:rPr>
          <w:rFonts w:hint="eastAsia"/>
        </w:rPr>
        <w:t>库区坝体为土石坝，采用粘土、砂砾石等修筑，拦渣坝</w:t>
      </w:r>
      <w:r>
        <w:t>1#</w:t>
      </w:r>
      <w:r>
        <w:rPr>
          <w:rFonts w:hint="eastAsia"/>
        </w:rPr>
        <w:t>主坝高约为</w:t>
      </w:r>
      <w:r>
        <w:t>15.00</w:t>
      </w:r>
      <w:r>
        <w:rPr>
          <w:rFonts w:hint="eastAsia"/>
        </w:rPr>
        <w:t>米，主坝长约</w:t>
      </w:r>
      <w:r>
        <w:t>38</w:t>
      </w:r>
      <w:r>
        <w:rPr>
          <w:rFonts w:hint="eastAsia"/>
        </w:rPr>
        <w:t>米，坝顶宽</w:t>
      </w:r>
      <w:r>
        <w:t>4</w:t>
      </w:r>
      <w:r>
        <w:rPr>
          <w:rFonts w:hint="eastAsia"/>
        </w:rPr>
        <w:t>米，坝身面坡坡度</w:t>
      </w:r>
      <w:r>
        <w:t>1:1</w:t>
      </w:r>
      <w:r>
        <w:rPr>
          <w:rFonts w:hint="eastAsia"/>
        </w:rPr>
        <w:t>，背坡坡度</w:t>
      </w:r>
      <w:r>
        <w:t>1:1.5</w:t>
      </w:r>
      <w:r>
        <w:rPr>
          <w:rFonts w:hint="eastAsia"/>
        </w:rPr>
        <w:t>，分两级坝。拦渣坝</w:t>
      </w:r>
      <w:r>
        <w:t>2#</w:t>
      </w:r>
      <w:r>
        <w:rPr>
          <w:rFonts w:hint="eastAsia"/>
        </w:rPr>
        <w:t>坝高约为</w:t>
      </w:r>
      <w:r>
        <w:t>1.0</w:t>
      </w:r>
      <w:r>
        <w:rPr>
          <w:rFonts w:hint="eastAsia"/>
        </w:rPr>
        <w:t>米，主坝长约</w:t>
      </w:r>
      <w:r>
        <w:t>76</w:t>
      </w:r>
      <w:r>
        <w:rPr>
          <w:rFonts w:hint="eastAsia"/>
        </w:rPr>
        <w:t>米，坝顶宽</w:t>
      </w:r>
      <w:r>
        <w:t>1.5</w:t>
      </w:r>
      <w:r>
        <w:rPr>
          <w:rFonts w:hint="eastAsia"/>
        </w:rPr>
        <w:t>米，坝身面坡坡度</w:t>
      </w:r>
      <w:r>
        <w:t>1:2</w:t>
      </w:r>
      <w:r>
        <w:rPr>
          <w:rFonts w:hint="eastAsia"/>
        </w:rPr>
        <w:t>，背坡坡度</w:t>
      </w:r>
      <w:r>
        <w:t>1:1.2</w:t>
      </w:r>
      <w:r>
        <w:rPr>
          <w:rFonts w:hint="eastAsia"/>
        </w:rPr>
        <w:t>。坝基以粘土层作为持力层，深约</w:t>
      </w:r>
      <w:r>
        <w:t>2m</w:t>
      </w:r>
      <w:r>
        <w:rPr>
          <w:rFonts w:hint="eastAsia"/>
        </w:rPr>
        <w:t>。在主坝底有渗滤液导排管一根和地下水导排管两根，呈上下层放置。</w:t>
      </w:r>
    </w:p>
    <w:p>
      <w:pPr>
        <w:ind w:firstLine="480"/>
      </w:pPr>
      <w:r>
        <w:rPr>
          <w:rFonts w:hint="eastAsia"/>
        </w:rPr>
        <w:t>（</w:t>
      </w:r>
      <w:r>
        <w:t>3</w:t>
      </w:r>
      <w:r>
        <w:rPr>
          <w:rFonts w:hint="eastAsia"/>
        </w:rPr>
        <w:t>）拦渣坝堆体的稳定性</w:t>
      </w:r>
    </w:p>
    <w:p>
      <w:pPr>
        <w:ind w:firstLine="480"/>
      </w:pPr>
      <w:r>
        <w:rPr>
          <w:rFonts w:hint="eastAsia"/>
        </w:rPr>
        <w:t>本次设计的稳定性分析既采用瑞典圆弧法对堆积坝体进行稳定分析，坝体稳定计算采用规范推荐的瑞典圆弧（总应力）法。</w:t>
      </w:r>
    </w:p>
    <w:p>
      <w:pPr>
        <w:ind w:firstLine="480"/>
      </w:pPr>
      <w:r>
        <w:rPr>
          <w:rFonts w:hint="eastAsia"/>
        </w:rPr>
        <w:t>由于拟建场地地震基本烈度小于</w:t>
      </w:r>
      <w:r>
        <w:t>6</w:t>
      </w:r>
      <w:r>
        <w:rPr>
          <w:rFonts w:hint="eastAsia"/>
        </w:rPr>
        <w:t>度，可根据固废物堆填情况进行边坡静力稳定分析，计算洪水情况和正常情况下最危险圆弧滑动面稳定性系数分别为</w:t>
      </w:r>
      <w:r>
        <w:t>1.284</w:t>
      </w:r>
      <w:r>
        <w:rPr>
          <w:rFonts w:hint="eastAsia"/>
        </w:rPr>
        <w:t>、</w:t>
      </w:r>
      <w:r>
        <w:t>1.327</w:t>
      </w:r>
      <w:r>
        <w:rPr>
          <w:rFonts w:hint="eastAsia"/>
        </w:rPr>
        <w:t>。大于正常运行时和洪水运行时的最小安全系数</w:t>
      </w:r>
      <w:r>
        <w:t>1.15</w:t>
      </w:r>
      <w:r>
        <w:rPr>
          <w:rFonts w:hint="eastAsia"/>
        </w:rPr>
        <w:t>和</w:t>
      </w:r>
      <w:r>
        <w:t>1.05</w:t>
      </w:r>
      <w:r>
        <w:rPr>
          <w:rFonts w:hint="eastAsia"/>
        </w:rPr>
        <w:t>，满足规范要求。</w:t>
      </w:r>
    </w:p>
    <w:p>
      <w:pPr>
        <w:pStyle w:val="4"/>
      </w:pPr>
      <w:r>
        <w:rPr>
          <w:rFonts w:hint="eastAsia"/>
        </w:rPr>
        <w:t>填埋区防渗设计</w:t>
      </w:r>
    </w:p>
    <w:p>
      <w:pPr>
        <w:ind w:firstLine="480"/>
        <w:rPr>
          <w:kern w:val="0"/>
        </w:rPr>
      </w:pPr>
      <w:r>
        <w:rPr>
          <w:rFonts w:hint="eastAsia"/>
        </w:rPr>
        <w:t>本处置场为Ⅱ类固废处置场，按照规范要求Ⅱ类固废处置场进行整体防渗。</w:t>
      </w:r>
      <w:r>
        <w:rPr>
          <w:kern w:val="0"/>
        </w:rPr>
        <w:t>2.3.3.1</w:t>
      </w:r>
      <w:r>
        <w:rPr>
          <w:rFonts w:hint="eastAsia"/>
          <w:kern w:val="0"/>
        </w:rPr>
        <w:t>底部防渗</w:t>
      </w:r>
    </w:p>
    <w:p>
      <w:pPr>
        <w:ind w:firstLine="480"/>
        <w:rPr>
          <w:kern w:val="0"/>
        </w:rPr>
      </w:pPr>
      <w:r>
        <w:rPr>
          <w:kern w:val="0"/>
        </w:rPr>
        <w:t>II</w:t>
      </w:r>
      <w:r>
        <w:rPr>
          <w:rFonts w:hint="eastAsia"/>
          <w:kern w:val="0"/>
        </w:rPr>
        <w:t>类固废填埋区域底层防渗面积约为</w:t>
      </w:r>
      <w:r>
        <w:rPr>
          <w:kern w:val="0"/>
        </w:rPr>
        <w:t>4600m</w:t>
      </w:r>
      <w:r>
        <w:rPr>
          <w:kern w:val="0"/>
          <w:vertAlign w:val="superscript"/>
        </w:rPr>
        <w:t>2</w:t>
      </w:r>
      <w:r>
        <w:rPr>
          <w:rFonts w:hint="eastAsia"/>
          <w:kern w:val="0"/>
        </w:rPr>
        <w:t>，</w:t>
      </w:r>
      <w:r>
        <w:rPr>
          <w:kern w:val="0"/>
        </w:rPr>
        <w:t>II</w:t>
      </w:r>
      <w:r>
        <w:rPr>
          <w:rFonts w:hint="eastAsia"/>
          <w:kern w:val="0"/>
        </w:rPr>
        <w:t>类场底部设置防渗，以控制二次污染。本次设计的人工防渗衬层将选用</w:t>
      </w:r>
      <w:r>
        <w:rPr>
          <w:kern w:val="0"/>
        </w:rPr>
        <w:t>HDPE</w:t>
      </w:r>
      <w:r>
        <w:rPr>
          <w:rFonts w:hint="eastAsia"/>
          <w:kern w:val="0"/>
        </w:rPr>
        <w:t>防渗膜，其中渗层结构由上向下依次为</w:t>
      </w:r>
    </w:p>
    <w:p>
      <w:pPr>
        <w:ind w:firstLine="0" w:firstLineChars="0"/>
        <w:rPr>
          <w:kern w:val="0"/>
        </w:rPr>
      </w:pPr>
      <w:r>
        <w:rPr>
          <w:kern w:val="0"/>
        </w:rPr>
        <w:t>• 200g/m</w:t>
      </w:r>
      <w:r>
        <w:rPr>
          <w:kern w:val="0"/>
          <w:szCs w:val="20"/>
          <w:vertAlign w:val="superscript"/>
        </w:rPr>
        <w:t>2</w:t>
      </w:r>
      <w:r>
        <w:rPr>
          <w:rFonts w:hint="eastAsia"/>
          <w:kern w:val="0"/>
        </w:rPr>
        <w:t>织质土工布</w:t>
      </w:r>
      <w:r>
        <w:rPr>
          <w:kern w:val="0"/>
        </w:rPr>
        <w:br/>
      </w:r>
      <w:r>
        <w:rPr>
          <w:kern w:val="0"/>
        </w:rPr>
        <w:t>• 500mm</w:t>
      </w:r>
      <w:r>
        <w:rPr>
          <w:rFonts w:hint="eastAsia"/>
          <w:kern w:val="0"/>
        </w:rPr>
        <w:t>卵石渗滤液收集排水层</w:t>
      </w:r>
      <w:r>
        <w:rPr>
          <w:kern w:val="0"/>
        </w:rPr>
        <w:br/>
      </w:r>
      <w:r>
        <w:rPr>
          <w:kern w:val="0"/>
        </w:rPr>
        <w:t>• 600g/m</w:t>
      </w:r>
      <w:r>
        <w:rPr>
          <w:kern w:val="0"/>
          <w:vertAlign w:val="superscript"/>
        </w:rPr>
        <w:t>2</w:t>
      </w:r>
      <w:r>
        <w:rPr>
          <w:rFonts w:hint="eastAsia"/>
          <w:kern w:val="0"/>
        </w:rPr>
        <w:t>无纺布保护层</w:t>
      </w:r>
      <w:r>
        <w:rPr>
          <w:kern w:val="0"/>
        </w:rPr>
        <w:br/>
      </w:r>
      <w:r>
        <w:rPr>
          <w:kern w:val="0"/>
        </w:rPr>
        <w:t>• 2.0mm HDPE</w:t>
      </w:r>
      <w:r>
        <w:rPr>
          <w:rFonts w:hint="eastAsia"/>
          <w:kern w:val="0"/>
        </w:rPr>
        <w:t>防渗膜</w:t>
      </w:r>
      <w:r>
        <w:rPr>
          <w:kern w:val="0"/>
        </w:rPr>
        <w:br/>
      </w:r>
      <w:r>
        <w:rPr>
          <w:kern w:val="0"/>
        </w:rPr>
        <w:t>• 600g/m</w:t>
      </w:r>
      <w:r>
        <w:rPr>
          <w:kern w:val="0"/>
          <w:vertAlign w:val="superscript"/>
        </w:rPr>
        <w:t>2</w:t>
      </w:r>
      <w:r>
        <w:rPr>
          <w:rFonts w:hint="eastAsia"/>
          <w:kern w:val="0"/>
        </w:rPr>
        <w:t>无纺布保护层</w:t>
      </w:r>
      <w:r>
        <w:rPr>
          <w:kern w:val="0"/>
        </w:rPr>
        <w:br/>
      </w:r>
      <w:r>
        <w:rPr>
          <w:kern w:val="0"/>
        </w:rPr>
        <w:t>• 300mm</w:t>
      </w:r>
      <w:r>
        <w:rPr>
          <w:rFonts w:hint="eastAsia"/>
          <w:kern w:val="0"/>
        </w:rPr>
        <w:t>厚粘土层</w:t>
      </w:r>
    </w:p>
    <w:p>
      <w:pPr>
        <w:ind w:firstLine="199" w:firstLineChars="83"/>
        <w:rPr>
          <w:kern w:val="0"/>
        </w:rPr>
      </w:pPr>
      <w:r>
        <w:rPr>
          <w:kern w:val="0"/>
        </w:rPr>
        <w:t>2.3.3.2</w:t>
      </w:r>
      <w:r>
        <w:rPr>
          <w:rFonts w:hint="eastAsia"/>
          <w:kern w:val="0"/>
        </w:rPr>
        <w:t>边坡防渗</w:t>
      </w:r>
    </w:p>
    <w:p>
      <w:pPr>
        <w:ind w:firstLine="480"/>
        <w:rPr>
          <w:kern w:val="0"/>
        </w:rPr>
      </w:pPr>
      <w:r>
        <w:rPr>
          <w:rFonts w:hint="eastAsia"/>
          <w:kern w:val="0"/>
        </w:rPr>
        <w:t>本项目采用</w:t>
      </w:r>
      <w:r>
        <w:rPr>
          <w:kern w:val="0"/>
        </w:rPr>
        <w:t>300mm</w:t>
      </w:r>
      <w:r>
        <w:rPr>
          <w:rFonts w:hint="eastAsia"/>
          <w:kern w:val="0"/>
        </w:rPr>
        <w:t>粘土垫底，然后由专业人员铺设防渗材料，由于膜的自重和填埋尾砂的拉伸作用，往往把膜撕破或下落。所以在坡的顶面设锚固沟，在坡面上每上升一定高度（</w:t>
      </w:r>
      <w:r>
        <w:rPr>
          <w:kern w:val="0"/>
        </w:rPr>
        <w:t>3m</w:t>
      </w:r>
      <w:r>
        <w:rPr>
          <w:rFonts w:hint="eastAsia"/>
          <w:kern w:val="0"/>
        </w:rPr>
        <w:t>）建一平台，平台宽约</w:t>
      </w:r>
      <w:r>
        <w:rPr>
          <w:kern w:val="0"/>
        </w:rPr>
        <w:t>1.5m</w:t>
      </w:r>
      <w:r>
        <w:rPr>
          <w:rFonts w:hint="eastAsia"/>
          <w:kern w:val="0"/>
        </w:rPr>
        <w:t>，上面设锚固沟。为了保护防渗层，在其上铺设</w:t>
      </w:r>
      <w:r>
        <w:rPr>
          <w:kern w:val="0"/>
        </w:rPr>
        <w:t>30</w:t>
      </w:r>
      <w:r>
        <w:rPr>
          <w:rFonts w:hint="eastAsia"/>
          <w:kern w:val="0"/>
        </w:rPr>
        <w:t>公分砂袋。</w:t>
      </w:r>
    </w:p>
    <w:p>
      <w:pPr>
        <w:ind w:firstLine="480"/>
        <w:rPr>
          <w:kern w:val="0"/>
        </w:rPr>
      </w:pPr>
      <w:r>
        <w:rPr>
          <w:rFonts w:hint="eastAsia"/>
          <w:kern w:val="0"/>
        </w:rPr>
        <w:t>在边坡顶部沿库区设置最终锚固平台和在边坡一定高度（</w:t>
      </w:r>
      <w:r>
        <w:rPr>
          <w:kern w:val="0"/>
        </w:rPr>
        <w:t>5m</w:t>
      </w:r>
      <w:r>
        <w:rPr>
          <w:rFonts w:hint="eastAsia"/>
          <w:kern w:val="0"/>
        </w:rPr>
        <w:t>）沿库区设置中间锚固平台的方式对防渗材料进行锚固，中间和最终锚固平台上的锚固沟兼用作临时和永久截水沟，以利填埋作业和封场后的雨水导排。根据本填埋库区的实际垂直高度以及设计填埋高度，在垂直方向上设置两条中间锚固沟和一条最终锚固沟。</w:t>
      </w:r>
    </w:p>
    <w:p>
      <w:pPr>
        <w:ind w:firstLine="480"/>
        <w:rPr>
          <w:kern w:val="0"/>
        </w:rPr>
      </w:pPr>
      <w:r>
        <w:rPr>
          <w:kern w:val="0"/>
        </w:rPr>
        <w:t xml:space="preserve">II </w:t>
      </w:r>
      <w:r>
        <w:rPr>
          <w:rFonts w:hint="eastAsia"/>
          <w:kern w:val="0"/>
        </w:rPr>
        <w:t>类固废填埋区域边坡防渗面积约为</w:t>
      </w:r>
      <w:r>
        <w:rPr>
          <w:kern w:val="0"/>
        </w:rPr>
        <w:t>9600m</w:t>
      </w:r>
      <w:r>
        <w:rPr>
          <w:kern w:val="0"/>
          <w:vertAlign w:val="superscript"/>
        </w:rPr>
        <w:t>2</w:t>
      </w:r>
      <w:r>
        <w:rPr>
          <w:rFonts w:hint="eastAsia"/>
          <w:kern w:val="0"/>
        </w:rPr>
        <w:t>，边坡防渗层结构边坡防渗层结构由上向下设置如下：</w:t>
      </w:r>
      <w:r>
        <w:rPr>
          <w:kern w:val="0"/>
        </w:rPr>
        <w:br/>
      </w:r>
      <w:r>
        <w:rPr>
          <w:kern w:val="0"/>
        </w:rPr>
        <w:t xml:space="preserve">• 300mm </w:t>
      </w:r>
      <w:r>
        <w:rPr>
          <w:rFonts w:hint="eastAsia"/>
          <w:kern w:val="0"/>
        </w:rPr>
        <w:t>袋装粗沙层</w:t>
      </w:r>
      <w:r>
        <w:rPr>
          <w:kern w:val="0"/>
        </w:rPr>
        <w:br/>
      </w:r>
      <w:r>
        <w:rPr>
          <w:kern w:val="0"/>
        </w:rPr>
        <w:t>• 600g/m</w:t>
      </w:r>
      <w:r>
        <w:rPr>
          <w:kern w:val="0"/>
          <w:vertAlign w:val="superscript"/>
        </w:rPr>
        <w:t>2</w:t>
      </w:r>
      <w:r>
        <w:rPr>
          <w:rFonts w:hint="eastAsia"/>
          <w:kern w:val="0"/>
        </w:rPr>
        <w:t>无纺布保护层</w:t>
      </w:r>
      <w:r>
        <w:rPr>
          <w:kern w:val="0"/>
        </w:rPr>
        <w:br/>
      </w:r>
      <w:r>
        <w:rPr>
          <w:kern w:val="0"/>
        </w:rPr>
        <w:t xml:space="preserve">• 2.0mm HDPE </w:t>
      </w:r>
      <w:r>
        <w:rPr>
          <w:rFonts w:hint="eastAsia"/>
          <w:kern w:val="0"/>
        </w:rPr>
        <w:t>防渗膜</w:t>
      </w:r>
      <w:r>
        <w:rPr>
          <w:kern w:val="0"/>
        </w:rPr>
        <w:br/>
      </w:r>
      <w:r>
        <w:rPr>
          <w:kern w:val="0"/>
        </w:rPr>
        <w:t>• 600g/m</w:t>
      </w:r>
      <w:r>
        <w:rPr>
          <w:kern w:val="0"/>
          <w:vertAlign w:val="superscript"/>
        </w:rPr>
        <w:t>2</w:t>
      </w:r>
      <w:r>
        <w:rPr>
          <w:rFonts w:hint="eastAsia"/>
          <w:kern w:val="0"/>
        </w:rPr>
        <w:t>无纺布保护层</w:t>
      </w:r>
      <w:r>
        <w:rPr>
          <w:kern w:val="0"/>
        </w:rPr>
        <w:br/>
      </w:r>
      <w:r>
        <w:rPr>
          <w:kern w:val="0"/>
        </w:rPr>
        <w:t xml:space="preserve">• HDPE </w:t>
      </w:r>
      <w:r>
        <w:rPr>
          <w:rFonts w:hint="eastAsia"/>
          <w:kern w:val="0"/>
        </w:rPr>
        <w:t>复合土工网格</w:t>
      </w:r>
      <w:r>
        <w:rPr>
          <w:kern w:val="0"/>
        </w:rPr>
        <w:t>(5mm)</w:t>
      </w:r>
      <w:r>
        <w:rPr>
          <w:kern w:val="0"/>
        </w:rPr>
        <w:br/>
      </w:r>
      <w:r>
        <w:rPr>
          <w:kern w:val="0"/>
        </w:rPr>
        <w:t>• 450g/m</w:t>
      </w:r>
      <w:r>
        <w:rPr>
          <w:kern w:val="0"/>
          <w:vertAlign w:val="superscript"/>
        </w:rPr>
        <w:t xml:space="preserve">2 </w:t>
      </w:r>
      <w:r>
        <w:rPr>
          <w:rFonts w:hint="eastAsia"/>
          <w:kern w:val="0"/>
        </w:rPr>
        <w:t>无纺布保护层</w:t>
      </w:r>
      <w:r>
        <w:rPr>
          <w:kern w:val="0"/>
        </w:rPr>
        <w:br/>
      </w:r>
      <w:r>
        <w:rPr>
          <w:kern w:val="0"/>
        </w:rPr>
        <w:t xml:space="preserve">• 300mm </w:t>
      </w:r>
      <w:r>
        <w:rPr>
          <w:rFonts w:hint="eastAsia"/>
          <w:kern w:val="0"/>
        </w:rPr>
        <w:t>厚粘土层</w:t>
      </w:r>
      <w:r>
        <w:rPr>
          <w:kern w:val="0"/>
        </w:rPr>
        <w:br/>
      </w:r>
      <w:r>
        <w:rPr>
          <w:b/>
          <w:kern w:val="0"/>
        </w:rPr>
        <w:t xml:space="preserve">2.3.3.3 </w:t>
      </w:r>
      <w:r>
        <w:rPr>
          <w:rFonts w:hint="eastAsia"/>
          <w:b/>
          <w:kern w:val="0"/>
        </w:rPr>
        <w:t>表层封场防渗</w:t>
      </w:r>
    </w:p>
    <w:p>
      <w:pPr>
        <w:ind w:firstLine="480"/>
        <w:rPr>
          <w:kern w:val="0"/>
        </w:rPr>
      </w:pPr>
      <w:r>
        <w:rPr>
          <w:rFonts w:hint="eastAsia"/>
          <w:kern w:val="0"/>
        </w:rPr>
        <w:t>为防止渣场降水大量进入处置场中，造成更多渗滤液渗入地下造成污染，废渣全部入库填埋后，对废渣填埋库表面全部进行封场覆盖，覆盖总面积约</w:t>
      </w:r>
      <w:r>
        <w:rPr>
          <w:kern w:val="0"/>
        </w:rPr>
        <w:t>1.18</w:t>
      </w:r>
      <w:r>
        <w:rPr>
          <w:rFonts w:hint="eastAsia"/>
          <w:kern w:val="0"/>
        </w:rPr>
        <w:t>万</w:t>
      </w:r>
      <w:r>
        <w:rPr>
          <w:kern w:val="0"/>
        </w:rPr>
        <w:t>m</w:t>
      </w:r>
      <w:r>
        <w:rPr>
          <w:kern w:val="0"/>
          <w:vertAlign w:val="superscript"/>
        </w:rPr>
        <w:t>2</w:t>
      </w:r>
      <w:r>
        <w:rPr>
          <w:rFonts w:hint="eastAsia"/>
          <w:kern w:val="0"/>
        </w:rPr>
        <w:t>。为尽量减小环境风险，根据相关规范覆盖层采用人工材料覆盖系统。</w:t>
      </w:r>
    </w:p>
    <w:p>
      <w:pPr>
        <w:ind w:firstLine="480"/>
        <w:rPr>
          <w:kern w:val="0"/>
        </w:rPr>
      </w:pPr>
      <w:r>
        <w:rPr>
          <w:rFonts w:hint="eastAsia"/>
          <w:kern w:val="0"/>
        </w:rPr>
        <w:t>（</w:t>
      </w:r>
      <w:r>
        <w:rPr>
          <w:kern w:val="0"/>
        </w:rPr>
        <w:t>1</w:t>
      </w:r>
      <w:r>
        <w:rPr>
          <w:rFonts w:hint="eastAsia"/>
          <w:kern w:val="0"/>
        </w:rPr>
        <w:t>）封场坡度</w:t>
      </w:r>
    </w:p>
    <w:p>
      <w:pPr>
        <w:ind w:firstLine="480"/>
        <w:rPr>
          <w:kern w:val="0"/>
        </w:rPr>
      </w:pPr>
      <w:r>
        <w:rPr>
          <w:rFonts w:hint="eastAsia"/>
          <w:kern w:val="0"/>
        </w:rPr>
        <w:t>根据本项目尾矿库填埋情况，封场不需要设置台阶，整个尾矿库滩面设置</w:t>
      </w:r>
      <w:r>
        <w:rPr>
          <w:kern w:val="0"/>
        </w:rPr>
        <w:t xml:space="preserve"> 0.8%</w:t>
      </w:r>
      <w:r>
        <w:rPr>
          <w:rFonts w:hint="eastAsia"/>
          <w:kern w:val="0"/>
        </w:rPr>
        <w:t>的坡度，由尾矿库上游坡向下游的拦渣坝。</w:t>
      </w:r>
    </w:p>
    <w:p>
      <w:pPr>
        <w:ind w:firstLine="480"/>
        <w:rPr>
          <w:kern w:val="0"/>
        </w:rPr>
      </w:pPr>
      <w:r>
        <w:rPr>
          <w:rFonts w:hint="eastAsia"/>
          <w:kern w:val="0"/>
        </w:rPr>
        <w:t>（</w:t>
      </w:r>
      <w:r>
        <w:rPr>
          <w:kern w:val="0"/>
        </w:rPr>
        <w:t>2</w:t>
      </w:r>
      <w:r>
        <w:rPr>
          <w:rFonts w:hint="eastAsia"/>
          <w:kern w:val="0"/>
        </w:rPr>
        <w:t>）封场覆盖系统</w:t>
      </w:r>
      <w:r>
        <w:rPr>
          <w:kern w:val="0"/>
        </w:rPr>
        <w:br/>
      </w:r>
      <w:r>
        <w:rPr>
          <w:rFonts w:hint="eastAsia"/>
          <w:kern w:val="0"/>
        </w:rPr>
        <w:t>封场覆盖系统包括防渗层和植被恢复层等，具体如下：</w:t>
      </w:r>
    </w:p>
    <w:p>
      <w:pPr>
        <w:ind w:firstLine="482"/>
        <w:rPr>
          <w:kern w:val="0"/>
        </w:rPr>
      </w:pPr>
      <w:r>
        <w:rPr>
          <w:b/>
          <w:kern w:val="0"/>
        </w:rPr>
        <w:t xml:space="preserve">a </w:t>
      </w:r>
      <w:r>
        <w:rPr>
          <w:rFonts w:hint="eastAsia"/>
          <w:b/>
          <w:kern w:val="0"/>
        </w:rPr>
        <w:t>防渗层</w:t>
      </w:r>
      <w:r>
        <w:rPr>
          <w:rFonts w:hint="eastAsia"/>
          <w:kern w:val="0"/>
        </w:rPr>
        <w:t>：根据相关规范覆盖层采用人工材料覆盖系统。封场结构由下至上应依次为表面复合防渗层、雨水收集导排层、植被层。</w:t>
      </w:r>
    </w:p>
    <w:p>
      <w:pPr>
        <w:ind w:firstLine="480"/>
        <w:rPr>
          <w:kern w:val="0"/>
        </w:rPr>
      </w:pPr>
      <w:r>
        <w:rPr>
          <w:kern w:val="0"/>
        </w:rPr>
        <w:t>1</w:t>
      </w:r>
      <w:r>
        <w:rPr>
          <w:rFonts w:hint="eastAsia"/>
          <w:kern w:val="0"/>
        </w:rPr>
        <w:t>）防渗层</w:t>
      </w:r>
      <w:r>
        <w:rPr>
          <w:kern w:val="0"/>
        </w:rPr>
        <w:br/>
      </w:r>
      <w:r>
        <w:rPr>
          <w:rFonts w:hint="eastAsia"/>
          <w:kern w:val="0"/>
        </w:rPr>
        <w:t>在达到设计填埋标高后的废物层上设置复合防渗层作为隔断层，用来阻挡地表降水入渗废物层。根据对防渗粘土、土工膜及膨润土的防渗性能比较，本项目的防渗层由压实粘土层和</w:t>
      </w:r>
      <w:r>
        <w:rPr>
          <w:kern w:val="0"/>
        </w:rPr>
        <w:t>1.5mm</w:t>
      </w:r>
      <w:r>
        <w:rPr>
          <w:rFonts w:hint="eastAsia"/>
          <w:kern w:val="0"/>
        </w:rPr>
        <w:t>厚的双糙面高密度聚乙烯（</w:t>
      </w:r>
      <w:r>
        <w:rPr>
          <w:kern w:val="0"/>
        </w:rPr>
        <w:t>HDPE</w:t>
      </w:r>
      <w:r>
        <w:rPr>
          <w:rFonts w:hint="eastAsia"/>
          <w:kern w:val="0"/>
        </w:rPr>
        <w:t>）防渗膜复合构成。</w:t>
      </w:r>
    </w:p>
    <w:p>
      <w:pPr>
        <w:ind w:firstLine="480"/>
        <w:rPr>
          <w:kern w:val="0"/>
        </w:rPr>
      </w:pPr>
      <w:r>
        <w:rPr>
          <w:kern w:val="0"/>
        </w:rPr>
        <w:t>2</w:t>
      </w:r>
      <w:r>
        <w:rPr>
          <w:rFonts w:hint="eastAsia"/>
          <w:kern w:val="0"/>
        </w:rPr>
        <w:t>）雨水收集导排层</w:t>
      </w:r>
    </w:p>
    <w:p>
      <w:pPr>
        <w:ind w:firstLine="480"/>
        <w:rPr>
          <w:kern w:val="0"/>
        </w:rPr>
      </w:pPr>
      <w:r>
        <w:rPr>
          <w:rFonts w:hint="eastAsia"/>
          <w:kern w:val="0"/>
        </w:rPr>
        <w:t>穿过覆盖土层的水须有排水层将其从覆盖系统中排走。排水层排水性能的好坏对边坡稳定安全系数的大小起很大的作用。边坡上水的排出可以使得边坡稳定性大为提高。排水层设置于防渗层的上面。</w:t>
      </w:r>
    </w:p>
    <w:p>
      <w:pPr>
        <w:ind w:firstLine="480"/>
        <w:rPr>
          <w:kern w:val="0"/>
        </w:rPr>
      </w:pPr>
      <w:r>
        <w:rPr>
          <w:kern w:val="0"/>
        </w:rPr>
        <w:t>3</w:t>
      </w:r>
      <w:r>
        <w:rPr>
          <w:rFonts w:hint="eastAsia"/>
          <w:kern w:val="0"/>
        </w:rPr>
        <w:t>）植被层：植被层一般包括营养植被层和覆盖支持土层。</w:t>
      </w:r>
    </w:p>
    <w:p>
      <w:pPr>
        <w:ind w:firstLine="480"/>
        <w:rPr>
          <w:kern w:val="0"/>
        </w:rPr>
      </w:pPr>
      <w:r>
        <w:rPr>
          <w:rFonts w:hint="eastAsia"/>
          <w:kern w:val="0"/>
        </w:rPr>
        <w:t>覆盖支持土层为营养植被层提供支撑，覆盖支持土层最常使用的材料是当地的天然土壤，营养植被层的作用是促进植被生长，为植被生长提供支撑和养分，从而保护防渗层。通常由当地的土壤组成，厚度</w:t>
      </w:r>
      <w:r>
        <w:rPr>
          <w:kern w:val="0"/>
        </w:rPr>
        <w:t>15cm</w:t>
      </w:r>
      <w:r>
        <w:rPr>
          <w:rFonts w:hint="eastAsia"/>
          <w:kern w:val="0"/>
        </w:rPr>
        <w:t>，这也是大部分植物根部穿透的最小深度，表土层必须达到一定厚度。封场防渗层从上至下依次为：</w:t>
      </w:r>
      <w:r>
        <w:rPr>
          <w:kern w:val="0"/>
        </w:rPr>
        <w:br/>
      </w:r>
      <w:r>
        <w:rPr>
          <w:kern w:val="0"/>
        </w:rPr>
        <w:t xml:space="preserve">• 300mm </w:t>
      </w:r>
      <w:r>
        <w:rPr>
          <w:rFonts w:hint="eastAsia"/>
          <w:kern w:val="0"/>
        </w:rPr>
        <w:t>厚营养植被层</w:t>
      </w:r>
      <w:r>
        <w:rPr>
          <w:kern w:val="0"/>
        </w:rPr>
        <w:br/>
      </w:r>
      <w:r>
        <w:rPr>
          <w:kern w:val="0"/>
        </w:rPr>
        <w:t xml:space="preserve">• 450mm </w:t>
      </w:r>
      <w:r>
        <w:rPr>
          <w:rFonts w:hint="eastAsia"/>
          <w:kern w:val="0"/>
        </w:rPr>
        <w:t>厚覆盖支持土层</w:t>
      </w:r>
      <w:r>
        <w:rPr>
          <w:kern w:val="0"/>
        </w:rPr>
        <w:br/>
      </w:r>
      <w:r>
        <w:rPr>
          <w:kern w:val="0"/>
        </w:rPr>
        <w:t>• 300g/m</w:t>
      </w:r>
      <w:r>
        <w:rPr>
          <w:kern w:val="0"/>
          <w:vertAlign w:val="superscript"/>
        </w:rPr>
        <w:t>2</w:t>
      </w:r>
      <w:r>
        <w:rPr>
          <w:rFonts w:hint="eastAsia"/>
          <w:kern w:val="0"/>
        </w:rPr>
        <w:t>无纺布保护层</w:t>
      </w:r>
    </w:p>
    <w:p>
      <w:pPr>
        <w:ind w:firstLine="0" w:firstLineChars="0"/>
        <w:rPr>
          <w:kern w:val="0"/>
        </w:rPr>
      </w:pPr>
      <w:r>
        <w:rPr>
          <w:rFonts w:ascii="宋体" w:cs="宋体"/>
          <w:kern w:val="0"/>
        </w:rPr>
        <w:t>•</w:t>
      </w:r>
      <w:r>
        <w:rPr>
          <w:kern w:val="0"/>
        </w:rPr>
        <w:t xml:space="preserve"> 5.0mm </w:t>
      </w:r>
      <w:r>
        <w:rPr>
          <w:rFonts w:hint="eastAsia"/>
          <w:kern w:val="0"/>
        </w:rPr>
        <w:t>厚</w:t>
      </w:r>
      <w:r>
        <w:rPr>
          <w:kern w:val="0"/>
        </w:rPr>
        <w:t xml:space="preserve">HDPE </w:t>
      </w:r>
      <w:r>
        <w:rPr>
          <w:rFonts w:hint="eastAsia"/>
          <w:kern w:val="0"/>
        </w:rPr>
        <w:t>复合土工网格</w:t>
      </w:r>
    </w:p>
    <w:p>
      <w:pPr>
        <w:ind w:firstLine="0" w:firstLineChars="0"/>
        <w:rPr>
          <w:kern w:val="0"/>
        </w:rPr>
      </w:pPr>
      <w:r>
        <w:rPr>
          <w:rFonts w:ascii="宋体" w:cs="宋体"/>
          <w:kern w:val="0"/>
        </w:rPr>
        <w:t>•</w:t>
      </w:r>
      <w:r>
        <w:rPr>
          <w:kern w:val="0"/>
        </w:rPr>
        <w:t xml:space="preserve"> 300g/m</w:t>
      </w:r>
      <w:r>
        <w:rPr>
          <w:kern w:val="0"/>
          <w:vertAlign w:val="superscript"/>
        </w:rPr>
        <w:t>2</w:t>
      </w:r>
      <w:r>
        <w:rPr>
          <w:rFonts w:hint="eastAsia"/>
          <w:kern w:val="0"/>
        </w:rPr>
        <w:t>无纺布保护层</w:t>
      </w:r>
      <w:r>
        <w:rPr>
          <w:kern w:val="0"/>
        </w:rPr>
        <w:br/>
      </w:r>
      <w:r>
        <w:rPr>
          <w:rFonts w:ascii="宋体" w:cs="宋体"/>
          <w:kern w:val="0"/>
        </w:rPr>
        <w:t>•</w:t>
      </w:r>
      <w:r>
        <w:rPr>
          <w:kern w:val="0"/>
        </w:rPr>
        <w:t xml:space="preserve"> 1.5mm HDPE </w:t>
      </w:r>
      <w:r>
        <w:rPr>
          <w:rFonts w:hint="eastAsia"/>
          <w:kern w:val="0"/>
        </w:rPr>
        <w:t>防渗膜</w:t>
      </w:r>
      <w:r>
        <w:rPr>
          <w:kern w:val="0"/>
        </w:rPr>
        <w:br/>
      </w:r>
      <w:r>
        <w:rPr>
          <w:rFonts w:ascii="宋体" w:cs="宋体"/>
          <w:kern w:val="0"/>
        </w:rPr>
        <w:t>•</w:t>
      </w:r>
      <w:r>
        <w:rPr>
          <w:kern w:val="0"/>
        </w:rPr>
        <w:t xml:space="preserve"> 350mm </w:t>
      </w:r>
      <w:r>
        <w:rPr>
          <w:rFonts w:hint="eastAsia"/>
          <w:kern w:val="0"/>
        </w:rPr>
        <w:t>厚粘土层</w:t>
      </w:r>
    </w:p>
    <w:p>
      <w:pPr>
        <w:ind w:firstLine="480"/>
        <w:rPr>
          <w:kern w:val="0"/>
        </w:rPr>
      </w:pPr>
      <w:r>
        <w:rPr>
          <w:kern w:val="0"/>
        </w:rPr>
        <w:t>b</w:t>
      </w:r>
      <w:r>
        <w:rPr>
          <w:rFonts w:hint="eastAsia"/>
          <w:kern w:val="0"/>
        </w:rPr>
        <w:t>）保护层</w:t>
      </w:r>
    </w:p>
    <w:p>
      <w:pPr>
        <w:ind w:firstLine="480"/>
        <w:rPr>
          <w:kern w:val="0"/>
        </w:rPr>
      </w:pPr>
      <w:r>
        <w:rPr>
          <w:rFonts w:hint="eastAsia"/>
          <w:kern w:val="0"/>
        </w:rPr>
        <w:t>考虑到填埋废渣特性，边缘比较尖锐，容易对防渗膜产生破坏，膜下回填</w:t>
      </w:r>
      <w:r>
        <w:rPr>
          <w:kern w:val="0"/>
        </w:rPr>
        <w:t xml:space="preserve"> 350mm</w:t>
      </w:r>
      <w:r>
        <w:rPr>
          <w:rFonts w:hint="eastAsia"/>
          <w:kern w:val="0"/>
        </w:rPr>
        <w:t>厚的粘土保护层，压实系数</w:t>
      </w:r>
      <w:r>
        <w:rPr>
          <w:kern w:val="0"/>
        </w:rPr>
        <w:t>0.90</w:t>
      </w:r>
      <w:r>
        <w:rPr>
          <w:rFonts w:hint="eastAsia"/>
          <w:kern w:val="0"/>
        </w:rPr>
        <w:t>。</w:t>
      </w:r>
    </w:p>
    <w:bookmarkEnd w:id="50"/>
    <w:p>
      <w:pPr>
        <w:pStyle w:val="4"/>
      </w:pPr>
      <w:r>
        <w:rPr>
          <w:rFonts w:hint="eastAsia"/>
        </w:rPr>
        <w:t>集排系统工程</w:t>
      </w:r>
    </w:p>
    <w:p>
      <w:pPr>
        <w:ind w:firstLine="480"/>
      </w:pPr>
      <w:r>
        <w:rPr>
          <w:rFonts w:hint="eastAsia"/>
        </w:rPr>
        <w:t>周边雨水汇入环场截洪沟和排水沟直接排出，</w:t>
      </w:r>
    </w:p>
    <w:p>
      <w:pPr>
        <w:ind w:firstLine="480"/>
      </w:pPr>
      <w:r>
        <w:t>2.3.4.1</w:t>
      </w:r>
      <w:r>
        <w:rPr>
          <w:rFonts w:hint="eastAsia"/>
        </w:rPr>
        <w:t>截排水沟建设</w:t>
      </w:r>
    </w:p>
    <w:p>
      <w:pPr>
        <w:ind w:firstLine="480"/>
      </w:pPr>
      <w:r>
        <w:rPr>
          <w:rFonts w:hint="eastAsia"/>
        </w:rPr>
        <w:t>环场截排水沟采用矩形段面，其中截水沟</w:t>
      </w:r>
      <w:r>
        <w:t>520m</w:t>
      </w:r>
      <w:r>
        <w:rPr>
          <w:rFonts w:hint="eastAsia"/>
        </w:rPr>
        <w:t>，排水沟</w:t>
      </w:r>
      <w:r>
        <w:t>370m</w:t>
      </w:r>
      <w:r>
        <w:rPr>
          <w:rFonts w:hint="eastAsia"/>
        </w:rPr>
        <w:t>。截水沟底宽</w:t>
      </w:r>
      <w:r>
        <w:t>0.5m</w:t>
      </w:r>
      <w:r>
        <w:rPr>
          <w:rFonts w:hint="eastAsia"/>
        </w:rPr>
        <w:t>，深</w:t>
      </w:r>
      <w:r>
        <w:t xml:space="preserve">0.5m </w:t>
      </w:r>
      <w:r>
        <w:rPr>
          <w:rFonts w:hint="eastAsia"/>
        </w:rPr>
        <w:t>，采用浆砌石结构，截水沟两侧厚</w:t>
      </w:r>
      <w:r>
        <w:t>0.3m</w:t>
      </w:r>
      <w:r>
        <w:rPr>
          <w:rFonts w:hint="eastAsia"/>
        </w:rPr>
        <w:t>，底厚</w:t>
      </w:r>
      <w:r>
        <w:t>0.3m</w:t>
      </w:r>
      <w:r>
        <w:rPr>
          <w:rFonts w:hint="eastAsia"/>
        </w:rPr>
        <w:t>，底部为</w:t>
      </w:r>
      <w:r>
        <w:t>0.1m</w:t>
      </w:r>
      <w:r>
        <w:rPr>
          <w:rFonts w:hint="eastAsia"/>
        </w:rPr>
        <w:t>厚的</w:t>
      </w:r>
      <w:r>
        <w:t>C10</w:t>
      </w:r>
      <w:r>
        <w:rPr>
          <w:rFonts w:hint="eastAsia"/>
        </w:rPr>
        <w:t>混凝土垫层，水泥砂浆抹面。排水沟宽深均为</w:t>
      </w:r>
      <w:r>
        <w:t>0.4m</w:t>
      </w:r>
      <w:r>
        <w:rPr>
          <w:rFonts w:hint="eastAsia"/>
        </w:rPr>
        <w:t>，排水沟两侧厚</w:t>
      </w:r>
      <w:r>
        <w:t>0.2m</w:t>
      </w:r>
      <w:r>
        <w:rPr>
          <w:rFonts w:hint="eastAsia"/>
        </w:rPr>
        <w:t>，底厚</w:t>
      </w:r>
      <w:r>
        <w:t>0.2m</w:t>
      </w:r>
      <w:r>
        <w:rPr>
          <w:rFonts w:hint="eastAsia"/>
        </w:rPr>
        <w:t>，底部为</w:t>
      </w:r>
      <w:r>
        <w:t>0.1m</w:t>
      </w:r>
      <w:r>
        <w:rPr>
          <w:rFonts w:hint="eastAsia"/>
        </w:rPr>
        <w:t>厚的</w:t>
      </w:r>
      <w:r>
        <w:t>C10</w:t>
      </w:r>
      <w:r>
        <w:rPr>
          <w:rFonts w:hint="eastAsia"/>
        </w:rPr>
        <w:t>混凝土垫层，水泥砂浆抹面。</w:t>
      </w:r>
    </w:p>
    <w:p>
      <w:pPr>
        <w:ind w:firstLine="480"/>
      </w:pPr>
      <w:r>
        <w:t>2.3.4.2</w:t>
      </w:r>
      <w:r>
        <w:rPr>
          <w:rFonts w:hint="eastAsia"/>
        </w:rPr>
        <w:t>地下水集排系统</w:t>
      </w:r>
    </w:p>
    <w:p>
      <w:pPr>
        <w:ind w:firstLine="480"/>
      </w:pPr>
      <w:r>
        <w:rPr>
          <w:rFonts w:hint="eastAsia"/>
        </w:rPr>
        <w:t>项目渗滤液收集系统由疏水层加收集管组成。场底疏水层采用</w:t>
      </w:r>
      <w:r>
        <w:t>0.3m</w:t>
      </w:r>
      <w:r>
        <w:rPr>
          <w:rFonts w:hint="eastAsia"/>
        </w:rPr>
        <w:t>厚卵石，平铺于整个场底，卵石层上设无纺土工布作为反滤层。边坡疏水层由</w:t>
      </w:r>
      <w:r>
        <w:t>HDPE</w:t>
      </w:r>
      <w:r>
        <w:rPr>
          <w:rFonts w:hint="eastAsia"/>
        </w:rPr>
        <w:t>土工网格代替卵石层。在沿场底中央自下而上铺设了</w:t>
      </w:r>
      <w:r>
        <w:t>HDPE</w:t>
      </w:r>
      <w:r>
        <w:rPr>
          <w:rFonts w:hint="eastAsia"/>
        </w:rPr>
        <w:t>开孔管作为渗滤液收集主管，其水利坡度为</w:t>
      </w:r>
      <w:r>
        <w:t>2%</w:t>
      </w:r>
      <w:r>
        <w:rPr>
          <w:rFonts w:hint="eastAsia"/>
        </w:rPr>
        <w:t>，收集主管全部埋设于卵石层内。沿收集主管按照一定角度和距离布设渗滤液收集支管，支管内的污水汇入主管内。</w:t>
      </w:r>
    </w:p>
    <w:p>
      <w:pPr>
        <w:ind w:firstLine="480"/>
      </w:pPr>
      <w:r>
        <w:t>2.3.4.3</w:t>
      </w:r>
      <w:r>
        <w:rPr>
          <w:rFonts w:hint="eastAsia"/>
        </w:rPr>
        <w:t>渗滤液导出系统</w:t>
      </w:r>
    </w:p>
    <w:p>
      <w:pPr>
        <w:ind w:firstLine="480"/>
      </w:pPr>
      <w:r>
        <w:rPr>
          <w:rFonts w:hint="eastAsia"/>
        </w:rPr>
        <w:t>填埋场渗滤液通过疏水层进入收集主管后，通过一根</w:t>
      </w:r>
      <w:r>
        <w:t>DN300mmHDPE</w:t>
      </w:r>
      <w:r>
        <w:rPr>
          <w:rFonts w:hint="eastAsia"/>
        </w:rPr>
        <w:t>穿坝管接入滤液收集池，然后统一外运至有资质单位处理。</w:t>
      </w:r>
    </w:p>
    <w:p>
      <w:pPr>
        <w:ind w:firstLine="480"/>
      </w:pPr>
      <w:r>
        <w:t>2.3.4.4</w:t>
      </w:r>
      <w:r>
        <w:rPr>
          <w:rFonts w:hint="eastAsia"/>
        </w:rPr>
        <w:t>滤液收集池</w:t>
      </w:r>
    </w:p>
    <w:p>
      <w:pPr>
        <w:ind w:firstLine="480"/>
        <w:rPr>
          <w:u w:val="single"/>
        </w:rPr>
      </w:pPr>
      <w:r>
        <w:rPr>
          <w:rFonts w:hint="eastAsia"/>
          <w:u w:val="single"/>
        </w:rPr>
        <w:t>项目填埋场库区面积约</w:t>
      </w:r>
      <w:r>
        <w:rPr>
          <w:u w:val="single"/>
        </w:rPr>
        <w:t>1.2</w:t>
      </w:r>
      <w:r>
        <w:rPr>
          <w:rFonts w:hint="eastAsia"/>
          <w:u w:val="single"/>
        </w:rPr>
        <w:t>万</w:t>
      </w:r>
      <w:r>
        <w:rPr>
          <w:u w:val="single"/>
        </w:rPr>
        <w:t>m</w:t>
      </w:r>
      <w:r>
        <w:rPr>
          <w:u w:val="single"/>
          <w:vertAlign w:val="superscript"/>
        </w:rPr>
        <w:t>2</w:t>
      </w:r>
      <w:r>
        <w:rPr>
          <w:rFonts w:hint="eastAsia"/>
          <w:u w:val="single"/>
        </w:rPr>
        <w:t>，根据项目技术方案，本项目设计渗滤液收集池尺寸为</w:t>
      </w:r>
      <w:r>
        <w:rPr>
          <w:u w:val="single"/>
        </w:rPr>
        <w:t>L</w:t>
      </w:r>
      <w:r>
        <w:rPr>
          <w:rFonts w:hint="eastAsia"/>
          <w:u w:val="single"/>
        </w:rPr>
        <w:t>×</w:t>
      </w:r>
      <w:r>
        <w:rPr>
          <w:u w:val="single"/>
        </w:rPr>
        <w:t>B</w:t>
      </w:r>
      <w:r>
        <w:rPr>
          <w:rFonts w:hint="eastAsia"/>
          <w:u w:val="single"/>
        </w:rPr>
        <w:t>×</w:t>
      </w:r>
      <w:r>
        <w:rPr>
          <w:u w:val="single"/>
        </w:rPr>
        <w:t>H</w:t>
      </w:r>
      <w:r>
        <w:rPr>
          <w:rFonts w:hint="eastAsia"/>
          <w:u w:val="single"/>
        </w:rPr>
        <w:t>：</w:t>
      </w:r>
      <w:r>
        <w:rPr>
          <w:u w:val="single"/>
        </w:rPr>
        <w:t>6.0</w:t>
      </w:r>
      <w:r>
        <w:rPr>
          <w:rFonts w:hint="eastAsia"/>
          <w:u w:val="single"/>
        </w:rPr>
        <w:t>×</w:t>
      </w:r>
      <w:r>
        <w:rPr>
          <w:u w:val="single"/>
        </w:rPr>
        <w:t>5.0</w:t>
      </w:r>
      <w:r>
        <w:rPr>
          <w:rFonts w:hint="eastAsia"/>
          <w:u w:val="single"/>
        </w:rPr>
        <w:t>×</w:t>
      </w:r>
      <w:r>
        <w:rPr>
          <w:u w:val="single"/>
        </w:rPr>
        <w:t>3.0=90m</w:t>
      </w:r>
      <w:r>
        <w:rPr>
          <w:u w:val="single"/>
          <w:vertAlign w:val="superscript"/>
        </w:rPr>
        <w:t>3</w:t>
      </w:r>
      <w:r>
        <w:rPr>
          <w:rFonts w:hint="eastAsia"/>
          <w:u w:val="single"/>
        </w:rPr>
        <w:t>。根据计算项目填埋期为2个月，为秋冬季，降雨量较小，其渗滤液产生量为331.2</w:t>
      </w:r>
      <w:r>
        <w:rPr>
          <w:u w:val="single"/>
        </w:rPr>
        <w:t>m</w:t>
      </w:r>
      <w:r>
        <w:rPr>
          <w:u w:val="single"/>
          <w:vertAlign w:val="superscript"/>
        </w:rPr>
        <w:t>3</w:t>
      </w:r>
      <w:r>
        <w:rPr>
          <w:u w:val="single"/>
        </w:rPr>
        <w:t>/d</w:t>
      </w:r>
      <w:r>
        <w:rPr>
          <w:rFonts w:hint="eastAsia"/>
          <w:u w:val="single"/>
        </w:rPr>
        <w:t>，收集的渗滤液根据收集池情况由密封车外送至有资质单位处理，渗滤液处理协议见附件3。</w:t>
      </w:r>
    </w:p>
    <w:p>
      <w:pPr>
        <w:pStyle w:val="4"/>
        <w:numPr>
          <w:ilvl w:val="2"/>
          <w:numId w:val="0"/>
        </w:numPr>
      </w:pPr>
      <w:r>
        <w:t>2.3.5</w:t>
      </w:r>
      <w:r>
        <w:rPr>
          <w:rFonts w:hint="eastAsia"/>
        </w:rPr>
        <w:t>道路工程</w:t>
      </w:r>
    </w:p>
    <w:p>
      <w:pPr>
        <w:ind w:firstLine="480"/>
      </w:pPr>
      <w:r>
        <w:rPr>
          <w:rFonts w:hint="eastAsia"/>
        </w:rPr>
        <w:t>云溪区工业固体废物处置场道路包括进场道路、处置场作业道路，利用采石场原有道路，不另行建设，施工便道总长约</w:t>
      </w:r>
      <w:r>
        <w:t>1415m</w:t>
      </w:r>
      <w:r>
        <w:rPr>
          <w:rFonts w:hint="eastAsia"/>
        </w:rPr>
        <w:t>，路面宽度为</w:t>
      </w:r>
      <w:r>
        <w:t>4.5m</w:t>
      </w:r>
      <w:r>
        <w:rPr>
          <w:rFonts w:hint="eastAsia"/>
        </w:rPr>
        <w:t>，占地面积约</w:t>
      </w:r>
      <w:r>
        <w:t>6367.5m</w:t>
      </w:r>
      <w:r>
        <w:rPr>
          <w:vertAlign w:val="superscript"/>
        </w:rPr>
        <w:t>2</w:t>
      </w:r>
      <w:r>
        <w:rPr>
          <w:rFonts w:hint="eastAsia"/>
        </w:rPr>
        <w:t>。</w:t>
      </w:r>
    </w:p>
    <w:p>
      <w:pPr>
        <w:pStyle w:val="4"/>
      </w:pPr>
      <w:r>
        <w:rPr>
          <w:rFonts w:hint="eastAsia"/>
        </w:rPr>
        <w:t>其他</w:t>
      </w:r>
    </w:p>
    <w:p>
      <w:pPr>
        <w:ind w:firstLine="480"/>
      </w:pPr>
      <w:r>
        <w:rPr>
          <w:rFonts w:hint="eastAsia"/>
        </w:rPr>
        <w:t>根据建设单位提供资料，项目填埋期为</w:t>
      </w:r>
      <w:r>
        <w:t>2</w:t>
      </w:r>
      <w:r>
        <w:rPr>
          <w:rFonts w:hint="eastAsia"/>
        </w:rPr>
        <w:t>个月，在将工业固废渣全部运送至本项目填埋场后，立即封场，不接收其他工业固废，项目配备填埋作业人员</w:t>
      </w:r>
      <w:r>
        <w:t>10</w:t>
      </w:r>
      <w:r>
        <w:rPr>
          <w:rFonts w:hint="eastAsia"/>
        </w:rPr>
        <w:t>人，为当地居民，早出晚归，不集中安排食宿。</w:t>
      </w:r>
    </w:p>
    <w:p>
      <w:pPr>
        <w:pStyle w:val="3"/>
      </w:pPr>
      <w:bookmarkStart w:id="51" w:name="_Toc462818414"/>
      <w:r>
        <w:rPr>
          <w:rFonts w:hint="eastAsia"/>
        </w:rPr>
        <w:t>主要设备</w:t>
      </w:r>
      <w:bookmarkEnd w:id="51"/>
    </w:p>
    <w:p>
      <w:pPr>
        <w:ind w:firstLine="480"/>
      </w:pPr>
      <w:r>
        <w:rPr>
          <w:rFonts w:hint="eastAsia"/>
        </w:rPr>
        <w:t>本工程主要设备见表</w:t>
      </w:r>
      <w:r>
        <w:t>2.4-1</w:t>
      </w:r>
      <w:r>
        <w:rPr>
          <w:rFonts w:hint="eastAsia"/>
        </w:rPr>
        <w:t>。</w:t>
      </w:r>
    </w:p>
    <w:p>
      <w:pPr>
        <w:pStyle w:val="14"/>
      </w:pPr>
      <w:r>
        <w:rPr>
          <w:rFonts w:hint="eastAsia"/>
        </w:rPr>
        <w:t>表</w:t>
      </w:r>
      <w:r>
        <w:fldChar w:fldCharType="begin"/>
      </w:r>
      <w:r>
        <w:instrText xml:space="preserve"> STYLEREF 2 \s </w:instrText>
      </w:r>
      <w:r>
        <w:fldChar w:fldCharType="separate"/>
      </w:r>
      <w:r>
        <w:t>2.4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固体废物处置场作业机械设备表</w:t>
      </w:r>
    </w:p>
    <w:tbl>
      <w:tblPr>
        <w:tblStyle w:val="35"/>
        <w:tblW w:w="83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12"/>
        <w:gridCol w:w="1617"/>
        <w:gridCol w:w="4870"/>
        <w:gridCol w:w="641"/>
        <w:gridCol w:w="6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285" w:hRule="atLeast"/>
          <w:jc w:val="center"/>
        </w:trPr>
        <w:tc>
          <w:tcPr>
            <w:tcW w:w="612" w:type="dxa"/>
            <w:vAlign w:val="center"/>
          </w:tcPr>
          <w:p>
            <w:pPr>
              <w:pStyle w:val="37"/>
            </w:pPr>
            <w:r>
              <w:rPr>
                <w:rFonts w:hint="eastAsia"/>
              </w:rPr>
              <w:t>序号</w:t>
            </w:r>
          </w:p>
        </w:tc>
        <w:tc>
          <w:tcPr>
            <w:tcW w:w="1617" w:type="dxa"/>
            <w:vAlign w:val="center"/>
          </w:tcPr>
          <w:p>
            <w:pPr>
              <w:pStyle w:val="37"/>
            </w:pPr>
            <w:r>
              <w:rPr>
                <w:rFonts w:hint="eastAsia"/>
              </w:rPr>
              <w:t>设备及材料名称</w:t>
            </w:r>
          </w:p>
        </w:tc>
        <w:tc>
          <w:tcPr>
            <w:tcW w:w="4870" w:type="dxa"/>
            <w:vAlign w:val="center"/>
          </w:tcPr>
          <w:p>
            <w:pPr>
              <w:pStyle w:val="37"/>
            </w:pPr>
            <w:r>
              <w:rPr>
                <w:rFonts w:hint="eastAsia"/>
              </w:rPr>
              <w:t>型号及主要规格</w:t>
            </w:r>
          </w:p>
        </w:tc>
        <w:tc>
          <w:tcPr>
            <w:tcW w:w="641" w:type="dxa"/>
            <w:vAlign w:val="center"/>
          </w:tcPr>
          <w:p>
            <w:pPr>
              <w:pStyle w:val="37"/>
            </w:pPr>
            <w:r>
              <w:rPr>
                <w:rFonts w:hint="eastAsia"/>
              </w:rPr>
              <w:t>单位</w:t>
            </w:r>
          </w:p>
        </w:tc>
        <w:tc>
          <w:tcPr>
            <w:tcW w:w="622" w:type="dxa"/>
            <w:vAlign w:val="center"/>
          </w:tcPr>
          <w:p>
            <w:pPr>
              <w:pStyle w:val="37"/>
            </w:pPr>
            <w:r>
              <w:rPr>
                <w:rFonts w:hint="eastAsia"/>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66" w:hRule="atLeast"/>
          <w:jc w:val="center"/>
        </w:trPr>
        <w:tc>
          <w:tcPr>
            <w:tcW w:w="612" w:type="dxa"/>
            <w:vAlign w:val="center"/>
          </w:tcPr>
          <w:p>
            <w:pPr>
              <w:pStyle w:val="37"/>
            </w:pPr>
            <w:r>
              <w:t>1</w:t>
            </w:r>
          </w:p>
        </w:tc>
        <w:tc>
          <w:tcPr>
            <w:tcW w:w="1617" w:type="dxa"/>
            <w:vAlign w:val="center"/>
          </w:tcPr>
          <w:p>
            <w:pPr>
              <w:pStyle w:val="37"/>
              <w:rPr>
                <w:lang w:eastAsia="ja-JP"/>
              </w:rPr>
            </w:pPr>
            <w:r>
              <w:rPr>
                <w:rFonts w:hint="eastAsia"/>
                <w:lang w:eastAsia="ja-JP"/>
              </w:rPr>
              <w:t>履带式推土机</w:t>
            </w:r>
          </w:p>
        </w:tc>
        <w:tc>
          <w:tcPr>
            <w:tcW w:w="4870" w:type="dxa"/>
            <w:vAlign w:val="center"/>
          </w:tcPr>
          <w:p>
            <w:pPr>
              <w:pStyle w:val="37"/>
            </w:pPr>
            <w:r>
              <w:t>TSY220</w:t>
            </w:r>
            <w:r>
              <w:rPr>
                <w:rFonts w:hint="eastAsia"/>
              </w:rPr>
              <w:t>，</w:t>
            </w:r>
            <w:r>
              <w:t>N=162kw</w:t>
            </w:r>
            <w:r>
              <w:rPr>
                <w:rFonts w:hint="eastAsia"/>
              </w:rPr>
              <w:t>最大输出功率：不小于</w:t>
            </w:r>
            <w:r>
              <w:t>160KW</w:t>
            </w:r>
            <w:r>
              <w:rPr>
                <w:rFonts w:hint="eastAsia"/>
              </w:rPr>
              <w:t>（</w:t>
            </w:r>
            <w:r>
              <w:t>1800rmp</w:t>
            </w:r>
            <w:r>
              <w:rPr>
                <w:rFonts w:hint="eastAsia"/>
              </w:rPr>
              <w:t>），传送：</w:t>
            </w:r>
            <w:r>
              <w:t>3</w:t>
            </w:r>
            <w:r>
              <w:rPr>
                <w:rFonts w:hint="eastAsia"/>
              </w:rPr>
              <w:t>前进，</w:t>
            </w:r>
            <w:r>
              <w:t>2</w:t>
            </w:r>
            <w:r>
              <w:rPr>
                <w:rFonts w:hint="eastAsia"/>
              </w:rPr>
              <w:t>后退，有效重量：不小于</w:t>
            </w:r>
            <w:r>
              <w:t>23</w:t>
            </w:r>
            <w:r>
              <w:rPr>
                <w:rFonts w:hint="eastAsia"/>
              </w:rPr>
              <w:t>吨。总长</w:t>
            </w:r>
            <w:r>
              <w:t>6100mm</w:t>
            </w:r>
            <w:r>
              <w:rPr>
                <w:rFonts w:hint="eastAsia"/>
              </w:rPr>
              <w:t>，总高</w:t>
            </w:r>
            <w:r>
              <w:t>3500mm</w:t>
            </w:r>
            <w:r>
              <w:rPr>
                <w:rFonts w:hint="eastAsia"/>
              </w:rPr>
              <w:t>，发动机：水冷式，</w:t>
            </w:r>
            <w:r>
              <w:t>4</w:t>
            </w:r>
            <w:r>
              <w:rPr>
                <w:rFonts w:hint="eastAsia"/>
              </w:rPr>
              <w:t>循环柴油发动机</w:t>
            </w:r>
          </w:p>
        </w:tc>
        <w:tc>
          <w:tcPr>
            <w:tcW w:w="641" w:type="dxa"/>
            <w:vAlign w:val="center"/>
          </w:tcPr>
          <w:p>
            <w:pPr>
              <w:pStyle w:val="37"/>
            </w:pPr>
            <w:r>
              <w:rPr>
                <w:rFonts w:hint="eastAsia"/>
              </w:rPr>
              <w:t>台</w:t>
            </w:r>
          </w:p>
        </w:tc>
        <w:tc>
          <w:tcPr>
            <w:tcW w:w="622" w:type="dxa"/>
            <w:vAlign w:val="center"/>
          </w:tcPr>
          <w:p>
            <w:pPr>
              <w:pStyle w:val="3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861" w:hRule="atLeast"/>
          <w:jc w:val="center"/>
        </w:trPr>
        <w:tc>
          <w:tcPr>
            <w:tcW w:w="612" w:type="dxa"/>
            <w:vAlign w:val="center"/>
          </w:tcPr>
          <w:p>
            <w:pPr>
              <w:pStyle w:val="37"/>
            </w:pPr>
            <w:r>
              <w:t>2</w:t>
            </w:r>
          </w:p>
        </w:tc>
        <w:tc>
          <w:tcPr>
            <w:tcW w:w="1617" w:type="dxa"/>
            <w:vAlign w:val="center"/>
          </w:tcPr>
          <w:p>
            <w:pPr>
              <w:pStyle w:val="37"/>
              <w:rPr>
                <w:lang w:eastAsia="ja-JP"/>
              </w:rPr>
            </w:pPr>
            <w:r>
              <w:rPr>
                <w:rFonts w:hint="eastAsia"/>
                <w:lang w:eastAsia="ja-JP"/>
              </w:rPr>
              <w:t>轮式装载机</w:t>
            </w:r>
          </w:p>
        </w:tc>
        <w:tc>
          <w:tcPr>
            <w:tcW w:w="4870" w:type="dxa"/>
            <w:vAlign w:val="center"/>
          </w:tcPr>
          <w:p>
            <w:pPr>
              <w:pStyle w:val="37"/>
            </w:pPr>
            <w:r>
              <w:rPr>
                <w:rFonts w:hint="eastAsia"/>
              </w:rPr>
              <w:t>最大输出功率：不小于</w:t>
            </w:r>
            <w:r>
              <w:t>118KW</w:t>
            </w:r>
            <w:r>
              <w:rPr>
                <w:rFonts w:hint="eastAsia"/>
              </w:rPr>
              <w:t>（</w:t>
            </w:r>
            <w:r>
              <w:t>2200rmp</w:t>
            </w:r>
            <w:r>
              <w:rPr>
                <w:rFonts w:hint="eastAsia"/>
              </w:rPr>
              <w:t>），传送：</w:t>
            </w:r>
            <w:r>
              <w:t>2</w:t>
            </w:r>
            <w:r>
              <w:rPr>
                <w:rFonts w:hint="eastAsia"/>
              </w:rPr>
              <w:t>前进，</w:t>
            </w:r>
            <w:r>
              <w:t>1</w:t>
            </w:r>
            <w:r>
              <w:rPr>
                <w:rFonts w:hint="eastAsia"/>
              </w:rPr>
              <w:t>后退；最大速度：</w:t>
            </w:r>
            <w:r>
              <w:t xml:space="preserve">33km/h </w:t>
            </w:r>
            <w:r>
              <w:rPr>
                <w:rFonts w:hint="eastAsia"/>
              </w:rPr>
              <w:t>（前进），</w:t>
            </w:r>
            <w:r>
              <w:t xml:space="preserve">13km/h </w:t>
            </w:r>
            <w:r>
              <w:rPr>
                <w:rFonts w:hint="eastAsia"/>
              </w:rPr>
              <w:t>（后退），有效重量：不小于</w:t>
            </w:r>
            <w:r>
              <w:t>13</w:t>
            </w:r>
            <w:r>
              <w:rPr>
                <w:rFonts w:hint="eastAsia"/>
              </w:rPr>
              <w:t>吨；总长</w:t>
            </w:r>
            <w:r>
              <w:t>7000mm</w:t>
            </w:r>
            <w:r>
              <w:rPr>
                <w:rFonts w:hint="eastAsia"/>
              </w:rPr>
              <w:t>，总高</w:t>
            </w:r>
            <w:r>
              <w:t>2500mm</w:t>
            </w:r>
            <w:r>
              <w:rPr>
                <w:rFonts w:hint="eastAsia"/>
              </w:rPr>
              <w:t>，铲斗容积</w:t>
            </w:r>
            <w:r>
              <w:t>2.1m</w:t>
            </w:r>
            <w:r>
              <w:rPr>
                <w:vertAlign w:val="superscript"/>
              </w:rPr>
              <w:t>3</w:t>
            </w:r>
            <w:r>
              <w:rPr>
                <w:rFonts w:hint="eastAsia"/>
              </w:rPr>
              <w:t>，宽</w:t>
            </w:r>
            <w:r>
              <w:t>2700mm</w:t>
            </w:r>
            <w:r>
              <w:rPr>
                <w:rFonts w:hint="eastAsia"/>
              </w:rPr>
              <w:t>；发动机为水冷式，</w:t>
            </w:r>
            <w:r>
              <w:t>4</w:t>
            </w:r>
            <w:r>
              <w:rPr>
                <w:rFonts w:hint="eastAsia"/>
              </w:rPr>
              <w:t>循环柴油发动机</w:t>
            </w:r>
          </w:p>
        </w:tc>
        <w:tc>
          <w:tcPr>
            <w:tcW w:w="641" w:type="dxa"/>
            <w:vAlign w:val="center"/>
          </w:tcPr>
          <w:p>
            <w:pPr>
              <w:pStyle w:val="37"/>
            </w:pPr>
            <w:r>
              <w:rPr>
                <w:rFonts w:hint="eastAsia"/>
              </w:rPr>
              <w:t>台</w:t>
            </w:r>
          </w:p>
        </w:tc>
        <w:tc>
          <w:tcPr>
            <w:tcW w:w="622" w:type="dxa"/>
            <w:vAlign w:val="center"/>
          </w:tcPr>
          <w:p>
            <w:pPr>
              <w:pStyle w:val="3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262" w:hRule="atLeast"/>
          <w:jc w:val="center"/>
        </w:trPr>
        <w:tc>
          <w:tcPr>
            <w:tcW w:w="612" w:type="dxa"/>
            <w:vAlign w:val="top"/>
          </w:tcPr>
          <w:p>
            <w:pPr>
              <w:pStyle w:val="37"/>
            </w:pPr>
            <w:r>
              <w:t>3</w:t>
            </w:r>
          </w:p>
        </w:tc>
        <w:tc>
          <w:tcPr>
            <w:tcW w:w="1617" w:type="dxa"/>
            <w:vAlign w:val="top"/>
          </w:tcPr>
          <w:p>
            <w:pPr>
              <w:pStyle w:val="37"/>
            </w:pPr>
            <w:r>
              <w:rPr>
                <w:rFonts w:hint="eastAsia"/>
              </w:rPr>
              <w:t>自卸车</w:t>
            </w:r>
          </w:p>
        </w:tc>
        <w:tc>
          <w:tcPr>
            <w:tcW w:w="4870" w:type="dxa"/>
            <w:vAlign w:val="center"/>
          </w:tcPr>
          <w:p>
            <w:pPr>
              <w:pStyle w:val="37"/>
            </w:pPr>
            <w:r>
              <w:t>SQ140L</w:t>
            </w:r>
            <w:r>
              <w:rPr>
                <w:rFonts w:hint="eastAsia"/>
              </w:rPr>
              <w:t>，底盘型号</w:t>
            </w:r>
            <w:r>
              <w:t>:EQ140L</w:t>
            </w:r>
          </w:p>
        </w:tc>
        <w:tc>
          <w:tcPr>
            <w:tcW w:w="641" w:type="dxa"/>
            <w:vAlign w:val="center"/>
          </w:tcPr>
          <w:p>
            <w:pPr>
              <w:pStyle w:val="37"/>
            </w:pPr>
            <w:r>
              <w:rPr>
                <w:rFonts w:hint="eastAsia"/>
              </w:rPr>
              <w:t>辆</w:t>
            </w:r>
          </w:p>
        </w:tc>
        <w:tc>
          <w:tcPr>
            <w:tcW w:w="622" w:type="dxa"/>
            <w:vAlign w:val="center"/>
          </w:tcPr>
          <w:p>
            <w:pPr>
              <w:pStyle w:val="37"/>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1617" w:hRule="atLeast"/>
          <w:jc w:val="center"/>
        </w:trPr>
        <w:tc>
          <w:tcPr>
            <w:tcW w:w="612" w:type="dxa"/>
            <w:vAlign w:val="center"/>
          </w:tcPr>
          <w:p>
            <w:pPr>
              <w:pStyle w:val="37"/>
            </w:pPr>
            <w:r>
              <w:t>4</w:t>
            </w:r>
          </w:p>
        </w:tc>
        <w:tc>
          <w:tcPr>
            <w:tcW w:w="1617" w:type="dxa"/>
            <w:vAlign w:val="center"/>
          </w:tcPr>
          <w:p>
            <w:pPr>
              <w:pStyle w:val="37"/>
            </w:pPr>
            <w:r>
              <w:rPr>
                <w:rFonts w:hint="eastAsia"/>
              </w:rPr>
              <w:t>挖掘机</w:t>
            </w:r>
          </w:p>
        </w:tc>
        <w:tc>
          <w:tcPr>
            <w:tcW w:w="4870" w:type="dxa"/>
            <w:vAlign w:val="center"/>
          </w:tcPr>
          <w:p>
            <w:pPr>
              <w:pStyle w:val="37"/>
            </w:pPr>
            <w:r>
              <w:rPr>
                <w:rFonts w:hint="eastAsia"/>
              </w:rPr>
              <w:t>最大输出功率：大于</w:t>
            </w:r>
            <w:r>
              <w:t>96KW</w:t>
            </w:r>
            <w:r>
              <w:rPr>
                <w:rFonts w:hint="eastAsia"/>
              </w:rPr>
              <w:t>（</w:t>
            </w:r>
            <w:r>
              <w:t>2000rmp</w:t>
            </w:r>
            <w:r>
              <w:rPr>
                <w:rFonts w:hint="eastAsia"/>
              </w:rPr>
              <w:t>），传送：</w:t>
            </w:r>
            <w:r>
              <w:t>3</w:t>
            </w:r>
            <w:r>
              <w:rPr>
                <w:rFonts w:hint="eastAsia"/>
              </w:rPr>
              <w:t>前进，</w:t>
            </w:r>
            <w:r>
              <w:t>3</w:t>
            </w:r>
            <w:r>
              <w:rPr>
                <w:rFonts w:hint="eastAsia"/>
              </w:rPr>
              <w:t>后退，最大速度：</w:t>
            </w:r>
            <w:r>
              <w:t xml:space="preserve">3.8km/h </w:t>
            </w:r>
            <w:r>
              <w:rPr>
                <w:rFonts w:hint="eastAsia"/>
              </w:rPr>
              <w:t>前进；有效重量：不小于</w:t>
            </w:r>
            <w:r>
              <w:t>19</w:t>
            </w:r>
            <w:r>
              <w:rPr>
                <w:rFonts w:hint="eastAsia"/>
              </w:rPr>
              <w:t>吨</w:t>
            </w:r>
            <w:r>
              <w:t>(</w:t>
            </w:r>
            <w:r>
              <w:rPr>
                <w:rFonts w:hint="eastAsia"/>
              </w:rPr>
              <w:t>包括主杆、臂和挖斗重量</w:t>
            </w:r>
            <w:r>
              <w:t>)</w:t>
            </w:r>
            <w:r>
              <w:rPr>
                <w:rFonts w:hint="eastAsia"/>
              </w:rPr>
              <w:t>；尺寸总长</w:t>
            </w:r>
            <w:r>
              <w:t>9400mm</w:t>
            </w:r>
            <w:r>
              <w:rPr>
                <w:rFonts w:hint="eastAsia"/>
              </w:rPr>
              <w:t>，总宽</w:t>
            </w:r>
            <w:r>
              <w:t>2800mm</w:t>
            </w:r>
            <w:r>
              <w:rPr>
                <w:rFonts w:hint="eastAsia"/>
              </w:rPr>
              <w:t>，总高</w:t>
            </w:r>
            <w:r>
              <w:t>2900mm</w:t>
            </w:r>
            <w:r>
              <w:rPr>
                <w:rFonts w:hint="eastAsia"/>
              </w:rPr>
              <w:t>；挖斗总宽</w:t>
            </w:r>
            <w:r>
              <w:t>1000mm</w:t>
            </w:r>
            <w:r>
              <w:rPr>
                <w:rFonts w:hint="eastAsia"/>
              </w:rPr>
              <w:t>，容积</w:t>
            </w:r>
            <w:r>
              <w:t>0.8m3</w:t>
            </w:r>
            <w:r>
              <w:rPr>
                <w:rFonts w:hint="eastAsia"/>
              </w:rPr>
              <w:t>；发动机为水冷式，</w:t>
            </w:r>
            <w:r>
              <w:t>4</w:t>
            </w:r>
            <w:r>
              <w:rPr>
                <w:rFonts w:hint="eastAsia"/>
              </w:rPr>
              <w:t>循环柴油发动机</w:t>
            </w:r>
          </w:p>
        </w:tc>
        <w:tc>
          <w:tcPr>
            <w:tcW w:w="641" w:type="dxa"/>
            <w:vAlign w:val="center"/>
          </w:tcPr>
          <w:p>
            <w:pPr>
              <w:pStyle w:val="37"/>
            </w:pPr>
            <w:r>
              <w:rPr>
                <w:rFonts w:hint="eastAsia"/>
              </w:rPr>
              <w:t>台</w:t>
            </w:r>
          </w:p>
        </w:tc>
        <w:tc>
          <w:tcPr>
            <w:tcW w:w="622" w:type="dxa"/>
            <w:vAlign w:val="center"/>
          </w:tcPr>
          <w:p>
            <w:pPr>
              <w:pStyle w:val="37"/>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306" w:hRule="atLeast"/>
          <w:jc w:val="center"/>
        </w:trPr>
        <w:tc>
          <w:tcPr>
            <w:tcW w:w="612" w:type="dxa"/>
            <w:vAlign w:val="top"/>
          </w:tcPr>
          <w:p>
            <w:pPr>
              <w:pStyle w:val="37"/>
            </w:pPr>
            <w:r>
              <w:t>5</w:t>
            </w:r>
          </w:p>
        </w:tc>
        <w:tc>
          <w:tcPr>
            <w:tcW w:w="1617" w:type="dxa"/>
            <w:vAlign w:val="center"/>
          </w:tcPr>
          <w:p>
            <w:pPr>
              <w:pStyle w:val="37"/>
            </w:pPr>
            <w:r>
              <w:rPr>
                <w:rFonts w:hint="eastAsia"/>
              </w:rPr>
              <w:t>洒水车</w:t>
            </w:r>
          </w:p>
        </w:tc>
        <w:tc>
          <w:tcPr>
            <w:tcW w:w="4870" w:type="dxa"/>
            <w:vAlign w:val="center"/>
          </w:tcPr>
          <w:p>
            <w:pPr>
              <w:pStyle w:val="37"/>
            </w:pPr>
            <w:r>
              <w:t>5t</w:t>
            </w:r>
          </w:p>
        </w:tc>
        <w:tc>
          <w:tcPr>
            <w:tcW w:w="641" w:type="dxa"/>
            <w:vAlign w:val="center"/>
          </w:tcPr>
          <w:p>
            <w:pPr>
              <w:pStyle w:val="37"/>
            </w:pPr>
            <w:r>
              <w:rPr>
                <w:rFonts w:hint="eastAsia"/>
              </w:rPr>
              <w:t>辆</w:t>
            </w:r>
          </w:p>
        </w:tc>
        <w:tc>
          <w:tcPr>
            <w:tcW w:w="622" w:type="dxa"/>
            <w:vAlign w:val="center"/>
          </w:tcPr>
          <w:p>
            <w:pPr>
              <w:pStyle w:val="37"/>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cantSplit/>
          <w:trHeight w:val="281" w:hRule="atLeast"/>
          <w:jc w:val="center"/>
        </w:trPr>
        <w:tc>
          <w:tcPr>
            <w:tcW w:w="612" w:type="dxa"/>
            <w:vAlign w:val="top"/>
          </w:tcPr>
          <w:p>
            <w:pPr>
              <w:pStyle w:val="37"/>
            </w:pPr>
            <w:r>
              <w:t>6</w:t>
            </w:r>
          </w:p>
        </w:tc>
        <w:tc>
          <w:tcPr>
            <w:tcW w:w="1617" w:type="dxa"/>
            <w:vAlign w:val="top"/>
          </w:tcPr>
          <w:p>
            <w:pPr>
              <w:pStyle w:val="37"/>
            </w:pPr>
            <w:r>
              <w:rPr>
                <w:rFonts w:hint="eastAsia"/>
              </w:rPr>
              <w:t>夯土机</w:t>
            </w:r>
          </w:p>
        </w:tc>
        <w:tc>
          <w:tcPr>
            <w:tcW w:w="4870" w:type="dxa"/>
            <w:vAlign w:val="center"/>
          </w:tcPr>
          <w:p>
            <w:pPr>
              <w:pStyle w:val="37"/>
            </w:pPr>
            <w:r>
              <w:rPr>
                <w:rFonts w:hint="eastAsia"/>
              </w:rPr>
              <w:t>蛙型内燃式</w:t>
            </w:r>
          </w:p>
        </w:tc>
        <w:tc>
          <w:tcPr>
            <w:tcW w:w="641" w:type="dxa"/>
            <w:vAlign w:val="center"/>
          </w:tcPr>
          <w:p>
            <w:pPr>
              <w:pStyle w:val="37"/>
            </w:pPr>
            <w:r>
              <w:rPr>
                <w:rFonts w:hint="eastAsia"/>
              </w:rPr>
              <w:t>台</w:t>
            </w:r>
          </w:p>
        </w:tc>
        <w:tc>
          <w:tcPr>
            <w:tcW w:w="622" w:type="dxa"/>
            <w:vAlign w:val="center"/>
          </w:tcPr>
          <w:p>
            <w:pPr>
              <w:pStyle w:val="37"/>
            </w:pPr>
            <w:r>
              <w:t>2</w:t>
            </w:r>
          </w:p>
        </w:tc>
      </w:tr>
    </w:tbl>
    <w:p>
      <w:pPr>
        <w:pStyle w:val="3"/>
      </w:pPr>
      <w:bookmarkStart w:id="52" w:name="_Toc462818415"/>
      <w:r>
        <w:rPr>
          <w:rFonts w:hint="eastAsia"/>
        </w:rPr>
        <w:t>公用工程</w:t>
      </w:r>
      <w:bookmarkEnd w:id="52"/>
    </w:p>
    <w:p>
      <w:pPr>
        <w:pStyle w:val="4"/>
      </w:pPr>
      <w:bookmarkStart w:id="53" w:name="_Toc344647680"/>
      <w:bookmarkStart w:id="54" w:name="_Toc346092542"/>
      <w:bookmarkStart w:id="55" w:name="_Toc391370132"/>
      <w:r>
        <w:rPr>
          <w:rFonts w:hint="eastAsia"/>
        </w:rPr>
        <w:t>给排水</w:t>
      </w:r>
      <w:bookmarkEnd w:id="53"/>
      <w:bookmarkEnd w:id="54"/>
      <w:bookmarkEnd w:id="55"/>
    </w:p>
    <w:p>
      <w:pPr>
        <w:ind w:firstLine="480"/>
      </w:pPr>
      <w:r>
        <w:rPr>
          <w:rFonts w:hint="eastAsia"/>
        </w:rPr>
        <w:t>本项目填埋期用水接原采石场自来水，项目填埋期用水主要包括处置场作业用水、员工生活用水以及道路洒水。根据建设单位介绍，项目填埋期为</w:t>
      </w:r>
      <w:r>
        <w:t>2</w:t>
      </w:r>
      <w:r>
        <w:rPr>
          <w:rFonts w:hint="eastAsia"/>
        </w:rPr>
        <w:t>个月，遗留工业固废渣填埋完成后，立即封场。</w:t>
      </w:r>
    </w:p>
    <w:p>
      <w:pPr>
        <w:ind w:firstLine="480"/>
      </w:pPr>
      <w:r>
        <w:rPr>
          <w:rFonts w:hint="eastAsia"/>
        </w:rPr>
        <w:t>本项目用水量参照《湖南省用水定额》，根据本项目情况进行适当调整。</w:t>
      </w:r>
    </w:p>
    <w:p>
      <w:pPr>
        <w:ind w:firstLine="480"/>
      </w:pPr>
      <w:r>
        <w:rPr>
          <w:rFonts w:hint="eastAsia"/>
        </w:rPr>
        <w:t>（</w:t>
      </w:r>
      <w:r>
        <w:t>1</w:t>
      </w:r>
      <w:r>
        <w:rPr>
          <w:rFonts w:hint="eastAsia"/>
        </w:rPr>
        <w:t>）处置场作业用水：主要用于处置场作业区降尘等，根据建设单位提供的资料及类比相关资料，本项目处置场作业用水量为</w:t>
      </w:r>
      <w:r>
        <w:t>1.1m</w:t>
      </w:r>
      <w:r>
        <w:rPr>
          <w:vertAlign w:val="superscript"/>
        </w:rPr>
        <w:t>3</w:t>
      </w:r>
      <w:r>
        <w:t>/d</w:t>
      </w:r>
      <w:r>
        <w:rPr>
          <w:rFonts w:hint="eastAsia"/>
        </w:rPr>
        <w:t>，。</w:t>
      </w:r>
    </w:p>
    <w:p>
      <w:pPr>
        <w:ind w:firstLine="480"/>
      </w:pPr>
      <w:r>
        <w:rPr>
          <w:rFonts w:hint="eastAsia"/>
        </w:rPr>
        <w:t>（</w:t>
      </w:r>
      <w:r>
        <w:t>2</w:t>
      </w:r>
      <w:r>
        <w:rPr>
          <w:rFonts w:hint="eastAsia"/>
        </w:rPr>
        <w:t>）员工生活用水：本项目工作人员共计</w:t>
      </w:r>
      <w:r>
        <w:t>10</w:t>
      </w:r>
      <w:r>
        <w:rPr>
          <w:rFonts w:hint="eastAsia"/>
        </w:rPr>
        <w:t>人，均不在厂区食宿，早出晚归，不安排集中住宿。生活用水主要为饮用水，平均用水量按</w:t>
      </w:r>
      <w:r>
        <w:t>40L/</w:t>
      </w:r>
      <w:r>
        <w:rPr>
          <w:rFonts w:hint="eastAsia"/>
        </w:rPr>
        <w:t>（人</w:t>
      </w:r>
      <w:r>
        <w:t>·</w:t>
      </w:r>
      <w:r>
        <w:rPr>
          <w:rFonts w:hint="eastAsia"/>
        </w:rPr>
        <w:t>日）计，则填埋期项目员工生活用水量为</w:t>
      </w:r>
      <w:r>
        <w:t>0.4m</w:t>
      </w:r>
      <w:r>
        <w:rPr>
          <w:vertAlign w:val="superscript"/>
        </w:rPr>
        <w:t>3</w:t>
      </w:r>
      <w:r>
        <w:t>/d</w:t>
      </w:r>
      <w:r>
        <w:rPr>
          <w:rFonts w:hint="eastAsia"/>
        </w:rPr>
        <w:t>。生活污水利用当地民房及采石场现有化粪池等消解，化粪池定期清掏处理。</w:t>
      </w:r>
    </w:p>
    <w:p>
      <w:pPr>
        <w:ind w:firstLine="480"/>
      </w:pPr>
      <w:r>
        <w:rPr>
          <w:rFonts w:hint="eastAsia"/>
        </w:rPr>
        <w:t>（</w:t>
      </w:r>
      <w:r>
        <w:t>3</w:t>
      </w:r>
      <w:r>
        <w:rPr>
          <w:rFonts w:hint="eastAsia"/>
        </w:rPr>
        <w:t>）道路洒水：本项目道路包括进场道路、处置场作业道路，长</w:t>
      </w:r>
      <w:r>
        <w:t>1415m</w:t>
      </w:r>
      <w:r>
        <w:rPr>
          <w:rFonts w:hint="eastAsia"/>
        </w:rPr>
        <w:t>，宽</w:t>
      </w:r>
      <w:r>
        <w:t>4.5m</w:t>
      </w:r>
      <w:r>
        <w:rPr>
          <w:rFonts w:hint="eastAsia"/>
        </w:rPr>
        <w:t>，占地面积</w:t>
      </w:r>
      <w:r>
        <w:t>6367.5m</w:t>
      </w:r>
      <w:r>
        <w:rPr>
          <w:vertAlign w:val="superscript"/>
        </w:rPr>
        <w:t>2</w:t>
      </w:r>
      <w:r>
        <w:rPr>
          <w:rFonts w:hint="eastAsia"/>
        </w:rPr>
        <w:t>，道路洒水按</w:t>
      </w:r>
      <w:r>
        <w:t>36L/m</w:t>
      </w:r>
      <w:r>
        <w:rPr>
          <w:vertAlign w:val="superscript"/>
        </w:rPr>
        <w:t>2</w:t>
      </w:r>
      <w:r>
        <w:t>•</w:t>
      </w:r>
      <w:r>
        <w:rPr>
          <w:rFonts w:hint="eastAsia"/>
        </w:rPr>
        <w:t>月计算，则本项目道路洒水用水量为</w:t>
      </w:r>
      <w:r>
        <w:t>2750.76m</w:t>
      </w:r>
      <w:r>
        <w:rPr>
          <w:vertAlign w:val="superscript"/>
        </w:rPr>
        <w:t>3</w:t>
      </w:r>
      <w:r>
        <w:t>/a</w:t>
      </w:r>
      <w:r>
        <w:rPr>
          <w:rFonts w:hint="eastAsia"/>
        </w:rPr>
        <w:t>。</w:t>
      </w:r>
    </w:p>
    <w:p>
      <w:pPr>
        <w:ind w:firstLine="480"/>
      </w:pPr>
      <w:r>
        <w:rPr>
          <w:rFonts w:hint="eastAsia"/>
        </w:rPr>
        <w:t>综上所述，本项目总用水量为</w:t>
      </w:r>
      <w:r>
        <w:t>9.036m</w:t>
      </w:r>
      <w:r>
        <w:rPr>
          <w:vertAlign w:val="superscript"/>
        </w:rPr>
        <w:t>3</w:t>
      </w:r>
      <w:r>
        <w:t>/d</w:t>
      </w:r>
      <w:r>
        <w:rPr>
          <w:rFonts w:hint="eastAsia"/>
        </w:rPr>
        <w:t>。本项目工作人员生活污水产生系数按</w:t>
      </w:r>
      <w:r>
        <w:t>0.8</w:t>
      </w:r>
      <w:r>
        <w:rPr>
          <w:rFonts w:hint="eastAsia"/>
        </w:rPr>
        <w:t>计，项目用排水量情况见表</w:t>
      </w:r>
      <w:r>
        <w:t>2.5-1</w:t>
      </w:r>
      <w:r>
        <w:rPr>
          <w:rFonts w:hint="eastAsia"/>
        </w:rPr>
        <w:t>。</w:t>
      </w:r>
    </w:p>
    <w:p>
      <w:pPr>
        <w:pStyle w:val="14"/>
      </w:pPr>
      <w:r>
        <w:rPr>
          <w:rFonts w:hint="eastAsia"/>
        </w:rPr>
        <w:t>表</w:t>
      </w:r>
      <w:r>
        <w:fldChar w:fldCharType="begin"/>
      </w:r>
      <w:r>
        <w:instrText xml:space="preserve"> STYLEREF 2 \s </w:instrText>
      </w:r>
      <w:r>
        <w:fldChar w:fldCharType="separate"/>
      </w:r>
      <w:r>
        <w:t>2.5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　　本项目给排水量一览表</w:t>
      </w:r>
    </w:p>
    <w:tbl>
      <w:tblPr>
        <w:tblStyle w:val="35"/>
        <w:tblW w:w="90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8"/>
        <w:gridCol w:w="1532"/>
        <w:gridCol w:w="1516"/>
        <w:gridCol w:w="1816"/>
        <w:gridCol w:w="1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2198" w:type="dxa"/>
            <w:vAlign w:val="center"/>
          </w:tcPr>
          <w:p>
            <w:pPr>
              <w:pStyle w:val="37"/>
            </w:pPr>
            <w:r>
              <w:rPr>
                <w:rFonts w:hint="eastAsia"/>
              </w:rPr>
              <w:t>用水项目</w:t>
            </w:r>
          </w:p>
        </w:tc>
        <w:tc>
          <w:tcPr>
            <w:tcW w:w="1532" w:type="dxa"/>
            <w:vAlign w:val="center"/>
          </w:tcPr>
          <w:p>
            <w:pPr>
              <w:pStyle w:val="37"/>
            </w:pPr>
            <w:r>
              <w:rPr>
                <w:rFonts w:hint="eastAsia"/>
              </w:rPr>
              <w:t>用水定额</w:t>
            </w:r>
          </w:p>
        </w:tc>
        <w:tc>
          <w:tcPr>
            <w:tcW w:w="1516" w:type="dxa"/>
            <w:vAlign w:val="center"/>
          </w:tcPr>
          <w:p>
            <w:pPr>
              <w:pStyle w:val="37"/>
            </w:pPr>
            <w:r>
              <w:rPr>
                <w:rFonts w:hint="eastAsia"/>
              </w:rPr>
              <w:t>用水项</w:t>
            </w:r>
          </w:p>
        </w:tc>
        <w:tc>
          <w:tcPr>
            <w:tcW w:w="1816" w:type="dxa"/>
            <w:vAlign w:val="center"/>
          </w:tcPr>
          <w:p>
            <w:pPr>
              <w:pStyle w:val="37"/>
            </w:pPr>
            <w:r>
              <w:rPr>
                <w:rFonts w:hint="eastAsia"/>
              </w:rPr>
              <w:t>日均用水量（</w:t>
            </w:r>
            <w:r>
              <w:t>m</w:t>
            </w:r>
            <w:r>
              <w:rPr>
                <w:vertAlign w:val="superscript"/>
              </w:rPr>
              <w:t>3</w:t>
            </w:r>
            <w:r>
              <w:t>/d</w:t>
            </w:r>
            <w:r>
              <w:rPr>
                <w:rFonts w:hint="eastAsia"/>
              </w:rPr>
              <w:t>）</w:t>
            </w:r>
          </w:p>
        </w:tc>
        <w:tc>
          <w:tcPr>
            <w:tcW w:w="1939" w:type="dxa"/>
            <w:vAlign w:val="center"/>
          </w:tcPr>
          <w:p>
            <w:pPr>
              <w:pStyle w:val="37"/>
            </w:pPr>
            <w:r>
              <w:rPr>
                <w:rFonts w:hint="eastAsia"/>
              </w:rPr>
              <w:t>日均排水量</w:t>
            </w:r>
          </w:p>
          <w:p>
            <w:pPr>
              <w:pStyle w:val="37"/>
            </w:pPr>
            <w:r>
              <w:rPr>
                <w:rFonts w:hint="eastAsia"/>
              </w:rPr>
              <w:t>（</w:t>
            </w:r>
            <w:r>
              <w:t>m</w:t>
            </w:r>
            <w:r>
              <w:rPr>
                <w:vertAlign w:val="superscript"/>
              </w:rPr>
              <w:t>3</w:t>
            </w:r>
            <w:r>
              <w:t>/d</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2198" w:type="dxa"/>
            <w:vAlign w:val="center"/>
          </w:tcPr>
          <w:p>
            <w:pPr>
              <w:pStyle w:val="37"/>
            </w:pPr>
            <w:r>
              <w:rPr>
                <w:rFonts w:hint="eastAsia"/>
              </w:rPr>
              <w:t>处置场作业区用水</w:t>
            </w:r>
          </w:p>
        </w:tc>
        <w:tc>
          <w:tcPr>
            <w:tcW w:w="1532" w:type="dxa"/>
            <w:vAlign w:val="center"/>
          </w:tcPr>
          <w:p>
            <w:pPr>
              <w:pStyle w:val="37"/>
            </w:pPr>
            <w:r>
              <w:t>/</w:t>
            </w:r>
          </w:p>
        </w:tc>
        <w:tc>
          <w:tcPr>
            <w:tcW w:w="1516" w:type="dxa"/>
            <w:vAlign w:val="center"/>
          </w:tcPr>
          <w:p>
            <w:pPr>
              <w:pStyle w:val="37"/>
            </w:pPr>
            <w:r>
              <w:t>1.1m</w:t>
            </w:r>
            <w:r>
              <w:rPr>
                <w:vertAlign w:val="superscript"/>
              </w:rPr>
              <w:t>3</w:t>
            </w:r>
            <w:r>
              <w:t>/d</w:t>
            </w:r>
          </w:p>
        </w:tc>
        <w:tc>
          <w:tcPr>
            <w:tcW w:w="1816" w:type="dxa"/>
            <w:vAlign w:val="center"/>
          </w:tcPr>
          <w:p>
            <w:pPr>
              <w:pStyle w:val="37"/>
            </w:pPr>
            <w:r>
              <w:t>1.1</w:t>
            </w:r>
          </w:p>
        </w:tc>
        <w:tc>
          <w:tcPr>
            <w:tcW w:w="1939"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2198" w:type="dxa"/>
            <w:vAlign w:val="center"/>
          </w:tcPr>
          <w:p>
            <w:pPr>
              <w:pStyle w:val="37"/>
            </w:pPr>
            <w:r>
              <w:rPr>
                <w:rFonts w:hint="eastAsia"/>
              </w:rPr>
              <w:t>工作人员生活用水</w:t>
            </w:r>
          </w:p>
        </w:tc>
        <w:tc>
          <w:tcPr>
            <w:tcW w:w="1532" w:type="dxa"/>
            <w:vAlign w:val="center"/>
          </w:tcPr>
          <w:p>
            <w:pPr>
              <w:pStyle w:val="37"/>
            </w:pPr>
            <w:r>
              <w:t>40L/</w:t>
            </w:r>
            <w:r>
              <w:rPr>
                <w:rFonts w:hint="eastAsia"/>
              </w:rPr>
              <w:t>人</w:t>
            </w:r>
            <w:r>
              <w:t>·d</w:t>
            </w:r>
          </w:p>
        </w:tc>
        <w:tc>
          <w:tcPr>
            <w:tcW w:w="1516" w:type="dxa"/>
            <w:vAlign w:val="center"/>
          </w:tcPr>
          <w:p>
            <w:pPr>
              <w:pStyle w:val="37"/>
            </w:pPr>
            <w:r>
              <w:t>10</w:t>
            </w:r>
            <w:r>
              <w:rPr>
                <w:rFonts w:hint="eastAsia"/>
              </w:rPr>
              <w:t>人</w:t>
            </w:r>
          </w:p>
        </w:tc>
        <w:tc>
          <w:tcPr>
            <w:tcW w:w="1816" w:type="dxa"/>
            <w:vAlign w:val="center"/>
          </w:tcPr>
          <w:p>
            <w:pPr>
              <w:pStyle w:val="37"/>
            </w:pPr>
            <w:r>
              <w:t>0.4</w:t>
            </w:r>
          </w:p>
        </w:tc>
        <w:tc>
          <w:tcPr>
            <w:tcW w:w="1939" w:type="dxa"/>
            <w:vAlign w:val="center"/>
          </w:tcPr>
          <w:p>
            <w:pPr>
              <w:pStyle w:val="37"/>
            </w:pPr>
            <w: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2198" w:type="dxa"/>
            <w:vAlign w:val="center"/>
          </w:tcPr>
          <w:p>
            <w:pPr>
              <w:pStyle w:val="37"/>
            </w:pPr>
            <w:r>
              <w:rPr>
                <w:rFonts w:hint="eastAsia"/>
              </w:rPr>
              <w:t>道路洒水</w:t>
            </w:r>
          </w:p>
        </w:tc>
        <w:tc>
          <w:tcPr>
            <w:tcW w:w="1532" w:type="dxa"/>
            <w:vAlign w:val="center"/>
          </w:tcPr>
          <w:p>
            <w:pPr>
              <w:pStyle w:val="37"/>
            </w:pPr>
            <w:r>
              <w:t>36L/m</w:t>
            </w:r>
            <w:r>
              <w:rPr>
                <w:vertAlign w:val="superscript"/>
              </w:rPr>
              <w:t>2</w:t>
            </w:r>
            <w:r>
              <w:t>•</w:t>
            </w:r>
            <w:r>
              <w:rPr>
                <w:rFonts w:hint="eastAsia"/>
              </w:rPr>
              <w:t>月</w:t>
            </w:r>
          </w:p>
        </w:tc>
        <w:tc>
          <w:tcPr>
            <w:tcW w:w="1516" w:type="dxa"/>
            <w:vAlign w:val="center"/>
          </w:tcPr>
          <w:p>
            <w:pPr>
              <w:pStyle w:val="37"/>
            </w:pPr>
            <w:r>
              <w:t>6367.5m</w:t>
            </w:r>
            <w:r>
              <w:rPr>
                <w:vertAlign w:val="superscript"/>
              </w:rPr>
              <w:t>2</w:t>
            </w:r>
          </w:p>
        </w:tc>
        <w:tc>
          <w:tcPr>
            <w:tcW w:w="1816" w:type="dxa"/>
            <w:vAlign w:val="center"/>
          </w:tcPr>
          <w:p>
            <w:pPr>
              <w:pStyle w:val="37"/>
            </w:pPr>
            <w:r>
              <w:t>7.536</w:t>
            </w:r>
          </w:p>
        </w:tc>
        <w:tc>
          <w:tcPr>
            <w:tcW w:w="1939"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1" w:hRule="atLeast"/>
        </w:trPr>
        <w:tc>
          <w:tcPr>
            <w:tcW w:w="2198" w:type="dxa"/>
            <w:vAlign w:val="center"/>
          </w:tcPr>
          <w:p>
            <w:pPr>
              <w:pStyle w:val="37"/>
            </w:pPr>
            <w:r>
              <w:rPr>
                <w:rFonts w:hint="eastAsia"/>
              </w:rPr>
              <w:t>日水量合计</w:t>
            </w:r>
          </w:p>
        </w:tc>
        <w:tc>
          <w:tcPr>
            <w:tcW w:w="3048" w:type="dxa"/>
            <w:gridSpan w:val="2"/>
            <w:vAlign w:val="center"/>
          </w:tcPr>
          <w:p>
            <w:pPr>
              <w:pStyle w:val="37"/>
            </w:pPr>
            <w:r>
              <w:t>/</w:t>
            </w:r>
          </w:p>
        </w:tc>
        <w:tc>
          <w:tcPr>
            <w:tcW w:w="1816" w:type="dxa"/>
            <w:vAlign w:val="center"/>
          </w:tcPr>
          <w:p>
            <w:pPr>
              <w:pStyle w:val="37"/>
            </w:pPr>
            <w:r>
              <w:t>9.036</w:t>
            </w:r>
          </w:p>
        </w:tc>
        <w:tc>
          <w:tcPr>
            <w:tcW w:w="1939" w:type="dxa"/>
            <w:vAlign w:val="center"/>
          </w:tcPr>
          <w:p>
            <w:pPr>
              <w:pStyle w:val="37"/>
            </w:pPr>
            <w:r>
              <w:t>0.32</w:t>
            </w:r>
          </w:p>
        </w:tc>
      </w:tr>
    </w:tbl>
    <w:p>
      <w:pPr>
        <w:ind w:firstLine="480"/>
      </w:pPr>
      <w:r>
        <w:rPr>
          <w:rFonts w:hint="eastAsia"/>
        </w:rPr>
        <w:t>（</w:t>
      </w:r>
      <w:r>
        <w:t>4</w:t>
      </w:r>
      <w:r>
        <w:rPr>
          <w:rFonts w:hint="eastAsia"/>
        </w:rPr>
        <w:t>）渗滤液项目填埋期产生的废水主要为处置场渗滤液，项目填埋期为2个月，产生渗滤液总量约331.2</w:t>
      </w:r>
      <w:r>
        <w:t>m</w:t>
      </w:r>
      <w:r>
        <w:rPr>
          <w:vertAlign w:val="superscript"/>
        </w:rPr>
        <w:t>3</w:t>
      </w:r>
      <w:r>
        <w:rPr>
          <w:rFonts w:hint="eastAsia"/>
        </w:rPr>
        <w:t>，项目处置场渗滤液均汇入渗滤液收集池，外运至有资质单位处理。本项目水量平衡见图</w:t>
      </w:r>
      <w:r>
        <w:t>2.5-1</w:t>
      </w:r>
      <w:r>
        <w:rPr>
          <w:rFonts w:hint="eastAsia"/>
        </w:rPr>
        <w:t>。</w:t>
      </w:r>
    </w:p>
    <w:p>
      <w:pPr>
        <w:ind w:firstLine="480"/>
      </w:pPr>
      <w:r>
        <w:rPr>
          <w:rFonts w:ascii="Times New Roman" w:hAnsi="Times New Roman" w:eastAsia="宋体" w:cs="Times New Roman"/>
          <w:kern w:val="2"/>
          <w:sz w:val="24"/>
          <w:szCs w:val="21"/>
          <w:lang w:val="en-US" w:eastAsia="zh-CN" w:bidi="ar-SA"/>
        </w:rPr>
        <w:pict>
          <v:shape id="图片 42" o:spid="_x0000_s1080" type="#_x0000_t75" style="height:195.9pt;width:372.55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pStyle w:val="14"/>
      </w:pPr>
      <w:r>
        <w:rPr>
          <w:rFonts w:hint="eastAsia"/>
        </w:rPr>
        <w:t>图</w:t>
      </w:r>
      <w:r>
        <w:fldChar w:fldCharType="begin"/>
      </w:r>
      <w:r>
        <w:instrText xml:space="preserve"> STYLEREF 2 \s </w:instrText>
      </w:r>
      <w:r>
        <w:fldChar w:fldCharType="separate"/>
      </w:r>
      <w:r>
        <w:t>2.5</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 xml:space="preserve">建设项目水量平衡图   </w:t>
      </w:r>
      <w:r>
        <w:t>单位：m</w:t>
      </w:r>
      <w:r>
        <w:rPr>
          <w:vertAlign w:val="superscript"/>
        </w:rPr>
        <w:t>3</w:t>
      </w:r>
      <w:r>
        <w:t>/d</w:t>
      </w:r>
    </w:p>
    <w:p>
      <w:pPr>
        <w:pStyle w:val="4"/>
      </w:pPr>
      <w:bookmarkStart w:id="56" w:name="_Toc346092544"/>
      <w:bookmarkStart w:id="57" w:name="_Toc344647682"/>
      <w:bookmarkStart w:id="58" w:name="_Toc391370134"/>
      <w:r>
        <w:rPr>
          <w:rFonts w:hint="eastAsia"/>
        </w:rPr>
        <w:t>供电</w:t>
      </w:r>
      <w:bookmarkEnd w:id="56"/>
      <w:bookmarkEnd w:id="57"/>
      <w:bookmarkEnd w:id="58"/>
    </w:p>
    <w:p>
      <w:pPr>
        <w:ind w:firstLine="480"/>
      </w:pPr>
      <w:r>
        <w:rPr>
          <w:rFonts w:hint="eastAsia"/>
        </w:rPr>
        <w:t>本工程用电负荷主要是处置场场区照明其他配套建筑物照明用电，项目供电电源由原采石场供电直接引入。</w:t>
      </w:r>
    </w:p>
    <w:p>
      <w:pPr>
        <w:pStyle w:val="4"/>
      </w:pPr>
      <w:bookmarkStart w:id="59" w:name="_Toc390963319"/>
      <w:r>
        <w:rPr>
          <w:rFonts w:hint="eastAsia"/>
        </w:rPr>
        <w:t>电气</w:t>
      </w:r>
      <w:bookmarkEnd w:id="59"/>
    </w:p>
    <w:p>
      <w:pPr>
        <w:ind w:firstLine="480"/>
      </w:pPr>
      <w:r>
        <w:rPr>
          <w:rFonts w:hint="eastAsia"/>
        </w:rPr>
        <w:t>本工程建（构）筑物除焚烧车间烟囱为二类防雷外其余均为三类防雷，其接地装置与保护接地装置共用一套，接地电阻值不大于</w:t>
      </w:r>
      <w:r>
        <w:t>4</w:t>
      </w:r>
      <w:r>
        <w:rPr>
          <w:rFonts w:hint="eastAsia"/>
        </w:rPr>
        <w:t>欧姆。烟囱的防雷接地采用单独的接地装置，接地电阻值不大于</w:t>
      </w:r>
      <w:r>
        <w:t>30</w:t>
      </w:r>
      <w:r>
        <w:rPr>
          <w:rFonts w:hint="eastAsia"/>
        </w:rPr>
        <w:t>欧姆。</w:t>
      </w:r>
      <w:r>
        <w:t xml:space="preserve"> </w:t>
      </w:r>
    </w:p>
    <w:p>
      <w:pPr>
        <w:pStyle w:val="3"/>
      </w:pPr>
      <w:bookmarkStart w:id="60" w:name="_Toc462818416"/>
      <w:r>
        <w:rPr>
          <w:rFonts w:hint="eastAsia"/>
        </w:rPr>
        <w:t>项目平面布置</w:t>
      </w:r>
      <w:bookmarkEnd w:id="60"/>
    </w:p>
    <w:p>
      <w:pPr>
        <w:ind w:firstLine="480"/>
        <w:rPr>
          <w:kern w:val="0"/>
        </w:rPr>
      </w:pPr>
      <w:r>
        <w:rPr>
          <w:rFonts w:hint="eastAsia"/>
        </w:rPr>
        <w:t>本工程主要包括固体废物处置场、渗滤液收集池、道路和拦渣坝、截洪沟等。渗滤液收集池位于项目填埋场西侧、拦渣坝位于西北侧。主要平面布置图详见附图。覆土来源为离项目处置场北侧约</w:t>
      </w:r>
      <w:r>
        <w:t>1</w:t>
      </w:r>
      <w:r>
        <w:rPr>
          <w:rFonts w:hint="eastAsia"/>
        </w:rPr>
        <w:t>公里的地方，为修建</w:t>
      </w:r>
      <w:r>
        <w:t>107</w:t>
      </w:r>
      <w:r>
        <w:rPr>
          <w:rFonts w:hint="eastAsia"/>
        </w:rPr>
        <w:t>国道多余弃土，土质符合封场覆土要求，建设单位随用随取</w:t>
      </w:r>
      <w:r>
        <w:rPr>
          <w:rFonts w:hint="eastAsia"/>
          <w:kern w:val="0"/>
        </w:rPr>
        <w:t>。</w:t>
      </w:r>
    </w:p>
    <w:p>
      <w:pPr>
        <w:pStyle w:val="3"/>
      </w:pPr>
      <w:bookmarkStart w:id="61" w:name="_Toc462818417"/>
      <w:r>
        <w:rPr>
          <w:rFonts w:hint="eastAsia"/>
        </w:rPr>
        <w:t>项目工艺流程</w:t>
      </w:r>
      <w:r>
        <w:rPr>
          <w:rFonts w:hint="eastAsia" w:ascii="Times New Roman" w:hAnsi="Times New Roman" w:eastAsia="宋体" w:cs="Times New Roman"/>
          <w:b w:val="0"/>
          <w:kern w:val="2"/>
          <w:sz w:val="28"/>
          <w:szCs w:val="32"/>
          <w:lang w:val="en-US" w:eastAsia="zh-CN" w:bidi="ar-SA"/>
        </w:rPr>
        <w:pict>
          <v:shape id="图片 22" o:spid="_x0000_s1081" type="#_x0000_t75" style="height:202.6pt;width:432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bookmarkEnd w:id="61"/>
    </w:p>
    <w:p>
      <w:pPr>
        <w:pStyle w:val="14"/>
      </w:pPr>
    </w:p>
    <w:p>
      <w:pPr>
        <w:pStyle w:val="14"/>
      </w:pPr>
      <w:r>
        <w:rPr>
          <w:rFonts w:hint="eastAsia"/>
        </w:rPr>
        <w:t>图</w:t>
      </w:r>
      <w:r>
        <w:fldChar w:fldCharType="begin"/>
      </w:r>
      <w:r>
        <w:instrText xml:space="preserve"> STYLEREF 2 \s </w:instrText>
      </w:r>
      <w:r>
        <w:fldChar w:fldCharType="separate"/>
      </w:r>
      <w:r>
        <w:t>2.7</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项目处置场施工流程及产污环境示意图</w:t>
      </w:r>
    </w:p>
    <w:p>
      <w:pPr>
        <w:ind w:firstLine="480"/>
      </w:pPr>
      <w:r>
        <w:rPr>
          <w:rFonts w:ascii="Times New Roman" w:hAnsi="Times New Roman" w:eastAsia="宋体" w:cs="Times New Roman"/>
          <w:kern w:val="2"/>
          <w:sz w:val="24"/>
          <w:szCs w:val="21"/>
          <w:lang w:val="en-US" w:eastAsia="zh-CN" w:bidi="ar-SA"/>
        </w:rPr>
        <w:pict>
          <v:shape id="图片 19" o:spid="_x0000_s1082" type="#_x0000_t75" style="height:233.85pt;width:446.5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pStyle w:val="14"/>
        <w:keepNext/>
      </w:pPr>
      <w:r>
        <w:rPr>
          <w:rFonts w:hint="eastAsia"/>
        </w:rPr>
        <w:t>图</w:t>
      </w:r>
      <w:r>
        <w:fldChar w:fldCharType="begin"/>
      </w:r>
      <w:r>
        <w:instrText xml:space="preserve"> STYLEREF 2 \s </w:instrText>
      </w:r>
      <w:r>
        <w:fldChar w:fldCharType="separate"/>
      </w:r>
      <w:r>
        <w:t>2.7</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2</w:t>
      </w:r>
      <w:r>
        <w:fldChar w:fldCharType="end"/>
      </w:r>
      <w:r>
        <w:rPr>
          <w:rFonts w:hint="eastAsia"/>
        </w:rPr>
        <w:t>项目填埋期工艺流程及产污环境示意图</w:t>
      </w:r>
    </w:p>
    <w:p>
      <w:pPr>
        <w:pStyle w:val="3"/>
      </w:pPr>
      <w:bookmarkStart w:id="62" w:name="_Toc462818418"/>
      <w:r>
        <w:rPr>
          <w:rFonts w:hint="eastAsia"/>
        </w:rPr>
        <w:t>废渣成分调查分析</w:t>
      </w:r>
      <w:bookmarkEnd w:id="62"/>
    </w:p>
    <w:p>
      <w:pPr>
        <w:ind w:firstLine="480"/>
        <w:rPr>
          <w:u w:val="single"/>
        </w:rPr>
      </w:pPr>
      <w:r>
        <w:rPr>
          <w:rFonts w:hint="eastAsia"/>
          <w:u w:val="single"/>
        </w:rPr>
        <w:t>本项目废渣成分引用项目变更前技术方案《云溪河下游沿岸工业历史遗留固废渣处置项目环境影响报告表》中废渣成分分析及毒性浸出液检测结果。</w:t>
      </w:r>
    </w:p>
    <w:p>
      <w:pPr>
        <w:ind w:firstLine="480"/>
        <w:rPr>
          <w:u w:val="single"/>
        </w:rPr>
      </w:pPr>
      <w:r>
        <w:rPr>
          <w:rFonts w:hint="eastAsia"/>
          <w:u w:val="single"/>
        </w:rPr>
        <w:t>废渣的主要污染成分见下表：</w:t>
      </w:r>
    </w:p>
    <w:p>
      <w:pPr>
        <w:pStyle w:val="14"/>
        <w:rPr>
          <w:u w:val="single"/>
        </w:rPr>
      </w:pPr>
      <w:r>
        <w:rPr>
          <w:rFonts w:hint="eastAsia"/>
          <w:u w:val="single"/>
        </w:rPr>
        <w:t>表</w:t>
      </w:r>
      <w:r>
        <w:rPr>
          <w:u w:val="single"/>
        </w:rPr>
        <w:fldChar w:fldCharType="begin"/>
      </w:r>
      <w:r>
        <w:rPr>
          <w:u w:val="single"/>
        </w:rPr>
        <w:instrText xml:space="preserve"> </w:instrText>
      </w:r>
      <w:r>
        <w:rPr>
          <w:rFonts w:hint="eastAsia"/>
          <w:u w:val="single"/>
        </w:rPr>
        <w:instrText xml:space="preserve">STYLEREF 2 \s</w:instrText>
      </w:r>
      <w:r>
        <w:rPr>
          <w:u w:val="single"/>
        </w:rPr>
        <w:instrText xml:space="preserve"> </w:instrText>
      </w:r>
      <w:r>
        <w:rPr>
          <w:u w:val="single"/>
        </w:rPr>
        <w:fldChar w:fldCharType="separate"/>
      </w:r>
      <w:r>
        <w:rPr>
          <w:u w:val="single"/>
        </w:rPr>
        <w:t>2.8</w:t>
      </w:r>
      <w:r>
        <w:rPr>
          <w:u w:val="single"/>
        </w:rPr>
        <w:fldChar w:fldCharType="end"/>
      </w:r>
      <w:r>
        <w:rPr>
          <w:u w:val="single"/>
        </w:rPr>
        <w:noBreakHyphen/>
      </w:r>
      <w:r>
        <w:rPr>
          <w:u w:val="single"/>
        </w:rPr>
        <w:fldChar w:fldCharType="begin"/>
      </w:r>
      <w:r>
        <w:rPr>
          <w:u w:val="single"/>
        </w:rPr>
        <w:instrText xml:space="preserve"> </w:instrText>
      </w:r>
      <w:r>
        <w:rPr>
          <w:rFonts w:hint="eastAsia"/>
          <w:u w:val="single"/>
        </w:rPr>
        <w:instrText xml:space="preserve">SEQ 表 \* ARABIC \s 2</w:instrText>
      </w:r>
      <w:r>
        <w:rPr>
          <w:u w:val="single"/>
        </w:rPr>
        <w:instrText xml:space="preserve"> </w:instrText>
      </w:r>
      <w:r>
        <w:rPr>
          <w:u w:val="single"/>
        </w:rPr>
        <w:fldChar w:fldCharType="separate"/>
      </w:r>
      <w:r>
        <w:rPr>
          <w:u w:val="single"/>
        </w:rPr>
        <w:t>1</w:t>
      </w:r>
      <w:r>
        <w:rPr>
          <w:u w:val="single"/>
        </w:rPr>
        <w:fldChar w:fldCharType="end"/>
      </w:r>
      <w:r>
        <w:rPr>
          <w:rFonts w:hint="eastAsia"/>
          <w:u w:val="single"/>
        </w:rPr>
        <w:t>云溪河沿岸区域废渣成分分析结果（均值） 单位：（mg/kg）</w:t>
      </w:r>
    </w:p>
    <w:tbl>
      <w:tblPr>
        <w:tblStyle w:val="36"/>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3"/>
        <w:gridCol w:w="1523"/>
        <w:gridCol w:w="1524"/>
        <w:gridCol w:w="1524"/>
        <w:gridCol w:w="1526"/>
        <w:gridCol w:w="1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采样点</w:t>
            </w:r>
          </w:p>
        </w:tc>
        <w:tc>
          <w:tcPr>
            <w:tcW w:w="1523" w:type="dxa"/>
            <w:vMerge w:val="restart"/>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东风嘴处</w:t>
            </w:r>
          </w:p>
        </w:tc>
        <w:tc>
          <w:tcPr>
            <w:tcW w:w="1524" w:type="dxa"/>
            <w:vMerge w:val="restart"/>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老虎嘴处</w:t>
            </w:r>
          </w:p>
        </w:tc>
        <w:tc>
          <w:tcPr>
            <w:tcW w:w="1524" w:type="dxa"/>
            <w:vMerge w:val="restart"/>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抓埠市处</w:t>
            </w:r>
          </w:p>
        </w:tc>
        <w:tc>
          <w:tcPr>
            <w:tcW w:w="1526" w:type="dxa"/>
            <w:vMerge w:val="restart"/>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老水井处</w:t>
            </w:r>
          </w:p>
        </w:tc>
        <w:tc>
          <w:tcPr>
            <w:tcW w:w="1526" w:type="dxa"/>
            <w:vMerge w:val="restart"/>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胜利矶处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监测指标</w:t>
            </w:r>
          </w:p>
        </w:tc>
        <w:tc>
          <w:tcPr>
            <w:tcW w:w="1523" w:type="dxa"/>
            <w:vMerge w:val="continue"/>
            <w:vAlign w:val="top"/>
          </w:tcPr>
          <w:p>
            <w:pPr>
              <w:spacing w:line="240" w:lineRule="auto"/>
              <w:ind w:firstLine="0" w:firstLineChars="0"/>
              <w:rPr>
                <w:rFonts w:ascii="Times New Roman" w:hAnsi="Times New Roman"/>
                <w:sz w:val="21"/>
                <w:u w:val="single"/>
              </w:rPr>
            </w:pPr>
          </w:p>
        </w:tc>
        <w:tc>
          <w:tcPr>
            <w:tcW w:w="1524" w:type="dxa"/>
            <w:vMerge w:val="continue"/>
            <w:vAlign w:val="top"/>
          </w:tcPr>
          <w:p>
            <w:pPr>
              <w:spacing w:line="240" w:lineRule="auto"/>
              <w:ind w:firstLine="0" w:firstLineChars="0"/>
              <w:rPr>
                <w:rFonts w:ascii="Times New Roman" w:hAnsi="Times New Roman"/>
                <w:sz w:val="21"/>
                <w:u w:val="single"/>
              </w:rPr>
            </w:pPr>
          </w:p>
        </w:tc>
        <w:tc>
          <w:tcPr>
            <w:tcW w:w="1524" w:type="dxa"/>
            <w:vMerge w:val="continue"/>
            <w:vAlign w:val="top"/>
          </w:tcPr>
          <w:p>
            <w:pPr>
              <w:spacing w:line="240" w:lineRule="auto"/>
              <w:ind w:firstLine="0" w:firstLineChars="0"/>
              <w:rPr>
                <w:rFonts w:ascii="Times New Roman" w:hAnsi="Times New Roman"/>
                <w:sz w:val="21"/>
                <w:u w:val="single"/>
              </w:rPr>
            </w:pPr>
          </w:p>
        </w:tc>
        <w:tc>
          <w:tcPr>
            <w:tcW w:w="1526" w:type="dxa"/>
            <w:vMerge w:val="continue"/>
            <w:vAlign w:val="top"/>
          </w:tcPr>
          <w:p>
            <w:pPr>
              <w:spacing w:line="240" w:lineRule="auto"/>
              <w:ind w:firstLine="0" w:firstLineChars="0"/>
              <w:rPr>
                <w:rFonts w:ascii="Times New Roman" w:hAnsi="Times New Roman"/>
                <w:sz w:val="21"/>
                <w:u w:val="single"/>
              </w:rPr>
            </w:pPr>
          </w:p>
        </w:tc>
        <w:tc>
          <w:tcPr>
            <w:tcW w:w="1526" w:type="dxa"/>
            <w:vMerge w:val="continue"/>
            <w:vAlign w:val="top"/>
          </w:tcPr>
          <w:p>
            <w:pPr>
              <w:spacing w:line="240" w:lineRule="auto"/>
              <w:ind w:firstLine="0" w:firstLineChars="0"/>
              <w:rPr>
                <w:rFonts w:ascii="Times New Roman" w:hAnsi="Times New Roman"/>
                <w:sz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Pb</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712.35</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320.12</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390.47</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678.03</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808.68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Cd</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0.68</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0.71</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0.82</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0.85</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Cu</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402.16</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388.25</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356.82</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364.37</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374.36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Cr</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805.16</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440.15</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739.74</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833.96</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317.16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Zn</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890.62</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584.51</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576.25</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766.78</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662.14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As</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80.41</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140.36</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391.4</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63.51</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50.22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Hg</w:t>
            </w:r>
          </w:p>
        </w:tc>
        <w:tc>
          <w:tcPr>
            <w:tcW w:w="1523"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75.83</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61.5</w:t>
            </w:r>
          </w:p>
        </w:tc>
        <w:tc>
          <w:tcPr>
            <w:tcW w:w="1524"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32.72</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57.96</w:t>
            </w:r>
          </w:p>
        </w:tc>
        <w:tc>
          <w:tcPr>
            <w:tcW w:w="1526" w:type="dxa"/>
            <w:vAlign w:val="top"/>
          </w:tcPr>
          <w:p>
            <w:pPr>
              <w:spacing w:line="240" w:lineRule="auto"/>
              <w:ind w:firstLine="0" w:firstLineChars="0"/>
              <w:rPr>
                <w:rFonts w:ascii="Times New Roman" w:hAnsi="Times New Roman"/>
                <w:sz w:val="21"/>
                <w:u w:val="single"/>
              </w:rPr>
            </w:pPr>
            <w:r>
              <w:rPr>
                <w:rFonts w:hint="eastAsia" w:ascii="Times New Roman" w:hAnsi="Times New Roman"/>
                <w:sz w:val="21"/>
                <w:u w:val="single"/>
              </w:rPr>
              <w:t>73.16</w:t>
            </w:r>
          </w:p>
        </w:tc>
      </w:tr>
    </w:tbl>
    <w:p>
      <w:pPr>
        <w:pStyle w:val="14"/>
      </w:pPr>
      <w:r>
        <w:rPr>
          <w:rFonts w:hint="eastAsia"/>
        </w:rPr>
        <w:t>表</w:t>
      </w:r>
      <w:r>
        <w:fldChar w:fldCharType="begin"/>
      </w:r>
      <w:r>
        <w:instrText xml:space="preserve"> STYLEREF 2 \s </w:instrText>
      </w:r>
      <w:r>
        <w:fldChar w:fldCharType="separate"/>
      </w:r>
      <w:r>
        <w:t>2.8</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云溪河沿岸区域废渣毒性浸出检测结果（酸浸）单位：mg/L</w:t>
      </w:r>
    </w:p>
    <w:tbl>
      <w:tblPr>
        <w:tblStyle w:val="36"/>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7"/>
        <w:gridCol w:w="321"/>
        <w:gridCol w:w="1184"/>
        <w:gridCol w:w="1142"/>
        <w:gridCol w:w="1142"/>
        <w:gridCol w:w="1142"/>
        <w:gridCol w:w="1142"/>
        <w:gridCol w:w="1143"/>
        <w:gridCol w:w="1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8" w:type="dxa"/>
            <w:gridSpan w:val="2"/>
            <w:vAlign w:val="top"/>
          </w:tcPr>
          <w:p>
            <w:pPr>
              <w:spacing w:line="240" w:lineRule="auto"/>
              <w:ind w:firstLine="0" w:firstLineChars="0"/>
              <w:rPr>
                <w:rFonts w:ascii="Times New Roman" w:hAnsi="Times New Roman"/>
                <w:sz w:val="21"/>
              </w:rPr>
            </w:pPr>
            <w:r>
              <w:rPr>
                <w:rFonts w:hint="eastAsia" w:ascii="Times New Roman" w:hAnsi="Times New Roman"/>
                <w:sz w:val="21"/>
              </w:rPr>
              <w:t>采样点</w:t>
            </w:r>
          </w:p>
        </w:tc>
        <w:tc>
          <w:tcPr>
            <w:tcW w:w="1184"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东风嘴处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老虎嘴处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抓埠市处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老水井处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胜利矶处</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标准值</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是否达标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8" w:type="dxa"/>
            <w:gridSpan w:val="2"/>
            <w:vAlign w:val="top"/>
          </w:tcPr>
          <w:p>
            <w:pPr>
              <w:spacing w:line="240" w:lineRule="auto"/>
              <w:ind w:firstLine="0" w:firstLineChars="0"/>
              <w:rPr>
                <w:rFonts w:ascii="Times New Roman" w:hAnsi="Times New Roman"/>
                <w:sz w:val="21"/>
              </w:rPr>
            </w:pPr>
            <w:r>
              <w:rPr>
                <w:rFonts w:hint="eastAsia" w:ascii="Times New Roman" w:hAnsi="Times New Roman"/>
                <w:sz w:val="21"/>
              </w:rPr>
              <w:t>监测指标</w:t>
            </w:r>
          </w:p>
        </w:tc>
        <w:tc>
          <w:tcPr>
            <w:tcW w:w="1184"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Hg</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0.1</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0.09</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As</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1.23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0.89</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1.37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1.21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0.87</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5.0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1.41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0.93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0.091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0.25</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Pb</w:t>
            </w:r>
          </w:p>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0.85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0.59</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0.64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0.54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0.59</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5.0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0.77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0.63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0.71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0.69</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0.47</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Cd</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1.0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Cr</w:t>
            </w:r>
            <w:r>
              <w:rPr>
                <w:rFonts w:hint="eastAsia" w:ascii="Times New Roman" w:hAnsi="Times New Roman"/>
                <w:sz w:val="21"/>
                <w:vertAlign w:val="superscript"/>
              </w:rPr>
              <w:t>6+</w:t>
            </w:r>
          </w:p>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0.15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0.21</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1.0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0.12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0.16</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Zn</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1.37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1.76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1.88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0.83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1.43</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100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1.65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1.58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0.92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0.97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1.68</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146" w:type="dxa"/>
            <w:gridSpan w:val="9"/>
            <w:vAlign w:val="top"/>
          </w:tcPr>
          <w:p>
            <w:pPr>
              <w:spacing w:line="240" w:lineRule="auto"/>
              <w:ind w:firstLine="0" w:firstLineChars="0"/>
              <w:rPr>
                <w:rFonts w:ascii="Times New Roman" w:hAnsi="Times New Roman"/>
                <w:sz w:val="21"/>
              </w:rPr>
            </w:pPr>
            <w:r>
              <w:rPr>
                <w:rFonts w:hint="eastAsia" w:ascii="Times New Roman" w:hAnsi="Times New Roman"/>
                <w:sz w:val="21"/>
              </w:rPr>
              <w:t>备注：参照标准《危险废物鉴别标准 浸出毒性鉴别》（GB5085.3-2007）</w:t>
            </w:r>
          </w:p>
        </w:tc>
      </w:tr>
    </w:tbl>
    <w:p>
      <w:pPr>
        <w:pStyle w:val="14"/>
      </w:pPr>
      <w:r>
        <w:rPr>
          <w:rFonts w:hint="eastAsia"/>
        </w:rPr>
        <w:t>表</w:t>
      </w:r>
      <w:r>
        <w:fldChar w:fldCharType="begin"/>
      </w:r>
      <w:r>
        <w:instrText xml:space="preserve"> STYLEREF 2 \s </w:instrText>
      </w:r>
      <w:r>
        <w:fldChar w:fldCharType="separate"/>
      </w:r>
      <w:r>
        <w:t>2.8</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云溪河沿岸区域废渣毒性浸出检测结果（水浸）单位：mg/L</w:t>
      </w:r>
    </w:p>
    <w:tbl>
      <w:tblPr>
        <w:tblStyle w:val="36"/>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7"/>
        <w:gridCol w:w="321"/>
        <w:gridCol w:w="1184"/>
        <w:gridCol w:w="1142"/>
        <w:gridCol w:w="1142"/>
        <w:gridCol w:w="1142"/>
        <w:gridCol w:w="1142"/>
        <w:gridCol w:w="1143"/>
        <w:gridCol w:w="1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8" w:type="dxa"/>
            <w:gridSpan w:val="2"/>
            <w:vAlign w:val="top"/>
          </w:tcPr>
          <w:p>
            <w:pPr>
              <w:spacing w:line="240" w:lineRule="auto"/>
              <w:ind w:firstLine="0" w:firstLineChars="0"/>
              <w:rPr>
                <w:rFonts w:ascii="Times New Roman" w:hAnsi="Times New Roman"/>
                <w:sz w:val="21"/>
              </w:rPr>
            </w:pPr>
            <w:r>
              <w:rPr>
                <w:rFonts w:hint="eastAsia" w:ascii="Times New Roman" w:hAnsi="Times New Roman"/>
                <w:sz w:val="21"/>
              </w:rPr>
              <w:t>采样点</w:t>
            </w:r>
          </w:p>
        </w:tc>
        <w:tc>
          <w:tcPr>
            <w:tcW w:w="1184"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东风嘴处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老虎嘴处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抓埠市处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老水井处</w:t>
            </w:r>
          </w:p>
        </w:tc>
        <w:tc>
          <w:tcPr>
            <w:tcW w:w="1142"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胜利矶处</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标准值</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是否达标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08" w:type="dxa"/>
            <w:gridSpan w:val="2"/>
            <w:vAlign w:val="top"/>
          </w:tcPr>
          <w:p>
            <w:pPr>
              <w:spacing w:line="240" w:lineRule="auto"/>
              <w:ind w:firstLine="0" w:firstLineChars="0"/>
              <w:rPr>
                <w:rFonts w:ascii="Times New Roman" w:hAnsi="Times New Roman"/>
                <w:sz w:val="21"/>
              </w:rPr>
            </w:pPr>
            <w:r>
              <w:rPr>
                <w:rFonts w:hint="eastAsia" w:ascii="Times New Roman" w:hAnsi="Times New Roman"/>
                <w:sz w:val="21"/>
              </w:rPr>
              <w:t>监测指标</w:t>
            </w:r>
          </w:p>
        </w:tc>
        <w:tc>
          <w:tcPr>
            <w:tcW w:w="1184"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2"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Hg</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As</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0.83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0.43</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1.02</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0.87</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1.01</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0.5</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1.01</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0.51</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1.44</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0.52</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1.61</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Pb</w:t>
            </w:r>
          </w:p>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1.08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0.33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0.38</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1.0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0.64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0.26</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0.61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0.34</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Cd</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0.1</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0.04</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Cr</w:t>
            </w:r>
            <w:r>
              <w:rPr>
                <w:rFonts w:hint="eastAsia" w:ascii="Times New Roman" w:hAnsi="Times New Roman"/>
                <w:sz w:val="21"/>
                <w:vertAlign w:val="superscript"/>
              </w:rPr>
              <w:t>6+</w:t>
            </w:r>
          </w:p>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0.21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0.41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0.12</w:t>
            </w:r>
          </w:p>
        </w:tc>
        <w:tc>
          <w:tcPr>
            <w:tcW w:w="1142" w:type="dxa"/>
            <w:vAlign w:val="top"/>
          </w:tcPr>
          <w:p>
            <w:pPr>
              <w:spacing w:line="240" w:lineRule="auto"/>
              <w:ind w:firstLine="0" w:firstLineChars="0"/>
              <w:rPr>
                <w:rFonts w:ascii="Times New Roman" w:hAnsi="Times New Roman"/>
                <w:b/>
                <w:sz w:val="21"/>
              </w:rPr>
            </w:pPr>
            <w:r>
              <w:rPr>
                <w:rFonts w:hint="eastAsia" w:ascii="Times New Roman" w:hAnsi="Times New Roman"/>
                <w:b/>
                <w:sz w:val="21"/>
              </w:rPr>
              <w:t>0.56</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0.5</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0.08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0.39</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0.07</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0.12</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Zn</w:t>
            </w: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1</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1.01</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1.34</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1.38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0.38</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1.02</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2.0</w:t>
            </w:r>
          </w:p>
        </w:tc>
        <w:tc>
          <w:tcPr>
            <w:tcW w:w="1143" w:type="dxa"/>
            <w:vMerge w:val="restart"/>
            <w:vAlign w:val="top"/>
          </w:tcPr>
          <w:p>
            <w:pPr>
              <w:spacing w:line="240" w:lineRule="auto"/>
              <w:ind w:firstLine="0" w:firstLineChars="0"/>
              <w:rPr>
                <w:rFonts w:ascii="Times New Roman" w:hAnsi="Times New Roman"/>
                <w:sz w:val="21"/>
              </w:rPr>
            </w:pPr>
            <w:r>
              <w:rPr>
                <w:rFonts w:hint="eastAsia" w:ascii="Times New Roman" w:hAnsi="Times New Roman"/>
                <w:sz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7" w:type="dxa"/>
            <w:vMerge w:val="continue"/>
            <w:vAlign w:val="top"/>
          </w:tcPr>
          <w:p>
            <w:pPr>
              <w:spacing w:line="240" w:lineRule="auto"/>
              <w:ind w:firstLine="0" w:firstLineChars="0"/>
              <w:rPr>
                <w:rFonts w:ascii="Times New Roman" w:hAnsi="Times New Roman"/>
                <w:sz w:val="21"/>
              </w:rPr>
            </w:pPr>
          </w:p>
        </w:tc>
        <w:tc>
          <w:tcPr>
            <w:tcW w:w="321" w:type="dxa"/>
            <w:vAlign w:val="top"/>
          </w:tcPr>
          <w:p>
            <w:pPr>
              <w:spacing w:line="240" w:lineRule="auto"/>
              <w:ind w:firstLine="0" w:firstLineChars="0"/>
              <w:rPr>
                <w:rFonts w:ascii="Times New Roman" w:hAnsi="Times New Roman"/>
                <w:sz w:val="21"/>
              </w:rPr>
            </w:pPr>
            <w:r>
              <w:rPr>
                <w:rFonts w:hint="eastAsia" w:ascii="Times New Roman" w:hAnsi="Times New Roman"/>
                <w:sz w:val="21"/>
              </w:rPr>
              <w:t>2</w:t>
            </w:r>
          </w:p>
        </w:tc>
        <w:tc>
          <w:tcPr>
            <w:tcW w:w="1184" w:type="dxa"/>
            <w:vAlign w:val="top"/>
          </w:tcPr>
          <w:p>
            <w:pPr>
              <w:spacing w:line="240" w:lineRule="auto"/>
              <w:ind w:firstLine="0" w:firstLineChars="0"/>
              <w:rPr>
                <w:rFonts w:ascii="Times New Roman" w:hAnsi="Times New Roman"/>
                <w:sz w:val="21"/>
              </w:rPr>
            </w:pPr>
            <w:r>
              <w:rPr>
                <w:rFonts w:hint="eastAsia" w:ascii="Times New Roman" w:hAnsi="Times New Roman"/>
                <w:sz w:val="21"/>
              </w:rPr>
              <w:t>1.35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1.25</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0.63</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0.72</w:t>
            </w:r>
          </w:p>
        </w:tc>
        <w:tc>
          <w:tcPr>
            <w:tcW w:w="1142" w:type="dxa"/>
            <w:vAlign w:val="top"/>
          </w:tcPr>
          <w:p>
            <w:pPr>
              <w:spacing w:line="240" w:lineRule="auto"/>
              <w:ind w:firstLine="0" w:firstLineChars="0"/>
              <w:rPr>
                <w:rFonts w:ascii="Times New Roman" w:hAnsi="Times New Roman"/>
                <w:sz w:val="21"/>
              </w:rPr>
            </w:pPr>
            <w:r>
              <w:rPr>
                <w:rFonts w:hint="eastAsia" w:ascii="Times New Roman" w:hAnsi="Times New Roman"/>
                <w:sz w:val="21"/>
              </w:rPr>
              <w:t>1.31</w:t>
            </w:r>
          </w:p>
        </w:tc>
        <w:tc>
          <w:tcPr>
            <w:tcW w:w="1143" w:type="dxa"/>
            <w:vMerge w:val="continue"/>
            <w:vAlign w:val="top"/>
          </w:tcPr>
          <w:p>
            <w:pPr>
              <w:spacing w:line="240" w:lineRule="auto"/>
              <w:ind w:firstLine="0" w:firstLineChars="0"/>
              <w:rPr>
                <w:rFonts w:ascii="Times New Roman" w:hAnsi="Times New Roman"/>
                <w:sz w:val="21"/>
              </w:rPr>
            </w:pPr>
          </w:p>
        </w:tc>
        <w:tc>
          <w:tcPr>
            <w:tcW w:w="1143" w:type="dxa"/>
            <w:vMerge w:val="continue"/>
            <w:vAlign w:val="top"/>
          </w:tcPr>
          <w:p>
            <w:pPr>
              <w:spacing w:line="240" w:lineRule="auto"/>
              <w:ind w:firstLine="0" w:firstLineChars="0"/>
              <w:rPr>
                <w:rFonts w:ascii="Times New Roman" w:hAnsi="Times New Roman"/>
                <w:sz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146" w:type="dxa"/>
            <w:gridSpan w:val="9"/>
            <w:vAlign w:val="top"/>
          </w:tcPr>
          <w:p>
            <w:pPr>
              <w:spacing w:line="240" w:lineRule="auto"/>
              <w:ind w:firstLine="0" w:firstLineChars="0"/>
              <w:rPr>
                <w:rFonts w:ascii="Times New Roman" w:hAnsi="Times New Roman"/>
                <w:sz w:val="21"/>
              </w:rPr>
            </w:pPr>
            <w:r>
              <w:rPr>
                <w:rFonts w:hint="eastAsia" w:ascii="Times New Roman" w:hAnsi="Times New Roman"/>
                <w:sz w:val="21"/>
              </w:rPr>
              <w:t>备注：参照标准《污水综合排放标准》（GB8978-1996）</w:t>
            </w:r>
          </w:p>
          <w:p>
            <w:pPr>
              <w:spacing w:line="240" w:lineRule="auto"/>
              <w:ind w:firstLine="0" w:firstLineChars="0"/>
              <w:rPr>
                <w:rFonts w:ascii="Times New Roman" w:hAnsi="Times New Roman"/>
                <w:sz w:val="21"/>
              </w:rPr>
            </w:pPr>
            <w:r>
              <w:rPr>
                <w:rFonts w:ascii="Times New Roman" w:hAnsi="Times New Roman"/>
              </w:rPr>
              <w:t>.“L”表示检测结果低于该检测项目检出限。</w:t>
            </w:r>
          </w:p>
        </w:tc>
      </w:tr>
    </w:tbl>
    <w:p>
      <w:pPr>
        <w:ind w:firstLine="480"/>
        <w:rPr>
          <w:u w:val="single"/>
          <w:shd w:val="clear" w:color="auto" w:fill="FFFFFF"/>
        </w:rPr>
      </w:pPr>
      <w:r>
        <w:rPr>
          <w:rFonts w:hint="eastAsia"/>
          <w:u w:val="single"/>
          <w:shd w:val="clear" w:color="auto" w:fill="FFFFFF"/>
        </w:rPr>
        <w:t>项目废渣采用国家规定GB5085鉴别标准和GB5086及GB/T 15555鉴别方法进行渣土混合物的浸出毒性试验，结果见表2.8-2、表2.8-3。</w:t>
      </w:r>
    </w:p>
    <w:p>
      <w:pPr>
        <w:ind w:firstLine="480"/>
        <w:rPr>
          <w:u w:val="single"/>
          <w:shd w:val="clear" w:color="auto" w:fill="FFFFFF"/>
        </w:rPr>
      </w:pPr>
      <w:r>
        <w:rPr>
          <w:rFonts w:hint="eastAsia"/>
          <w:u w:val="single"/>
          <w:shd w:val="clear" w:color="auto" w:fill="FFFFFF"/>
        </w:rPr>
        <w:t>根据《危险废物鉴别标准 浸出毒性鉴别》（GB5085.3-2007），</w:t>
      </w:r>
      <w:r>
        <w:rPr>
          <w:u w:val="single"/>
          <w:shd w:val="clear" w:color="auto" w:fill="FFFFFF"/>
        </w:rPr>
        <w:t>经鉴别，废渣浸出液中</w:t>
      </w:r>
      <w:r>
        <w:rPr>
          <w:rFonts w:hint="eastAsia"/>
          <w:u w:val="single"/>
          <w:shd w:val="clear" w:color="auto" w:fill="FFFFFF"/>
        </w:rPr>
        <w:t>未发现一种危害成分含量超过《危险废物鉴别标准 浸出毒性鉴别》（GB5085.3-2007）中规定浓度限值，所以该废渣不属于危险废物，而按照</w:t>
      </w:r>
      <w:r>
        <w:rPr>
          <w:rFonts w:hAnsi="宋体" w:eastAsia="宋体"/>
          <w:szCs w:val="24"/>
          <w:u w:val="single"/>
        </w:rPr>
        <w:t>《固体废物</w:t>
      </w:r>
      <w:r>
        <w:rPr>
          <w:rFonts w:eastAsia="宋体"/>
          <w:szCs w:val="24"/>
          <w:u w:val="single"/>
        </w:rPr>
        <w:t xml:space="preserve"> </w:t>
      </w:r>
      <w:r>
        <w:rPr>
          <w:rFonts w:hAnsi="宋体" w:eastAsia="宋体"/>
          <w:szCs w:val="24"/>
          <w:u w:val="single"/>
        </w:rPr>
        <w:t>浸出毒性浸出方法</w:t>
      </w:r>
      <w:r>
        <w:rPr>
          <w:rFonts w:eastAsia="宋体"/>
          <w:szCs w:val="24"/>
          <w:u w:val="single"/>
        </w:rPr>
        <w:t xml:space="preserve"> </w:t>
      </w:r>
      <w:r>
        <w:rPr>
          <w:rFonts w:hAnsi="宋体" w:eastAsia="宋体"/>
          <w:szCs w:val="24"/>
          <w:u w:val="single"/>
        </w:rPr>
        <w:t>翻转法》（</w:t>
      </w:r>
      <w:r>
        <w:rPr>
          <w:rFonts w:eastAsia="宋体"/>
          <w:szCs w:val="24"/>
          <w:u w:val="single"/>
        </w:rPr>
        <w:t>GB 5086.1-1997</w:t>
      </w:r>
      <w:r>
        <w:rPr>
          <w:rFonts w:hAnsi="宋体" w:eastAsia="宋体"/>
          <w:szCs w:val="24"/>
          <w:u w:val="single"/>
        </w:rPr>
        <w:t>）</w:t>
      </w:r>
      <w:r>
        <w:rPr>
          <w:rFonts w:hint="eastAsia" w:hAnsi="宋体" w:eastAsia="宋体"/>
          <w:szCs w:val="24"/>
          <w:u w:val="single"/>
        </w:rPr>
        <w:t>规定方法进行浸出试验而获得的浸出液中，5个区域废渣浸出液中砷、铅、六价铬等重金属浓度均超过《污水综合排放标准》（GB8978-1996）最高允许排放标准，老虎嘴、抓埠市区渣土的有机污染物的浓度部分超过《污水综合排放标准》（GB8978-1996）二级排放标准，故该废渣定性为重金属废渣，</w:t>
      </w:r>
      <w:r>
        <w:rPr>
          <w:u w:val="single"/>
        </w:rPr>
        <w:t>属</w:t>
      </w:r>
      <w:r>
        <w:rPr>
          <w:u w:val="single"/>
        </w:rPr>
        <w:fldChar w:fldCharType="begin"/>
      </w:r>
      <w:r>
        <w:rPr>
          <w:u w:val="single"/>
        </w:rPr>
        <w:instrText xml:space="preserve"> </w:instrText>
      </w:r>
      <w:r>
        <w:rPr>
          <w:rFonts w:hint="eastAsia"/>
          <w:u w:val="single"/>
        </w:rPr>
        <w:instrText xml:space="preserve">= 2 \* ROMAN</w:instrText>
      </w:r>
      <w:r>
        <w:rPr>
          <w:u w:val="single"/>
        </w:rPr>
        <w:instrText xml:space="preserve"> </w:instrText>
      </w:r>
      <w:r>
        <w:rPr>
          <w:u w:val="single"/>
        </w:rPr>
        <w:fldChar w:fldCharType="separate"/>
      </w:r>
      <w:r>
        <w:rPr>
          <w:u w:val="single"/>
        </w:rPr>
        <w:t>II</w:t>
      </w:r>
      <w:r>
        <w:rPr>
          <w:u w:val="single"/>
        </w:rPr>
        <w:fldChar w:fldCharType="end"/>
      </w:r>
      <w:r>
        <w:rPr>
          <w:u w:val="single"/>
        </w:rPr>
        <w:t>类一般工业固废</w:t>
      </w:r>
      <w:r>
        <w:rPr>
          <w:rFonts w:hint="eastAsia"/>
          <w:u w:val="single"/>
          <w:shd w:val="clear" w:color="auto" w:fill="FFFFFF"/>
        </w:rPr>
        <w:t>。</w:t>
      </w:r>
    </w:p>
    <w:p>
      <w:pPr>
        <w:pStyle w:val="3"/>
      </w:pPr>
      <w:bookmarkStart w:id="63" w:name="_Toc462818419"/>
      <w:r>
        <w:rPr>
          <w:rFonts w:hint="eastAsia"/>
        </w:rPr>
        <w:t>污染源强</w:t>
      </w:r>
      <w:bookmarkEnd w:id="63"/>
    </w:p>
    <w:p>
      <w:pPr>
        <w:pStyle w:val="4"/>
      </w:pPr>
      <w:bookmarkStart w:id="64" w:name="_Toc391370149"/>
      <w:bookmarkStart w:id="65" w:name="_Toc344647698"/>
      <w:bookmarkStart w:id="66" w:name="_Toc346092560"/>
      <w:r>
        <w:rPr>
          <w:rFonts w:hint="eastAsia"/>
        </w:rPr>
        <w:t>施工期主要污染物产生情况</w:t>
      </w:r>
      <w:bookmarkEnd w:id="64"/>
      <w:bookmarkEnd w:id="65"/>
      <w:bookmarkEnd w:id="66"/>
    </w:p>
    <w:p>
      <w:pPr>
        <w:ind w:firstLine="480"/>
      </w:pPr>
      <w:r>
        <w:rPr>
          <w:rFonts w:hint="eastAsia"/>
        </w:rPr>
        <w:t>（</w:t>
      </w:r>
      <w:r>
        <w:t>1</w:t>
      </w:r>
      <w:r>
        <w:rPr>
          <w:rFonts w:hint="eastAsia"/>
        </w:rPr>
        <w:t>）水污染</w:t>
      </w:r>
    </w:p>
    <w:p>
      <w:pPr>
        <w:ind w:firstLine="480"/>
      </w:pPr>
      <w:r>
        <w:rPr>
          <w:rFonts w:hint="eastAsia"/>
        </w:rPr>
        <w:t>施工过程中产生的废水主要为施工人员排放的生活污水和施工作业产生的废水。</w:t>
      </w:r>
    </w:p>
    <w:p>
      <w:pPr>
        <w:ind w:firstLine="480"/>
      </w:pPr>
      <w:r>
        <w:rPr>
          <w:rFonts w:hint="eastAsia"/>
        </w:rPr>
        <w:t>①施工人员生活污水</w:t>
      </w:r>
    </w:p>
    <w:p>
      <w:pPr>
        <w:ind w:firstLine="480"/>
      </w:pPr>
      <w:r>
        <w:rPr>
          <w:rFonts w:hint="eastAsia"/>
          <w:bCs/>
        </w:rPr>
        <w:t>本项目施工人员排放的生活污水和城市居民生活污水水质相似，污水中主要污染物为</w:t>
      </w:r>
      <w:r>
        <w:t>COD</w:t>
      </w:r>
      <w:r>
        <w:rPr>
          <w:rFonts w:hint="eastAsia"/>
        </w:rPr>
        <w:t>和</w:t>
      </w:r>
      <w:r>
        <w:t>NH</w:t>
      </w:r>
      <w:r>
        <w:rPr>
          <w:vertAlign w:val="subscript"/>
        </w:rPr>
        <w:t>3</w:t>
      </w:r>
      <w:r>
        <w:t>-N</w:t>
      </w:r>
      <w:r>
        <w:rPr>
          <w:rFonts w:hint="eastAsia"/>
        </w:rPr>
        <w:t>。根据建设单位提供的资料，本项目施工人数最高峰为</w:t>
      </w:r>
      <w:r>
        <w:t>15</w:t>
      </w:r>
      <w:r>
        <w:rPr>
          <w:rFonts w:hint="eastAsia"/>
        </w:rPr>
        <w:t>人，一线施工人员绝大多数为当地民工，早出晚归，不安排集中住宿。施工期间生活用水主要为饮用水，平均用水量按</w:t>
      </w:r>
      <w:r>
        <w:t>40L/</w:t>
      </w:r>
      <w:r>
        <w:rPr>
          <w:rFonts w:hint="eastAsia"/>
        </w:rPr>
        <w:t>（人</w:t>
      </w:r>
      <w:r>
        <w:t>·</w:t>
      </w:r>
      <w:r>
        <w:rPr>
          <w:rFonts w:hint="eastAsia"/>
        </w:rPr>
        <w:t>日）计，其中</w:t>
      </w:r>
      <w:r>
        <w:t>80%</w:t>
      </w:r>
      <w:r>
        <w:rPr>
          <w:rFonts w:hint="eastAsia"/>
        </w:rPr>
        <w:t>作为污水排放量，项目施工期为</w:t>
      </w:r>
      <w:r>
        <w:t>270</w:t>
      </w:r>
      <w:r>
        <w:rPr>
          <w:rFonts w:hint="eastAsia"/>
        </w:rPr>
        <w:t>天，则本项目施工期间施工人员排放的污水量为</w:t>
      </w:r>
      <w:r>
        <w:t>0.48m</w:t>
      </w:r>
      <w:r>
        <w:rPr>
          <w:vertAlign w:val="superscript"/>
        </w:rPr>
        <w:t>3</w:t>
      </w:r>
      <w:r>
        <w:t>/d</w:t>
      </w:r>
      <w:r>
        <w:rPr>
          <w:rFonts w:hint="eastAsia"/>
        </w:rPr>
        <w:t>。根据类比资料，</w:t>
      </w:r>
      <w:r>
        <w:t>COD</w:t>
      </w:r>
      <w:r>
        <w:rPr>
          <w:rFonts w:hint="eastAsia"/>
        </w:rPr>
        <w:t>浓度</w:t>
      </w:r>
      <w:r>
        <w:t xml:space="preserve"> 360mg/L</w:t>
      </w:r>
      <w:r>
        <w:rPr>
          <w:rFonts w:hint="eastAsia"/>
        </w:rPr>
        <w:t>，</w:t>
      </w:r>
      <w:r>
        <w:t>NH</w:t>
      </w:r>
      <w:r>
        <w:rPr>
          <w:vertAlign w:val="subscript"/>
        </w:rPr>
        <w:t>3</w:t>
      </w:r>
      <w:r>
        <w:t>-N</w:t>
      </w:r>
      <w:r>
        <w:rPr>
          <w:rFonts w:hint="eastAsia"/>
        </w:rPr>
        <w:t>浓度为</w:t>
      </w:r>
      <w:r>
        <w:t>25mg/L</w:t>
      </w:r>
      <w:r>
        <w:rPr>
          <w:rFonts w:hint="eastAsia"/>
        </w:rPr>
        <w:t>，则项目施工期排放的</w:t>
      </w:r>
      <w:r>
        <w:t>COD</w:t>
      </w:r>
      <w:r>
        <w:rPr>
          <w:rFonts w:hint="eastAsia"/>
        </w:rPr>
        <w:t>为</w:t>
      </w:r>
      <w:r>
        <w:t>0.1728kg/d</w:t>
      </w:r>
      <w:r>
        <w:rPr>
          <w:rFonts w:hint="eastAsia"/>
        </w:rPr>
        <w:t>，</w:t>
      </w:r>
      <w:r>
        <w:t>NH</w:t>
      </w:r>
      <w:r>
        <w:rPr>
          <w:vertAlign w:val="subscript"/>
        </w:rPr>
        <w:t>3</w:t>
      </w:r>
      <w:r>
        <w:t>-N</w:t>
      </w:r>
      <w:r>
        <w:rPr>
          <w:rFonts w:hint="eastAsia"/>
        </w:rPr>
        <w:t>约</w:t>
      </w:r>
      <w:r>
        <w:t>0.012kg/d</w:t>
      </w:r>
      <w:r>
        <w:rPr>
          <w:rFonts w:hint="eastAsia"/>
        </w:rPr>
        <w:t>。生活污水利用当地民房及采石场原有化粪池消解处理后清掏，不外排。</w:t>
      </w:r>
    </w:p>
    <w:p>
      <w:pPr>
        <w:ind w:firstLine="480"/>
      </w:pPr>
      <w:r>
        <w:rPr>
          <w:rFonts w:hint="eastAsia"/>
        </w:rPr>
        <w:t>②施工生产废水</w:t>
      </w:r>
    </w:p>
    <w:p>
      <w:pPr>
        <w:ind w:firstLine="480"/>
      </w:pPr>
      <w:r>
        <w:rPr>
          <w:rFonts w:hint="eastAsia"/>
        </w:rPr>
        <w:t>本项目施工期施工生产废水主要来自汽车机械设备冲洗含油废水。汽车机械临时保养站</w:t>
      </w:r>
      <w:r>
        <w:t>(</w:t>
      </w:r>
      <w:r>
        <w:rPr>
          <w:rFonts w:hint="eastAsia"/>
        </w:rPr>
        <w:t>含停车场</w:t>
      </w:r>
      <w:r>
        <w:t>)</w:t>
      </w:r>
      <w:r>
        <w:rPr>
          <w:rFonts w:hint="eastAsia"/>
        </w:rPr>
        <w:t>对运输车辆和机械设备冲洗主要集中在每日晚上进行</w:t>
      </w:r>
      <w:r>
        <w:t>1</w:t>
      </w:r>
      <w:r>
        <w:rPr>
          <w:rFonts w:hint="eastAsia"/>
        </w:rPr>
        <w:t>次，施工高峰时运输车辆和机械设备包括挖掘机、推土机、自卸汽车以及各类车辆等，根据类比调查，项目建设高峰期共约</w:t>
      </w:r>
      <w:r>
        <w:t>10</w:t>
      </w:r>
      <w:r>
        <w:rPr>
          <w:rFonts w:hint="eastAsia"/>
        </w:rPr>
        <w:t>辆（台），每辆（台）运输车辆和机械设备每天平均冲洗废水量约为</w:t>
      </w:r>
      <w:r>
        <w:t>0.05 t</w:t>
      </w:r>
      <w:r>
        <w:rPr>
          <w:rFonts w:hint="eastAsia"/>
        </w:rPr>
        <w:t>，则平均每天（次）产生废水量约</w:t>
      </w:r>
      <w:r>
        <w:t>1 t</w:t>
      </w:r>
      <w:r>
        <w:rPr>
          <w:rFonts w:hint="eastAsia"/>
        </w:rPr>
        <w:t>。估计每次冲洗总耗时约为</w:t>
      </w:r>
      <w:r>
        <w:t>2</w:t>
      </w:r>
      <w:r>
        <w:rPr>
          <w:rFonts w:hint="eastAsia"/>
        </w:rPr>
        <w:t>小时，则运输车辆和机械设备冲洗废水最大流量相当于</w:t>
      </w:r>
      <w:r>
        <w:t>0.5 t/h</w:t>
      </w:r>
      <w:r>
        <w:rPr>
          <w:rFonts w:hint="eastAsia"/>
        </w:rPr>
        <w:t>。机械冲洗废水主要污染物是含有高浓度的泥沙和较高浓度的石油类物质。</w:t>
      </w:r>
    </w:p>
    <w:p>
      <w:pPr>
        <w:adjustRightInd w:val="0"/>
        <w:snapToGrid w:val="0"/>
        <w:ind w:firstLine="480"/>
      </w:pPr>
      <w:r>
        <w:rPr>
          <w:rFonts w:hint="eastAsia"/>
        </w:rPr>
        <w:t>施工期生产废水经沉淀、隔油等预处理后回用于车辆与设备清洗，或用于临时施工场地、临时堆土场等的洒水抑尘。施工期生产废水不对外排放。</w:t>
      </w:r>
    </w:p>
    <w:p>
      <w:pPr>
        <w:adjustRightInd w:val="0"/>
        <w:snapToGrid w:val="0"/>
        <w:ind w:firstLine="480"/>
      </w:pPr>
      <w:r>
        <w:rPr>
          <w:rFonts w:hint="eastAsia"/>
        </w:rPr>
        <w:t>（</w:t>
      </w:r>
      <w:r>
        <w:t>2</w:t>
      </w:r>
      <w:r>
        <w:rPr>
          <w:rFonts w:hint="eastAsia"/>
        </w:rPr>
        <w:t>）大气污染</w:t>
      </w:r>
    </w:p>
    <w:p>
      <w:pPr>
        <w:tabs>
          <w:tab w:val="left" w:pos="1274"/>
        </w:tabs>
        <w:ind w:firstLine="480"/>
      </w:pPr>
      <w:r>
        <w:rPr>
          <w:rFonts w:hint="eastAsia"/>
        </w:rPr>
        <w:t>施工期大气环境的污染源主要是施工扬尘，材料运输扬尘，以及运输车辆、施工机械废气等。</w:t>
      </w:r>
    </w:p>
    <w:p>
      <w:pPr>
        <w:tabs>
          <w:tab w:val="left" w:pos="1274"/>
        </w:tabs>
        <w:ind w:firstLine="480"/>
      </w:pPr>
      <w:r>
        <w:rPr>
          <w:rFonts w:hint="eastAsia"/>
        </w:rPr>
        <w:t>①车辆运输扬尘</w:t>
      </w:r>
    </w:p>
    <w:p>
      <w:pPr>
        <w:tabs>
          <w:tab w:val="left" w:pos="1274"/>
        </w:tabs>
        <w:ind w:firstLine="480"/>
      </w:pPr>
      <w:r>
        <w:rPr>
          <w:rFonts w:hint="eastAsia"/>
        </w:rPr>
        <w:t>施工扬尘的产生量与气候条件和施工方法有关，一般发生在风速大于</w:t>
      </w:r>
      <w:r>
        <w:t>3m/s</w:t>
      </w:r>
      <w:r>
        <w:rPr>
          <w:rFonts w:hint="eastAsia"/>
        </w:rPr>
        <w:t>时。车辆运输扬尘与道路的路面条件、运输物料和天气条件有关，运砂、土量为</w:t>
      </w:r>
      <w:r>
        <w:t>10 t</w:t>
      </w:r>
      <w:r>
        <w:rPr>
          <w:rFonts w:hint="eastAsia"/>
        </w:rPr>
        <w:t>的单车每公里扬尘量按</w:t>
      </w:r>
      <w:r>
        <w:t>8.8kg</w:t>
      </w:r>
      <w:r>
        <w:rPr>
          <w:rFonts w:hint="eastAsia"/>
        </w:rPr>
        <w:t>计算。运送散装含尘物料的车辆，要用蓬布苫盖，以防物料飞扬。对运送砂石料的车辆应限制超载，不得沿途洒漏。粉状材料应罐装或袋装。土、水泥、石灰等材料运输禁止超载，并盖篷布。</w:t>
      </w:r>
    </w:p>
    <w:p>
      <w:pPr>
        <w:tabs>
          <w:tab w:val="left" w:pos="1274"/>
        </w:tabs>
        <w:ind w:firstLine="480"/>
      </w:pPr>
      <w:r>
        <w:rPr>
          <w:rFonts w:hint="eastAsia"/>
        </w:rPr>
        <w:t>②施工场地扬尘</w:t>
      </w:r>
    </w:p>
    <w:p>
      <w:pPr>
        <w:ind w:firstLine="480"/>
      </w:pPr>
      <w:r>
        <w:rPr>
          <w:rFonts w:hint="eastAsia"/>
        </w:rPr>
        <w:t>道路施工阶段扬尘的另一个主要的来源是露天堆场和裸露场地的风力扬尘。由于施工需要，建筑材料如沙石骨料、水泥等堆放，在干燥有风的情况下会产生扬尘。扬尘产生量与堆场规模、地面风速、堆土湿度等有关。施工场地定时洒水抑尘。</w:t>
      </w:r>
    </w:p>
    <w:p>
      <w:pPr>
        <w:tabs>
          <w:tab w:val="left" w:pos="1274"/>
        </w:tabs>
        <w:ind w:firstLine="480"/>
      </w:pPr>
      <w:r>
        <w:rPr>
          <w:rFonts w:hint="eastAsia"/>
        </w:rPr>
        <w:t>③运输车辆及施工机械废气</w:t>
      </w:r>
    </w:p>
    <w:p>
      <w:pPr>
        <w:tabs>
          <w:tab w:val="left" w:pos="1274"/>
        </w:tabs>
        <w:ind w:firstLine="480"/>
      </w:pPr>
      <w:r>
        <w:rPr>
          <w:rFonts w:hint="eastAsia"/>
        </w:rPr>
        <w:t>运输车辆和施工机械动力源为柴油，主要污染物为</w:t>
      </w:r>
      <w:r>
        <w:t>NO</w:t>
      </w:r>
      <w:r>
        <w:rPr>
          <w:vertAlign w:val="subscript"/>
        </w:rPr>
        <w:t>2</w:t>
      </w:r>
      <w:r>
        <w:rPr>
          <w:rFonts w:hint="eastAsia"/>
        </w:rPr>
        <w:t>等。一般来说，由运输车辆、施工机械产生的污染物排放量并不大，主要对作业点周围和运输路线两侧局部范围产生一定影响，排放量不大，影响也相对小。</w:t>
      </w:r>
    </w:p>
    <w:p>
      <w:pPr>
        <w:ind w:firstLine="480"/>
      </w:pPr>
      <w:r>
        <w:rPr>
          <w:rFonts w:hint="eastAsia"/>
        </w:rPr>
        <w:t>（</w:t>
      </w:r>
      <w:r>
        <w:t>3</w:t>
      </w:r>
      <w:r>
        <w:rPr>
          <w:rFonts w:hint="eastAsia"/>
        </w:rPr>
        <w:t>）噪声污染</w:t>
      </w:r>
    </w:p>
    <w:p>
      <w:pPr>
        <w:ind w:firstLine="480"/>
      </w:pPr>
      <w:r>
        <w:rPr>
          <w:rFonts w:hint="eastAsia"/>
        </w:rPr>
        <w:t>施工期噪声主要来自施工机械和运输车辆，其类比测试结果见表</w:t>
      </w:r>
      <w:r>
        <w:t>2.9-1</w:t>
      </w:r>
      <w:r>
        <w:rPr>
          <w:rFonts w:hint="eastAsia"/>
        </w:rPr>
        <w:t>。</w:t>
      </w:r>
    </w:p>
    <w:p>
      <w:pPr>
        <w:pStyle w:val="14"/>
      </w:pPr>
      <w:r>
        <w:rPr>
          <w:rFonts w:hint="eastAsia"/>
        </w:rPr>
        <w:t>表</w:t>
      </w:r>
      <w:r>
        <w:fldChar w:fldCharType="begin"/>
      </w:r>
      <w:r>
        <w:instrText xml:space="preserve"> STYLEREF 2 \s </w:instrText>
      </w:r>
      <w:r>
        <w:fldChar w:fldCharType="separate"/>
      </w:r>
      <w:r>
        <w:t>2.9</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主要施工设备噪声单位：</w:t>
      </w:r>
      <w:r>
        <w:t>dB(A)</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7"/>
        <w:gridCol w:w="4297"/>
        <w:gridCol w:w="27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atLeast"/>
        </w:trPr>
        <w:tc>
          <w:tcPr>
            <w:tcW w:w="2067" w:type="dxa"/>
            <w:vAlign w:val="center"/>
          </w:tcPr>
          <w:p>
            <w:pPr>
              <w:pStyle w:val="37"/>
            </w:pPr>
            <w:r>
              <w:rPr>
                <w:rFonts w:hint="eastAsia"/>
              </w:rPr>
              <w:t>序号</w:t>
            </w:r>
          </w:p>
        </w:tc>
        <w:tc>
          <w:tcPr>
            <w:tcW w:w="4297" w:type="dxa"/>
            <w:vAlign w:val="center"/>
          </w:tcPr>
          <w:p>
            <w:pPr>
              <w:pStyle w:val="37"/>
            </w:pPr>
            <w:r>
              <w:rPr>
                <w:rFonts w:hint="eastAsia"/>
              </w:rPr>
              <w:t>设备名称</w:t>
            </w:r>
          </w:p>
        </w:tc>
        <w:tc>
          <w:tcPr>
            <w:tcW w:w="2782" w:type="dxa"/>
            <w:vAlign w:val="center"/>
          </w:tcPr>
          <w:p>
            <w:pPr>
              <w:pStyle w:val="37"/>
            </w:pPr>
            <w:r>
              <w:rPr>
                <w:rFonts w:hint="eastAsia"/>
              </w:rPr>
              <w:t>噪声值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1</w:t>
            </w:r>
          </w:p>
        </w:tc>
        <w:tc>
          <w:tcPr>
            <w:tcW w:w="4297" w:type="dxa"/>
            <w:vAlign w:val="center"/>
          </w:tcPr>
          <w:p>
            <w:pPr>
              <w:pStyle w:val="37"/>
            </w:pPr>
            <w:r>
              <w:rPr>
                <w:rFonts w:hint="eastAsia"/>
              </w:rPr>
              <w:t>推土机</w:t>
            </w:r>
          </w:p>
        </w:tc>
        <w:tc>
          <w:tcPr>
            <w:tcW w:w="2782" w:type="dxa"/>
            <w:vAlign w:val="center"/>
          </w:tcPr>
          <w:p>
            <w:pPr>
              <w:pStyle w:val="37"/>
            </w:pPr>
            <w:r>
              <w:t>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2</w:t>
            </w:r>
          </w:p>
        </w:tc>
        <w:tc>
          <w:tcPr>
            <w:tcW w:w="4297" w:type="dxa"/>
            <w:vAlign w:val="center"/>
          </w:tcPr>
          <w:p>
            <w:pPr>
              <w:pStyle w:val="37"/>
            </w:pPr>
            <w:r>
              <w:rPr>
                <w:rFonts w:hint="eastAsia"/>
              </w:rPr>
              <w:t>装载机</w:t>
            </w:r>
          </w:p>
        </w:tc>
        <w:tc>
          <w:tcPr>
            <w:tcW w:w="2782" w:type="dxa"/>
            <w:vAlign w:val="center"/>
          </w:tcPr>
          <w:p>
            <w:pPr>
              <w:pStyle w:val="37"/>
            </w:pPr>
            <w: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3</w:t>
            </w:r>
          </w:p>
        </w:tc>
        <w:tc>
          <w:tcPr>
            <w:tcW w:w="4297" w:type="dxa"/>
            <w:vAlign w:val="center"/>
          </w:tcPr>
          <w:p>
            <w:pPr>
              <w:pStyle w:val="37"/>
            </w:pPr>
            <w:r>
              <w:rPr>
                <w:rFonts w:hint="eastAsia"/>
              </w:rPr>
              <w:t>挖掘机</w:t>
            </w:r>
          </w:p>
        </w:tc>
        <w:tc>
          <w:tcPr>
            <w:tcW w:w="2782" w:type="dxa"/>
            <w:vAlign w:val="center"/>
          </w:tcPr>
          <w:p>
            <w:pPr>
              <w:pStyle w:val="37"/>
            </w:pPr>
            <w:r>
              <w:t>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4</w:t>
            </w:r>
          </w:p>
        </w:tc>
        <w:tc>
          <w:tcPr>
            <w:tcW w:w="4297" w:type="dxa"/>
            <w:vAlign w:val="center"/>
          </w:tcPr>
          <w:p>
            <w:pPr>
              <w:pStyle w:val="37"/>
            </w:pPr>
            <w:r>
              <w:rPr>
                <w:rFonts w:hint="eastAsia"/>
              </w:rPr>
              <w:t>空压机</w:t>
            </w:r>
          </w:p>
        </w:tc>
        <w:tc>
          <w:tcPr>
            <w:tcW w:w="2782" w:type="dxa"/>
            <w:vAlign w:val="center"/>
          </w:tcPr>
          <w:p>
            <w:pPr>
              <w:pStyle w:val="37"/>
            </w:pPr>
            <w: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5</w:t>
            </w:r>
          </w:p>
        </w:tc>
        <w:tc>
          <w:tcPr>
            <w:tcW w:w="4297" w:type="dxa"/>
            <w:vAlign w:val="center"/>
          </w:tcPr>
          <w:p>
            <w:pPr>
              <w:pStyle w:val="37"/>
            </w:pPr>
            <w:r>
              <w:rPr>
                <w:rFonts w:hint="eastAsia"/>
              </w:rPr>
              <w:t>自卸卡车</w:t>
            </w:r>
          </w:p>
        </w:tc>
        <w:tc>
          <w:tcPr>
            <w:tcW w:w="2782" w:type="dxa"/>
            <w:vAlign w:val="center"/>
          </w:tcPr>
          <w:p>
            <w:pPr>
              <w:pStyle w:val="37"/>
            </w:pPr>
            <w:r>
              <w:t>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9" w:hRule="atLeast"/>
        </w:trPr>
        <w:tc>
          <w:tcPr>
            <w:tcW w:w="2067" w:type="dxa"/>
            <w:vAlign w:val="center"/>
          </w:tcPr>
          <w:p>
            <w:pPr>
              <w:pStyle w:val="37"/>
            </w:pPr>
            <w:r>
              <w:t>6</w:t>
            </w:r>
          </w:p>
        </w:tc>
        <w:tc>
          <w:tcPr>
            <w:tcW w:w="4297" w:type="dxa"/>
            <w:vAlign w:val="center"/>
          </w:tcPr>
          <w:p>
            <w:pPr>
              <w:pStyle w:val="37"/>
            </w:pPr>
            <w:r>
              <w:rPr>
                <w:rFonts w:hint="eastAsia"/>
              </w:rPr>
              <w:t>振捣棒</w:t>
            </w:r>
          </w:p>
        </w:tc>
        <w:tc>
          <w:tcPr>
            <w:tcW w:w="2782" w:type="dxa"/>
            <w:vAlign w:val="center"/>
          </w:tcPr>
          <w:p>
            <w:pPr>
              <w:pStyle w:val="37"/>
            </w:pPr>
            <w:r>
              <w:t>97</w:t>
            </w:r>
          </w:p>
        </w:tc>
      </w:tr>
    </w:tbl>
    <w:p>
      <w:pPr>
        <w:pStyle w:val="14"/>
        <w:jc w:val="left"/>
      </w:pPr>
      <w:r>
        <w:t>*</w:t>
      </w:r>
      <w:r>
        <w:rPr>
          <w:rFonts w:hint="eastAsia"/>
        </w:rPr>
        <w:t>施工机械噪声源强均在距施工机械</w:t>
      </w:r>
      <w:r>
        <w:t>5m</w:t>
      </w:r>
      <w:r>
        <w:rPr>
          <w:rFonts w:hint="eastAsia"/>
        </w:rPr>
        <w:t>处测定</w:t>
      </w:r>
    </w:p>
    <w:p>
      <w:pPr>
        <w:ind w:firstLine="480"/>
      </w:pPr>
      <w:r>
        <w:rPr>
          <w:rFonts w:hint="eastAsia"/>
        </w:rPr>
        <w:t>（</w:t>
      </w:r>
      <w:r>
        <w:t>4</w:t>
      </w:r>
      <w:r>
        <w:rPr>
          <w:rFonts w:hint="eastAsia"/>
        </w:rPr>
        <w:t>）固体废物</w:t>
      </w:r>
    </w:p>
    <w:p>
      <w:pPr>
        <w:ind w:firstLine="480"/>
      </w:pPr>
      <w:r>
        <w:rPr>
          <w:rFonts w:hint="eastAsia"/>
        </w:rPr>
        <w:t>本项目施工期固体废物主要为施工人员的生活垃圾和施工过程产生少量的建筑垃圾以及处置场的弃土。</w:t>
      </w:r>
    </w:p>
    <w:p>
      <w:pPr>
        <w:ind w:firstLine="480"/>
      </w:pPr>
      <w:r>
        <w:rPr>
          <w:rFonts w:hint="eastAsia"/>
        </w:rPr>
        <w:t>本项目施工期施工人员主要为当地民工，不集中安排食宿，产生的生活垃圾较少，主要为烟头、香烟盒、果皮纸屑等，以</w:t>
      </w:r>
      <w:r>
        <w:t>0.5kg/d</w:t>
      </w:r>
      <w:r>
        <w:rPr>
          <w:rFonts w:hint="eastAsia"/>
        </w:rPr>
        <w:t>的人均生活垃圾产生量计算施工人员生活垃圾量，为</w:t>
      </w:r>
      <w:r>
        <w:t>7.5kg/d</w:t>
      </w:r>
      <w:r>
        <w:rPr>
          <w:rFonts w:hint="eastAsia"/>
        </w:rPr>
        <w:t>。</w:t>
      </w:r>
    </w:p>
    <w:p>
      <w:pPr>
        <w:ind w:firstLine="480"/>
        <w:rPr>
          <w:kern w:val="0"/>
        </w:rPr>
      </w:pPr>
      <w:r>
        <w:rPr>
          <w:rFonts w:hint="eastAsia"/>
          <w:kern w:val="0"/>
        </w:rPr>
        <w:t>处置场建设时，根据建设单位提供的资料，项目利用采石场废弃矿坑，无挖方，无需另外设置临时堆土场区。</w:t>
      </w:r>
    </w:p>
    <w:p>
      <w:pPr>
        <w:ind w:firstLine="480"/>
      </w:pPr>
      <w:r>
        <w:rPr>
          <w:rFonts w:hint="eastAsia"/>
        </w:rPr>
        <w:t>（</w:t>
      </w:r>
      <w:r>
        <w:t>5</w:t>
      </w:r>
      <w:r>
        <w:rPr>
          <w:rFonts w:hint="eastAsia"/>
        </w:rPr>
        <w:t>）生态环境影响</w:t>
      </w:r>
    </w:p>
    <w:p>
      <w:pPr>
        <w:ind w:firstLine="480"/>
      </w:pPr>
      <w:r>
        <w:rPr>
          <w:rFonts w:hint="eastAsia"/>
        </w:rPr>
        <w:t>生态环境影响主要是对土壤、植被的破坏。本工程在建设过程中，道路、处置场施工，将破坏目前灌木植被和农作物，客观上使拟建地植被减少，引发水土流失。</w:t>
      </w:r>
    </w:p>
    <w:p>
      <w:pPr>
        <w:ind w:firstLine="480"/>
      </w:pPr>
      <w:r>
        <w:rPr>
          <w:rFonts w:hint="eastAsia"/>
        </w:rPr>
        <w:t>（</w:t>
      </w:r>
      <w:r>
        <w:t>6</w:t>
      </w:r>
      <w:r>
        <w:rPr>
          <w:rFonts w:hint="eastAsia"/>
        </w:rPr>
        <w:t>）施工期污染物排放汇总</w:t>
      </w:r>
    </w:p>
    <w:p>
      <w:pPr>
        <w:ind w:firstLine="480"/>
      </w:pPr>
      <w:r>
        <w:rPr>
          <w:rFonts w:hint="eastAsia"/>
        </w:rPr>
        <w:t>本项目施工期污染物产生情况见表</w:t>
      </w:r>
      <w:r>
        <w:t>2.9-2</w:t>
      </w:r>
      <w:r>
        <w:rPr>
          <w:rFonts w:hint="eastAsia"/>
        </w:rPr>
        <w:t>。</w:t>
      </w:r>
    </w:p>
    <w:p>
      <w:pPr>
        <w:pStyle w:val="14"/>
      </w:pPr>
      <w:r>
        <w:rPr>
          <w:rFonts w:hint="eastAsia"/>
        </w:rPr>
        <w:t>表</w:t>
      </w:r>
      <w:r>
        <w:fldChar w:fldCharType="begin"/>
      </w:r>
      <w:r>
        <w:instrText xml:space="preserve"> STYLEREF 2 \s </w:instrText>
      </w:r>
      <w:r>
        <w:fldChar w:fldCharType="separate"/>
      </w:r>
      <w:r>
        <w:t>2.9</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施工期主要污染物产生量一览表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55"/>
        <w:gridCol w:w="3353"/>
        <w:gridCol w:w="2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Align w:val="center"/>
          </w:tcPr>
          <w:p>
            <w:pPr>
              <w:pStyle w:val="37"/>
            </w:pPr>
            <w:r>
              <w:rPr>
                <w:rFonts w:hint="eastAsia"/>
              </w:rPr>
              <w:t>类别</w:t>
            </w:r>
          </w:p>
        </w:tc>
        <w:tc>
          <w:tcPr>
            <w:tcW w:w="3353" w:type="dxa"/>
            <w:vAlign w:val="center"/>
          </w:tcPr>
          <w:p>
            <w:pPr>
              <w:pStyle w:val="37"/>
            </w:pPr>
            <w:r>
              <w:rPr>
                <w:rFonts w:hint="eastAsia"/>
              </w:rPr>
              <w:t>名称</w:t>
            </w:r>
          </w:p>
        </w:tc>
        <w:tc>
          <w:tcPr>
            <w:tcW w:w="2438" w:type="dxa"/>
            <w:vAlign w:val="center"/>
          </w:tcPr>
          <w:p>
            <w:pPr>
              <w:pStyle w:val="37"/>
            </w:pPr>
            <w:r>
              <w:rPr>
                <w:rFonts w:hint="eastAsia"/>
              </w:rPr>
              <w:t>估计产生量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Align w:val="center"/>
          </w:tcPr>
          <w:p>
            <w:pPr>
              <w:pStyle w:val="37"/>
            </w:pPr>
            <w:r>
              <w:rPr>
                <w:rFonts w:hint="eastAsia"/>
              </w:rPr>
              <w:t>扬尘</w:t>
            </w:r>
          </w:p>
        </w:tc>
        <w:tc>
          <w:tcPr>
            <w:tcW w:w="3353" w:type="dxa"/>
            <w:vAlign w:val="center"/>
          </w:tcPr>
          <w:p>
            <w:pPr>
              <w:pStyle w:val="37"/>
            </w:pPr>
            <w:r>
              <w:rPr>
                <w:rFonts w:hint="eastAsia"/>
              </w:rPr>
              <w:t>施工扬尘</w:t>
            </w:r>
          </w:p>
        </w:tc>
        <w:tc>
          <w:tcPr>
            <w:tcW w:w="2438"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Merge w:val="restart"/>
            <w:vAlign w:val="center"/>
          </w:tcPr>
          <w:p>
            <w:pPr>
              <w:pStyle w:val="37"/>
            </w:pPr>
            <w:r>
              <w:rPr>
                <w:rFonts w:hint="eastAsia"/>
              </w:rPr>
              <w:t>施工人员生活污水</w:t>
            </w:r>
          </w:p>
        </w:tc>
        <w:tc>
          <w:tcPr>
            <w:tcW w:w="3353" w:type="dxa"/>
            <w:vAlign w:val="center"/>
          </w:tcPr>
          <w:p>
            <w:pPr>
              <w:pStyle w:val="37"/>
            </w:pPr>
            <w:r>
              <w:rPr>
                <w:rFonts w:hint="eastAsia"/>
              </w:rPr>
              <w:t>生活污水总量</w:t>
            </w:r>
          </w:p>
        </w:tc>
        <w:tc>
          <w:tcPr>
            <w:tcW w:w="2438" w:type="dxa"/>
            <w:vAlign w:val="center"/>
          </w:tcPr>
          <w:p>
            <w:pPr>
              <w:pStyle w:val="37"/>
            </w:pPr>
            <w:r>
              <w:t>0.48m</w:t>
            </w:r>
            <w:r>
              <w:rPr>
                <w:vertAlign w:val="superscript"/>
              </w:rPr>
              <w:t>3</w:t>
            </w:r>
            <w: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Merge w:val="continue"/>
            <w:vAlign w:val="center"/>
          </w:tcPr>
          <w:p>
            <w:pPr>
              <w:pStyle w:val="37"/>
            </w:pPr>
          </w:p>
        </w:tc>
        <w:tc>
          <w:tcPr>
            <w:tcW w:w="3353" w:type="dxa"/>
            <w:vAlign w:val="center"/>
          </w:tcPr>
          <w:p>
            <w:pPr>
              <w:pStyle w:val="37"/>
            </w:pPr>
            <w:r>
              <w:t>COD</w:t>
            </w:r>
          </w:p>
        </w:tc>
        <w:tc>
          <w:tcPr>
            <w:tcW w:w="2438" w:type="dxa"/>
            <w:vAlign w:val="center"/>
          </w:tcPr>
          <w:p>
            <w:pPr>
              <w:pStyle w:val="37"/>
            </w:pPr>
            <w:r>
              <w:t>0.1728kg/d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Merge w:val="continue"/>
            <w:vAlign w:val="center"/>
          </w:tcPr>
          <w:p>
            <w:pPr>
              <w:pStyle w:val="37"/>
            </w:pPr>
          </w:p>
        </w:tc>
        <w:tc>
          <w:tcPr>
            <w:tcW w:w="3353" w:type="dxa"/>
            <w:vAlign w:val="center"/>
          </w:tcPr>
          <w:p>
            <w:pPr>
              <w:pStyle w:val="37"/>
            </w:pPr>
            <w:r>
              <w:t>NH</w:t>
            </w:r>
            <w:r>
              <w:rPr>
                <w:vertAlign w:val="subscript"/>
              </w:rPr>
              <w:t>3</w:t>
            </w:r>
            <w:r>
              <w:t>-N</w:t>
            </w:r>
          </w:p>
        </w:tc>
        <w:tc>
          <w:tcPr>
            <w:tcW w:w="2438" w:type="dxa"/>
            <w:vAlign w:val="center"/>
          </w:tcPr>
          <w:p>
            <w:pPr>
              <w:pStyle w:val="37"/>
            </w:pPr>
            <w:r>
              <w:t>0.012kg/d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Align w:val="center"/>
          </w:tcPr>
          <w:p>
            <w:pPr>
              <w:pStyle w:val="37"/>
              <w:rPr>
                <w:vertAlign w:val="subscript"/>
              </w:rPr>
            </w:pPr>
            <w:r>
              <w:rPr>
                <w:rFonts w:hint="eastAsia"/>
              </w:rPr>
              <w:t>噪声</w:t>
            </w:r>
          </w:p>
        </w:tc>
        <w:tc>
          <w:tcPr>
            <w:tcW w:w="3353" w:type="dxa"/>
            <w:vAlign w:val="center"/>
          </w:tcPr>
          <w:p>
            <w:pPr>
              <w:pStyle w:val="37"/>
            </w:pPr>
            <w:r>
              <w:rPr>
                <w:rFonts w:hint="eastAsia"/>
              </w:rPr>
              <w:t>施工机械噪声</w:t>
            </w:r>
          </w:p>
        </w:tc>
        <w:tc>
          <w:tcPr>
            <w:tcW w:w="2438" w:type="dxa"/>
            <w:vAlign w:val="center"/>
          </w:tcPr>
          <w:p>
            <w:pPr>
              <w:pStyle w:val="37"/>
            </w:pPr>
            <w:r>
              <w:t>83-100dB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355" w:type="dxa"/>
            <w:vAlign w:val="center"/>
          </w:tcPr>
          <w:p>
            <w:pPr>
              <w:pStyle w:val="37"/>
            </w:pPr>
            <w:r>
              <w:rPr>
                <w:rFonts w:hint="eastAsia"/>
              </w:rPr>
              <w:t>固体废物</w:t>
            </w:r>
          </w:p>
        </w:tc>
        <w:tc>
          <w:tcPr>
            <w:tcW w:w="3353" w:type="dxa"/>
            <w:vAlign w:val="center"/>
          </w:tcPr>
          <w:p>
            <w:pPr>
              <w:pStyle w:val="37"/>
            </w:pPr>
            <w:r>
              <w:rPr>
                <w:rFonts w:hint="eastAsia"/>
              </w:rPr>
              <w:t>施工人员生活垃圾</w:t>
            </w:r>
          </w:p>
        </w:tc>
        <w:tc>
          <w:tcPr>
            <w:tcW w:w="2438" w:type="dxa"/>
            <w:vAlign w:val="center"/>
          </w:tcPr>
          <w:p>
            <w:pPr>
              <w:pStyle w:val="37"/>
            </w:pPr>
            <w:r>
              <w:t>7.5kg/d</w:t>
            </w:r>
          </w:p>
        </w:tc>
      </w:tr>
    </w:tbl>
    <w:p>
      <w:pPr>
        <w:pStyle w:val="4"/>
      </w:pPr>
      <w:r>
        <w:rPr>
          <w:rFonts w:hint="eastAsia"/>
        </w:rPr>
        <w:t>填埋期主要污染物产生情况</w:t>
      </w:r>
    </w:p>
    <w:p>
      <w:pPr>
        <w:ind w:firstLine="480"/>
      </w:pPr>
      <w:r>
        <w:rPr>
          <w:rFonts w:hint="eastAsia"/>
        </w:rPr>
        <w:t>（</w:t>
      </w:r>
      <w:r>
        <w:t>1</w:t>
      </w:r>
      <w:r>
        <w:rPr>
          <w:rFonts w:hint="eastAsia"/>
        </w:rPr>
        <w:t>）废水</w:t>
      </w:r>
    </w:p>
    <w:p>
      <w:pPr>
        <w:ind w:firstLine="480"/>
      </w:pPr>
      <w:r>
        <w:rPr>
          <w:rFonts w:hint="eastAsia"/>
        </w:rPr>
        <w:t>本工程污水主要包括处置场渗滤液以及生活污水。</w:t>
      </w:r>
    </w:p>
    <w:p>
      <w:pPr>
        <w:ind w:firstLine="480"/>
      </w:pPr>
      <w:r>
        <w:rPr>
          <w:rFonts w:hint="eastAsia"/>
        </w:rPr>
        <w:t>①处置场渗滤液</w:t>
      </w:r>
    </w:p>
    <w:p>
      <w:pPr>
        <w:ind w:firstLine="480"/>
      </w:pPr>
      <w:r>
        <w:rPr>
          <w:rFonts w:hint="eastAsia"/>
        </w:rPr>
        <w:t>工程运营及封场后一段时间，产生的主要污水为渗滤液，输送道路降尘、设备冲洗水等均全部利用不外排。</w:t>
      </w:r>
    </w:p>
    <w:p>
      <w:pPr>
        <w:widowControl/>
        <w:ind w:firstLine="480"/>
        <w:rPr>
          <w:u w:val="single"/>
        </w:rPr>
      </w:pPr>
      <w:r>
        <w:rPr>
          <w:rFonts w:hint="eastAsia"/>
          <w:u w:val="single"/>
        </w:rPr>
        <w:t>渗滤液的来源有三个方面，一是进入处置场的大气降水；二是固体废物本身携带的水分；三是固体废物中的有机物分解产生的水分。经调查，本项目历史遗留固废中有机物经多年分解后产生的水分较小，本项目渗滤液大部分来源为大气降水，因此</w:t>
      </w:r>
      <w:r>
        <w:rPr>
          <w:rFonts w:hint="eastAsia"/>
          <w:kern w:val="0"/>
          <w:szCs w:val="24"/>
          <w:u w:val="single"/>
        </w:rPr>
        <w:t>采用以下方法预测渗滤液产生量,</w:t>
      </w:r>
      <w:r>
        <w:rPr>
          <w:u w:val="single"/>
        </w:rPr>
        <w:t>根据降雨期路面径流量的计算公式可知：</w:t>
      </w:r>
    </w:p>
    <w:p>
      <w:pPr>
        <w:ind w:firstLine="2520" w:firstLineChars="1050"/>
        <w:rPr>
          <w:u w:val="single"/>
        </w:rPr>
      </w:pPr>
      <w:r>
        <w:rPr>
          <w:u w:val="single"/>
        </w:rPr>
        <w:t xml:space="preserve"> W=</w:t>
      </w:r>
      <w:r>
        <w:rPr>
          <w:rFonts w:hint="eastAsia"/>
          <w:u w:val="single"/>
        </w:rPr>
        <w:t>F</w:t>
      </w:r>
      <w:r>
        <w:rPr>
          <w:u w:val="single"/>
        </w:rPr>
        <w:t xml:space="preserve"> </w:t>
      </w:r>
      <w:r>
        <w:rPr>
          <w:rFonts w:ascii="Times New Roman" w:hAnsi="Times New Roman" w:eastAsia="宋体" w:cs="Times New Roman"/>
          <w:kern w:val="2"/>
          <w:sz w:val="24"/>
          <w:szCs w:val="21"/>
          <w:u w:val="single"/>
          <w:lang w:val="en-US" w:eastAsia="zh-CN" w:bidi="ar-SA"/>
        </w:rPr>
        <w:object>
          <v:shape id="Picture 1" type="#_x0000_t75" style="height:10.9pt;width:10.9pt;rotation:0f;" o:ole="t"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o:OLEObject Type="Embed" ProgID="Equation.3" ShapeID="Picture 1" DrawAspect="Content" ObjectID="_58" r:id="rId25"/>
        </w:object>
      </w:r>
      <w:r>
        <w:rPr>
          <w:u w:val="single"/>
        </w:rPr>
        <w:t xml:space="preserve">h </w:t>
      </w:r>
      <w:r>
        <w:rPr>
          <w:rFonts w:ascii="Times New Roman" w:hAnsi="Times New Roman" w:eastAsia="宋体" w:cs="Times New Roman"/>
          <w:kern w:val="2"/>
          <w:sz w:val="24"/>
          <w:szCs w:val="21"/>
          <w:u w:val="single"/>
          <w:lang w:val="en-US" w:eastAsia="zh-CN" w:bidi="ar-SA"/>
        </w:rPr>
        <w:object>
          <v:shape id="对象 9" type="#_x0000_t75" style="height:10.9pt;width:10.9pt;rotation:0f;" o:ole="t"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o:OLEObject Type="Embed" ProgID="Equation.3" ShapeID="对象 9" DrawAspect="Content" ObjectID="_59" r:id="rId27"/>
        </w:object>
      </w:r>
      <w:r>
        <w:rPr>
          <w:u w:val="single"/>
        </w:rPr>
        <w:t>10</w:t>
      </w:r>
      <w:r>
        <w:rPr>
          <w:u w:val="single"/>
          <w:vertAlign w:val="superscript"/>
        </w:rPr>
        <w:t>-3</w:t>
      </w:r>
      <w:r>
        <w:rPr>
          <w:rFonts w:ascii="Times New Roman" w:hAnsi="Times New Roman" w:eastAsia="宋体" w:cs="Times New Roman"/>
          <w:kern w:val="2"/>
          <w:sz w:val="24"/>
          <w:szCs w:val="21"/>
          <w:u w:val="single"/>
          <w:lang w:val="en-US" w:eastAsia="zh-CN" w:bidi="ar-SA"/>
        </w:rPr>
        <w:object>
          <v:shape id="对象 10" type="#_x0000_t75" style="height:15.9pt;width:10.9pt;rotation:0f;" o:ole="t"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o:OLEObject Type="Embed" ProgID="Equation.3" ShapeID="对象 10" DrawAspect="Content" ObjectID="_60" r:id="rId28"/>
        </w:object>
      </w:r>
      <w:r>
        <w:rPr>
          <w:rFonts w:ascii="Times New Roman" w:hAnsi="Times New Roman" w:eastAsia="宋体" w:cs="Times New Roman"/>
          <w:kern w:val="2"/>
          <w:sz w:val="24"/>
          <w:szCs w:val="21"/>
          <w:u w:val="single"/>
          <w:lang w:val="en-US" w:eastAsia="zh-CN" w:bidi="ar-SA"/>
        </w:rPr>
        <w:object>
          <v:shape id="Picture 4" type="#_x0000_t75" style="height:10.9pt;width:10.9pt;rotation:0f;" o:ole="t"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o:OLEObject Type="Embed" ProgID="Equation.3" ShapeID="Picture 4" DrawAspect="Content" ObjectID="_61" r:id="rId30"/>
        </w:object>
      </w:r>
    </w:p>
    <w:p>
      <w:pPr>
        <w:spacing w:line="440" w:lineRule="exact"/>
        <w:ind w:firstLine="480"/>
        <w:rPr>
          <w:u w:val="single"/>
        </w:rPr>
      </w:pPr>
      <w:r>
        <w:rPr>
          <w:u w:val="single"/>
        </w:rPr>
        <w:t xml:space="preserve">     式中：W—径流量（m³/a）；</w:t>
      </w:r>
    </w:p>
    <w:p>
      <w:pPr>
        <w:ind w:firstLine="1037" w:firstLineChars="432"/>
        <w:rPr>
          <w:u w:val="single"/>
        </w:rPr>
      </w:pPr>
      <w:r>
        <w:rPr>
          <w:u w:val="single"/>
        </w:rPr>
        <w:t xml:space="preserve">       F— </w:t>
      </w:r>
      <w:r>
        <w:rPr>
          <w:rFonts w:hint="eastAsia"/>
          <w:u w:val="single"/>
        </w:rPr>
        <w:t>汇水面积m；</w:t>
      </w:r>
    </w:p>
    <w:p>
      <w:pPr>
        <w:spacing w:line="440" w:lineRule="exact"/>
        <w:ind w:firstLine="480"/>
        <w:rPr>
          <w:u w:val="single"/>
        </w:rPr>
      </w:pPr>
      <w:r>
        <w:rPr>
          <w:u w:val="single"/>
        </w:rPr>
        <w:t xml:space="preserve">           h—降雨强度（mm/</w:t>
      </w:r>
      <w:r>
        <w:rPr>
          <w:rFonts w:hint="eastAsia"/>
          <w:u w:val="single"/>
        </w:rPr>
        <w:t>月</w:t>
      </w:r>
      <w:r>
        <w:rPr>
          <w:u w:val="single"/>
        </w:rPr>
        <w:t>），根据</w:t>
      </w:r>
      <w:r>
        <w:rPr>
          <w:rFonts w:hint="eastAsia"/>
          <w:u w:val="single"/>
        </w:rPr>
        <w:t>建设单位介绍，项目填埋期为秋冬季，查找相关气象资料，</w:t>
      </w:r>
      <w:r>
        <w:rPr>
          <w:u w:val="single"/>
        </w:rPr>
        <w:t>h取</w:t>
      </w:r>
      <w:r>
        <w:rPr>
          <w:rFonts w:hint="eastAsia"/>
          <w:u w:val="single"/>
        </w:rPr>
        <w:t>69</w:t>
      </w:r>
      <w:r>
        <w:rPr>
          <w:u w:val="single"/>
        </w:rPr>
        <w:t>mm/</w:t>
      </w:r>
      <w:r>
        <w:rPr>
          <w:rFonts w:hint="eastAsia"/>
          <w:u w:val="single"/>
        </w:rPr>
        <w:t>月</w:t>
      </w:r>
      <w:r>
        <w:rPr>
          <w:u w:val="single"/>
        </w:rPr>
        <w:t>；</w:t>
      </w:r>
    </w:p>
    <w:p>
      <w:pPr>
        <w:spacing w:line="440" w:lineRule="exact"/>
        <w:ind w:firstLine="480"/>
        <w:rPr>
          <w:u w:val="single"/>
        </w:rPr>
      </w:pPr>
      <w:r>
        <w:rPr>
          <w:u w:val="single"/>
        </w:rPr>
        <w:t xml:space="preserve">           </w:t>
      </w:r>
      <w:r>
        <w:rPr>
          <w:rFonts w:ascii="Times New Roman" w:hAnsi="Times New Roman" w:eastAsia="宋体" w:cs="Times New Roman"/>
          <w:kern w:val="2"/>
          <w:sz w:val="24"/>
          <w:szCs w:val="21"/>
          <w:u w:val="single"/>
          <w:lang w:val="en-US" w:eastAsia="zh-CN" w:bidi="ar-SA"/>
        </w:rPr>
        <w:object>
          <v:shape id="对象 12" type="#_x0000_t75" style="height:10.9pt;width:10.9pt;rotation:0f;" o:ole="t"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o:OLEObject Type="Embed" ProgID="Equation.3" ShapeID="对象 12" DrawAspect="Content" ObjectID="_62" r:id="rId32"/>
        </w:object>
      </w:r>
      <w:r>
        <w:rPr>
          <w:u w:val="single"/>
        </w:rPr>
        <w:t>—径流系数，</w:t>
      </w:r>
      <w:r>
        <w:rPr>
          <w:rFonts w:hint="eastAsia"/>
          <w:u w:val="single"/>
        </w:rPr>
        <w:t>岳阳市</w:t>
      </w:r>
      <w:r>
        <w:rPr>
          <w:u w:val="single"/>
        </w:rPr>
        <w:t>取0.</w:t>
      </w:r>
      <w:r>
        <w:rPr>
          <w:rFonts w:hint="eastAsia"/>
          <w:u w:val="single"/>
        </w:rPr>
        <w:t>2</w:t>
      </w:r>
      <w:r>
        <w:rPr>
          <w:u w:val="single"/>
        </w:rPr>
        <w:t>。</w:t>
      </w:r>
    </w:p>
    <w:p>
      <w:pPr>
        <w:ind w:firstLine="480"/>
        <w:rPr>
          <w:u w:val="single"/>
        </w:rPr>
      </w:pPr>
      <w:r>
        <w:rPr>
          <w:u w:val="single"/>
        </w:rPr>
        <w:t>本项目雨水量可上述公式进行计算</w:t>
      </w:r>
      <w:r>
        <w:rPr>
          <w:rFonts w:hint="eastAsia"/>
          <w:u w:val="single"/>
        </w:rPr>
        <w:t>，填埋场库区面积约为</w:t>
      </w:r>
      <w:r>
        <w:rPr>
          <w:u w:val="single"/>
        </w:rPr>
        <w:t>1.2</w:t>
      </w:r>
      <w:r>
        <w:rPr>
          <w:rFonts w:hint="eastAsia"/>
          <w:u w:val="single"/>
        </w:rPr>
        <w:t>万</w:t>
      </w:r>
      <w:r>
        <w:rPr>
          <w:u w:val="single"/>
        </w:rPr>
        <w:t>m</w:t>
      </w:r>
      <w:r>
        <w:rPr>
          <w:u w:val="single"/>
          <w:vertAlign w:val="superscript"/>
        </w:rPr>
        <w:t>2</w:t>
      </w:r>
      <w:r>
        <w:rPr>
          <w:rFonts w:hint="eastAsia"/>
          <w:u w:val="single"/>
        </w:rPr>
        <w:t>，计算求得雨水量为165.6</w:t>
      </w:r>
      <w:r>
        <w:rPr>
          <w:u w:val="single"/>
        </w:rPr>
        <w:t>m</w:t>
      </w:r>
      <w:r>
        <w:rPr>
          <w:u w:val="single"/>
          <w:vertAlign w:val="superscript"/>
        </w:rPr>
        <w:t>3</w:t>
      </w:r>
      <w:r>
        <w:rPr>
          <w:u w:val="single"/>
        </w:rPr>
        <w:t>/</w:t>
      </w:r>
      <w:r>
        <w:rPr>
          <w:rFonts w:hint="eastAsia"/>
          <w:u w:val="single"/>
        </w:rPr>
        <w:t>月</w:t>
      </w:r>
      <w:r>
        <w:rPr>
          <w:u w:val="single"/>
        </w:rPr>
        <w:t>，</w:t>
      </w:r>
      <w:r>
        <w:rPr>
          <w:rFonts w:hint="eastAsia"/>
          <w:u w:val="single"/>
        </w:rPr>
        <w:t>项目填埋期为2016年10至2016年12月，工期为2个月</w:t>
      </w:r>
      <w:r>
        <w:rPr>
          <w:u w:val="single"/>
        </w:rPr>
        <w:t xml:space="preserve">， </w:t>
      </w:r>
      <w:r>
        <w:rPr>
          <w:rFonts w:hint="eastAsia"/>
          <w:u w:val="single"/>
        </w:rPr>
        <w:t>项目填埋期渗滤液总量为331.2</w:t>
      </w:r>
      <w:r>
        <w:rPr>
          <w:u w:val="single"/>
        </w:rPr>
        <w:t>m</w:t>
      </w:r>
      <w:r>
        <w:rPr>
          <w:u w:val="single"/>
          <w:vertAlign w:val="superscript"/>
        </w:rPr>
        <w:t>3</w:t>
      </w:r>
      <w:r>
        <w:rPr>
          <w:rFonts w:hint="eastAsia"/>
          <w:u w:val="single"/>
        </w:rPr>
        <w:t>。根据渗滤液产生情况，运送至有资质单位处理。</w:t>
      </w:r>
    </w:p>
    <w:p>
      <w:pPr>
        <w:ind w:firstLine="480"/>
        <w:rPr>
          <w:u w:val="single"/>
        </w:rPr>
      </w:pPr>
      <w:r>
        <w:rPr>
          <w:rFonts w:hint="eastAsia"/>
          <w:u w:val="single"/>
        </w:rPr>
        <w:t>类比同类工业固废渣填埋场渗滤液水质参数及现状检测渗滤液中各污染物产生情况，本项目渗滤液污染物见表</w:t>
      </w:r>
      <w:r>
        <w:rPr>
          <w:u w:val="single"/>
        </w:rPr>
        <w:t>2.9-3</w:t>
      </w:r>
      <w:r>
        <w:rPr>
          <w:rFonts w:hint="eastAsia"/>
          <w:u w:val="single"/>
        </w:rPr>
        <w:t>。</w:t>
      </w:r>
    </w:p>
    <w:p>
      <w:pPr>
        <w:pStyle w:val="14"/>
        <w:rPr>
          <w:u w:val="single"/>
        </w:rPr>
      </w:pPr>
      <w:r>
        <w:rPr>
          <w:rFonts w:hint="eastAsia"/>
          <w:u w:val="single"/>
        </w:rPr>
        <w:t>表</w:t>
      </w:r>
      <w:r>
        <w:rPr>
          <w:u w:val="single"/>
        </w:rPr>
        <w:fldChar w:fldCharType="begin"/>
      </w:r>
      <w:r>
        <w:rPr>
          <w:u w:val="single"/>
        </w:rPr>
        <w:instrText xml:space="preserve"> </w:instrText>
      </w:r>
      <w:r>
        <w:rPr>
          <w:rFonts w:hint="eastAsia"/>
          <w:u w:val="single"/>
        </w:rPr>
        <w:instrText xml:space="preserve">STYLEREF 2 \s</w:instrText>
      </w:r>
      <w:r>
        <w:rPr>
          <w:u w:val="single"/>
        </w:rPr>
        <w:instrText xml:space="preserve"> </w:instrText>
      </w:r>
      <w:r>
        <w:rPr>
          <w:u w:val="single"/>
        </w:rPr>
        <w:fldChar w:fldCharType="separate"/>
      </w:r>
      <w:r>
        <w:rPr>
          <w:u w:val="single"/>
        </w:rPr>
        <w:t>2.9</w:t>
      </w:r>
      <w:r>
        <w:rPr>
          <w:u w:val="single"/>
        </w:rPr>
        <w:fldChar w:fldCharType="end"/>
      </w:r>
      <w:r>
        <w:rPr>
          <w:u w:val="single"/>
        </w:rPr>
        <w:noBreakHyphen/>
      </w:r>
      <w:r>
        <w:rPr>
          <w:u w:val="single"/>
        </w:rPr>
        <w:fldChar w:fldCharType="begin"/>
      </w:r>
      <w:r>
        <w:rPr>
          <w:u w:val="single"/>
        </w:rPr>
        <w:instrText xml:space="preserve"> </w:instrText>
      </w:r>
      <w:r>
        <w:rPr>
          <w:rFonts w:hint="eastAsia"/>
          <w:u w:val="single"/>
        </w:rPr>
        <w:instrText xml:space="preserve">SEQ 表 \* ARABIC \s 2</w:instrText>
      </w:r>
      <w:r>
        <w:rPr>
          <w:u w:val="single"/>
        </w:rPr>
        <w:instrText xml:space="preserve"> </w:instrText>
      </w:r>
      <w:r>
        <w:rPr>
          <w:u w:val="single"/>
        </w:rPr>
        <w:fldChar w:fldCharType="separate"/>
      </w:r>
      <w:r>
        <w:rPr>
          <w:u w:val="single"/>
        </w:rPr>
        <w:t>3</w:t>
      </w:r>
      <w:r>
        <w:rPr>
          <w:u w:val="single"/>
        </w:rPr>
        <w:fldChar w:fldCharType="end"/>
      </w:r>
      <w:r>
        <w:rPr>
          <w:rFonts w:hint="eastAsia"/>
          <w:u w:val="single"/>
        </w:rPr>
        <w:t>渗滤液水质及各污染物产生情况一览表</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1"/>
        <w:gridCol w:w="1716"/>
        <w:gridCol w:w="3051"/>
        <w:gridCol w:w="2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jc w:val="center"/>
        </w:trPr>
        <w:tc>
          <w:tcPr>
            <w:tcW w:w="1741" w:type="dxa"/>
            <w:vAlign w:val="center"/>
          </w:tcPr>
          <w:p>
            <w:pPr>
              <w:pStyle w:val="37"/>
              <w:rPr>
                <w:u w:val="single"/>
              </w:rPr>
            </w:pPr>
            <w:r>
              <w:rPr>
                <w:rFonts w:hint="eastAsia"/>
                <w:u w:val="single"/>
              </w:rPr>
              <w:t>污染源</w:t>
            </w:r>
          </w:p>
        </w:tc>
        <w:tc>
          <w:tcPr>
            <w:tcW w:w="1716" w:type="dxa"/>
            <w:vAlign w:val="center"/>
          </w:tcPr>
          <w:p>
            <w:pPr>
              <w:pStyle w:val="37"/>
              <w:rPr>
                <w:u w:val="single"/>
              </w:rPr>
            </w:pPr>
            <w:r>
              <w:rPr>
                <w:rFonts w:hint="eastAsia"/>
                <w:u w:val="single"/>
              </w:rPr>
              <w:t>污染物</w:t>
            </w:r>
          </w:p>
        </w:tc>
        <w:tc>
          <w:tcPr>
            <w:tcW w:w="3051" w:type="dxa"/>
            <w:vAlign w:val="center"/>
          </w:tcPr>
          <w:p>
            <w:pPr>
              <w:pStyle w:val="37"/>
              <w:rPr>
                <w:u w:val="single"/>
              </w:rPr>
            </w:pPr>
            <w:r>
              <w:rPr>
                <w:rFonts w:hint="eastAsia"/>
                <w:u w:val="single"/>
              </w:rPr>
              <w:t>产生浓度</w:t>
            </w:r>
          </w:p>
        </w:tc>
        <w:tc>
          <w:tcPr>
            <w:tcW w:w="2638" w:type="dxa"/>
            <w:vAlign w:val="center"/>
          </w:tcPr>
          <w:p>
            <w:pPr>
              <w:pStyle w:val="37"/>
              <w:rPr>
                <w:u w:val="single"/>
              </w:rPr>
            </w:pPr>
            <w:r>
              <w:rPr>
                <w:rFonts w:hint="eastAsia"/>
                <w:u w:val="single"/>
              </w:rPr>
              <w:t>产生总量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4" w:hRule="atLeast"/>
          <w:jc w:val="center"/>
        </w:trPr>
        <w:tc>
          <w:tcPr>
            <w:tcW w:w="1741" w:type="dxa"/>
            <w:vMerge w:val="restart"/>
            <w:vAlign w:val="center"/>
          </w:tcPr>
          <w:p>
            <w:pPr>
              <w:pStyle w:val="37"/>
              <w:rPr>
                <w:u w:val="single"/>
              </w:rPr>
            </w:pPr>
            <w:r>
              <w:rPr>
                <w:u w:val="single"/>
              </w:rPr>
              <w:t>331.2 m</w:t>
            </w:r>
            <w:r>
              <w:rPr>
                <w:u w:val="single"/>
                <w:vertAlign w:val="superscript"/>
              </w:rPr>
              <w:t>3</w:t>
            </w:r>
          </w:p>
        </w:tc>
        <w:tc>
          <w:tcPr>
            <w:tcW w:w="1716" w:type="dxa"/>
            <w:vAlign w:val="center"/>
          </w:tcPr>
          <w:p>
            <w:pPr>
              <w:pStyle w:val="37"/>
              <w:rPr>
                <w:u w:val="single"/>
              </w:rPr>
            </w:pPr>
            <w:r>
              <w:rPr>
                <w:rFonts w:hint="eastAsia"/>
                <w:u w:val="single"/>
              </w:rPr>
              <w:t>铅</w:t>
            </w:r>
          </w:p>
        </w:tc>
        <w:tc>
          <w:tcPr>
            <w:tcW w:w="3051" w:type="dxa"/>
            <w:vAlign w:val="center"/>
          </w:tcPr>
          <w:p>
            <w:pPr>
              <w:pStyle w:val="37"/>
              <w:rPr>
                <w:u w:val="single"/>
              </w:rPr>
            </w:pPr>
            <w:r>
              <w:rPr>
                <w:rFonts w:hint="eastAsia"/>
                <w:u w:val="single"/>
              </w:rPr>
              <w:t>0.496（</w:t>
            </w:r>
            <w:r>
              <w:rPr>
                <w:u w:val="single"/>
              </w:rPr>
              <w:t>mg/L</w:t>
            </w:r>
            <w:r>
              <w:rPr>
                <w:rFonts w:hint="eastAsia"/>
                <w:u w:val="single"/>
              </w:rPr>
              <w:t>）</w:t>
            </w:r>
          </w:p>
        </w:tc>
        <w:tc>
          <w:tcPr>
            <w:tcW w:w="2638" w:type="dxa"/>
            <w:vAlign w:val="center"/>
          </w:tcPr>
          <w:p>
            <w:pPr>
              <w:pStyle w:val="37"/>
              <w:rPr>
                <w:u w:val="single"/>
              </w:rPr>
            </w:pPr>
            <w:r>
              <w:rPr>
                <w:u w:val="single"/>
              </w:rPr>
              <w:t>0.</w:t>
            </w:r>
            <w:r>
              <w:rPr>
                <w:rFonts w:hint="eastAsia"/>
                <w:u w:val="single"/>
              </w:rPr>
              <w:t>16428 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jc w:val="center"/>
        </w:trPr>
        <w:tc>
          <w:tcPr>
            <w:tcW w:w="1741" w:type="dxa"/>
            <w:vMerge w:val="continue"/>
            <w:vAlign w:val="center"/>
          </w:tcPr>
          <w:p>
            <w:pPr>
              <w:pStyle w:val="37"/>
              <w:rPr>
                <w:u w:val="single"/>
              </w:rPr>
            </w:pPr>
          </w:p>
        </w:tc>
        <w:tc>
          <w:tcPr>
            <w:tcW w:w="1716" w:type="dxa"/>
            <w:vAlign w:val="center"/>
          </w:tcPr>
          <w:p>
            <w:pPr>
              <w:pStyle w:val="37"/>
              <w:rPr>
                <w:u w:val="single"/>
              </w:rPr>
            </w:pPr>
            <w:r>
              <w:rPr>
                <w:rFonts w:hint="eastAsia"/>
                <w:u w:val="single"/>
              </w:rPr>
              <w:t>砷</w:t>
            </w:r>
          </w:p>
        </w:tc>
        <w:tc>
          <w:tcPr>
            <w:tcW w:w="3051" w:type="dxa"/>
            <w:vAlign w:val="center"/>
          </w:tcPr>
          <w:p>
            <w:pPr>
              <w:pStyle w:val="37"/>
              <w:rPr>
                <w:u w:val="single"/>
              </w:rPr>
            </w:pPr>
            <w:r>
              <w:rPr>
                <w:rFonts w:hint="eastAsia"/>
                <w:u w:val="single"/>
              </w:rPr>
              <w:t>0.925（</w:t>
            </w:r>
            <w:r>
              <w:rPr>
                <w:u w:val="single"/>
              </w:rPr>
              <w:t>mg/L</w:t>
            </w:r>
            <w:r>
              <w:rPr>
                <w:rFonts w:hint="eastAsia"/>
                <w:u w:val="single"/>
              </w:rPr>
              <w:t>）</w:t>
            </w:r>
          </w:p>
        </w:tc>
        <w:tc>
          <w:tcPr>
            <w:tcW w:w="2638" w:type="dxa"/>
            <w:vAlign w:val="center"/>
          </w:tcPr>
          <w:p>
            <w:pPr>
              <w:pStyle w:val="37"/>
              <w:rPr>
                <w:u w:val="single"/>
              </w:rPr>
            </w:pPr>
            <w:r>
              <w:rPr>
                <w:rFonts w:hint="eastAsia"/>
                <w:u w:val="single"/>
              </w:rPr>
              <w:t>0.30636kg</w:t>
            </w:r>
          </w:p>
        </w:tc>
      </w:tr>
    </w:tbl>
    <w:p>
      <w:pPr>
        <w:ind w:firstLine="480"/>
      </w:pPr>
      <w:r>
        <w:rPr>
          <w:rFonts w:hint="eastAsia"/>
        </w:rPr>
        <w:t>②生活污水</w:t>
      </w:r>
    </w:p>
    <w:p>
      <w:pPr>
        <w:ind w:firstLine="480"/>
        <w:rPr>
          <w:rFonts w:eastAsia="仿宋_GB2312"/>
        </w:rPr>
      </w:pPr>
      <w:r>
        <w:rPr>
          <w:rFonts w:hint="eastAsia"/>
        </w:rPr>
        <w:t>项目填埋期工作人员</w:t>
      </w:r>
      <w:r>
        <w:t>10</w:t>
      </w:r>
      <w:r>
        <w:rPr>
          <w:rFonts w:hint="eastAsia"/>
        </w:rPr>
        <w:t>人，为当地居民，早出晚归不在场区食宿，生活污水利用当地民房及采石场现有化粪池等消解处理后清掏处理，对附近水体的影响不大。</w:t>
      </w:r>
    </w:p>
    <w:p>
      <w:pPr>
        <w:ind w:firstLine="480"/>
      </w:pPr>
      <w:r>
        <w:rPr>
          <w:rFonts w:hint="eastAsia"/>
        </w:rPr>
        <w:t>员工生活污水产生量为</w:t>
      </w:r>
      <w:r>
        <w:t>0.32m</w:t>
      </w:r>
      <w:r>
        <w:rPr>
          <w:vertAlign w:val="superscript"/>
        </w:rPr>
        <w:t>3</w:t>
      </w:r>
      <w:r>
        <w:t>/d</w:t>
      </w:r>
      <w:r>
        <w:rPr>
          <w:rFonts w:hint="eastAsia"/>
        </w:rPr>
        <w:t>，根据建设单位介绍，项目填埋工期约</w:t>
      </w:r>
      <w:r>
        <w:t>2</w:t>
      </w:r>
      <w:r>
        <w:rPr>
          <w:rFonts w:hint="eastAsia"/>
        </w:rPr>
        <w:t>个月，以每月</w:t>
      </w:r>
      <w:r>
        <w:t>30</w:t>
      </w:r>
      <w:r>
        <w:rPr>
          <w:rFonts w:hint="eastAsia"/>
        </w:rPr>
        <w:t>日计，则项目填埋期共产生生活污水</w:t>
      </w:r>
      <w:r>
        <w:t>129.2m</w:t>
      </w:r>
      <w:r>
        <w:rPr>
          <w:vertAlign w:val="superscript"/>
        </w:rPr>
        <w:t>3</w:t>
      </w:r>
      <w:r>
        <w:rPr>
          <w:rFonts w:hint="eastAsia"/>
        </w:rPr>
        <w:t>。污水中主要污染物为</w:t>
      </w:r>
      <w:r>
        <w:t>COD</w:t>
      </w:r>
      <w:r>
        <w:rPr>
          <w:rFonts w:hint="eastAsia"/>
        </w:rPr>
        <w:t>、</w:t>
      </w:r>
      <w:r>
        <w:t>BOD</w:t>
      </w:r>
      <w:r>
        <w:rPr>
          <w:vertAlign w:val="subscript"/>
        </w:rPr>
        <w:t>5</w:t>
      </w:r>
      <w:r>
        <w:rPr>
          <w:rFonts w:hint="eastAsia"/>
        </w:rPr>
        <w:t>、</w:t>
      </w:r>
      <w:r>
        <w:t>SS</w:t>
      </w:r>
      <w:r>
        <w:rPr>
          <w:rFonts w:hint="eastAsia"/>
        </w:rPr>
        <w:t>、</w:t>
      </w:r>
      <w:r>
        <w:rPr>
          <w:snapToGrid w:val="0"/>
          <w:spacing w:val="20"/>
        </w:rPr>
        <w:t>NH</w:t>
      </w:r>
      <w:r>
        <w:rPr>
          <w:vertAlign w:val="subscript"/>
        </w:rPr>
        <w:t>3</w:t>
      </w:r>
      <w:r>
        <w:rPr>
          <w:snapToGrid w:val="0"/>
          <w:spacing w:val="20"/>
        </w:rPr>
        <w:t>-N</w:t>
      </w:r>
      <w:r>
        <w:rPr>
          <w:rFonts w:hint="eastAsia"/>
          <w:snapToGrid w:val="0"/>
          <w:spacing w:val="20"/>
        </w:rPr>
        <w:t>。项目生活污水</w:t>
      </w:r>
      <w:r>
        <w:rPr>
          <w:rFonts w:hint="eastAsia"/>
        </w:rPr>
        <w:t>水质及各污染物产生情况见表</w:t>
      </w:r>
      <w:r>
        <w:t>2.9-4</w:t>
      </w:r>
      <w:r>
        <w:rPr>
          <w:rFonts w:hint="eastAsia"/>
        </w:rPr>
        <w:t>。</w:t>
      </w:r>
    </w:p>
    <w:p>
      <w:pPr>
        <w:pStyle w:val="14"/>
      </w:pPr>
      <w:r>
        <w:rPr>
          <w:rFonts w:hint="eastAsia"/>
        </w:rPr>
        <w:t>表</w:t>
      </w:r>
      <w:r>
        <w:t>2.9-4</w:t>
      </w:r>
      <w:r>
        <w:rPr>
          <w:rFonts w:hint="eastAsia"/>
        </w:rPr>
        <w:t>项目生活污水水质及各污染物产生情况一览表</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1"/>
        <w:gridCol w:w="1716"/>
        <w:gridCol w:w="3051"/>
        <w:gridCol w:w="2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jc w:val="center"/>
        </w:trPr>
        <w:tc>
          <w:tcPr>
            <w:tcW w:w="1741" w:type="dxa"/>
            <w:vAlign w:val="center"/>
          </w:tcPr>
          <w:p>
            <w:pPr>
              <w:pStyle w:val="37"/>
            </w:pPr>
            <w:r>
              <w:rPr>
                <w:rFonts w:hint="eastAsia"/>
              </w:rPr>
              <w:t>污染源</w:t>
            </w:r>
          </w:p>
        </w:tc>
        <w:tc>
          <w:tcPr>
            <w:tcW w:w="1716" w:type="dxa"/>
            <w:vAlign w:val="center"/>
          </w:tcPr>
          <w:p>
            <w:pPr>
              <w:pStyle w:val="37"/>
            </w:pPr>
            <w:r>
              <w:rPr>
                <w:rFonts w:hint="eastAsia"/>
              </w:rPr>
              <w:t>污染物</w:t>
            </w:r>
          </w:p>
        </w:tc>
        <w:tc>
          <w:tcPr>
            <w:tcW w:w="3051" w:type="dxa"/>
            <w:vAlign w:val="center"/>
          </w:tcPr>
          <w:p>
            <w:pPr>
              <w:pStyle w:val="37"/>
            </w:pPr>
            <w:r>
              <w:rPr>
                <w:rFonts w:hint="eastAsia"/>
              </w:rPr>
              <w:t>产生浓度（</w:t>
            </w:r>
            <w:r>
              <w:t>mg/L</w:t>
            </w:r>
            <w:r>
              <w:rPr>
                <w:rFonts w:hint="eastAsia"/>
              </w:rPr>
              <w:t>）</w:t>
            </w:r>
          </w:p>
        </w:tc>
        <w:tc>
          <w:tcPr>
            <w:tcW w:w="2638" w:type="dxa"/>
            <w:vAlign w:val="center"/>
          </w:tcPr>
          <w:p>
            <w:pPr>
              <w:pStyle w:val="37"/>
            </w:pPr>
            <w:r>
              <w:rPr>
                <w:rFonts w:hint="eastAsia"/>
              </w:rPr>
              <w:t>产生总量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741" w:type="dxa"/>
            <w:vMerge w:val="restart"/>
            <w:vAlign w:val="center"/>
          </w:tcPr>
          <w:p>
            <w:pPr>
              <w:pStyle w:val="37"/>
            </w:pPr>
            <w:r>
              <w:rPr>
                <w:rFonts w:hint="eastAsia"/>
              </w:rPr>
              <w:t>生活污水</w:t>
            </w:r>
          </w:p>
          <w:p>
            <w:pPr>
              <w:pStyle w:val="37"/>
            </w:pPr>
            <w:r>
              <w:t>19.2m</w:t>
            </w:r>
            <w:r>
              <w:rPr>
                <w:vertAlign w:val="superscript"/>
              </w:rPr>
              <w:t>3</w:t>
            </w:r>
          </w:p>
        </w:tc>
        <w:tc>
          <w:tcPr>
            <w:tcW w:w="1716" w:type="dxa"/>
            <w:vAlign w:val="center"/>
          </w:tcPr>
          <w:p>
            <w:pPr>
              <w:pStyle w:val="37"/>
            </w:pPr>
            <w:r>
              <w:t>COD</w:t>
            </w:r>
          </w:p>
        </w:tc>
        <w:tc>
          <w:tcPr>
            <w:tcW w:w="3051" w:type="dxa"/>
            <w:vAlign w:val="center"/>
          </w:tcPr>
          <w:p>
            <w:pPr>
              <w:pStyle w:val="37"/>
            </w:pPr>
            <w:r>
              <w:t>350</w:t>
            </w:r>
          </w:p>
        </w:tc>
        <w:tc>
          <w:tcPr>
            <w:tcW w:w="2638" w:type="dxa"/>
            <w:vAlign w:val="top"/>
          </w:tcPr>
          <w:p>
            <w:pPr>
              <w:pStyle w:val="37"/>
            </w:pPr>
            <w:r>
              <w:t>0.00672t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741" w:type="dxa"/>
            <w:vMerge w:val="continue"/>
            <w:vAlign w:val="center"/>
          </w:tcPr>
          <w:p>
            <w:pPr>
              <w:pStyle w:val="37"/>
            </w:pPr>
          </w:p>
        </w:tc>
        <w:tc>
          <w:tcPr>
            <w:tcW w:w="1716" w:type="dxa"/>
            <w:vAlign w:val="center"/>
          </w:tcPr>
          <w:p>
            <w:pPr>
              <w:pStyle w:val="37"/>
            </w:pPr>
            <w:r>
              <w:t>BOD</w:t>
            </w:r>
            <w:r>
              <w:rPr>
                <w:vertAlign w:val="subscript"/>
              </w:rPr>
              <w:t>5</w:t>
            </w:r>
          </w:p>
        </w:tc>
        <w:tc>
          <w:tcPr>
            <w:tcW w:w="3051" w:type="dxa"/>
            <w:vAlign w:val="center"/>
          </w:tcPr>
          <w:p>
            <w:pPr>
              <w:pStyle w:val="37"/>
            </w:pPr>
            <w:r>
              <w:t>150</w:t>
            </w:r>
          </w:p>
        </w:tc>
        <w:tc>
          <w:tcPr>
            <w:tcW w:w="2638" w:type="dxa"/>
            <w:vAlign w:val="top"/>
          </w:tcPr>
          <w:p>
            <w:pPr>
              <w:pStyle w:val="37"/>
            </w:pPr>
            <w:r>
              <w:t>0.00288t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741" w:type="dxa"/>
            <w:vMerge w:val="continue"/>
            <w:vAlign w:val="center"/>
          </w:tcPr>
          <w:p>
            <w:pPr>
              <w:pStyle w:val="37"/>
            </w:pPr>
          </w:p>
        </w:tc>
        <w:tc>
          <w:tcPr>
            <w:tcW w:w="1716" w:type="dxa"/>
            <w:vAlign w:val="center"/>
          </w:tcPr>
          <w:p>
            <w:pPr>
              <w:pStyle w:val="37"/>
            </w:pPr>
            <w:r>
              <w:t>SS</w:t>
            </w:r>
          </w:p>
        </w:tc>
        <w:tc>
          <w:tcPr>
            <w:tcW w:w="3051" w:type="dxa"/>
            <w:vAlign w:val="center"/>
          </w:tcPr>
          <w:p>
            <w:pPr>
              <w:pStyle w:val="37"/>
            </w:pPr>
            <w:r>
              <w:t>200</w:t>
            </w:r>
          </w:p>
        </w:tc>
        <w:tc>
          <w:tcPr>
            <w:tcW w:w="2638" w:type="dxa"/>
            <w:vAlign w:val="top"/>
          </w:tcPr>
          <w:p>
            <w:pPr>
              <w:pStyle w:val="37"/>
            </w:pPr>
            <w:r>
              <w:t>0.00384t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1741" w:type="dxa"/>
            <w:vMerge w:val="continue"/>
            <w:vAlign w:val="center"/>
          </w:tcPr>
          <w:p>
            <w:pPr>
              <w:pStyle w:val="37"/>
            </w:pPr>
          </w:p>
        </w:tc>
        <w:tc>
          <w:tcPr>
            <w:tcW w:w="1716" w:type="dxa"/>
            <w:vAlign w:val="center"/>
          </w:tcPr>
          <w:p>
            <w:pPr>
              <w:pStyle w:val="37"/>
            </w:pPr>
            <w:r>
              <w:t>NH</w:t>
            </w:r>
            <w:r>
              <w:rPr>
                <w:vertAlign w:val="subscript"/>
              </w:rPr>
              <w:t>3</w:t>
            </w:r>
            <w:r>
              <w:t>-N</w:t>
            </w:r>
          </w:p>
        </w:tc>
        <w:tc>
          <w:tcPr>
            <w:tcW w:w="3051" w:type="dxa"/>
            <w:vAlign w:val="center"/>
          </w:tcPr>
          <w:p>
            <w:pPr>
              <w:pStyle w:val="37"/>
            </w:pPr>
            <w:r>
              <w:t>35</w:t>
            </w:r>
          </w:p>
        </w:tc>
        <w:tc>
          <w:tcPr>
            <w:tcW w:w="2638" w:type="dxa"/>
            <w:vAlign w:val="top"/>
          </w:tcPr>
          <w:p>
            <w:pPr>
              <w:pStyle w:val="37"/>
            </w:pPr>
            <w:r>
              <w:t>0.000672t</w:t>
            </w:r>
          </w:p>
        </w:tc>
      </w:tr>
    </w:tbl>
    <w:p>
      <w:pPr>
        <w:ind w:firstLine="360" w:firstLineChars="150"/>
      </w:pPr>
      <w:r>
        <w:rPr>
          <w:rFonts w:hint="eastAsia"/>
        </w:rPr>
        <w:t>（</w:t>
      </w:r>
      <w:r>
        <w:t>1</w:t>
      </w:r>
      <w:r>
        <w:rPr>
          <w:rFonts w:hint="eastAsia"/>
        </w:rPr>
        <w:t>）废气</w:t>
      </w:r>
    </w:p>
    <w:p>
      <w:pPr>
        <w:tabs>
          <w:tab w:val="left" w:pos="1335"/>
        </w:tabs>
        <w:ind w:firstLine="480"/>
      </w:pPr>
      <w:r>
        <w:rPr>
          <w:rFonts w:hint="eastAsia"/>
        </w:rPr>
        <w:t>固体废物处置过程粉尘污染来源主要为：运输车辆倾倒时排放的粉尘；有风时地面堆料的扬尘；取土场粉尘。</w:t>
      </w:r>
    </w:p>
    <w:p>
      <w:pPr>
        <w:tabs>
          <w:tab w:val="left" w:pos="1335"/>
        </w:tabs>
        <w:ind w:firstLine="480"/>
      </w:pPr>
      <w:r>
        <w:rPr>
          <w:rFonts w:hint="eastAsia"/>
        </w:rPr>
        <w:fldChar w:fldCharType="begin"/>
      </w:r>
      <w:r>
        <w:instrText xml:space="preserve"> = 1 \* GB3 </w:instrText>
      </w:r>
      <w:r>
        <w:rPr>
          <w:rFonts w:hint="eastAsia"/>
        </w:rPr>
        <w:fldChar w:fldCharType="separate"/>
      </w:r>
      <w:r>
        <w:rPr>
          <w:rFonts w:hint="eastAsia"/>
        </w:rPr>
        <w:t>①</w:t>
      </w:r>
      <w:r>
        <w:rPr>
          <w:rFonts w:hint="eastAsia"/>
        </w:rPr>
        <w:fldChar w:fldCharType="end"/>
      </w:r>
      <w:r>
        <w:rPr>
          <w:rFonts w:hint="eastAsia"/>
        </w:rPr>
        <w:t>运输车辆倾倒时排放的粉尘</w:t>
      </w:r>
    </w:p>
    <w:p>
      <w:pPr>
        <w:tabs>
          <w:tab w:val="left" w:pos="1335"/>
        </w:tabs>
        <w:ind w:firstLine="480"/>
      </w:pPr>
      <w:r>
        <w:rPr>
          <w:rFonts w:hint="eastAsia"/>
        </w:rPr>
        <w:t>根据类比《云溪区一般工业固体废物处置场</w:t>
      </w:r>
      <w:r>
        <w:rPr>
          <w:rFonts w:hint="eastAsia"/>
          <w:kern w:val="0"/>
        </w:rPr>
        <w:t>建设项目</w:t>
      </w:r>
      <w:r>
        <w:rPr>
          <w:rFonts w:hint="eastAsia"/>
        </w:rPr>
        <w:t>》，则本项目年产生粉尘量</w:t>
      </w:r>
      <w:r>
        <w:t>0.985t</w:t>
      </w:r>
      <w:r>
        <w:rPr>
          <w:rFonts w:hint="eastAsia"/>
        </w:rPr>
        <w:t>。</w:t>
      </w:r>
    </w:p>
    <w:p>
      <w:pPr>
        <w:ind w:firstLine="480"/>
      </w:pP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r>
        <w:rPr>
          <w:rFonts w:hint="eastAsia"/>
        </w:rPr>
        <w:t>处置场受风的侵袭而引起的地面堆料扬尘</w:t>
      </w:r>
    </w:p>
    <w:p>
      <w:pPr>
        <w:ind w:firstLine="480"/>
      </w:pPr>
      <w:r>
        <w:rPr>
          <w:rFonts w:hint="eastAsia"/>
        </w:rPr>
        <w:t>拟建</w:t>
      </w:r>
      <w:r>
        <w:rPr>
          <w:rFonts w:hint="eastAsia"/>
          <w:kern w:val="0"/>
        </w:rPr>
        <w:t>固体废物处置场</w:t>
      </w:r>
      <w:r>
        <w:rPr>
          <w:rFonts w:hint="eastAsia"/>
        </w:rPr>
        <w:t>在风速大于</w:t>
      </w:r>
      <w:r>
        <w:t>3.4m/s</w:t>
      </w:r>
      <w:r>
        <w:rPr>
          <w:rFonts w:hint="eastAsia"/>
        </w:rPr>
        <w:t>的天气状况下，地面扬尘量计算为：</w:t>
      </w:r>
    </w:p>
    <w:p>
      <w:pPr>
        <w:ind w:firstLine="480"/>
        <w:jc w:val="center"/>
      </w:pPr>
      <w:r>
        <w:t>Q=0.0236V</w:t>
      </w:r>
      <w:r>
        <w:rPr>
          <w:vertAlign w:val="superscript"/>
        </w:rPr>
        <w:t>3.23</w:t>
      </w:r>
      <w:r>
        <w:t>×exp</w:t>
      </w:r>
      <w:r>
        <w:rPr>
          <w:rFonts w:hint="eastAsia"/>
        </w:rPr>
        <w:t>（</w:t>
      </w:r>
      <w:r>
        <w:t>-2.2·W</w:t>
      </w:r>
      <w:r>
        <w:rPr>
          <w:rFonts w:hint="eastAsia"/>
        </w:rPr>
        <w:t>）</w:t>
      </w:r>
    </w:p>
    <w:p>
      <w:pPr>
        <w:ind w:firstLine="480"/>
      </w:pPr>
      <w:r>
        <w:rPr>
          <w:rFonts w:hint="eastAsia"/>
        </w:rPr>
        <w:t>式中：</w:t>
      </w:r>
      <w:r>
        <w:t>Q—</w:t>
      </w:r>
      <w:r>
        <w:rPr>
          <w:rFonts w:hint="eastAsia"/>
        </w:rPr>
        <w:t>起尘量，</w:t>
      </w:r>
      <w:r>
        <w:t>kg/t</w:t>
      </w:r>
      <w:r>
        <w:rPr>
          <w:rFonts w:hint="eastAsia"/>
        </w:rPr>
        <w:t>；</w:t>
      </w:r>
    </w:p>
    <w:p>
      <w:pPr>
        <w:ind w:firstLine="480"/>
      </w:pPr>
      <w:r>
        <w:t>V—</w:t>
      </w:r>
      <w:r>
        <w:rPr>
          <w:rFonts w:hint="eastAsia"/>
        </w:rPr>
        <w:t>平均风速，</w:t>
      </w:r>
      <w:r>
        <w:t>m/s</w:t>
      </w:r>
      <w:r>
        <w:rPr>
          <w:rFonts w:hint="eastAsia"/>
        </w:rPr>
        <w:t>；</w:t>
      </w:r>
    </w:p>
    <w:p>
      <w:pPr>
        <w:ind w:firstLine="480"/>
      </w:pPr>
      <w:r>
        <w:t>W—</w:t>
      </w:r>
      <w:r>
        <w:rPr>
          <w:rFonts w:hint="eastAsia"/>
        </w:rPr>
        <w:t>堆物含水率，％。</w:t>
      </w:r>
    </w:p>
    <w:p>
      <w:pPr>
        <w:ind w:firstLine="480"/>
        <w:rPr>
          <w:color w:val="FF0000"/>
        </w:rPr>
      </w:pPr>
      <w:r>
        <w:rPr>
          <w:rFonts w:hint="eastAsia"/>
        </w:rPr>
        <w:t>则</w:t>
      </w:r>
      <w:r>
        <w:t>1m</w:t>
      </w:r>
      <w:r>
        <w:rPr>
          <w:vertAlign w:val="superscript"/>
        </w:rPr>
        <w:t>3</w:t>
      </w:r>
      <w:r>
        <w:rPr>
          <w:rFonts w:hint="eastAsia"/>
        </w:rPr>
        <w:t>的固体废物可产生扬尘约</w:t>
      </w:r>
      <w:r>
        <w:t>0.7kg</w:t>
      </w:r>
      <w:r>
        <w:rPr>
          <w:rFonts w:hint="eastAsia"/>
        </w:rPr>
        <w:t>；当风速小于</w:t>
      </w:r>
      <w:r>
        <w:t>3.4m/s</w:t>
      </w:r>
      <w:r>
        <w:rPr>
          <w:rFonts w:hint="eastAsia"/>
        </w:rPr>
        <w:t>时，此项污染忽略不计，岳阳市云溪区年平均风速</w:t>
      </w:r>
      <w:r>
        <w:t>2.9m/s</w:t>
      </w:r>
      <w:r>
        <w:rPr>
          <w:rFonts w:hint="eastAsia"/>
        </w:rPr>
        <w:t>，因此此项污染忽略不计。</w:t>
      </w:r>
    </w:p>
    <w:p>
      <w:pPr>
        <w:ind w:firstLine="480"/>
      </w:pPr>
      <w:r>
        <w:rPr>
          <w:rFonts w:hint="eastAsia"/>
        </w:rPr>
        <w:fldChar w:fldCharType="begin"/>
      </w:r>
      <w:r>
        <w:instrText xml:space="preserve"> = 3 \* GB3 </w:instrText>
      </w:r>
      <w:r>
        <w:rPr>
          <w:rFonts w:hint="eastAsia"/>
        </w:rPr>
        <w:fldChar w:fldCharType="separate"/>
      </w:r>
      <w:r>
        <w:rPr>
          <w:rFonts w:hint="eastAsia"/>
        </w:rPr>
        <w:t>③</w:t>
      </w:r>
      <w:r>
        <w:rPr>
          <w:rFonts w:hint="eastAsia"/>
        </w:rPr>
        <w:fldChar w:fldCharType="end"/>
      </w:r>
      <w:r>
        <w:rPr>
          <w:rFonts w:hint="eastAsia"/>
        </w:rPr>
        <w:t>取土粉尘</w:t>
      </w:r>
    </w:p>
    <w:p>
      <w:pPr>
        <w:ind w:firstLine="480"/>
        <w:rPr>
          <w:kern w:val="0"/>
        </w:rPr>
      </w:pPr>
      <w:r>
        <w:rPr>
          <w:rFonts w:hint="eastAsia"/>
          <w:kern w:val="0"/>
        </w:rPr>
        <w:t>废渣转运填埋完成后，对原废渣堆积点部分区域和填埋场表层进行生态修复，表层覆土或回填，铺草植树，其覆土来源为修建</w:t>
      </w:r>
      <w:r>
        <w:rPr>
          <w:kern w:val="0"/>
        </w:rPr>
        <w:t>107</w:t>
      </w:r>
      <w:r>
        <w:rPr>
          <w:rFonts w:hint="eastAsia"/>
          <w:kern w:val="0"/>
        </w:rPr>
        <w:t>国道多余弃土，本项目不设覆土备料场。根据建设单位资料，取土为自然土，随取随用。</w:t>
      </w:r>
    </w:p>
    <w:p>
      <w:pPr>
        <w:ind w:firstLine="480"/>
      </w:pPr>
      <w:r>
        <w:rPr>
          <w:rFonts w:hint="eastAsia"/>
        </w:rPr>
        <w:t>（</w:t>
      </w:r>
      <w:r>
        <w:t>3</w:t>
      </w:r>
      <w:r>
        <w:rPr>
          <w:rFonts w:hint="eastAsia"/>
        </w:rPr>
        <w:t>）噪声</w:t>
      </w:r>
    </w:p>
    <w:p>
      <w:pPr>
        <w:ind w:firstLine="480"/>
      </w:pPr>
      <w:r>
        <w:rPr>
          <w:rFonts w:hint="eastAsia"/>
        </w:rPr>
        <w:t>本项目运营后噪声源主要包括处置场作业区的推土机、挖掘机、运土汽车、压实机等，其噪声功率级为</w:t>
      </w:r>
      <w:r>
        <w:t>88</w:t>
      </w:r>
      <w:r>
        <w:rPr>
          <w:rFonts w:hint="eastAsia"/>
        </w:rPr>
        <w:t>～</w:t>
      </w:r>
      <w:r>
        <w:t>96dB(A)</w:t>
      </w:r>
      <w:r>
        <w:rPr>
          <w:rFonts w:hint="eastAsia"/>
        </w:rPr>
        <w:t>，类比噪声值具体见表</w:t>
      </w:r>
      <w:r>
        <w:t>3.2-6</w:t>
      </w:r>
      <w:r>
        <w:rPr>
          <w:rFonts w:hint="eastAsia"/>
        </w:rPr>
        <w:t>。</w:t>
      </w:r>
    </w:p>
    <w:p>
      <w:pPr>
        <w:pStyle w:val="14"/>
      </w:pPr>
      <w:r>
        <w:rPr>
          <w:rFonts w:hint="eastAsia"/>
        </w:rPr>
        <w:t>表</w:t>
      </w:r>
      <w:r>
        <w:t>3.2-6</w:t>
      </w:r>
      <w:r>
        <w:rPr>
          <w:rFonts w:hint="eastAsia"/>
        </w:rPr>
        <w:t>噪声源强一览表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0"/>
        <w:gridCol w:w="2980"/>
        <w:gridCol w:w="1440"/>
        <w:gridCol w:w="27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1990" w:type="dxa"/>
            <w:vAlign w:val="top"/>
          </w:tcPr>
          <w:p>
            <w:pPr>
              <w:pStyle w:val="37"/>
            </w:pPr>
            <w:r>
              <w:rPr>
                <w:rFonts w:hint="eastAsia"/>
              </w:rPr>
              <w:t>序号</w:t>
            </w:r>
          </w:p>
        </w:tc>
        <w:tc>
          <w:tcPr>
            <w:tcW w:w="2980" w:type="dxa"/>
            <w:vAlign w:val="center"/>
          </w:tcPr>
          <w:p>
            <w:pPr>
              <w:pStyle w:val="37"/>
            </w:pPr>
            <w:r>
              <w:rPr>
                <w:rFonts w:hint="eastAsia"/>
              </w:rPr>
              <w:t>噪声源</w:t>
            </w:r>
          </w:p>
        </w:tc>
        <w:tc>
          <w:tcPr>
            <w:tcW w:w="1440" w:type="dxa"/>
            <w:vAlign w:val="center"/>
          </w:tcPr>
          <w:p>
            <w:pPr>
              <w:pStyle w:val="37"/>
            </w:pPr>
            <w:r>
              <w:rPr>
                <w:rFonts w:hint="eastAsia"/>
              </w:rPr>
              <w:t>数量</w:t>
            </w:r>
          </w:p>
        </w:tc>
        <w:tc>
          <w:tcPr>
            <w:tcW w:w="2736" w:type="dxa"/>
            <w:vAlign w:val="center"/>
          </w:tcPr>
          <w:p>
            <w:pPr>
              <w:pStyle w:val="37"/>
            </w:pPr>
            <w:r>
              <w:rPr>
                <w:rFonts w:hint="eastAsia"/>
              </w:rPr>
              <w:t>源强</w:t>
            </w:r>
            <w: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1</w:t>
            </w:r>
          </w:p>
        </w:tc>
        <w:tc>
          <w:tcPr>
            <w:tcW w:w="2980" w:type="dxa"/>
            <w:vAlign w:val="center"/>
          </w:tcPr>
          <w:p>
            <w:pPr>
              <w:pStyle w:val="37"/>
            </w:pPr>
            <w:r>
              <w:rPr>
                <w:rFonts w:hint="eastAsia"/>
              </w:rPr>
              <w:t>推土机</w:t>
            </w:r>
          </w:p>
        </w:tc>
        <w:tc>
          <w:tcPr>
            <w:tcW w:w="1440" w:type="dxa"/>
            <w:vAlign w:val="center"/>
          </w:tcPr>
          <w:p>
            <w:pPr>
              <w:pStyle w:val="37"/>
            </w:pPr>
            <w:r>
              <w:t>1</w:t>
            </w:r>
          </w:p>
        </w:tc>
        <w:tc>
          <w:tcPr>
            <w:tcW w:w="2736" w:type="dxa"/>
            <w:vAlign w:val="center"/>
          </w:tcPr>
          <w:p>
            <w:pPr>
              <w:pStyle w:val="37"/>
            </w:pPr>
            <w:r>
              <w:t>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2</w:t>
            </w:r>
          </w:p>
        </w:tc>
        <w:tc>
          <w:tcPr>
            <w:tcW w:w="2980" w:type="dxa"/>
            <w:vAlign w:val="center"/>
          </w:tcPr>
          <w:p>
            <w:pPr>
              <w:pStyle w:val="37"/>
            </w:pPr>
            <w:r>
              <w:rPr>
                <w:rFonts w:hint="eastAsia"/>
              </w:rPr>
              <w:t>装载机</w:t>
            </w:r>
          </w:p>
        </w:tc>
        <w:tc>
          <w:tcPr>
            <w:tcW w:w="1440" w:type="dxa"/>
            <w:vAlign w:val="center"/>
          </w:tcPr>
          <w:p>
            <w:pPr>
              <w:pStyle w:val="37"/>
            </w:pPr>
            <w:r>
              <w:t>1</w:t>
            </w:r>
          </w:p>
        </w:tc>
        <w:tc>
          <w:tcPr>
            <w:tcW w:w="2736" w:type="dxa"/>
            <w:vAlign w:val="center"/>
          </w:tcPr>
          <w:p>
            <w:pPr>
              <w:pStyle w:val="37"/>
            </w:pPr>
            <w: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3</w:t>
            </w:r>
          </w:p>
        </w:tc>
        <w:tc>
          <w:tcPr>
            <w:tcW w:w="2980" w:type="dxa"/>
            <w:vAlign w:val="center"/>
          </w:tcPr>
          <w:p>
            <w:pPr>
              <w:pStyle w:val="37"/>
            </w:pPr>
            <w:r>
              <w:rPr>
                <w:rFonts w:hint="eastAsia"/>
              </w:rPr>
              <w:t>压实机</w:t>
            </w:r>
          </w:p>
        </w:tc>
        <w:tc>
          <w:tcPr>
            <w:tcW w:w="1440" w:type="dxa"/>
            <w:vAlign w:val="center"/>
          </w:tcPr>
          <w:p>
            <w:pPr>
              <w:pStyle w:val="37"/>
            </w:pPr>
            <w:r>
              <w:t>1</w:t>
            </w:r>
          </w:p>
        </w:tc>
        <w:tc>
          <w:tcPr>
            <w:tcW w:w="2736" w:type="dxa"/>
            <w:vAlign w:val="center"/>
          </w:tcPr>
          <w:p>
            <w:pPr>
              <w:pStyle w:val="37"/>
            </w:pPr>
            <w:r>
              <w:t>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4</w:t>
            </w:r>
          </w:p>
        </w:tc>
        <w:tc>
          <w:tcPr>
            <w:tcW w:w="2980" w:type="dxa"/>
            <w:vAlign w:val="center"/>
          </w:tcPr>
          <w:p>
            <w:pPr>
              <w:pStyle w:val="37"/>
            </w:pPr>
            <w:r>
              <w:rPr>
                <w:rFonts w:hint="eastAsia"/>
              </w:rPr>
              <w:t>洒水车</w:t>
            </w:r>
          </w:p>
        </w:tc>
        <w:tc>
          <w:tcPr>
            <w:tcW w:w="1440" w:type="dxa"/>
            <w:vAlign w:val="center"/>
          </w:tcPr>
          <w:p>
            <w:pPr>
              <w:pStyle w:val="37"/>
            </w:pPr>
            <w:r>
              <w:t>1</w:t>
            </w:r>
          </w:p>
        </w:tc>
        <w:tc>
          <w:tcPr>
            <w:tcW w:w="2736" w:type="dxa"/>
            <w:vAlign w:val="center"/>
          </w:tcPr>
          <w:p>
            <w:pPr>
              <w:pStyle w:val="37"/>
            </w:pPr>
            <w: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5</w:t>
            </w:r>
          </w:p>
        </w:tc>
        <w:tc>
          <w:tcPr>
            <w:tcW w:w="2980" w:type="dxa"/>
            <w:vAlign w:val="center"/>
          </w:tcPr>
          <w:p>
            <w:pPr>
              <w:pStyle w:val="37"/>
            </w:pPr>
            <w:r>
              <w:rPr>
                <w:rFonts w:hint="eastAsia"/>
              </w:rPr>
              <w:t>夯土机</w:t>
            </w:r>
          </w:p>
        </w:tc>
        <w:tc>
          <w:tcPr>
            <w:tcW w:w="1440" w:type="dxa"/>
            <w:vAlign w:val="center"/>
          </w:tcPr>
          <w:p>
            <w:pPr>
              <w:pStyle w:val="37"/>
            </w:pPr>
            <w:r>
              <w:t>1</w:t>
            </w:r>
          </w:p>
        </w:tc>
        <w:tc>
          <w:tcPr>
            <w:tcW w:w="2736" w:type="dxa"/>
            <w:vAlign w:val="center"/>
          </w:tcPr>
          <w:p>
            <w:pPr>
              <w:pStyle w:val="37"/>
            </w:pPr>
            <w: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990" w:type="dxa"/>
            <w:vAlign w:val="top"/>
          </w:tcPr>
          <w:p>
            <w:pPr>
              <w:pStyle w:val="37"/>
            </w:pPr>
            <w:r>
              <w:t>6</w:t>
            </w:r>
          </w:p>
        </w:tc>
        <w:tc>
          <w:tcPr>
            <w:tcW w:w="2980" w:type="dxa"/>
            <w:vAlign w:val="center"/>
          </w:tcPr>
          <w:p>
            <w:pPr>
              <w:pStyle w:val="37"/>
            </w:pPr>
            <w:r>
              <w:rPr>
                <w:rFonts w:hint="eastAsia"/>
              </w:rPr>
              <w:t>自卸车</w:t>
            </w:r>
          </w:p>
        </w:tc>
        <w:tc>
          <w:tcPr>
            <w:tcW w:w="1440" w:type="dxa"/>
            <w:vAlign w:val="center"/>
          </w:tcPr>
          <w:p>
            <w:pPr>
              <w:pStyle w:val="37"/>
            </w:pPr>
            <w:r>
              <w:t>1</w:t>
            </w:r>
          </w:p>
        </w:tc>
        <w:tc>
          <w:tcPr>
            <w:tcW w:w="2736" w:type="dxa"/>
            <w:vAlign w:val="center"/>
          </w:tcPr>
          <w:p>
            <w:pPr>
              <w:pStyle w:val="37"/>
            </w:pPr>
            <w:r>
              <w:t>92</w:t>
            </w:r>
          </w:p>
        </w:tc>
      </w:tr>
    </w:tbl>
    <w:p>
      <w:pPr>
        <w:ind w:firstLine="480"/>
      </w:pPr>
      <w:r>
        <w:rPr>
          <w:rFonts w:hint="eastAsia"/>
        </w:rPr>
        <w:t>（</w:t>
      </w:r>
      <w:r>
        <w:t>4</w:t>
      </w:r>
      <w:r>
        <w:rPr>
          <w:rFonts w:hint="eastAsia"/>
        </w:rPr>
        <w:t>）固废</w:t>
      </w:r>
    </w:p>
    <w:p>
      <w:pPr>
        <w:ind w:firstLine="480"/>
      </w:pPr>
      <w:r>
        <w:rPr>
          <w:rFonts w:hint="eastAsia"/>
        </w:rPr>
        <w:t>本项目运营后产生的固体废物主要为员工生活垃圾。项目员工均不在厂区食宿，</w:t>
      </w:r>
      <w:r>
        <w:rPr>
          <w:rFonts w:hint="eastAsia" w:ascii="宋体" w:hAnsi="宋体"/>
        </w:rPr>
        <w:t>送城市生活垃圾填埋场处置。</w:t>
      </w:r>
      <w:r>
        <w:rPr>
          <w:rFonts w:hint="eastAsia"/>
        </w:rPr>
        <w:t>员工生活垃圾产生量按</w:t>
      </w:r>
      <w:r>
        <w:t>0.5kg/(</w:t>
      </w:r>
      <w:r>
        <w:rPr>
          <w:rFonts w:hint="eastAsia"/>
        </w:rPr>
        <w:t>人</w:t>
      </w:r>
      <w:r>
        <w:t>·</w:t>
      </w:r>
      <w:r>
        <w:rPr>
          <w:rFonts w:hint="eastAsia"/>
        </w:rPr>
        <w:t>天</w:t>
      </w:r>
      <w:r>
        <w:t>)</w:t>
      </w:r>
      <w:r>
        <w:rPr>
          <w:rFonts w:hint="eastAsia"/>
        </w:rPr>
        <w:t>计，项目员工</w:t>
      </w:r>
      <w:r>
        <w:t>10</w:t>
      </w:r>
      <w:r>
        <w:rPr>
          <w:rFonts w:hint="eastAsia"/>
        </w:rPr>
        <w:t>人，填埋期约</w:t>
      </w:r>
      <w:r>
        <w:t>2</w:t>
      </w:r>
      <w:r>
        <w:rPr>
          <w:rFonts w:hint="eastAsia"/>
        </w:rPr>
        <w:t>个月，则生活垃圾产生量为</w:t>
      </w:r>
      <w:r>
        <w:t>0.3t</w:t>
      </w:r>
      <w:r>
        <w:rPr>
          <w:rFonts w:hint="eastAsia"/>
        </w:rPr>
        <w:t>。</w:t>
      </w:r>
    </w:p>
    <w:p>
      <w:pPr>
        <w:pStyle w:val="4"/>
      </w:pPr>
      <w:bookmarkStart w:id="67" w:name="_Toc397322821"/>
      <w:bookmarkStart w:id="68" w:name="_Toc391370151"/>
      <w:r>
        <w:rPr>
          <w:rFonts w:hint="eastAsia"/>
        </w:rPr>
        <w:t>封存期</w:t>
      </w:r>
      <w:bookmarkEnd w:id="67"/>
      <w:bookmarkEnd w:id="68"/>
    </w:p>
    <w:p>
      <w:pPr>
        <w:ind w:firstLine="480"/>
        <w:sectPr>
          <w:footerReference r:id="rId11" w:type="default"/>
          <w:pgSz w:w="11906" w:h="16838"/>
          <w:pgMar w:top="1440" w:right="1298" w:bottom="1440" w:left="1678" w:header="851" w:footer="992" w:gutter="0"/>
          <w:cols w:space="720" w:num="1"/>
          <w:docGrid w:type="lines" w:linePitch="312" w:charSpace="0"/>
        </w:sectPr>
      </w:pPr>
      <w:r>
        <w:rPr>
          <w:rFonts w:hint="eastAsia"/>
        </w:rPr>
        <w:t>当</w:t>
      </w:r>
      <w:r>
        <w:rPr>
          <w:rFonts w:hint="eastAsia"/>
          <w:kern w:val="24"/>
        </w:rPr>
        <w:t>堆置于云溪河岸老虎嘴处、东风嘴处、抓埠市处、老水井处、胜利矶处</w:t>
      </w:r>
      <w:r>
        <w:rPr>
          <w:kern w:val="24"/>
        </w:rPr>
        <w:t>5</w:t>
      </w:r>
      <w:r>
        <w:rPr>
          <w:rFonts w:hint="eastAsia"/>
          <w:kern w:val="24"/>
        </w:rPr>
        <w:t>片区域</w:t>
      </w:r>
      <w:r>
        <w:rPr>
          <w:rFonts w:hint="eastAsia"/>
        </w:rPr>
        <w:t>固体废物全部挖运至填埋场服务期满后，不再承担贮存、处置任务时，应予以关闭或封场，采取种植超富集植物等，对封场后的填埋场进行土壤进行风险评估和修复。关闭或本项目填埋场封场前，可能产生的环境问题为：渗滤液收集池垮塌，致使渗滤液量增加，固体废物直接暴露和雨水渗入堆体；固体废弃物堆体失稳而造成滑坡等事故；植被种植不到位等。填埋终场后，其产生的渗滤液等还会继续影响区域的生态环境质量。此外，终场后的全面绿化将使区域生态环境，景观环境逐渐得到改善。</w:t>
      </w:r>
    </w:p>
    <w:p>
      <w:pPr>
        <w:pStyle w:val="2"/>
      </w:pPr>
      <w:bookmarkStart w:id="69" w:name="_Toc397322822"/>
      <w:bookmarkStart w:id="70" w:name="_Toc462818420"/>
      <w:r>
        <w:rPr>
          <w:rFonts w:hint="eastAsia"/>
        </w:rPr>
        <w:t>区域环境概况</w:t>
      </w:r>
      <w:bookmarkEnd w:id="69"/>
      <w:bookmarkEnd w:id="70"/>
    </w:p>
    <w:p>
      <w:pPr>
        <w:pStyle w:val="3"/>
      </w:pPr>
      <w:bookmarkStart w:id="71" w:name="_Toc328731409"/>
      <w:bookmarkStart w:id="72" w:name="_Toc357772218"/>
      <w:bookmarkStart w:id="73" w:name="_Toc397322823"/>
      <w:bookmarkStart w:id="74" w:name="_Toc301529791"/>
      <w:bookmarkStart w:id="75" w:name="_Toc462818421"/>
      <w:r>
        <w:rPr>
          <w:rFonts w:hint="eastAsia"/>
        </w:rPr>
        <w:t>自然环境概况</w:t>
      </w:r>
      <w:bookmarkEnd w:id="71"/>
      <w:bookmarkEnd w:id="72"/>
      <w:bookmarkEnd w:id="73"/>
      <w:bookmarkEnd w:id="74"/>
      <w:bookmarkEnd w:id="75"/>
    </w:p>
    <w:p>
      <w:pPr>
        <w:pStyle w:val="4"/>
      </w:pPr>
      <w:r>
        <w:rPr>
          <w:rFonts w:hint="eastAsia"/>
        </w:rPr>
        <w:t>地理位置</w:t>
      </w:r>
    </w:p>
    <w:p>
      <w:pPr>
        <w:ind w:firstLine="480"/>
      </w:pPr>
      <w:r>
        <w:rPr>
          <w:rFonts w:hint="eastAsia"/>
        </w:rPr>
        <w:t>岳阳市云溪区地处岳阳市城区东北部、长江中游南岸，位于东经</w:t>
      </w:r>
      <w:r>
        <w:t>113°08′48″</w:t>
      </w:r>
      <w:r>
        <w:rPr>
          <w:rFonts w:hint="eastAsia"/>
        </w:rPr>
        <w:t>至</w:t>
      </w:r>
      <w:r>
        <w:t>113°23′30″</w:t>
      </w:r>
      <w:r>
        <w:rPr>
          <w:rFonts w:hint="eastAsia"/>
        </w:rPr>
        <w:t>、北纬</w:t>
      </w:r>
      <w:r>
        <w:t>29°23′56″</w:t>
      </w:r>
      <w:r>
        <w:rPr>
          <w:rFonts w:hint="eastAsia"/>
        </w:rPr>
        <w:t>至</w:t>
      </w:r>
      <w:r>
        <w:t>29°38′22″</w:t>
      </w:r>
      <w:r>
        <w:rPr>
          <w:rFonts w:hint="eastAsia"/>
        </w:rPr>
        <w:t>之间，西濒东洞庭湖，东与临湘市接壤，西北与湖北省监利县、洪湖市隔江相望，南部与岳阳楼区和岳阳经济开发区毗邻。</w:t>
      </w:r>
    </w:p>
    <w:p>
      <w:pPr>
        <w:ind w:firstLine="480"/>
      </w:pPr>
      <w:r>
        <w:rPr>
          <w:rFonts w:hint="eastAsia"/>
        </w:rPr>
        <w:t>拟建工业固废处置场场址位于岳阳市云溪区路口镇牌楼村，东经</w:t>
      </w:r>
      <w:r>
        <w:t>113°19′42″</w:t>
      </w:r>
      <w:r>
        <w:rPr>
          <w:rFonts w:hint="eastAsia"/>
        </w:rPr>
        <w:t>，北纬</w:t>
      </w:r>
      <w:r>
        <w:t>29°30′46″</w:t>
      </w:r>
      <w:r>
        <w:rPr>
          <w:rFonts w:hint="eastAsia"/>
        </w:rPr>
        <w:t>。</w:t>
      </w:r>
    </w:p>
    <w:p>
      <w:pPr>
        <w:pStyle w:val="4"/>
      </w:pPr>
      <w:r>
        <w:rPr>
          <w:rFonts w:hint="eastAsia"/>
        </w:rPr>
        <w:t>地形地貌</w:t>
      </w:r>
    </w:p>
    <w:p>
      <w:pPr>
        <w:ind w:firstLine="480"/>
      </w:pPr>
      <w:r>
        <w:rPr>
          <w:rFonts w:hint="eastAsia"/>
        </w:rPr>
        <w:t>岳阳市云溪区属于幕阜山脉向江汉平原过渡地带，境内群峰起伏，矮丘遍布，河港纵横，湖泊众多，整个地势由东南向西北倾斜，多为山地和河湖。岳阳市云溪区境内最高海拔点为云溪区上清溪村之小木岭，海拔</w:t>
      </w:r>
      <w:r>
        <w:t>497.6</w:t>
      </w:r>
      <w:r>
        <w:rPr>
          <w:rFonts w:hint="eastAsia"/>
        </w:rPr>
        <w:t>米；最低海拔点为永济乡之臣子湖，海拔</w:t>
      </w:r>
      <w:r>
        <w:t>21.4</w:t>
      </w:r>
      <w:r>
        <w:rPr>
          <w:rFonts w:hint="eastAsia"/>
        </w:rPr>
        <w:t>米。一般海拔在</w:t>
      </w:r>
      <w:r>
        <w:t>40</w:t>
      </w:r>
      <w:r>
        <w:rPr>
          <w:rFonts w:hint="eastAsia"/>
        </w:rPr>
        <w:t>～</w:t>
      </w:r>
      <w:r>
        <w:t>60</w:t>
      </w:r>
      <w:r>
        <w:rPr>
          <w:rFonts w:hint="eastAsia"/>
        </w:rPr>
        <w:t>米之间，最大高差为</w:t>
      </w:r>
      <w:r>
        <w:t>35</w:t>
      </w:r>
      <w:r>
        <w:rPr>
          <w:rFonts w:hint="eastAsia"/>
        </w:rPr>
        <w:t>米左右。地表组成物质</w:t>
      </w:r>
      <w:r>
        <w:t>65%</w:t>
      </w:r>
      <w:r>
        <w:rPr>
          <w:rFonts w:hint="eastAsia"/>
        </w:rPr>
        <w:t>为变岩质，其余为砂纸岩，土壤组成以第四纪红色粘土和第四纪全新河、湖沉积物为主。根据《中国地震动参数区划图》</w:t>
      </w:r>
      <w:r>
        <w:t>(GBl8306-2001)</w:t>
      </w:r>
      <w:r>
        <w:rPr>
          <w:rFonts w:hint="eastAsia"/>
        </w:rPr>
        <w:t>，该区域地震动峰值加速度分区为</w:t>
      </w:r>
      <w:r>
        <w:t>0.05g</w:t>
      </w:r>
      <w:r>
        <w:rPr>
          <w:rFonts w:hint="eastAsia"/>
        </w:rPr>
        <w:t>，地震动反应谱特征周期为</w:t>
      </w:r>
      <w:r>
        <w:t>0.35</w:t>
      </w:r>
      <w:r>
        <w:rPr>
          <w:rFonts w:hint="eastAsia"/>
        </w:rPr>
        <w:t>，云溪区抗震烈度为</w:t>
      </w:r>
      <w:r>
        <w:rPr>
          <w:rFonts w:hint="eastAsia" w:ascii="宋体" w:hAnsi="宋体" w:cs="宋体"/>
        </w:rPr>
        <w:t>Ⅶ</w:t>
      </w:r>
      <w:r>
        <w:rPr>
          <w:rFonts w:hint="eastAsia"/>
        </w:rPr>
        <w:t>度。地表组成物质</w:t>
      </w:r>
      <w:r>
        <w:t>65%</w:t>
      </w:r>
      <w:r>
        <w:rPr>
          <w:rFonts w:hint="eastAsia"/>
        </w:rPr>
        <w:t>为变质岩，其余为沙质岩，土壤组成以第四纪红色粘土和第四纪全新河、湖沉积物为主。第四纪红色粘土主要分布在境内东南边，适合林、果、茶等作物开发。第四纪全新河、湖沉积物主要分布在西北长江沿线，适合水稻、瓜菜等作物种植。</w:t>
      </w:r>
    </w:p>
    <w:p>
      <w:pPr>
        <w:pStyle w:val="4"/>
      </w:pPr>
      <w:r>
        <w:rPr>
          <w:rFonts w:hint="eastAsia"/>
        </w:rPr>
        <w:t>气象、气候</w:t>
      </w:r>
    </w:p>
    <w:p>
      <w:pPr>
        <w:ind w:firstLine="480"/>
        <w:rPr>
          <w:kern w:val="0"/>
        </w:rPr>
      </w:pPr>
      <w:r>
        <w:rPr>
          <w:rFonts w:hint="eastAsia"/>
          <w:kern w:val="0"/>
        </w:rPr>
        <w:t>岳阳市</w:t>
      </w:r>
      <w:r>
        <w:rPr>
          <w:rFonts w:hint="eastAsia"/>
        </w:rPr>
        <w:t>云溪区属北亚热带季风气候区，气候温和，四季分明，热量充足，雨水集中，无霜期长。一月平均气温约</w:t>
      </w:r>
      <w:r>
        <w:t>4.3</w:t>
      </w:r>
      <w:r>
        <w:rPr>
          <w:rFonts w:hint="eastAsia" w:ascii="宋体" w:hAnsi="宋体" w:cs="宋体"/>
        </w:rPr>
        <w:t>℃</w:t>
      </w:r>
      <w:r>
        <w:rPr>
          <w:rFonts w:hint="eastAsia"/>
        </w:rPr>
        <w:t>，七月平均气温约</w:t>
      </w:r>
      <w:r>
        <w:t>29.2</w:t>
      </w:r>
      <w:r>
        <w:rPr>
          <w:rFonts w:hint="eastAsia" w:ascii="宋体" w:hAnsi="宋体" w:cs="宋体"/>
        </w:rPr>
        <w:t>℃</w:t>
      </w:r>
      <w:r>
        <w:rPr>
          <w:rFonts w:hint="eastAsia"/>
        </w:rPr>
        <w:t>；年平均气温</w:t>
      </w:r>
      <w:r>
        <w:t>16.6—16.8</w:t>
      </w:r>
      <w:r>
        <w:rPr>
          <w:rFonts w:hint="eastAsia" w:ascii="宋体" w:hAnsi="宋体" w:cs="宋体"/>
        </w:rPr>
        <w:t>℃</w:t>
      </w:r>
      <w:r>
        <w:rPr>
          <w:rFonts w:hint="eastAsia"/>
        </w:rPr>
        <w:t>，无霜期</w:t>
      </w:r>
      <w:r>
        <w:t>258—278</w:t>
      </w:r>
      <w:r>
        <w:rPr>
          <w:rFonts w:hint="eastAsia"/>
        </w:rPr>
        <w:t>天；年降雨日</w:t>
      </w:r>
      <w:r>
        <w:t>141—157</w:t>
      </w:r>
      <w:r>
        <w:rPr>
          <w:rFonts w:hint="eastAsia"/>
        </w:rPr>
        <w:t>天，年平均降雨量</w:t>
      </w:r>
      <w:r>
        <w:rPr>
          <w:kern w:val="0"/>
        </w:rPr>
        <w:t>1180</w:t>
      </w:r>
      <w:r>
        <w:rPr>
          <w:rFonts w:hint="eastAsia"/>
        </w:rPr>
        <w:t>毫米，年平均相对湿度为</w:t>
      </w:r>
      <w:r>
        <w:t>79%</w:t>
      </w:r>
      <w:r>
        <w:rPr>
          <w:rFonts w:hint="eastAsia"/>
        </w:rPr>
        <w:t>，全年无霜期为</w:t>
      </w:r>
      <w:r>
        <w:t>277</w:t>
      </w:r>
      <w:r>
        <w:rPr>
          <w:rFonts w:hint="eastAsia"/>
        </w:rPr>
        <w:t>天，年日照时数为</w:t>
      </w:r>
      <w:r>
        <w:t>1722.1</w:t>
      </w:r>
      <w:r>
        <w:rPr>
          <w:rFonts w:hint="eastAsia"/>
        </w:rPr>
        <w:t>至</w:t>
      </w:r>
      <w:r>
        <w:t>1816.5</w:t>
      </w:r>
      <w:r>
        <w:rPr>
          <w:rFonts w:hint="eastAsia"/>
        </w:rPr>
        <w:t>小时，年太杨辐射总量为</w:t>
      </w:r>
      <w:r>
        <w:t>109.5</w:t>
      </w:r>
      <w:r>
        <w:rPr>
          <w:rFonts w:hint="eastAsia"/>
        </w:rPr>
        <w:t>至</w:t>
      </w:r>
      <w:r>
        <w:t>110.4</w:t>
      </w:r>
      <w:r>
        <w:rPr>
          <w:rFonts w:hint="eastAsia"/>
        </w:rPr>
        <w:t>千卡</w:t>
      </w:r>
      <w:r>
        <w:t>/</w:t>
      </w:r>
      <w:r>
        <w:rPr>
          <w:rFonts w:hint="eastAsia"/>
        </w:rPr>
        <w:t>平方厘米，是湖南日照时数最多的地区之一。气候特点是：温暖期长，严寒期短，四季分明，雨量充沛。</w:t>
      </w:r>
      <w:r>
        <w:rPr>
          <w:rFonts w:hint="eastAsia" w:ascii="宋体" w:hAnsi="宋体"/>
          <w:kern w:val="0"/>
        </w:rPr>
        <w:t>其主要气象参数如下：</w:t>
      </w:r>
    </w:p>
    <w:p>
      <w:pPr>
        <w:ind w:firstLine="480"/>
        <w:rPr>
          <w:kern w:val="0"/>
        </w:rPr>
      </w:pPr>
      <w:r>
        <w:rPr>
          <w:kern w:val="0"/>
        </w:rPr>
        <w:t>(1)</w:t>
      </w:r>
      <w:r>
        <w:rPr>
          <w:rFonts w:hint="eastAsia"/>
          <w:kern w:val="0"/>
        </w:rPr>
        <w:t>气温（</w:t>
      </w:r>
      <w:r>
        <w:rPr>
          <w:rFonts w:hint="eastAsia" w:ascii="宋体" w:hAnsi="宋体" w:cs="宋体"/>
          <w:kern w:val="0"/>
        </w:rPr>
        <w:t>℃</w:t>
      </w:r>
      <w:r>
        <w:rPr>
          <w:rFonts w:hint="eastAsia"/>
          <w:kern w:val="0"/>
        </w:rPr>
        <w:t>）</w:t>
      </w:r>
    </w:p>
    <w:p>
      <w:pPr>
        <w:ind w:firstLine="480"/>
        <w:rPr>
          <w:kern w:val="0"/>
        </w:rPr>
      </w:pPr>
      <w:r>
        <w:rPr>
          <w:rFonts w:hint="eastAsia"/>
          <w:kern w:val="0"/>
        </w:rPr>
        <w:t>年平均气温</w:t>
      </w:r>
      <w:r>
        <w:rPr>
          <w:kern w:val="0"/>
        </w:rPr>
        <w:t xml:space="preserve">                            17.1</w:t>
      </w:r>
    </w:p>
    <w:p>
      <w:pPr>
        <w:ind w:firstLine="480"/>
        <w:rPr>
          <w:kern w:val="0"/>
        </w:rPr>
      </w:pPr>
      <w:r>
        <w:rPr>
          <w:rFonts w:hint="eastAsia"/>
          <w:kern w:val="0"/>
        </w:rPr>
        <w:t>最热月（</w:t>
      </w:r>
      <w:r>
        <w:rPr>
          <w:kern w:val="0"/>
        </w:rPr>
        <w:t>7</w:t>
      </w:r>
      <w:r>
        <w:rPr>
          <w:rFonts w:hint="eastAsia"/>
          <w:kern w:val="0"/>
        </w:rPr>
        <w:t>月）平均气温</w:t>
      </w:r>
      <w:r>
        <w:rPr>
          <w:kern w:val="0"/>
        </w:rPr>
        <w:t xml:space="preserve">                 29.1</w:t>
      </w:r>
    </w:p>
    <w:p>
      <w:pPr>
        <w:ind w:firstLine="480"/>
        <w:rPr>
          <w:kern w:val="0"/>
        </w:rPr>
      </w:pPr>
      <w:r>
        <w:rPr>
          <w:rFonts w:hint="eastAsia"/>
          <w:kern w:val="0"/>
        </w:rPr>
        <w:t>最冷月（</w:t>
      </w:r>
      <w:r>
        <w:rPr>
          <w:kern w:val="0"/>
        </w:rPr>
        <w:t>1</w:t>
      </w:r>
      <w:r>
        <w:rPr>
          <w:rFonts w:hint="eastAsia"/>
          <w:kern w:val="0"/>
        </w:rPr>
        <w:t>月）平均气温</w:t>
      </w:r>
      <w:r>
        <w:rPr>
          <w:kern w:val="0"/>
        </w:rPr>
        <w:t xml:space="preserve">                 4.7</w:t>
      </w:r>
    </w:p>
    <w:p>
      <w:pPr>
        <w:ind w:firstLine="480"/>
        <w:rPr>
          <w:kern w:val="0"/>
        </w:rPr>
      </w:pPr>
      <w:r>
        <w:rPr>
          <w:rFonts w:hint="eastAsia"/>
          <w:kern w:val="0"/>
        </w:rPr>
        <w:t>极端最高气温</w:t>
      </w:r>
      <w:r>
        <w:rPr>
          <w:kern w:val="0"/>
        </w:rPr>
        <w:t xml:space="preserve">                           39.3</w:t>
      </w:r>
    </w:p>
    <w:p>
      <w:pPr>
        <w:ind w:firstLine="480"/>
        <w:rPr>
          <w:kern w:val="0"/>
        </w:rPr>
      </w:pPr>
      <w:r>
        <w:rPr>
          <w:rFonts w:hint="eastAsia"/>
          <w:kern w:val="0"/>
        </w:rPr>
        <w:t>极端最低气温</w:t>
      </w:r>
      <w:r>
        <w:rPr>
          <w:kern w:val="0"/>
        </w:rPr>
        <w:t xml:space="preserve">                           -11.4</w:t>
      </w:r>
    </w:p>
    <w:p>
      <w:pPr>
        <w:ind w:firstLine="480"/>
        <w:rPr>
          <w:kern w:val="0"/>
        </w:rPr>
      </w:pPr>
      <w:r>
        <w:rPr>
          <w:kern w:val="0"/>
        </w:rPr>
        <w:t>(2)</w:t>
      </w:r>
      <w:r>
        <w:rPr>
          <w:rFonts w:hint="eastAsia"/>
          <w:kern w:val="0"/>
        </w:rPr>
        <w:t>降水（</w:t>
      </w:r>
      <w:r>
        <w:rPr>
          <w:kern w:val="0"/>
        </w:rPr>
        <w:t>mm</w:t>
      </w:r>
      <w:r>
        <w:rPr>
          <w:rFonts w:hint="eastAsia"/>
          <w:kern w:val="0"/>
        </w:rPr>
        <w:t>）</w:t>
      </w:r>
    </w:p>
    <w:p>
      <w:pPr>
        <w:ind w:firstLine="480"/>
        <w:rPr>
          <w:kern w:val="0"/>
        </w:rPr>
      </w:pPr>
      <w:r>
        <w:rPr>
          <w:rFonts w:hint="eastAsia"/>
          <w:kern w:val="0"/>
        </w:rPr>
        <w:t>年平均降雨量</w:t>
      </w:r>
      <w:r>
        <w:rPr>
          <w:kern w:val="0"/>
        </w:rPr>
        <w:t>1180</w:t>
      </w:r>
    </w:p>
    <w:p>
      <w:pPr>
        <w:ind w:firstLine="480"/>
        <w:rPr>
          <w:kern w:val="0"/>
        </w:rPr>
      </w:pPr>
      <w:r>
        <w:rPr>
          <w:rFonts w:hint="eastAsia"/>
          <w:kern w:val="0"/>
        </w:rPr>
        <w:t>极端年最大降雨量</w:t>
      </w:r>
      <w:r>
        <w:rPr>
          <w:kern w:val="0"/>
        </w:rPr>
        <w:t xml:space="preserve">                       2336.5</w:t>
      </w:r>
    </w:p>
    <w:p>
      <w:pPr>
        <w:ind w:firstLine="480"/>
        <w:rPr>
          <w:kern w:val="0"/>
        </w:rPr>
      </w:pPr>
      <w:r>
        <w:rPr>
          <w:rFonts w:hint="eastAsia"/>
          <w:kern w:val="0"/>
        </w:rPr>
        <w:t>极端年最小降雨量</w:t>
      </w:r>
      <w:r>
        <w:rPr>
          <w:kern w:val="0"/>
        </w:rPr>
        <w:t xml:space="preserve">                       787.4</w:t>
      </w:r>
    </w:p>
    <w:p>
      <w:pPr>
        <w:ind w:firstLine="480"/>
        <w:rPr>
          <w:kern w:val="0"/>
        </w:rPr>
      </w:pPr>
      <w:r>
        <w:rPr>
          <w:rFonts w:hint="eastAsia"/>
          <w:kern w:val="0"/>
        </w:rPr>
        <w:t>最大日降雨量</w:t>
      </w:r>
      <w:r>
        <w:rPr>
          <w:kern w:val="0"/>
        </w:rPr>
        <w:t xml:space="preserve">                           246.1</w:t>
      </w:r>
    </w:p>
    <w:p>
      <w:pPr>
        <w:ind w:firstLine="480"/>
        <w:rPr>
          <w:kern w:val="0"/>
        </w:rPr>
      </w:pPr>
      <w:r>
        <w:rPr>
          <w:kern w:val="0"/>
        </w:rPr>
        <w:t>(3)</w:t>
      </w:r>
      <w:r>
        <w:rPr>
          <w:rFonts w:hint="eastAsia"/>
          <w:kern w:val="0"/>
        </w:rPr>
        <w:t>相对湿度（</w:t>
      </w:r>
      <w:r>
        <w:rPr>
          <w:kern w:val="0"/>
        </w:rPr>
        <w:t>%</w:t>
      </w:r>
      <w:r>
        <w:rPr>
          <w:rFonts w:hint="eastAsia"/>
          <w:kern w:val="0"/>
        </w:rPr>
        <w:t>）</w:t>
      </w:r>
    </w:p>
    <w:p>
      <w:pPr>
        <w:ind w:firstLine="480"/>
        <w:rPr>
          <w:kern w:val="0"/>
        </w:rPr>
      </w:pPr>
      <w:r>
        <w:rPr>
          <w:rFonts w:hint="eastAsia"/>
          <w:kern w:val="0"/>
        </w:rPr>
        <w:t>年平均相对湿度</w:t>
      </w:r>
      <w:r>
        <w:rPr>
          <w:kern w:val="0"/>
        </w:rPr>
        <w:t xml:space="preserve">                         78</w:t>
      </w:r>
    </w:p>
    <w:p>
      <w:pPr>
        <w:ind w:firstLine="480"/>
        <w:rPr>
          <w:kern w:val="0"/>
        </w:rPr>
      </w:pPr>
      <w:r>
        <w:rPr>
          <w:rFonts w:hint="eastAsia"/>
          <w:kern w:val="0"/>
        </w:rPr>
        <w:t>最热月平均相对湿度</w:t>
      </w:r>
      <w:r>
        <w:rPr>
          <w:kern w:val="0"/>
        </w:rPr>
        <w:t xml:space="preserve">                     75</w:t>
      </w:r>
    </w:p>
    <w:p>
      <w:pPr>
        <w:ind w:firstLine="480"/>
        <w:rPr>
          <w:kern w:val="0"/>
        </w:rPr>
      </w:pPr>
      <w:r>
        <w:rPr>
          <w:rFonts w:hint="eastAsia"/>
          <w:kern w:val="0"/>
        </w:rPr>
        <w:t>最冷月平均相对湿度</w:t>
      </w:r>
      <w:r>
        <w:rPr>
          <w:kern w:val="0"/>
        </w:rPr>
        <w:t xml:space="preserve">                     77</w:t>
      </w:r>
    </w:p>
    <w:p>
      <w:pPr>
        <w:ind w:firstLine="480"/>
        <w:rPr>
          <w:kern w:val="0"/>
        </w:rPr>
      </w:pPr>
      <w:r>
        <w:rPr>
          <w:kern w:val="0"/>
        </w:rPr>
        <w:t>(4)</w:t>
      </w:r>
      <w:r>
        <w:rPr>
          <w:rFonts w:hint="eastAsia"/>
          <w:kern w:val="0"/>
        </w:rPr>
        <w:t>蒸发（</w:t>
      </w:r>
      <w:r>
        <w:rPr>
          <w:kern w:val="0"/>
        </w:rPr>
        <w:t>mm</w:t>
      </w:r>
      <w:r>
        <w:rPr>
          <w:rFonts w:hint="eastAsia"/>
          <w:kern w:val="0"/>
        </w:rPr>
        <w:t>）</w:t>
      </w:r>
    </w:p>
    <w:p>
      <w:pPr>
        <w:ind w:firstLine="480"/>
        <w:rPr>
          <w:kern w:val="0"/>
        </w:rPr>
      </w:pPr>
      <w:r>
        <w:rPr>
          <w:rFonts w:hint="eastAsia"/>
          <w:kern w:val="0"/>
        </w:rPr>
        <w:t>年平均蒸发量</w:t>
      </w:r>
      <w:r>
        <w:rPr>
          <w:kern w:val="0"/>
        </w:rPr>
        <w:t xml:space="preserve">                          1392.4</w:t>
      </w:r>
    </w:p>
    <w:p>
      <w:pPr>
        <w:ind w:firstLine="480"/>
        <w:rPr>
          <w:kern w:val="0"/>
        </w:rPr>
      </w:pPr>
      <w:r>
        <w:rPr>
          <w:kern w:val="0"/>
        </w:rPr>
        <w:t>(5)</w:t>
      </w:r>
      <w:r>
        <w:rPr>
          <w:rFonts w:hint="eastAsia"/>
          <w:kern w:val="0"/>
        </w:rPr>
        <w:t>风速（</w:t>
      </w:r>
      <w:r>
        <w:rPr>
          <w:kern w:val="0"/>
        </w:rPr>
        <w:t>m/s</w:t>
      </w:r>
      <w:r>
        <w:rPr>
          <w:rFonts w:hint="eastAsia"/>
          <w:kern w:val="0"/>
        </w:rPr>
        <w:t>）</w:t>
      </w:r>
    </w:p>
    <w:p>
      <w:pPr>
        <w:ind w:firstLine="480"/>
        <w:rPr>
          <w:kern w:val="0"/>
        </w:rPr>
      </w:pPr>
      <w:r>
        <w:rPr>
          <w:rFonts w:hint="eastAsia"/>
          <w:kern w:val="0"/>
        </w:rPr>
        <w:t>年平均风速</w:t>
      </w:r>
      <w:r>
        <w:rPr>
          <w:kern w:val="0"/>
        </w:rPr>
        <w:t xml:space="preserve">                            2.9m/s</w:t>
      </w:r>
    </w:p>
    <w:p>
      <w:pPr>
        <w:ind w:firstLine="480"/>
        <w:rPr>
          <w:kern w:val="0"/>
        </w:rPr>
      </w:pPr>
      <w:r>
        <w:rPr>
          <w:kern w:val="0"/>
        </w:rPr>
        <w:t>(6)</w:t>
      </w:r>
      <w:r>
        <w:rPr>
          <w:rFonts w:hint="eastAsia"/>
          <w:kern w:val="0"/>
        </w:rPr>
        <w:t>冻土（</w:t>
      </w:r>
      <w:r>
        <w:rPr>
          <w:kern w:val="0"/>
        </w:rPr>
        <w:t>cm</w:t>
      </w:r>
      <w:r>
        <w:rPr>
          <w:rFonts w:hint="eastAsia"/>
          <w:kern w:val="0"/>
        </w:rPr>
        <w:t>）</w:t>
      </w:r>
    </w:p>
    <w:p>
      <w:pPr>
        <w:ind w:firstLine="480"/>
        <w:rPr>
          <w:kern w:val="0"/>
        </w:rPr>
      </w:pPr>
      <w:r>
        <w:rPr>
          <w:rFonts w:hint="eastAsia"/>
          <w:kern w:val="0"/>
        </w:rPr>
        <w:t>冻土</w:t>
      </w:r>
      <w:r>
        <w:rPr>
          <w:kern w:val="0"/>
        </w:rPr>
        <w:t xml:space="preserve">                                   5</w:t>
      </w:r>
    </w:p>
    <w:p>
      <w:pPr>
        <w:ind w:firstLine="480"/>
        <w:rPr>
          <w:kern w:val="0"/>
        </w:rPr>
      </w:pPr>
      <w:r>
        <w:rPr>
          <w:kern w:val="0"/>
        </w:rPr>
        <w:t>(7)</w:t>
      </w:r>
      <w:r>
        <w:rPr>
          <w:rFonts w:hint="eastAsia"/>
          <w:kern w:val="0"/>
        </w:rPr>
        <w:t>地震烈度</w:t>
      </w:r>
      <w:r>
        <w:rPr>
          <w:kern w:val="0"/>
        </w:rPr>
        <w:t>7</w:t>
      </w:r>
      <w:r>
        <w:rPr>
          <w:rFonts w:hint="eastAsia"/>
          <w:kern w:val="0"/>
        </w:rPr>
        <w:t>度</w:t>
      </w:r>
    </w:p>
    <w:p>
      <w:pPr>
        <w:ind w:firstLine="480"/>
        <w:rPr>
          <w:kern w:val="0"/>
        </w:rPr>
      </w:pPr>
      <w:r>
        <w:rPr>
          <w:kern w:val="0"/>
        </w:rPr>
        <w:t>(8)</w:t>
      </w:r>
      <w:r>
        <w:rPr>
          <w:rFonts w:hint="eastAsia"/>
          <w:kern w:val="0"/>
        </w:rPr>
        <w:t>十年一遇最大降雨量</w:t>
      </w:r>
      <w:r>
        <w:rPr>
          <w:kern w:val="0"/>
        </w:rPr>
        <w:t xml:space="preserve">                  1679.4 mm</w:t>
      </w:r>
    </w:p>
    <w:p>
      <w:pPr>
        <w:ind w:firstLine="480"/>
        <w:rPr>
          <w:kern w:val="0"/>
        </w:rPr>
      </w:pPr>
      <w:r>
        <w:rPr>
          <w:rFonts w:hint="eastAsia"/>
          <w:kern w:val="0"/>
        </w:rPr>
        <w:t>三十年一遇最大降雨量</w:t>
      </w:r>
      <w:r>
        <w:rPr>
          <w:kern w:val="0"/>
        </w:rPr>
        <w:t xml:space="preserve">                   1856.9 mm</w:t>
      </w:r>
    </w:p>
    <w:p>
      <w:pPr>
        <w:ind w:firstLine="480"/>
        <w:rPr>
          <w:kern w:val="0"/>
        </w:rPr>
      </w:pPr>
      <w:r>
        <w:rPr>
          <w:kern w:val="0"/>
        </w:rPr>
        <w:t>(9)</w:t>
      </w:r>
      <w:r>
        <w:rPr>
          <w:rFonts w:hint="eastAsia"/>
          <w:kern w:val="0"/>
        </w:rPr>
        <w:t>十年一遇日最大降雨量</w:t>
      </w:r>
      <w:r>
        <w:rPr>
          <w:kern w:val="0"/>
        </w:rPr>
        <w:t xml:space="preserve">                161.6 mm</w:t>
      </w:r>
    </w:p>
    <w:p>
      <w:pPr>
        <w:ind w:firstLine="480"/>
        <w:rPr>
          <w:kern w:val="0"/>
        </w:rPr>
      </w:pPr>
      <w:r>
        <w:rPr>
          <w:rFonts w:hint="eastAsia"/>
          <w:kern w:val="0"/>
        </w:rPr>
        <w:t>三十年一遇日最大降雨量</w:t>
      </w:r>
      <w:r>
        <w:rPr>
          <w:kern w:val="0"/>
        </w:rPr>
        <w:t xml:space="preserve">                 191.0 mm</w:t>
      </w:r>
    </w:p>
    <w:p>
      <w:pPr>
        <w:pStyle w:val="4"/>
      </w:pPr>
      <w:r>
        <w:rPr>
          <w:rFonts w:hint="eastAsia"/>
        </w:rPr>
        <w:t>水文</w:t>
      </w:r>
    </w:p>
    <w:p>
      <w:pPr>
        <w:ind w:firstLine="480"/>
      </w:pPr>
      <w:bookmarkStart w:id="76" w:name="_Toc301529793"/>
      <w:bookmarkStart w:id="77" w:name="_Toc328731411"/>
      <w:r>
        <w:rPr>
          <w:rFonts w:hint="eastAsia"/>
        </w:rPr>
        <w:t>（</w:t>
      </w:r>
      <w:r>
        <w:t>1</w:t>
      </w:r>
      <w:r>
        <w:rPr>
          <w:rFonts w:hint="eastAsia"/>
        </w:rPr>
        <w:t>）长江岳阳段</w:t>
      </w:r>
    </w:p>
    <w:p>
      <w:pPr>
        <w:ind w:firstLine="480"/>
      </w:pPr>
      <w:r>
        <w:rPr>
          <w:rFonts w:hint="eastAsia"/>
        </w:rPr>
        <w:t>松阳湖水域北濒临并汇入长江。长江螺山段水文特征对其影响很大，根据长江螺山水文站水文数据，长江在该段主要水文参数如下：</w:t>
      </w:r>
    </w:p>
    <w:p>
      <w:pPr>
        <w:ind w:firstLine="480"/>
      </w:pPr>
      <w:r>
        <w:rPr>
          <w:rFonts w:hint="eastAsia"/>
        </w:rPr>
        <w:t>流量：</w:t>
      </w:r>
    </w:p>
    <w:p>
      <w:pPr>
        <w:ind w:firstLine="480"/>
      </w:pPr>
      <w:r>
        <w:rPr>
          <w:rFonts w:hint="eastAsia"/>
        </w:rPr>
        <w:t>多年平均流量</w:t>
      </w:r>
      <w:r>
        <w:t xml:space="preserve"> 20300 </w:t>
      </w:r>
      <w:r>
        <w:rPr>
          <w:rFonts w:hint="eastAsia"/>
        </w:rPr>
        <w:t>立方米</w:t>
      </w:r>
      <w:r>
        <w:t>/</w:t>
      </w:r>
      <w:r>
        <w:rPr>
          <w:rFonts w:hint="eastAsia"/>
        </w:rPr>
        <w:t>秒；</w:t>
      </w:r>
    </w:p>
    <w:p>
      <w:pPr>
        <w:ind w:firstLine="480"/>
      </w:pPr>
      <w:r>
        <w:rPr>
          <w:rFonts w:hint="eastAsia"/>
        </w:rPr>
        <w:t>历年最大流量</w:t>
      </w:r>
      <w:r>
        <w:t xml:space="preserve"> 61200 </w:t>
      </w:r>
      <w:r>
        <w:rPr>
          <w:rFonts w:hint="eastAsia"/>
        </w:rPr>
        <w:t>立方米</w:t>
      </w:r>
      <w:r>
        <w:t>/</w:t>
      </w:r>
      <w:r>
        <w:rPr>
          <w:rFonts w:hint="eastAsia"/>
        </w:rPr>
        <w:t>秒；</w:t>
      </w:r>
    </w:p>
    <w:p>
      <w:pPr>
        <w:ind w:firstLine="480"/>
      </w:pPr>
      <w:r>
        <w:rPr>
          <w:rFonts w:hint="eastAsia"/>
        </w:rPr>
        <w:t>历年最小流量</w:t>
      </w:r>
      <w:r>
        <w:t xml:space="preserve"> 4190 </w:t>
      </w:r>
      <w:r>
        <w:rPr>
          <w:rFonts w:hint="eastAsia"/>
        </w:rPr>
        <w:t>立方米</w:t>
      </w:r>
      <w:r>
        <w:t>/</w:t>
      </w:r>
      <w:r>
        <w:rPr>
          <w:rFonts w:hint="eastAsia"/>
        </w:rPr>
        <w:t>秒；</w:t>
      </w:r>
    </w:p>
    <w:p>
      <w:pPr>
        <w:ind w:firstLine="480"/>
      </w:pPr>
      <w:r>
        <w:rPr>
          <w:rFonts w:hint="eastAsia"/>
        </w:rPr>
        <w:t>流速：</w:t>
      </w:r>
    </w:p>
    <w:p>
      <w:pPr>
        <w:ind w:firstLine="480"/>
      </w:pPr>
      <w:r>
        <w:rPr>
          <w:rFonts w:hint="eastAsia"/>
        </w:rPr>
        <w:t>多年平均流速</w:t>
      </w:r>
      <w:r>
        <w:t xml:space="preserve"> 1.45 </w:t>
      </w:r>
      <w:r>
        <w:rPr>
          <w:rFonts w:hint="eastAsia"/>
        </w:rPr>
        <w:t>米</w:t>
      </w:r>
      <w:r>
        <w:t>/</w:t>
      </w:r>
      <w:r>
        <w:rPr>
          <w:rFonts w:hint="eastAsia"/>
        </w:rPr>
        <w:t>秒；</w:t>
      </w:r>
    </w:p>
    <w:p>
      <w:pPr>
        <w:ind w:firstLine="480"/>
      </w:pPr>
      <w:r>
        <w:rPr>
          <w:rFonts w:hint="eastAsia"/>
        </w:rPr>
        <w:t>历年最大流速</w:t>
      </w:r>
      <w:r>
        <w:t xml:space="preserve"> 2.00 </w:t>
      </w:r>
      <w:r>
        <w:rPr>
          <w:rFonts w:hint="eastAsia"/>
        </w:rPr>
        <w:t>米</w:t>
      </w:r>
      <w:r>
        <w:t>/</w:t>
      </w:r>
      <w:r>
        <w:rPr>
          <w:rFonts w:hint="eastAsia"/>
        </w:rPr>
        <w:t>秒；</w:t>
      </w:r>
    </w:p>
    <w:p>
      <w:pPr>
        <w:ind w:firstLine="480"/>
      </w:pPr>
      <w:r>
        <w:rPr>
          <w:rFonts w:hint="eastAsia"/>
        </w:rPr>
        <w:t>历年最小流速</w:t>
      </w:r>
      <w:r>
        <w:t xml:space="preserve"> 0.98 </w:t>
      </w:r>
      <w:r>
        <w:rPr>
          <w:rFonts w:hint="eastAsia"/>
        </w:rPr>
        <w:t>米</w:t>
      </w:r>
      <w:r>
        <w:t>/</w:t>
      </w:r>
      <w:r>
        <w:rPr>
          <w:rFonts w:hint="eastAsia"/>
        </w:rPr>
        <w:t>秒；</w:t>
      </w:r>
    </w:p>
    <w:p>
      <w:pPr>
        <w:ind w:firstLine="480"/>
      </w:pPr>
      <w:r>
        <w:rPr>
          <w:rFonts w:hint="eastAsia"/>
        </w:rPr>
        <w:t>水位：</w:t>
      </w:r>
    </w:p>
    <w:p>
      <w:pPr>
        <w:ind w:firstLine="480"/>
      </w:pPr>
      <w:r>
        <w:rPr>
          <w:rFonts w:hint="eastAsia"/>
        </w:rPr>
        <w:t>多年平均水位</w:t>
      </w:r>
      <w:r>
        <w:t xml:space="preserve"> 23.19 </w:t>
      </w:r>
      <w:r>
        <w:rPr>
          <w:rFonts w:hint="eastAsia"/>
        </w:rPr>
        <w:t>米（吴淞高程）；</w:t>
      </w:r>
    </w:p>
    <w:p>
      <w:pPr>
        <w:ind w:firstLine="480"/>
      </w:pPr>
      <w:r>
        <w:rPr>
          <w:rFonts w:hint="eastAsia"/>
        </w:rPr>
        <w:t>历年最高水位</w:t>
      </w:r>
      <w:r>
        <w:t xml:space="preserve"> 33.14 </w:t>
      </w:r>
      <w:r>
        <w:rPr>
          <w:rFonts w:hint="eastAsia"/>
        </w:rPr>
        <w:t>米；</w:t>
      </w:r>
    </w:p>
    <w:p>
      <w:pPr>
        <w:ind w:firstLine="480"/>
      </w:pPr>
      <w:r>
        <w:rPr>
          <w:rFonts w:hint="eastAsia"/>
        </w:rPr>
        <w:t>历年最低水位</w:t>
      </w:r>
      <w:r>
        <w:t xml:space="preserve"> 15.99 </w:t>
      </w:r>
      <w:r>
        <w:rPr>
          <w:rFonts w:hint="eastAsia"/>
        </w:rPr>
        <w:t>米；</w:t>
      </w:r>
    </w:p>
    <w:p>
      <w:pPr>
        <w:ind w:firstLine="482"/>
      </w:pPr>
      <w:r>
        <w:rPr>
          <w:rFonts w:hint="eastAsia"/>
          <w:b/>
        </w:rPr>
        <w:t>松阳湖：</w:t>
      </w:r>
      <w:r>
        <w:rPr>
          <w:rFonts w:hint="eastAsia"/>
        </w:rPr>
        <w:t>主体水域约</w:t>
      </w:r>
      <w:r>
        <w:t>4.5km</w:t>
      </w:r>
      <w:r>
        <w:rPr>
          <w:vertAlign w:val="superscript"/>
        </w:rPr>
        <w:t>2</w:t>
      </w:r>
      <w:r>
        <w:rPr>
          <w:rFonts w:hint="eastAsia"/>
        </w:rPr>
        <w:t>。湖面积：丰水期</w:t>
      </w:r>
      <w:r>
        <w:t xml:space="preserve"> 6000~8000 </w:t>
      </w:r>
      <w:r>
        <w:rPr>
          <w:rFonts w:hint="eastAsia"/>
        </w:rPr>
        <w:t>亩左右；枯水期</w:t>
      </w:r>
      <w:r>
        <w:t xml:space="preserve"> 5000~6000</w:t>
      </w:r>
      <w:r>
        <w:rPr>
          <w:rFonts w:hint="eastAsia"/>
        </w:rPr>
        <w:t>亩左右；水位：最深水位</w:t>
      </w:r>
      <w:r>
        <w:t xml:space="preserve"> 5~6m </w:t>
      </w:r>
      <w:r>
        <w:rPr>
          <w:rFonts w:hint="eastAsia"/>
        </w:rPr>
        <w:t>左右；平均水位</w:t>
      </w:r>
      <w:r>
        <w:t xml:space="preserve"> 3~4m </w:t>
      </w:r>
      <w:r>
        <w:rPr>
          <w:rFonts w:hint="eastAsia"/>
        </w:rPr>
        <w:t>左右；蓄水量：丰水期</w:t>
      </w:r>
      <w:r>
        <w:t>21</w:t>
      </w:r>
      <w:r>
        <w:rPr>
          <w:rFonts w:hint="eastAsia"/>
        </w:rPr>
        <w:t>万</w:t>
      </w:r>
      <w:r>
        <w:t>m</w:t>
      </w:r>
      <w:r>
        <w:rPr>
          <w:vertAlign w:val="superscript"/>
        </w:rPr>
        <w:t>3</w:t>
      </w:r>
      <w:r>
        <w:rPr>
          <w:rFonts w:hint="eastAsia"/>
        </w:rPr>
        <w:t>左右；枯水期</w:t>
      </w:r>
      <w:r>
        <w:t>12</w:t>
      </w:r>
      <w:r>
        <w:rPr>
          <w:rFonts w:hint="eastAsia"/>
        </w:rPr>
        <w:t>万</w:t>
      </w:r>
      <w:r>
        <w:t>m</w:t>
      </w:r>
      <w:r>
        <w:rPr>
          <w:vertAlign w:val="superscript"/>
        </w:rPr>
        <w:t>3</w:t>
      </w:r>
      <w:r>
        <w:rPr>
          <w:rFonts w:hint="eastAsia"/>
        </w:rPr>
        <w:t>左右。</w:t>
      </w:r>
    </w:p>
    <w:p>
      <w:pPr>
        <w:pStyle w:val="4"/>
      </w:pPr>
      <w:r>
        <w:rPr>
          <w:rFonts w:hint="eastAsia"/>
        </w:rPr>
        <w:t>地下水</w:t>
      </w:r>
    </w:p>
    <w:p>
      <w:pPr>
        <w:ind w:firstLine="460"/>
      </w:pPr>
      <w:r>
        <w:rPr>
          <w:rFonts w:hint="eastAsia"/>
          <w:sz w:val="23"/>
          <w:szCs w:val="23"/>
          <w:shd w:val="clear" w:color="auto" w:fill="FFFFFF"/>
        </w:rPr>
        <w:t>项目填埋场所处的水文地质单元与原五个堆场不是同一水文地质单元。</w:t>
      </w:r>
    </w:p>
    <w:p>
      <w:pPr>
        <w:ind w:firstLine="480"/>
      </w:pPr>
      <w:r>
        <w:rPr>
          <w:rFonts w:hint="eastAsia"/>
        </w:rPr>
        <w:t>项目填埋场区地下水主要为裂隙水，属浅部潜水；地下水分水岭与地表水分水岭一致，地下水无场地汇水区范围以外的水补给；地下水位与地势高低基本一致</w:t>
      </w:r>
      <w:r>
        <w:t xml:space="preserve">, </w:t>
      </w:r>
      <w:r>
        <w:rPr>
          <w:rFonts w:hint="eastAsia"/>
        </w:rPr>
        <w:t>地下水位埋藏浅，主要受场区内大气降雨和地表水近距离竖向补给影响，所以地下水位与地势高低相关。综合钻孔编录及压水试验说明：导水性破碎带，总体上构造裂隙发育程度较一致，纵向上连通性一般。</w:t>
      </w:r>
    </w:p>
    <w:p>
      <w:pPr>
        <w:ind w:firstLine="480"/>
      </w:pPr>
      <w:r>
        <w:rPr>
          <w:rFonts w:hint="eastAsia"/>
        </w:rPr>
        <w:t>地下水的排泄方式主要为向含水层的侧向排泄为主，次以泉的形式泄于地表，地下水迳流方式受地形地貌和构造裂隙发育程度及连通性等控制。地下水主要沿斜坡地带以沿风化带与基岩接触面经短途迳流后于地形低洼处或山坡脚以下降泉和渗流形式排泄为主，在场地内地下水向北下游向外排泄，排泄面较窄。</w:t>
      </w:r>
    </w:p>
    <w:p>
      <w:pPr>
        <w:ind w:firstLine="480"/>
      </w:pPr>
      <w:r>
        <w:rPr>
          <w:rFonts w:hint="eastAsia"/>
        </w:rPr>
        <w:t>综上所述，拟建场地内属地下水贫乏区，与区域性地下水相互影响较小。</w:t>
      </w:r>
    </w:p>
    <w:p>
      <w:pPr>
        <w:pStyle w:val="4"/>
      </w:pPr>
      <w:r>
        <w:rPr>
          <w:rFonts w:hint="eastAsia"/>
        </w:rPr>
        <w:t>区域生态环境现状</w:t>
      </w:r>
    </w:p>
    <w:p>
      <w:pPr>
        <w:ind w:firstLine="480"/>
      </w:pPr>
      <w:bookmarkStart w:id="78" w:name="_Toc357772219"/>
      <w:r>
        <w:rPr>
          <w:rFonts w:hint="eastAsia"/>
        </w:rPr>
        <w:t>境内植被属中亚热带常绿阔叶林北部亚地带植被区，植被类型以华东、华中区系为主，森林植被较为丰富，种类繁多，主要有常绿阔叶林、常绿落叶阔叶混交林、落叶阔叶林、针叶林、和油茶、杜仲、厚朴、柑橘为主的经济林。岳阳土地肥沃，日照充足，适宜植物生长。在现场踏勘过程中，未见国家法定保护的野生植物。</w:t>
      </w:r>
    </w:p>
    <w:p>
      <w:pPr>
        <w:ind w:firstLine="480"/>
      </w:pPr>
      <w:r>
        <w:rPr>
          <w:rFonts w:hint="eastAsia"/>
        </w:rPr>
        <w:t>根据现场勘踏，废渣堆场及周边环境植被生长较为一般，不同程度的影响了植物的生长。且本评价区域内未发现珍稀动植物物种。</w:t>
      </w:r>
    </w:p>
    <w:p>
      <w:pPr>
        <w:pStyle w:val="3"/>
      </w:pPr>
      <w:bookmarkStart w:id="79" w:name="_Toc397322824"/>
      <w:bookmarkStart w:id="80" w:name="_Toc462818422"/>
      <w:r>
        <w:rPr>
          <w:rFonts w:hint="eastAsia"/>
        </w:rPr>
        <w:t>社会环境概况</w:t>
      </w:r>
      <w:bookmarkEnd w:id="76"/>
      <w:bookmarkEnd w:id="77"/>
      <w:bookmarkEnd w:id="78"/>
      <w:bookmarkEnd w:id="79"/>
      <w:bookmarkEnd w:id="80"/>
    </w:p>
    <w:p>
      <w:pPr>
        <w:pStyle w:val="4"/>
      </w:pPr>
      <w:bookmarkStart w:id="81" w:name="_Toc216589850"/>
      <w:r>
        <w:rPr>
          <w:rFonts w:hint="eastAsia"/>
        </w:rPr>
        <w:t>行政区划</w:t>
      </w:r>
      <w:bookmarkEnd w:id="81"/>
    </w:p>
    <w:p>
      <w:pPr>
        <w:ind w:firstLine="480"/>
      </w:pPr>
      <w:bookmarkStart w:id="82" w:name="_Toc216589851"/>
      <w:r>
        <w:rPr>
          <w:rFonts w:hint="eastAsia"/>
        </w:rPr>
        <w:t>岳阳市云溪区现辖</w:t>
      </w:r>
      <w:r>
        <w:t>7</w:t>
      </w:r>
      <w:r>
        <w:rPr>
          <w:rFonts w:hint="eastAsia"/>
        </w:rPr>
        <w:t>个乡镇（云溪乡、云溪镇、路口镇、文桥镇、陆城镇、道仁矶镇、永济乡）、</w:t>
      </w:r>
      <w:r>
        <w:t>1</w:t>
      </w:r>
      <w:r>
        <w:rPr>
          <w:rFonts w:hint="eastAsia"/>
        </w:rPr>
        <w:t>个街道办事处（长岭街道办事处），共有</w:t>
      </w:r>
      <w:r>
        <w:t>66</w:t>
      </w:r>
      <w:r>
        <w:rPr>
          <w:rFonts w:hint="eastAsia"/>
        </w:rPr>
        <w:t>个村（场）和</w:t>
      </w:r>
      <w:r>
        <w:t>14</w:t>
      </w:r>
      <w:r>
        <w:rPr>
          <w:rFonts w:hint="eastAsia"/>
        </w:rPr>
        <w:t>个社区居委会。区人民政府驻云溪镇。</w:t>
      </w:r>
      <w:r>
        <w:t>2008</w:t>
      </w:r>
      <w:r>
        <w:rPr>
          <w:rFonts w:hint="eastAsia"/>
        </w:rPr>
        <w:t>年年末总人口</w:t>
      </w:r>
      <w:r>
        <w:t>165865</w:t>
      </w:r>
      <w:r>
        <w:rPr>
          <w:rFonts w:hint="eastAsia"/>
        </w:rPr>
        <w:t>人，其中城镇居民</w:t>
      </w:r>
      <w:r>
        <w:t>82300</w:t>
      </w:r>
      <w:r>
        <w:rPr>
          <w:rFonts w:hint="eastAsia"/>
        </w:rPr>
        <w:t>人，农村居民</w:t>
      </w:r>
      <w:r>
        <w:t>83565</w:t>
      </w:r>
      <w:r>
        <w:rPr>
          <w:rFonts w:hint="eastAsia"/>
        </w:rPr>
        <w:t>人。</w:t>
      </w:r>
    </w:p>
    <w:p>
      <w:pPr>
        <w:pStyle w:val="4"/>
      </w:pPr>
      <w:r>
        <w:rPr>
          <w:rFonts w:hint="eastAsia"/>
        </w:rPr>
        <w:t>区域经济</w:t>
      </w:r>
      <w:bookmarkEnd w:id="82"/>
    </w:p>
    <w:p>
      <w:pPr>
        <w:ind w:firstLine="480"/>
        <w:rPr>
          <w:szCs w:val="24"/>
        </w:rPr>
      </w:pPr>
      <w:r>
        <w:rPr>
          <w:rFonts w:hint="eastAsia"/>
        </w:rPr>
        <w:t>云溪区</w:t>
      </w:r>
      <w:r>
        <w:t>2013</w:t>
      </w:r>
      <w:r>
        <w:rPr>
          <w:rFonts w:hint="eastAsia"/>
        </w:rPr>
        <w:t>年实现地区生产总值</w:t>
      </w:r>
      <w:r>
        <w:t>74.4</w:t>
      </w:r>
      <w:r>
        <w:rPr>
          <w:rFonts w:hint="eastAsia"/>
        </w:rPr>
        <w:t>亿元，增长</w:t>
      </w:r>
      <w:r>
        <w:t>14.5%</w:t>
      </w:r>
      <w:r>
        <w:rPr>
          <w:rFonts w:hint="eastAsia"/>
        </w:rPr>
        <w:t>；固定资产投资</w:t>
      </w:r>
      <w:r>
        <w:t xml:space="preserve">55.8 </w:t>
      </w:r>
      <w:r>
        <w:rPr>
          <w:rFonts w:hint="eastAsia"/>
        </w:rPr>
        <w:t>亿元，增长</w:t>
      </w:r>
      <w:r>
        <w:t>42%</w:t>
      </w:r>
      <w:r>
        <w:rPr>
          <w:rFonts w:hint="eastAsia"/>
        </w:rPr>
        <w:t>；社会消费品零售总额</w:t>
      </w:r>
      <w:r>
        <w:t>10.39</w:t>
      </w:r>
      <w:r>
        <w:rPr>
          <w:rFonts w:hint="eastAsia"/>
        </w:rPr>
        <w:t>亿元，增长</w:t>
      </w:r>
      <w:r>
        <w:t>25%</w:t>
      </w:r>
      <w:r>
        <w:rPr>
          <w:rFonts w:hint="eastAsia"/>
        </w:rPr>
        <w:t>；规模工业增加值</w:t>
      </w:r>
      <w:r>
        <w:t>43</w:t>
      </w:r>
      <w:r>
        <w:rPr>
          <w:rFonts w:hint="eastAsia"/>
        </w:rPr>
        <w:t>亿元，增长</w:t>
      </w:r>
      <w:r>
        <w:t>25%</w:t>
      </w:r>
      <w:r>
        <w:rPr>
          <w:rFonts w:hint="eastAsia"/>
        </w:rPr>
        <w:t>；财政总收入</w:t>
      </w:r>
      <w:r>
        <w:t>7.25</w:t>
      </w:r>
      <w:r>
        <w:rPr>
          <w:rFonts w:hint="eastAsia"/>
        </w:rPr>
        <w:t>亿元，增长</w:t>
      </w:r>
      <w:r>
        <w:t>23%</w:t>
      </w:r>
      <w:r>
        <w:rPr>
          <w:rFonts w:hint="eastAsia"/>
        </w:rPr>
        <w:t>，其中一般预算收入</w:t>
      </w:r>
      <w:r>
        <w:t>2.2</w:t>
      </w:r>
      <w:r>
        <w:rPr>
          <w:rFonts w:hint="eastAsia"/>
        </w:rPr>
        <w:t>亿元，增长</w:t>
      </w:r>
      <w:r>
        <w:t>30%</w:t>
      </w:r>
      <w:r>
        <w:rPr>
          <w:rFonts w:hint="eastAsia"/>
        </w:rPr>
        <w:t>。</w:t>
      </w:r>
    </w:p>
    <w:p>
      <w:pPr>
        <w:pStyle w:val="4"/>
      </w:pPr>
      <w:r>
        <w:rPr>
          <w:rFonts w:hint="eastAsia"/>
        </w:rPr>
        <w:t>交通</w:t>
      </w:r>
    </w:p>
    <w:p>
      <w:pPr>
        <w:ind w:firstLine="480"/>
      </w:pPr>
      <w:r>
        <w:rPr>
          <w:rFonts w:hint="eastAsia"/>
        </w:rPr>
        <w:t>岳阳市云溪区交通便捷。</w:t>
      </w:r>
      <w:r>
        <w:t>107</w:t>
      </w:r>
      <w:r>
        <w:rPr>
          <w:rFonts w:hint="eastAsia"/>
        </w:rPr>
        <w:t>国道和京广铁路横穿区内，长江黄金水道环绕西北。沿铁路南距长沙</w:t>
      </w:r>
      <w:r>
        <w:t>162</w:t>
      </w:r>
      <w:r>
        <w:rPr>
          <w:rFonts w:hint="eastAsia"/>
        </w:rPr>
        <w:t>公里，北离武汉</w:t>
      </w:r>
      <w:r>
        <w:t>245</w:t>
      </w:r>
      <w:r>
        <w:rPr>
          <w:rFonts w:hint="eastAsia"/>
        </w:rPr>
        <w:t>公里；沿公路距长沙黄花机场和武汉天河机场均不到</w:t>
      </w:r>
      <w:r>
        <w:t>2</w:t>
      </w:r>
      <w:r>
        <w:rPr>
          <w:rFonts w:hint="eastAsia"/>
        </w:rPr>
        <w:t>小时车程；沿水路东距九江</w:t>
      </w:r>
      <w:r>
        <w:t>340</w:t>
      </w:r>
      <w:r>
        <w:rPr>
          <w:rFonts w:hint="eastAsia"/>
        </w:rPr>
        <w:t>公里，南京</w:t>
      </w:r>
      <w:r>
        <w:t>715</w:t>
      </w:r>
      <w:r>
        <w:rPr>
          <w:rFonts w:hint="eastAsia"/>
        </w:rPr>
        <w:t>公里，上海</w:t>
      </w:r>
      <w:r>
        <w:t>990</w:t>
      </w:r>
      <w:r>
        <w:rPr>
          <w:rFonts w:hint="eastAsia"/>
        </w:rPr>
        <w:t>公里，西距重庆</w:t>
      </w:r>
      <w:r>
        <w:t>490</w:t>
      </w:r>
      <w:r>
        <w:rPr>
          <w:rFonts w:hint="eastAsia"/>
        </w:rPr>
        <w:t>公里。境内有厂矿铁路专用线</w:t>
      </w:r>
      <w:r>
        <w:t>4</w:t>
      </w:r>
      <w:r>
        <w:rPr>
          <w:rFonts w:hint="eastAsia"/>
        </w:rPr>
        <w:t>条，全长</w:t>
      </w:r>
      <w:r>
        <w:t>29</w:t>
      </w:r>
      <w:r>
        <w:rPr>
          <w:rFonts w:hint="eastAsia"/>
        </w:rPr>
        <w:t>公里；有火车站</w:t>
      </w:r>
      <w:r>
        <w:t>2</w:t>
      </w:r>
      <w:r>
        <w:rPr>
          <w:rFonts w:hint="eastAsia"/>
        </w:rPr>
        <w:t>个，其中路口铺站属二等站，货物吞吐量每年可达</w:t>
      </w:r>
      <w:r>
        <w:t>800</w:t>
      </w:r>
      <w:r>
        <w:rPr>
          <w:rFonts w:hint="eastAsia"/>
        </w:rPr>
        <w:t>万吨；共有客货码头</w:t>
      </w:r>
      <w:r>
        <w:t>18</w:t>
      </w:r>
      <w:r>
        <w:rPr>
          <w:rFonts w:hint="eastAsia"/>
        </w:rPr>
        <w:t>个，其中长江汽车轮渡</w:t>
      </w:r>
      <w:r>
        <w:t>1</w:t>
      </w:r>
      <w:r>
        <w:rPr>
          <w:rFonts w:hint="eastAsia"/>
        </w:rPr>
        <w:t>个，</w:t>
      </w:r>
      <w:r>
        <w:t>3000</w:t>
      </w:r>
      <w:r>
        <w:rPr>
          <w:rFonts w:hint="eastAsia"/>
        </w:rPr>
        <w:t>吨级工业专用码头</w:t>
      </w:r>
      <w:r>
        <w:t>4</w:t>
      </w:r>
      <w:r>
        <w:rPr>
          <w:rFonts w:hint="eastAsia"/>
        </w:rPr>
        <w:t>个和已经开发升级的简易码头</w:t>
      </w:r>
      <w:r>
        <w:t>8</w:t>
      </w:r>
      <w:r>
        <w:rPr>
          <w:rFonts w:hint="eastAsia"/>
        </w:rPr>
        <w:t>个，并配套有输油管线、化学品管线、天然气管线在内的特种运输管线</w:t>
      </w:r>
      <w:r>
        <w:t>26</w:t>
      </w:r>
      <w:r>
        <w:rPr>
          <w:rFonts w:hint="eastAsia"/>
        </w:rPr>
        <w:t>条。“十一五”期间，武广高速铁路、荆岳长江大桥、随岳高速公路和</w:t>
      </w:r>
      <w:r>
        <w:t>S301</w:t>
      </w:r>
      <w:r>
        <w:rPr>
          <w:rFonts w:hint="eastAsia"/>
        </w:rPr>
        <w:t>省道通港路将相继建成通车，松杨湖港区作为湖南最大外贸港口也已启动建设，以松杨湖港区为龙头的沿江物流走廊正在逐步形成。</w:t>
      </w:r>
    </w:p>
    <w:p>
      <w:pPr>
        <w:pStyle w:val="4"/>
      </w:pPr>
      <w:r>
        <w:rPr>
          <w:rFonts w:hint="eastAsia"/>
        </w:rPr>
        <w:t>特色产业</w:t>
      </w:r>
    </w:p>
    <w:p>
      <w:pPr>
        <w:ind w:firstLine="480"/>
      </w:pPr>
      <w:r>
        <w:rPr>
          <w:rFonts w:hint="eastAsia"/>
        </w:rPr>
        <w:t>独具特色的产业：作为中南地区最大的石油化工基地，境内驻有中石化旗下的巴陵石化和长岭炼化公司、全国十大纸业上市公司岳纸集团、华能湖南岳阳发电有限责任公司四家航母级企业。拥有</w:t>
      </w:r>
      <w:r>
        <w:t>100</w:t>
      </w:r>
      <w:r>
        <w:rPr>
          <w:rFonts w:hint="eastAsia"/>
        </w:rPr>
        <w:t>多套石油化工生产装置，其中有国内最大、达到世界领先水平的年产</w:t>
      </w:r>
      <w:r>
        <w:t>20</w:t>
      </w:r>
      <w:r>
        <w:rPr>
          <w:rFonts w:hint="eastAsia"/>
        </w:rPr>
        <w:t>万吨</w:t>
      </w:r>
      <w:r>
        <w:t>SBS</w:t>
      </w:r>
      <w:r>
        <w:rPr>
          <w:rFonts w:hint="eastAsia"/>
        </w:rPr>
        <w:t>，年产</w:t>
      </w:r>
      <w:r>
        <w:t>20</w:t>
      </w:r>
      <w:r>
        <w:rPr>
          <w:rFonts w:hint="eastAsia"/>
        </w:rPr>
        <w:t>万吨环己酮装置，产品达</w:t>
      </w:r>
      <w:r>
        <w:t>50</w:t>
      </w:r>
      <w:r>
        <w:rPr>
          <w:rFonts w:hint="eastAsia"/>
        </w:rPr>
        <w:t>多个品种</w:t>
      </w:r>
      <w:r>
        <w:t>200</w:t>
      </w:r>
      <w:r>
        <w:rPr>
          <w:rFonts w:hint="eastAsia"/>
        </w:rPr>
        <w:t>多个牌号。</w:t>
      </w:r>
      <w:r>
        <w:t>“</w:t>
      </w:r>
      <w:r>
        <w:rPr>
          <w:rFonts w:hint="eastAsia"/>
        </w:rPr>
        <w:t>十二五</w:t>
      </w:r>
      <w:r>
        <w:t>”</w:t>
      </w:r>
      <w:r>
        <w:rPr>
          <w:rFonts w:hint="eastAsia"/>
        </w:rPr>
        <w:t>期间长岭炼油产能将由</w:t>
      </w:r>
      <w:r>
        <w:t xml:space="preserve"> 1000</w:t>
      </w:r>
      <w:r>
        <w:rPr>
          <w:rFonts w:hint="eastAsia"/>
        </w:rPr>
        <w:t>万吨提高到</w:t>
      </w:r>
      <w:r>
        <w:t xml:space="preserve"> 1600</w:t>
      </w:r>
      <w:r>
        <w:rPr>
          <w:rFonts w:hint="eastAsia"/>
        </w:rPr>
        <w:t>万吨，巴陵石化炼油能力从</w:t>
      </w:r>
      <w:r>
        <w:t>200</w:t>
      </w:r>
      <w:r>
        <w:rPr>
          <w:rFonts w:hint="eastAsia"/>
        </w:rPr>
        <w:t>万吨提高到</w:t>
      </w:r>
      <w:r>
        <w:t>350</w:t>
      </w:r>
      <w:r>
        <w:rPr>
          <w:rFonts w:hint="eastAsia"/>
        </w:rPr>
        <w:t>万吨，另外再新上一批化工项目，争取到</w:t>
      </w:r>
      <w:r>
        <w:t>“</w:t>
      </w:r>
      <w:r>
        <w:rPr>
          <w:rFonts w:hint="eastAsia"/>
        </w:rPr>
        <w:t>十二五</w:t>
      </w:r>
      <w:r>
        <w:t>”</w:t>
      </w:r>
      <w:r>
        <w:rPr>
          <w:rFonts w:hint="eastAsia"/>
        </w:rPr>
        <w:t>末，长炼、巴陵石化两家企业销售收入达到</w:t>
      </w:r>
      <w:r>
        <w:t>2000</w:t>
      </w:r>
      <w:r>
        <w:rPr>
          <w:rFonts w:hint="eastAsia"/>
        </w:rPr>
        <w:t>亿元，税收达到</w:t>
      </w:r>
      <w:r>
        <w:t>200</w:t>
      </w:r>
      <w:r>
        <w:rPr>
          <w:rFonts w:hint="eastAsia"/>
        </w:rPr>
        <w:t>亿元。</w:t>
      </w:r>
    </w:p>
    <w:p>
      <w:pPr>
        <w:pStyle w:val="3"/>
      </w:pPr>
      <w:bookmarkStart w:id="83" w:name="_Toc397322825"/>
      <w:bookmarkStart w:id="84" w:name="_Toc462818423"/>
      <w:r>
        <w:rPr>
          <w:rFonts w:hint="eastAsia"/>
        </w:rPr>
        <w:t>路口镇概况</w:t>
      </w:r>
      <w:bookmarkEnd w:id="83"/>
      <w:bookmarkEnd w:id="84"/>
    </w:p>
    <w:p>
      <w:pPr>
        <w:ind w:firstLine="480"/>
      </w:pPr>
      <w:r>
        <w:rPr>
          <w:rFonts w:hint="eastAsia"/>
          <w:shd w:val="clear" w:color="auto" w:fill="FFFFFF"/>
        </w:rPr>
        <w:t>路口镇辖</w:t>
      </w:r>
      <w:r>
        <w:rPr>
          <w:shd w:val="clear" w:color="auto" w:fill="FFFFFF"/>
        </w:rPr>
        <w:t>4</w:t>
      </w:r>
      <w:r>
        <w:rPr>
          <w:rFonts w:hint="eastAsia"/>
          <w:shd w:val="clear" w:color="auto" w:fill="FFFFFF"/>
        </w:rPr>
        <w:t>个社区居委会（路口、长炼街、文修桥、长炼基地），</w:t>
      </w:r>
      <w:r>
        <w:rPr>
          <w:shd w:val="clear" w:color="auto" w:fill="FFFFFF"/>
        </w:rPr>
        <w:t>25</w:t>
      </w:r>
      <w:r>
        <w:rPr>
          <w:rFonts w:hint="eastAsia"/>
          <w:shd w:val="clear" w:color="auto" w:fill="FFFFFF"/>
        </w:rPr>
        <w:t>个建制村（新合、新建、长岭、路口、南山、枧冲、牌楼、南太、新华、江湖、南岳、省塘、文桥、小桥、荆竹、和平、望城、臣山、东风、黄皋、华兴、姜畈、汾水、金星、白荆），总面积</w:t>
      </w:r>
      <w:r>
        <w:rPr>
          <w:shd w:val="clear" w:color="auto" w:fill="FFFFFF"/>
        </w:rPr>
        <w:t>108.09</w:t>
      </w:r>
      <w:r>
        <w:rPr>
          <w:rFonts w:hint="eastAsia"/>
          <w:shd w:val="clear" w:color="auto" w:fill="FFFFFF"/>
        </w:rPr>
        <w:t>平方千米，总人口</w:t>
      </w:r>
      <w:r>
        <w:rPr>
          <w:shd w:val="clear" w:color="auto" w:fill="FFFFFF"/>
        </w:rPr>
        <w:t>3.84</w:t>
      </w:r>
      <w:r>
        <w:rPr>
          <w:rFonts w:hint="eastAsia"/>
          <w:shd w:val="clear" w:color="auto" w:fill="FFFFFF"/>
        </w:rPr>
        <w:t>万人。京广铁路、</w:t>
      </w:r>
      <w:r>
        <w:rPr>
          <w:shd w:val="clear" w:color="auto" w:fill="FFFFFF"/>
        </w:rPr>
        <w:t>107</w:t>
      </w:r>
      <w:r>
        <w:rPr>
          <w:rFonts w:hint="eastAsia"/>
          <w:shd w:val="clear" w:color="auto" w:fill="FFFFFF"/>
        </w:rPr>
        <w:t>国道过境，设有路口铺火车站。路口镇距岳阳市区</w:t>
      </w:r>
      <w:r>
        <w:rPr>
          <w:shd w:val="clear" w:color="auto" w:fill="FFFFFF"/>
        </w:rPr>
        <w:t>24</w:t>
      </w:r>
      <w:r>
        <w:rPr>
          <w:rFonts w:hint="eastAsia"/>
          <w:shd w:val="clear" w:color="auto" w:fill="FFFFFF"/>
        </w:rPr>
        <w:t>公里，辖区内有长岭炼油化工责任有限公司、路口铺火车站、广州铁路局铁路采石场、中建五局及省建三公司等中央、省属企业</w:t>
      </w:r>
      <w:r>
        <w:rPr>
          <w:shd w:val="clear" w:color="auto" w:fill="FFFFFF"/>
        </w:rPr>
        <w:t>5</w:t>
      </w:r>
      <w:r>
        <w:rPr>
          <w:rFonts w:hint="eastAsia"/>
          <w:shd w:val="clear" w:color="auto" w:fill="FFFFFF"/>
        </w:rPr>
        <w:t>个。</w:t>
      </w:r>
    </w:p>
    <w:p>
      <w:pPr>
        <w:ind w:firstLine="480"/>
        <w:rPr>
          <w:kern w:val="0"/>
        </w:rPr>
      </w:pPr>
      <w:r>
        <w:rPr>
          <w:rFonts w:hint="eastAsia"/>
          <w:kern w:val="0"/>
        </w:rPr>
        <w:t>路口镇经济发展的思路是：</w:t>
      </w:r>
      <w:r>
        <w:rPr>
          <w:kern w:val="0"/>
        </w:rPr>
        <w:t>“</w:t>
      </w:r>
      <w:r>
        <w:rPr>
          <w:rFonts w:hint="eastAsia"/>
          <w:kern w:val="0"/>
        </w:rPr>
        <w:t>农业产业化、厂镇一体化、企业民营化、农村城镇化</w:t>
      </w:r>
      <w:r>
        <w:rPr>
          <w:kern w:val="0"/>
        </w:rPr>
        <w:t>”</w:t>
      </w:r>
      <w:r>
        <w:rPr>
          <w:rFonts w:hint="eastAsia"/>
          <w:kern w:val="0"/>
        </w:rPr>
        <w:t>。农业上，路口镇充分利用邻城伴厂优势，大力调整产业结构，形成了水产养殖、无籽西瓜、大棚蔬菜、外贸生猪饲养、特种水产、药材种植等</w:t>
      </w:r>
      <w:r>
        <w:rPr>
          <w:kern w:val="0"/>
        </w:rPr>
        <w:t>6</w:t>
      </w:r>
      <w:r>
        <w:rPr>
          <w:rFonts w:hint="eastAsia"/>
          <w:kern w:val="0"/>
        </w:rPr>
        <w:t>大产业基地，</w:t>
      </w:r>
      <w:r>
        <w:rPr>
          <w:kern w:val="0"/>
        </w:rPr>
        <w:t>2000</w:t>
      </w:r>
      <w:r>
        <w:rPr>
          <w:rFonts w:hint="eastAsia"/>
          <w:kern w:val="0"/>
        </w:rPr>
        <w:t>年全年农业总产值达到</w:t>
      </w:r>
      <w:r>
        <w:rPr>
          <w:kern w:val="0"/>
        </w:rPr>
        <w:t>8200</w:t>
      </w:r>
      <w:r>
        <w:rPr>
          <w:rFonts w:hint="eastAsia"/>
          <w:kern w:val="0"/>
        </w:rPr>
        <w:t>万元。</w:t>
      </w:r>
    </w:p>
    <w:p>
      <w:pPr>
        <w:ind w:firstLine="480"/>
        <w:rPr>
          <w:kern w:val="0"/>
        </w:rPr>
      </w:pPr>
      <w:r>
        <w:rPr>
          <w:rFonts w:hint="eastAsia"/>
          <w:kern w:val="0"/>
        </w:rPr>
        <w:t>工业发展突飞猛进，</w:t>
      </w:r>
      <w:r>
        <w:rPr>
          <w:kern w:val="0"/>
        </w:rPr>
        <w:t>2000</w:t>
      </w:r>
      <w:r>
        <w:rPr>
          <w:rFonts w:hint="eastAsia"/>
          <w:kern w:val="0"/>
        </w:rPr>
        <w:t>年全镇集体、民营、个体企业</w:t>
      </w:r>
      <w:r>
        <w:rPr>
          <w:kern w:val="0"/>
        </w:rPr>
        <w:t>1198</w:t>
      </w:r>
      <w:r>
        <w:rPr>
          <w:rFonts w:hint="eastAsia"/>
          <w:kern w:val="0"/>
        </w:rPr>
        <w:t>家，总产值</w:t>
      </w:r>
      <w:r>
        <w:rPr>
          <w:kern w:val="0"/>
        </w:rPr>
        <w:t>1.55</w:t>
      </w:r>
      <w:r>
        <w:rPr>
          <w:rFonts w:hint="eastAsia"/>
          <w:kern w:val="0"/>
        </w:rPr>
        <w:t>亿元。国家特大型企业长岭炼油化工有限责任公司建于镇区北端。该公司是中国石化集团公司所属的一家大型现代化炼油化工生产企业。其前身是长岭炼油化工总厂。</w:t>
      </w:r>
      <w:r>
        <w:rPr>
          <w:kern w:val="0"/>
        </w:rPr>
        <w:t>1971</w:t>
      </w:r>
      <w:r>
        <w:rPr>
          <w:rFonts w:hint="eastAsia"/>
          <w:kern w:val="0"/>
        </w:rPr>
        <w:t>年建成投产。截止到</w:t>
      </w:r>
      <w:r>
        <w:rPr>
          <w:kern w:val="0"/>
        </w:rPr>
        <w:t>2001</w:t>
      </w:r>
      <w:r>
        <w:rPr>
          <w:rFonts w:hint="eastAsia"/>
          <w:kern w:val="0"/>
        </w:rPr>
        <w:t>年拥有两套常减压、两套催化裂化、延迟焦化、催化重整、加氢制氢、聚丙烯等</w:t>
      </w:r>
      <w:r>
        <w:rPr>
          <w:kern w:val="0"/>
        </w:rPr>
        <w:t>26</w:t>
      </w:r>
      <w:r>
        <w:rPr>
          <w:rFonts w:hint="eastAsia"/>
          <w:kern w:val="0"/>
        </w:rPr>
        <w:t>套炼油化工生产装置。原油加工能力</w:t>
      </w:r>
      <w:r>
        <w:rPr>
          <w:kern w:val="0"/>
        </w:rPr>
        <w:t>500</w:t>
      </w:r>
      <w:r>
        <w:rPr>
          <w:rFonts w:hint="eastAsia"/>
          <w:kern w:val="0"/>
        </w:rPr>
        <w:t>万吨</w:t>
      </w:r>
      <w:r>
        <w:rPr>
          <w:kern w:val="0"/>
        </w:rPr>
        <w:t>/</w:t>
      </w:r>
      <w:r>
        <w:rPr>
          <w:rFonts w:hint="eastAsia"/>
          <w:kern w:val="0"/>
        </w:rPr>
        <w:t>年，炼油催化剂生产能力</w:t>
      </w:r>
      <w:r>
        <w:rPr>
          <w:kern w:val="0"/>
        </w:rPr>
        <w:t>2.5</w:t>
      </w:r>
      <w:r>
        <w:rPr>
          <w:rFonts w:hint="eastAsia"/>
          <w:kern w:val="0"/>
        </w:rPr>
        <w:t>万吨</w:t>
      </w:r>
      <w:r>
        <w:rPr>
          <w:kern w:val="0"/>
        </w:rPr>
        <w:t>/</w:t>
      </w:r>
      <w:r>
        <w:rPr>
          <w:rFonts w:hint="eastAsia"/>
          <w:kern w:val="0"/>
        </w:rPr>
        <w:t>年，聚丙烯生产能力</w:t>
      </w:r>
      <w:r>
        <w:rPr>
          <w:kern w:val="0"/>
        </w:rPr>
        <w:t>9</w:t>
      </w:r>
      <w:r>
        <w:rPr>
          <w:rFonts w:hint="eastAsia"/>
          <w:kern w:val="0"/>
        </w:rPr>
        <w:t>万吨</w:t>
      </w:r>
      <w:r>
        <w:rPr>
          <w:kern w:val="0"/>
        </w:rPr>
        <w:t>/</w:t>
      </w:r>
      <w:r>
        <w:rPr>
          <w:rFonts w:hint="eastAsia"/>
          <w:kern w:val="0"/>
        </w:rPr>
        <w:t>年，重油催化裂化能力</w:t>
      </w:r>
      <w:r>
        <w:rPr>
          <w:kern w:val="0"/>
        </w:rPr>
        <w:t>220</w:t>
      </w:r>
      <w:r>
        <w:rPr>
          <w:rFonts w:hint="eastAsia"/>
          <w:kern w:val="0"/>
        </w:rPr>
        <w:t>万吨</w:t>
      </w:r>
      <w:r>
        <w:rPr>
          <w:kern w:val="0"/>
        </w:rPr>
        <w:t>/</w:t>
      </w:r>
      <w:r>
        <w:rPr>
          <w:rFonts w:hint="eastAsia"/>
          <w:kern w:val="0"/>
        </w:rPr>
        <w:t>年，焦化处理能力</w:t>
      </w:r>
      <w:r>
        <w:rPr>
          <w:kern w:val="0"/>
        </w:rPr>
        <w:t>80</w:t>
      </w:r>
      <w:r>
        <w:rPr>
          <w:rFonts w:hint="eastAsia"/>
          <w:kern w:val="0"/>
        </w:rPr>
        <w:t>万吨</w:t>
      </w:r>
      <w:r>
        <w:rPr>
          <w:kern w:val="0"/>
        </w:rPr>
        <w:t>/</w:t>
      </w:r>
      <w:r>
        <w:rPr>
          <w:rFonts w:hint="eastAsia"/>
          <w:kern w:val="0"/>
        </w:rPr>
        <w:t>年，催化重整能力</w:t>
      </w:r>
      <w:r>
        <w:rPr>
          <w:kern w:val="0"/>
        </w:rPr>
        <w:t>50</w:t>
      </w:r>
      <w:r>
        <w:rPr>
          <w:rFonts w:hint="eastAsia"/>
          <w:kern w:val="0"/>
        </w:rPr>
        <w:t>万吨</w:t>
      </w:r>
      <w:r>
        <w:rPr>
          <w:kern w:val="0"/>
        </w:rPr>
        <w:t>/</w:t>
      </w:r>
      <w:r>
        <w:rPr>
          <w:rFonts w:hint="eastAsia"/>
          <w:kern w:val="0"/>
        </w:rPr>
        <w:t>年。主要有汽油、柴油、石脑油、苯类、液化气、溶剂油、聚丙烯等</w:t>
      </w:r>
      <w:r>
        <w:rPr>
          <w:kern w:val="0"/>
        </w:rPr>
        <w:t>60</w:t>
      </w:r>
      <w:r>
        <w:rPr>
          <w:rFonts w:hint="eastAsia"/>
          <w:kern w:val="0"/>
        </w:rPr>
        <w:t>多种石油化工产品。经过</w:t>
      </w:r>
      <w:r>
        <w:rPr>
          <w:kern w:val="0"/>
        </w:rPr>
        <w:t>30</w:t>
      </w:r>
      <w:r>
        <w:rPr>
          <w:rFonts w:hint="eastAsia"/>
          <w:kern w:val="0"/>
        </w:rPr>
        <w:t>年的发展，企业经济实力迅速增强，经济效益稳步提高。到</w:t>
      </w:r>
      <w:r>
        <w:rPr>
          <w:kern w:val="0"/>
        </w:rPr>
        <w:t>2000</w:t>
      </w:r>
      <w:r>
        <w:rPr>
          <w:rFonts w:hint="eastAsia"/>
          <w:kern w:val="0"/>
        </w:rPr>
        <w:t>年止，已累计加工原油</w:t>
      </w:r>
      <w:r>
        <w:rPr>
          <w:kern w:val="0"/>
        </w:rPr>
        <w:t>8680</w:t>
      </w:r>
      <w:r>
        <w:rPr>
          <w:rFonts w:hint="eastAsia"/>
          <w:kern w:val="0"/>
        </w:rPr>
        <w:t>万吨，生产催化剂</w:t>
      </w:r>
      <w:r>
        <w:rPr>
          <w:kern w:val="0"/>
        </w:rPr>
        <w:t>31.6</w:t>
      </w:r>
      <w:r>
        <w:rPr>
          <w:rFonts w:hint="eastAsia"/>
          <w:kern w:val="0"/>
        </w:rPr>
        <w:t>万吨，生产聚丙烯</w:t>
      </w:r>
      <w:r>
        <w:rPr>
          <w:kern w:val="0"/>
        </w:rPr>
        <w:t>32.15</w:t>
      </w:r>
      <w:r>
        <w:rPr>
          <w:rFonts w:hint="eastAsia"/>
          <w:kern w:val="0"/>
        </w:rPr>
        <w:t>万吨，完成工业总产值</w:t>
      </w:r>
      <w:r>
        <w:rPr>
          <w:kern w:val="0"/>
        </w:rPr>
        <w:t>334</w:t>
      </w:r>
      <w:r>
        <w:rPr>
          <w:rFonts w:hint="eastAsia"/>
          <w:kern w:val="0"/>
        </w:rPr>
        <w:t>亿元，实现利税</w:t>
      </w:r>
      <w:r>
        <w:rPr>
          <w:kern w:val="0"/>
        </w:rPr>
        <w:t>112.76</w:t>
      </w:r>
      <w:r>
        <w:rPr>
          <w:rFonts w:hint="eastAsia"/>
          <w:kern w:val="0"/>
        </w:rPr>
        <w:t>亿元，相当于建厂时投资的</w:t>
      </w:r>
      <w:r>
        <w:rPr>
          <w:kern w:val="0"/>
        </w:rPr>
        <w:t>20</w:t>
      </w:r>
      <w:r>
        <w:rPr>
          <w:rFonts w:hint="eastAsia"/>
          <w:kern w:val="0"/>
        </w:rPr>
        <w:t>多倍。现拥有资产总额</w:t>
      </w:r>
      <w:r>
        <w:rPr>
          <w:kern w:val="0"/>
        </w:rPr>
        <w:t>59.50</w:t>
      </w:r>
      <w:r>
        <w:rPr>
          <w:rFonts w:hint="eastAsia"/>
          <w:kern w:val="0"/>
        </w:rPr>
        <w:t>亿元。</w:t>
      </w:r>
      <w:r>
        <w:rPr>
          <w:kern w:val="0"/>
        </w:rPr>
        <w:t>2000</w:t>
      </w:r>
      <w:r>
        <w:rPr>
          <w:rFonts w:hint="eastAsia"/>
          <w:kern w:val="0"/>
        </w:rPr>
        <w:t>年实现销售收入</w:t>
      </w:r>
      <w:r>
        <w:rPr>
          <w:kern w:val="0"/>
        </w:rPr>
        <w:t>107.43</w:t>
      </w:r>
      <w:r>
        <w:rPr>
          <w:rFonts w:hint="eastAsia"/>
          <w:kern w:val="0"/>
        </w:rPr>
        <w:t>亿元，首次突破了百亿元大关。</w:t>
      </w:r>
      <w:r>
        <w:rPr>
          <w:kern w:val="0"/>
          <w:vertAlign w:val="superscript"/>
        </w:rPr>
        <w:t>[2]</w:t>
      </w:r>
      <w:bookmarkStart w:id="85" w:name="ref_[2]_5985133"/>
      <w:bookmarkEnd w:id="85"/>
      <w:r>
        <w:rPr>
          <w:kern w:val="0"/>
        </w:rPr>
        <w:t> </w:t>
      </w:r>
    </w:p>
    <w:p>
      <w:pPr>
        <w:ind w:firstLine="480"/>
        <w:rPr>
          <w:kern w:val="0"/>
        </w:rPr>
      </w:pPr>
      <w:r>
        <w:rPr>
          <w:rFonts w:hint="eastAsia"/>
          <w:kern w:val="0"/>
        </w:rPr>
        <w:t>独特的区位优势，促成路口手工业在全区率先起步。</w:t>
      </w:r>
      <w:r>
        <w:rPr>
          <w:kern w:val="0"/>
        </w:rPr>
        <w:t>20</w:t>
      </w:r>
      <w:r>
        <w:rPr>
          <w:rFonts w:hint="eastAsia"/>
          <w:kern w:val="0"/>
        </w:rPr>
        <w:t>世纪</w:t>
      </w:r>
      <w:r>
        <w:rPr>
          <w:kern w:val="0"/>
        </w:rPr>
        <w:t>50</w:t>
      </w:r>
      <w:r>
        <w:rPr>
          <w:rFonts w:hint="eastAsia"/>
          <w:kern w:val="0"/>
        </w:rPr>
        <w:t>年代初，路口矿石灰烧制便在东部四个村遍地开花，路口镇铁木农具及缝纫加工在老街比比皆是，名声远播湘北、鄂西地区监利、洪湖两县几乎包销路口烧制的石灰，路口农具社翻砂的犁铁一度在临湘享有盛名。</w:t>
      </w:r>
      <w:r>
        <w:rPr>
          <w:kern w:val="0"/>
        </w:rPr>
        <w:t>1984</w:t>
      </w:r>
      <w:r>
        <w:rPr>
          <w:rFonts w:hint="eastAsia"/>
          <w:kern w:val="0"/>
        </w:rPr>
        <w:t>年建区后，路口瞄准本地资源，于</w:t>
      </w:r>
      <w:r>
        <w:rPr>
          <w:kern w:val="0"/>
        </w:rPr>
        <w:t>1985</w:t>
      </w:r>
      <w:r>
        <w:rPr>
          <w:rFonts w:hint="eastAsia"/>
          <w:kern w:val="0"/>
        </w:rPr>
        <w:t>年新上了一个年产</w:t>
      </w:r>
      <w:r>
        <w:rPr>
          <w:kern w:val="0"/>
        </w:rPr>
        <w:t>4.4</w:t>
      </w:r>
      <w:r>
        <w:rPr>
          <w:rFonts w:hint="eastAsia"/>
          <w:kern w:val="0"/>
        </w:rPr>
        <w:t>万吨的水泥厂，首开全区乡镇企业上马大项目的先河。紧接着镇办白云矿、石灰厂、红砖厂等骨干项目应运而生，一批个体民营企业相继落户。</w:t>
      </w:r>
      <w:r>
        <w:rPr>
          <w:kern w:val="0"/>
        </w:rPr>
        <w:t>2008</w:t>
      </w:r>
      <w:r>
        <w:rPr>
          <w:rFonts w:hint="eastAsia"/>
          <w:kern w:val="0"/>
        </w:rPr>
        <w:t>年，全镇集体、民营个体企业达</w:t>
      </w:r>
      <w:r>
        <w:rPr>
          <w:kern w:val="0"/>
        </w:rPr>
        <w:t>1198</w:t>
      </w:r>
      <w:r>
        <w:rPr>
          <w:rFonts w:hint="eastAsia"/>
          <w:kern w:val="0"/>
        </w:rPr>
        <w:t>家，年创工业产值</w:t>
      </w:r>
      <w:r>
        <w:rPr>
          <w:kern w:val="0"/>
        </w:rPr>
        <w:t>4.7</w:t>
      </w:r>
      <w:r>
        <w:rPr>
          <w:rFonts w:hint="eastAsia"/>
          <w:kern w:val="0"/>
        </w:rPr>
        <w:t>亿元。当年上马的万吨水泥厂，通过改造扩建，已形成年产</w:t>
      </w:r>
      <w:r>
        <w:rPr>
          <w:kern w:val="0"/>
        </w:rPr>
        <w:t>15</w:t>
      </w:r>
      <w:r>
        <w:rPr>
          <w:rFonts w:hint="eastAsia"/>
          <w:kern w:val="0"/>
        </w:rPr>
        <w:t>万吨普通硅酸盐水泥，年产值达</w:t>
      </w:r>
      <w:r>
        <w:rPr>
          <w:kern w:val="0"/>
        </w:rPr>
        <w:t>4</w:t>
      </w:r>
      <w:r>
        <w:rPr>
          <w:rFonts w:hint="eastAsia"/>
          <w:kern w:val="0"/>
        </w:rPr>
        <w:t>千万元以上规模效益。退休职工沈国俊创办的路口彩印厂，现已成为年产值达千万的彩印包装公司。</w:t>
      </w: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ind w:firstLine="0" w:firstLineChars="0"/>
      </w:pPr>
    </w:p>
    <w:p>
      <w:pPr>
        <w:pStyle w:val="2"/>
        <w:sectPr>
          <w:pgSz w:w="11906" w:h="16838"/>
          <w:pgMar w:top="1440" w:right="1298" w:bottom="1440" w:left="1678" w:header="851" w:footer="992" w:gutter="0"/>
          <w:cols w:space="720" w:num="1"/>
          <w:docGrid w:type="lines" w:linePitch="312" w:charSpace="0"/>
        </w:sectPr>
      </w:pPr>
    </w:p>
    <w:p>
      <w:pPr>
        <w:pStyle w:val="2"/>
      </w:pPr>
      <w:bookmarkStart w:id="86" w:name="_Toc462818424"/>
      <w:r>
        <w:rPr>
          <w:rFonts w:hint="eastAsia"/>
        </w:rPr>
        <w:t>环境质量现状评价</w:t>
      </w:r>
      <w:bookmarkEnd w:id="86"/>
    </w:p>
    <w:p>
      <w:pPr>
        <w:pStyle w:val="3"/>
      </w:pPr>
      <w:bookmarkStart w:id="87" w:name="_Toc462818425"/>
      <w:r>
        <w:rPr>
          <w:rFonts w:hint="eastAsia"/>
        </w:rPr>
        <w:t>地表水环境现状调查及评价</w:t>
      </w:r>
      <w:bookmarkEnd w:id="87"/>
    </w:p>
    <w:p>
      <w:pPr>
        <w:pStyle w:val="4"/>
      </w:pPr>
      <w:r>
        <w:rPr>
          <w:rFonts w:hint="eastAsia"/>
        </w:rPr>
        <w:t>地表水环境现状</w:t>
      </w:r>
    </w:p>
    <w:p>
      <w:pPr>
        <w:ind w:firstLine="480"/>
      </w:pPr>
      <w:r>
        <w:rPr>
          <w:rFonts w:hint="eastAsia"/>
        </w:rPr>
        <w:t>项目新建处置场场址西南侧约</w:t>
      </w:r>
      <w:r>
        <w:t>120m</w:t>
      </w:r>
      <w:r>
        <w:rPr>
          <w:rFonts w:hint="eastAsia"/>
        </w:rPr>
        <w:t>为</w:t>
      </w:r>
      <w:r>
        <w:rPr>
          <w:rFonts w:hint="eastAsia"/>
          <w:color w:val="000000"/>
        </w:rPr>
        <w:t>郭家冲水库，</w:t>
      </w:r>
      <w:r>
        <w:rPr>
          <w:rFonts w:hint="eastAsia"/>
        </w:rPr>
        <w:t>本评价委托湖南盛大环保科技有限公司对水质量现状进行监测（监测时间</w:t>
      </w:r>
      <w:r>
        <w:t>2016</w:t>
      </w:r>
      <w:r>
        <w:rPr>
          <w:rFonts w:hint="eastAsia"/>
        </w:rPr>
        <w:t>年</w:t>
      </w:r>
      <w:r>
        <w:t>6</w:t>
      </w:r>
      <w:r>
        <w:rPr>
          <w:rFonts w:hint="eastAsia"/>
        </w:rPr>
        <w:t>月</w:t>
      </w:r>
      <w:r>
        <w:t>21</w:t>
      </w:r>
      <w:r>
        <w:rPr>
          <w:rFonts w:hint="eastAsia"/>
        </w:rPr>
        <w:t>日～</w:t>
      </w:r>
      <w:r>
        <w:t>23</w:t>
      </w:r>
      <w:r>
        <w:rPr>
          <w:rFonts w:hint="eastAsia"/>
        </w:rPr>
        <w:t>日）。具体情况分析如下：</w:t>
      </w:r>
    </w:p>
    <w:p>
      <w:pPr>
        <w:ind w:firstLine="480"/>
      </w:pPr>
      <w:r>
        <w:rPr>
          <w:rFonts w:hint="eastAsia"/>
        </w:rPr>
        <w:t>（</w:t>
      </w:r>
      <w:r>
        <w:t>1</w:t>
      </w:r>
      <w:r>
        <w:rPr>
          <w:rFonts w:hint="eastAsia"/>
        </w:rPr>
        <w:t>）监测断面</w:t>
      </w:r>
    </w:p>
    <w:p>
      <w:pPr>
        <w:ind w:firstLine="480"/>
        <w:rPr>
          <w:b/>
          <w:kern w:val="0"/>
        </w:rPr>
      </w:pPr>
      <w:r>
        <w:rPr>
          <w:rFonts w:hint="eastAsia"/>
          <w:kern w:val="0"/>
        </w:rPr>
        <w:t>地表水采样断面布设：根据项目废水排放的特点以及本项目水环境评价等级要求，为了解本项目所在区域地表水水系环境质量现状，拟在评价区域内设置</w:t>
      </w:r>
      <w:r>
        <w:rPr>
          <w:kern w:val="0"/>
        </w:rPr>
        <w:t>3</w:t>
      </w:r>
      <w:r>
        <w:rPr>
          <w:rFonts w:hint="eastAsia"/>
          <w:kern w:val="0"/>
        </w:rPr>
        <w:t>个水质监测断面，具体监测断面设置见表</w:t>
      </w:r>
      <w:r>
        <w:rPr>
          <w:kern w:val="0"/>
        </w:rPr>
        <w:t>4.1-1</w:t>
      </w:r>
      <w:r>
        <w:rPr>
          <w:rFonts w:hint="eastAsia"/>
        </w:rPr>
        <w:t>及</w:t>
      </w:r>
      <w:r>
        <w:rPr>
          <w:rFonts w:hint="eastAsia"/>
          <w:b/>
        </w:rPr>
        <w:t>图</w:t>
      </w:r>
      <w:r>
        <w:rPr>
          <w:b/>
        </w:rPr>
        <w:t>4.1-1</w:t>
      </w:r>
      <w:r>
        <w:rPr>
          <w:rFonts w:hint="eastAsia"/>
          <w:kern w:val="0"/>
        </w:rPr>
        <w:t>。</w:t>
      </w:r>
    </w:p>
    <w:p>
      <w:pPr>
        <w:pStyle w:val="14"/>
      </w:pPr>
      <w:r>
        <w:rPr>
          <w:rFonts w:hint="eastAsia"/>
        </w:rPr>
        <w:t>表</w:t>
      </w:r>
      <w:r>
        <w:fldChar w:fldCharType="begin"/>
      </w:r>
      <w:r>
        <w:instrText xml:space="preserve"> STYLEREF 2 \s </w:instrText>
      </w:r>
      <w:r>
        <w:fldChar w:fldCharType="separate"/>
      </w:r>
      <w:r>
        <w:t>4.1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地表水环境质量现状监测断面设置表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3002"/>
        <w:gridCol w:w="4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0" w:hRule="atLeast"/>
        </w:trPr>
        <w:tc>
          <w:tcPr>
            <w:tcW w:w="1322" w:type="dxa"/>
            <w:vAlign w:val="center"/>
          </w:tcPr>
          <w:p>
            <w:pPr>
              <w:pStyle w:val="37"/>
            </w:pPr>
            <w:r>
              <w:rPr>
                <w:rFonts w:hint="eastAsia"/>
              </w:rPr>
              <w:t>断面编号</w:t>
            </w:r>
          </w:p>
        </w:tc>
        <w:tc>
          <w:tcPr>
            <w:tcW w:w="3002" w:type="dxa"/>
            <w:vAlign w:val="center"/>
          </w:tcPr>
          <w:p>
            <w:pPr>
              <w:pStyle w:val="37"/>
            </w:pPr>
            <w:r>
              <w:rPr>
                <w:rFonts w:hint="eastAsia"/>
              </w:rPr>
              <w:t>位置</w:t>
            </w:r>
          </w:p>
        </w:tc>
        <w:tc>
          <w:tcPr>
            <w:tcW w:w="4822" w:type="dxa"/>
            <w:vAlign w:val="center"/>
          </w:tcPr>
          <w:p>
            <w:pPr>
              <w:pStyle w:val="37"/>
            </w:pPr>
            <w:r>
              <w:rPr>
                <w:rFonts w:hint="eastAsia"/>
              </w:rPr>
              <w:t>断面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1" w:hRule="atLeast"/>
        </w:trPr>
        <w:tc>
          <w:tcPr>
            <w:tcW w:w="1322" w:type="dxa"/>
            <w:vAlign w:val="center"/>
          </w:tcPr>
          <w:p>
            <w:pPr>
              <w:pStyle w:val="37"/>
            </w:pPr>
            <w:r>
              <w:t>W1</w:t>
            </w:r>
          </w:p>
        </w:tc>
        <w:tc>
          <w:tcPr>
            <w:tcW w:w="3002" w:type="dxa"/>
            <w:vAlign w:val="center"/>
          </w:tcPr>
          <w:p>
            <w:pPr>
              <w:pStyle w:val="37"/>
            </w:pPr>
            <w:r>
              <w:rPr>
                <w:rFonts w:hint="eastAsia"/>
              </w:rPr>
              <w:t>项目西侧约</w:t>
            </w:r>
            <w:r>
              <w:t>300m</w:t>
            </w:r>
          </w:p>
        </w:tc>
        <w:tc>
          <w:tcPr>
            <w:tcW w:w="4822" w:type="dxa"/>
            <w:vAlign w:val="center"/>
          </w:tcPr>
          <w:p>
            <w:pPr>
              <w:pStyle w:val="37"/>
            </w:pPr>
            <w:r>
              <w:rPr>
                <w:rFonts w:hint="eastAsia"/>
              </w:rPr>
              <w:t>郭家冲水库湖心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1" w:hRule="atLeast"/>
        </w:trPr>
        <w:tc>
          <w:tcPr>
            <w:tcW w:w="9146" w:type="dxa"/>
            <w:gridSpan w:val="3"/>
            <w:vAlign w:val="center"/>
          </w:tcPr>
          <w:p>
            <w:pPr>
              <w:pStyle w:val="14"/>
              <w:keepNext/>
            </w:pPr>
            <w:r>
              <w:rPr>
                <w:rFonts w:ascii="Times New Roman" w:hAnsi="Times New Roman" w:eastAsia="宋体" w:cs="Times New Roman"/>
                <w:b/>
                <w:kern w:val="2"/>
                <w:sz w:val="21"/>
                <w:szCs w:val="20"/>
                <w:lang w:val="en-US" w:eastAsia="zh-CN" w:bidi="ar-SA"/>
              </w:rPr>
              <w:pict>
                <v:shape id="Quad Arrow 130" o:spid="_x0000_s1088" type="#_x0000_t202" style="position:absolute;left:0;margin-left:394.15pt;margin-top:39.35pt;height:26.75pt;width:50.9pt;mso-position-horizontal-relative:margin;mso-position-vertical-relative:margin;mso-wrap-distance-bottom:0pt;mso-wrap-distance-left:9pt;mso-wrap-distance-right:9pt;mso-wrap-distance-top:0pt;rotation:0f;z-index:251667456;"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FF0000"/>
                          </w:rPr>
                        </w:pPr>
                        <w:r>
                          <w:rPr>
                            <w:b/>
                            <w:color w:val="FF0000"/>
                          </w:rPr>
                          <w:t>1:500</w:t>
                        </w:r>
                      </w:p>
                    </w:txbxContent>
                  </v:textbox>
                  <w10:wrap type="square"/>
                </v:shape>
              </w:pict>
            </w:r>
            <w:r>
              <w:rPr>
                <w:rFonts w:ascii="Times New Roman" w:hAnsi="Times New Roman" w:eastAsia="宋体" w:cs="Times New Roman"/>
                <w:b/>
                <w:kern w:val="2"/>
                <w:sz w:val="21"/>
                <w:szCs w:val="20"/>
                <w:lang w:val="en-US" w:eastAsia="zh-CN" w:bidi="ar-SA"/>
              </w:rPr>
              <w:pict>
                <v:shape id="Quad Arrow 131" o:spid="_x0000_s1089" type="#_x0000_t202" style="position:absolute;left:0;margin-left:363.95pt;margin-top:185.9pt;height:26.75pt;width:69.3pt;mso-position-horizontal-relative:margin;mso-position-vertical-relative:margin;mso-wrap-distance-bottom:0pt;mso-wrap-distance-left:9pt;mso-wrap-distance-right:9pt;mso-wrap-distance-top:0pt;rotation:0f;z-index:251664384;"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FF0000"/>
                          </w:rPr>
                        </w:pPr>
                        <w:r>
                          <w:rPr>
                            <w:rFonts w:hint="eastAsia"/>
                            <w:b/>
                            <w:color w:val="FF0000"/>
                          </w:rPr>
                          <w:t>图例</w:t>
                        </w:r>
                      </w:p>
                    </w:txbxContent>
                  </v:textbox>
                  <w10:wrap type="square"/>
                </v:shape>
              </w:pict>
            </w:r>
            <w:r>
              <w:rPr>
                <w:rFonts w:ascii="Times New Roman" w:hAnsi="Times New Roman" w:eastAsia="宋体" w:cs="Times New Roman"/>
                <w:b/>
                <w:kern w:val="2"/>
                <w:sz w:val="21"/>
                <w:szCs w:val="20"/>
                <w:lang w:val="en-US" w:eastAsia="zh-CN" w:bidi="ar-SA"/>
              </w:rPr>
              <w:pict>
                <v:shape id="图片 502" o:spid="_x0000_s1090" type="#_x0000_t75" style="position:absolute;left:0;margin-left:-3.9pt;margin-top:-265.75pt;height:291.3pt;width:447.2pt;mso-wrap-distance-bottom:0pt;mso-wrap-distance-left:9pt;mso-wrap-distance-right:9pt;mso-wrap-distance-top:0pt;rotation:0f;z-index:-251658240;" o:ole="f" fillcolor="#FFFFFF" filled="f" o:preferrelative="t" stroked="f" coordorigin="0,0" coordsize="21600,21600">
                  <v:fill on="f" color2="#FFFFFF" focus="0%"/>
                  <v:imagedata gain="65536f" blacklevel="0f" gamma="0" o:title="" r:id="rId33"/>
                  <o:lock v:ext="edit" position="f" selection="f" grouping="f" rotation="f" cropping="f" text="f" aspectratio="t"/>
                  <w10:wrap type="square"/>
                </v:shape>
              </w:pict>
            </w:r>
            <w:r>
              <w:rPr>
                <w:rFonts w:hint="eastAsia"/>
              </w:rPr>
              <w:t>图</w:t>
            </w:r>
            <w:r>
              <w:fldChar w:fldCharType="begin"/>
            </w:r>
            <w:r>
              <w:instrText xml:space="preserve"> STYLEREF 2 \s </w:instrText>
            </w:r>
            <w:r>
              <w:fldChar w:fldCharType="separate"/>
            </w:r>
            <w:r>
              <w:t>4.1</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项目地表水监测断面图</w:t>
            </w:r>
          </w:p>
        </w:tc>
      </w:tr>
    </w:tbl>
    <w:p>
      <w:pPr>
        <w:ind w:firstLine="0" w:firstLineChars="0"/>
      </w:pPr>
    </w:p>
    <w:p>
      <w:pPr>
        <w:ind w:firstLine="480"/>
        <w:rPr>
          <w:kern w:val="0"/>
        </w:rPr>
      </w:pPr>
      <w:r>
        <w:rPr>
          <w:rFonts w:hint="eastAsia"/>
        </w:rPr>
        <w:t>（</w:t>
      </w:r>
      <w:r>
        <w:t>1</w:t>
      </w:r>
      <w:r>
        <w:rPr>
          <w:rFonts w:hint="eastAsia"/>
        </w:rPr>
        <w:t>）监测项目：</w:t>
      </w:r>
      <w:r>
        <w:rPr>
          <w:kern w:val="0"/>
        </w:rPr>
        <w:t>pH</w:t>
      </w:r>
      <w:r>
        <w:rPr>
          <w:rFonts w:hint="eastAsia"/>
          <w:kern w:val="0"/>
        </w:rPr>
        <w:t>、</w:t>
      </w:r>
      <w:r>
        <w:rPr>
          <w:kern w:val="0"/>
        </w:rPr>
        <w:t>COD</w:t>
      </w:r>
      <w:r>
        <w:rPr>
          <w:rFonts w:hint="eastAsia"/>
          <w:kern w:val="0"/>
        </w:rPr>
        <w:t>、氨氮、</w:t>
      </w:r>
      <w:r>
        <w:t>BOD</w:t>
      </w:r>
      <w:r>
        <w:rPr>
          <w:vertAlign w:val="subscript"/>
        </w:rPr>
        <w:t>5</w:t>
      </w:r>
      <w:r>
        <w:rPr>
          <w:rFonts w:hint="eastAsia"/>
        </w:rPr>
        <w:t>、</w:t>
      </w:r>
      <w:r>
        <w:rPr>
          <w:kern w:val="0"/>
        </w:rPr>
        <w:t>SS</w:t>
      </w:r>
      <w:r>
        <w:rPr>
          <w:rFonts w:hint="eastAsia"/>
          <w:kern w:val="0"/>
        </w:rPr>
        <w:t>、石油类、粪大肠菌群</w:t>
      </w:r>
      <w:r>
        <w:rPr>
          <w:rFonts w:hint="eastAsia"/>
        </w:rPr>
        <w:t>、砷、</w:t>
      </w:r>
      <w:r>
        <w:rPr>
          <w:rFonts w:hint="eastAsia"/>
          <w:kern w:val="0"/>
        </w:rPr>
        <w:t>六价铬、铅共计</w:t>
      </w:r>
      <w:r>
        <w:rPr>
          <w:kern w:val="0"/>
        </w:rPr>
        <w:t>12</w:t>
      </w:r>
      <w:r>
        <w:rPr>
          <w:rFonts w:hint="eastAsia"/>
          <w:kern w:val="0"/>
        </w:rPr>
        <w:t>项。同步监测水温及断面平均流速。</w:t>
      </w:r>
    </w:p>
    <w:p>
      <w:pPr>
        <w:ind w:firstLine="480"/>
        <w:rPr>
          <w:kern w:val="0"/>
        </w:rPr>
      </w:pPr>
      <w:r>
        <w:rPr>
          <w:rFonts w:hint="eastAsia"/>
          <w:kern w:val="0"/>
        </w:rPr>
        <w:t>（</w:t>
      </w:r>
      <w:r>
        <w:rPr>
          <w:kern w:val="0"/>
        </w:rPr>
        <w:t>2</w:t>
      </w:r>
      <w:r>
        <w:rPr>
          <w:rFonts w:hint="eastAsia"/>
          <w:kern w:val="0"/>
        </w:rPr>
        <w:t>）采样时间与频率：</w:t>
      </w:r>
      <w:r>
        <w:rPr>
          <w:rFonts w:hint="eastAsia"/>
        </w:rPr>
        <w:t>监测时间：</w:t>
      </w:r>
      <w:r>
        <w:t>2016.8.9-2016.8.11</w:t>
      </w:r>
      <w:r>
        <w:rPr>
          <w:rFonts w:hint="eastAsia"/>
        </w:rPr>
        <w:t>，</w:t>
      </w:r>
      <w:r>
        <w:rPr>
          <w:rFonts w:hint="eastAsia"/>
          <w:kern w:val="0"/>
        </w:rPr>
        <w:t>本次地表水监测</w:t>
      </w:r>
      <w:r>
        <w:rPr>
          <w:kern w:val="0"/>
        </w:rPr>
        <w:t>3</w:t>
      </w:r>
      <w:r>
        <w:rPr>
          <w:rFonts w:hint="eastAsia"/>
          <w:kern w:val="0"/>
        </w:rPr>
        <w:t>天，每天分别采取水样送检分析不得少于</w:t>
      </w:r>
      <w:r>
        <w:rPr>
          <w:kern w:val="0"/>
        </w:rPr>
        <w:t>1</w:t>
      </w:r>
      <w:r>
        <w:rPr>
          <w:rFonts w:hint="eastAsia"/>
          <w:kern w:val="0"/>
        </w:rPr>
        <w:t>次。</w:t>
      </w:r>
    </w:p>
    <w:p>
      <w:pPr>
        <w:ind w:firstLine="480"/>
      </w:pPr>
      <w:r>
        <w:rPr>
          <w:rFonts w:hint="eastAsia"/>
        </w:rPr>
        <w:t>（</w:t>
      </w:r>
      <w:r>
        <w:t>3</w:t>
      </w:r>
      <w:r>
        <w:rPr>
          <w:rFonts w:hint="eastAsia"/>
        </w:rPr>
        <w:t>）采样及分析方法</w:t>
      </w:r>
    </w:p>
    <w:p>
      <w:pPr>
        <w:ind w:firstLine="480"/>
      </w:pPr>
      <w:r>
        <w:rPr>
          <w:rFonts w:hint="eastAsia"/>
        </w:rPr>
        <w:t>按国家环保部颁发的《环境监测分析方法》和《水和废水监测分析方法</w:t>
      </w:r>
      <w:r>
        <w:t>(</w:t>
      </w:r>
      <w:r>
        <w:rPr>
          <w:rFonts w:hint="eastAsia"/>
        </w:rPr>
        <w:t>第三版</w:t>
      </w:r>
      <w:r>
        <w:t>)</w:t>
      </w:r>
      <w:r>
        <w:rPr>
          <w:rFonts w:hint="eastAsia"/>
        </w:rPr>
        <w:t>》</w:t>
      </w:r>
      <w:r>
        <w:t>(GB13738.4-1998)</w:t>
      </w:r>
      <w:r>
        <w:rPr>
          <w:rFonts w:hint="eastAsia"/>
        </w:rPr>
        <w:t>的有关规定和要求执行。具体见表</w:t>
      </w:r>
      <w:r>
        <w:t>4.1-2</w:t>
      </w:r>
      <w:r>
        <w:rPr>
          <w:rFonts w:hint="eastAsia"/>
        </w:rPr>
        <w:t>。</w:t>
      </w:r>
    </w:p>
    <w:p>
      <w:pPr>
        <w:pStyle w:val="14"/>
      </w:pPr>
      <w:r>
        <w:rPr>
          <w:rFonts w:hint="eastAsia"/>
        </w:rPr>
        <w:t>表</w:t>
      </w:r>
      <w:r>
        <w:fldChar w:fldCharType="begin"/>
      </w:r>
      <w:r>
        <w:instrText xml:space="preserve"> STYLEREF 2 \s </w:instrText>
      </w:r>
      <w:r>
        <w:fldChar w:fldCharType="separate"/>
      </w:r>
      <w:r>
        <w:t>4.1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水质监测与分析方法</w:t>
      </w:r>
    </w:p>
    <w:tbl>
      <w:tblPr>
        <w:tblStyle w:val="35"/>
        <w:tblW w:w="91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7"/>
        <w:gridCol w:w="3941"/>
        <w:gridCol w:w="1976"/>
        <w:gridCol w:w="1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检测项目</w:t>
            </w:r>
          </w:p>
        </w:tc>
        <w:tc>
          <w:tcPr>
            <w:tcW w:w="3941" w:type="dxa"/>
            <w:vAlign w:val="center"/>
          </w:tcPr>
          <w:p>
            <w:pPr>
              <w:pStyle w:val="37"/>
            </w:pPr>
            <w:r>
              <w:rPr>
                <w:rFonts w:hint="eastAsia"/>
              </w:rPr>
              <w:t>分析方法</w:t>
            </w:r>
          </w:p>
        </w:tc>
        <w:tc>
          <w:tcPr>
            <w:tcW w:w="1976" w:type="dxa"/>
            <w:vAlign w:val="center"/>
          </w:tcPr>
          <w:p>
            <w:pPr>
              <w:pStyle w:val="37"/>
            </w:pPr>
            <w:r>
              <w:rPr>
                <w:rFonts w:hint="eastAsia"/>
              </w:rPr>
              <w:t>使用仪器</w:t>
            </w:r>
          </w:p>
        </w:tc>
        <w:tc>
          <w:tcPr>
            <w:tcW w:w="1974" w:type="dxa"/>
            <w:vAlign w:val="top"/>
          </w:tcPr>
          <w:p>
            <w:pPr>
              <w:pStyle w:val="37"/>
            </w:pPr>
            <w:r>
              <w:rPr>
                <w:rFonts w:hint="eastAsia"/>
              </w:rPr>
              <w:t>最低检出限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t>pH</w:t>
            </w:r>
          </w:p>
        </w:tc>
        <w:tc>
          <w:tcPr>
            <w:tcW w:w="3941" w:type="dxa"/>
            <w:vAlign w:val="center"/>
          </w:tcPr>
          <w:p>
            <w:pPr>
              <w:pStyle w:val="37"/>
            </w:pPr>
            <w:r>
              <w:t>GB 6920-1986</w:t>
            </w:r>
            <w:r>
              <w:rPr>
                <w:rFonts w:hint="eastAsia"/>
              </w:rPr>
              <w:t>水质</w:t>
            </w:r>
            <w:r>
              <w:t xml:space="preserve"> pH</w:t>
            </w:r>
            <w:r>
              <w:rPr>
                <w:rFonts w:hint="eastAsia"/>
              </w:rPr>
              <w:t>值的测定玻璃电极法</w:t>
            </w:r>
          </w:p>
        </w:tc>
        <w:tc>
          <w:tcPr>
            <w:tcW w:w="1976" w:type="dxa"/>
            <w:vAlign w:val="center"/>
          </w:tcPr>
          <w:p>
            <w:pPr>
              <w:pStyle w:val="37"/>
            </w:pPr>
            <w:r>
              <w:t>PHS—3CpH</w:t>
            </w:r>
            <w:r>
              <w:rPr>
                <w:rFonts w:hint="eastAsia"/>
              </w:rPr>
              <w:t>计</w:t>
            </w:r>
          </w:p>
        </w:tc>
        <w:tc>
          <w:tcPr>
            <w:tcW w:w="1974" w:type="dxa"/>
            <w:vAlign w:val="top"/>
          </w:tcPr>
          <w:p>
            <w:pPr>
              <w:pStyle w:val="37"/>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溶解氧</w:t>
            </w:r>
          </w:p>
        </w:tc>
        <w:tc>
          <w:tcPr>
            <w:tcW w:w="3941" w:type="dxa"/>
            <w:vAlign w:val="center"/>
          </w:tcPr>
          <w:p>
            <w:pPr>
              <w:pStyle w:val="37"/>
            </w:pPr>
            <w:r>
              <w:t>HJ 506-2009</w:t>
            </w:r>
            <w:r>
              <w:rPr>
                <w:rFonts w:hint="eastAsia"/>
              </w:rPr>
              <w:t>水质溶解氧的测定电化学探头法</w:t>
            </w:r>
          </w:p>
        </w:tc>
        <w:tc>
          <w:tcPr>
            <w:tcW w:w="1976" w:type="dxa"/>
            <w:vAlign w:val="center"/>
          </w:tcPr>
          <w:p>
            <w:pPr>
              <w:pStyle w:val="37"/>
            </w:pPr>
            <w:r>
              <w:t>JPB—607A</w:t>
            </w:r>
            <w:r>
              <w:rPr>
                <w:rFonts w:hint="eastAsia"/>
              </w:rPr>
              <w:t>型</w:t>
            </w:r>
          </w:p>
          <w:p>
            <w:pPr>
              <w:pStyle w:val="37"/>
            </w:pPr>
            <w:r>
              <w:rPr>
                <w:rFonts w:hint="eastAsia"/>
              </w:rPr>
              <w:t>便携式溶解氧测定仪</w:t>
            </w:r>
          </w:p>
        </w:tc>
        <w:tc>
          <w:tcPr>
            <w:tcW w:w="1974" w:type="dxa"/>
            <w:vAlign w:val="top"/>
          </w:tcPr>
          <w:p>
            <w:pPr>
              <w:pStyle w:val="37"/>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化学需氧量</w:t>
            </w:r>
          </w:p>
        </w:tc>
        <w:tc>
          <w:tcPr>
            <w:tcW w:w="3941" w:type="dxa"/>
            <w:vAlign w:val="center"/>
          </w:tcPr>
          <w:p>
            <w:pPr>
              <w:pStyle w:val="37"/>
            </w:pPr>
            <w:r>
              <w:t>GB 11914-1989</w:t>
            </w:r>
            <w:r>
              <w:rPr>
                <w:rFonts w:hint="eastAsia"/>
              </w:rPr>
              <w:t>水质化学需氧量的测定重铬酸盐法</w:t>
            </w:r>
          </w:p>
        </w:tc>
        <w:tc>
          <w:tcPr>
            <w:tcW w:w="1976" w:type="dxa"/>
            <w:vAlign w:val="center"/>
          </w:tcPr>
          <w:p>
            <w:pPr>
              <w:pStyle w:val="37"/>
            </w:pPr>
            <w:r>
              <w:rPr>
                <w:rFonts w:hint="eastAsia"/>
              </w:rPr>
              <w:t>滴定管</w:t>
            </w:r>
          </w:p>
        </w:tc>
        <w:tc>
          <w:tcPr>
            <w:tcW w:w="1974" w:type="dxa"/>
            <w:vAlign w:val="top"/>
          </w:tcPr>
          <w:p>
            <w:pPr>
              <w:pStyle w:val="37"/>
            </w:pPr>
            <w:r>
              <w:rPr>
                <w:rFonts w:hint="eastAsia"/>
              </w:rPr>
              <w:t>10mg/L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氨氮</w:t>
            </w:r>
          </w:p>
        </w:tc>
        <w:tc>
          <w:tcPr>
            <w:tcW w:w="3941" w:type="dxa"/>
            <w:vAlign w:val="center"/>
          </w:tcPr>
          <w:p>
            <w:pPr>
              <w:pStyle w:val="37"/>
            </w:pPr>
            <w:r>
              <w:t>HJ 535-2009</w:t>
            </w:r>
            <w:r>
              <w:rPr>
                <w:rFonts w:hint="eastAsia"/>
              </w:rPr>
              <w:t>水质氨氮的测定纳氏试剂分光光度法</w:t>
            </w:r>
          </w:p>
        </w:tc>
        <w:tc>
          <w:tcPr>
            <w:tcW w:w="1976" w:type="dxa"/>
            <w:vAlign w:val="center"/>
          </w:tcPr>
          <w:p>
            <w:pPr>
              <w:pStyle w:val="37"/>
            </w:pPr>
            <w:r>
              <w:t>SP—722</w:t>
            </w:r>
            <w:r>
              <w:rPr>
                <w:rFonts w:hint="eastAsia"/>
              </w:rPr>
              <w:t>（</w:t>
            </w:r>
            <w:r>
              <w:t>E</w:t>
            </w:r>
            <w:r>
              <w:rPr>
                <w:rFonts w:hint="eastAsia"/>
              </w:rPr>
              <w:t>）</w:t>
            </w:r>
          </w:p>
          <w:p>
            <w:pPr>
              <w:pStyle w:val="37"/>
            </w:pPr>
            <w:r>
              <w:rPr>
                <w:rFonts w:hint="eastAsia"/>
              </w:rPr>
              <w:t>可见分光光度计</w:t>
            </w:r>
          </w:p>
        </w:tc>
        <w:tc>
          <w:tcPr>
            <w:tcW w:w="1974" w:type="dxa"/>
            <w:vAlign w:val="top"/>
          </w:tcPr>
          <w:p>
            <w:pPr>
              <w:pStyle w:val="37"/>
            </w:pPr>
            <w:r>
              <w:rPr>
                <w:rFonts w:hint="eastAsia"/>
              </w:rPr>
              <w:t>0.025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五日生化需氧量</w:t>
            </w:r>
          </w:p>
        </w:tc>
        <w:tc>
          <w:tcPr>
            <w:tcW w:w="3941" w:type="dxa"/>
            <w:vAlign w:val="center"/>
          </w:tcPr>
          <w:p>
            <w:pPr>
              <w:pStyle w:val="37"/>
            </w:pPr>
            <w:r>
              <w:t>HJ 505-2009</w:t>
            </w:r>
            <w:r>
              <w:rPr>
                <w:rFonts w:hint="eastAsia"/>
              </w:rPr>
              <w:t>水质五日生化需氧量（</w:t>
            </w:r>
            <w:r>
              <w:t>BOD5</w:t>
            </w:r>
            <w:r>
              <w:rPr>
                <w:rFonts w:hint="eastAsia"/>
              </w:rPr>
              <w:t>）的测定稀释与接种法</w:t>
            </w:r>
          </w:p>
        </w:tc>
        <w:tc>
          <w:tcPr>
            <w:tcW w:w="1976" w:type="dxa"/>
            <w:vAlign w:val="center"/>
          </w:tcPr>
          <w:p>
            <w:pPr>
              <w:pStyle w:val="37"/>
            </w:pPr>
            <w:r>
              <w:t>SPX-70BX</w:t>
            </w:r>
          </w:p>
          <w:p>
            <w:pPr>
              <w:pStyle w:val="37"/>
            </w:pPr>
            <w:r>
              <w:rPr>
                <w:rFonts w:hint="eastAsia"/>
              </w:rPr>
              <w:t>五日生化培养箱</w:t>
            </w:r>
          </w:p>
        </w:tc>
        <w:tc>
          <w:tcPr>
            <w:tcW w:w="1974" w:type="dxa"/>
            <w:vAlign w:val="top"/>
          </w:tcPr>
          <w:p>
            <w:pPr>
              <w:pStyle w:val="37"/>
            </w:pPr>
            <w:r>
              <w:rPr>
                <w:rFonts w:hint="eastAsia"/>
              </w:rPr>
              <w:t>0.5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悬浮物</w:t>
            </w:r>
          </w:p>
        </w:tc>
        <w:tc>
          <w:tcPr>
            <w:tcW w:w="3941" w:type="dxa"/>
            <w:vAlign w:val="center"/>
          </w:tcPr>
          <w:p>
            <w:pPr>
              <w:pStyle w:val="37"/>
            </w:pPr>
            <w:r>
              <w:t>GB 11901-1989</w:t>
            </w:r>
            <w:r>
              <w:rPr>
                <w:rFonts w:hint="eastAsia"/>
              </w:rPr>
              <w:t>水质悬浮物的测定重量法</w:t>
            </w:r>
          </w:p>
        </w:tc>
        <w:tc>
          <w:tcPr>
            <w:tcW w:w="1976" w:type="dxa"/>
            <w:vAlign w:val="center"/>
          </w:tcPr>
          <w:p>
            <w:pPr>
              <w:pStyle w:val="37"/>
            </w:pPr>
            <w:r>
              <w:t>BSA224S</w:t>
            </w:r>
          </w:p>
          <w:p>
            <w:pPr>
              <w:pStyle w:val="37"/>
            </w:pPr>
            <w:r>
              <w:rPr>
                <w:rFonts w:hint="eastAsia"/>
              </w:rPr>
              <w:t>电子天平</w:t>
            </w:r>
          </w:p>
        </w:tc>
        <w:tc>
          <w:tcPr>
            <w:tcW w:w="1974" w:type="dxa"/>
            <w:vAlign w:val="top"/>
          </w:tcPr>
          <w:p>
            <w:pPr>
              <w:pStyle w:val="37"/>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石油类</w:t>
            </w:r>
          </w:p>
        </w:tc>
        <w:tc>
          <w:tcPr>
            <w:tcW w:w="3941" w:type="dxa"/>
            <w:vAlign w:val="center"/>
          </w:tcPr>
          <w:p>
            <w:pPr>
              <w:pStyle w:val="37"/>
            </w:pPr>
            <w:r>
              <w:t>HJ 637-2012</w:t>
            </w:r>
            <w:r>
              <w:rPr>
                <w:rFonts w:hint="eastAsia"/>
              </w:rPr>
              <w:t>水质石油类和动植物油类的测定红外分光光度法</w:t>
            </w:r>
          </w:p>
        </w:tc>
        <w:tc>
          <w:tcPr>
            <w:tcW w:w="1976" w:type="dxa"/>
            <w:vAlign w:val="center"/>
          </w:tcPr>
          <w:p>
            <w:pPr>
              <w:pStyle w:val="37"/>
            </w:pPr>
            <w:r>
              <w:t>ET1200</w:t>
            </w:r>
          </w:p>
          <w:p>
            <w:pPr>
              <w:pStyle w:val="37"/>
            </w:pPr>
            <w:r>
              <w:rPr>
                <w:rFonts w:hint="eastAsia"/>
              </w:rPr>
              <w:t>红外分光测油仪</w:t>
            </w:r>
          </w:p>
        </w:tc>
        <w:tc>
          <w:tcPr>
            <w:tcW w:w="1974" w:type="dxa"/>
            <w:vAlign w:val="top"/>
          </w:tcPr>
          <w:p>
            <w:pPr>
              <w:pStyle w:val="37"/>
            </w:pPr>
            <w:r>
              <w:rPr>
                <w:rFonts w:hint="eastAsia"/>
              </w:rPr>
              <w:t>0.004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粪大肠菌群</w:t>
            </w:r>
          </w:p>
        </w:tc>
        <w:tc>
          <w:tcPr>
            <w:tcW w:w="3941" w:type="dxa"/>
            <w:vAlign w:val="center"/>
          </w:tcPr>
          <w:p>
            <w:pPr>
              <w:pStyle w:val="37"/>
            </w:pPr>
            <w:r>
              <w:t>HJ/T 347-2007</w:t>
            </w:r>
            <w:r>
              <w:rPr>
                <w:rFonts w:hint="eastAsia"/>
              </w:rPr>
              <w:t>水质粪大肠菌群的测定多管发酵法和滤膜法（试行）</w:t>
            </w:r>
          </w:p>
        </w:tc>
        <w:tc>
          <w:tcPr>
            <w:tcW w:w="1976" w:type="dxa"/>
            <w:vAlign w:val="center"/>
          </w:tcPr>
          <w:p>
            <w:pPr>
              <w:pStyle w:val="37"/>
            </w:pPr>
            <w:r>
              <w:t>SPX-70BX</w:t>
            </w:r>
          </w:p>
          <w:p>
            <w:pPr>
              <w:pStyle w:val="37"/>
            </w:pPr>
            <w:r>
              <w:rPr>
                <w:rFonts w:hint="eastAsia"/>
              </w:rPr>
              <w:t>五日生化培养箱</w:t>
            </w:r>
          </w:p>
        </w:tc>
        <w:tc>
          <w:tcPr>
            <w:tcW w:w="1974" w:type="dxa"/>
            <w:vAlign w:val="top"/>
          </w:tcPr>
          <w:p>
            <w:pPr>
              <w:pStyle w:val="37"/>
            </w:pPr>
            <w:r>
              <w:rPr>
                <w:rFonts w:hint="eastAsia"/>
              </w:rPr>
              <w:t>&lt;20MPN/L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砷</w:t>
            </w:r>
          </w:p>
        </w:tc>
        <w:tc>
          <w:tcPr>
            <w:tcW w:w="3941" w:type="dxa"/>
            <w:vAlign w:val="center"/>
          </w:tcPr>
          <w:p>
            <w:pPr>
              <w:pStyle w:val="37"/>
            </w:pPr>
            <w:r>
              <w:t>HJ 694-2014</w:t>
            </w:r>
            <w:r>
              <w:rPr>
                <w:rFonts w:hint="eastAsia"/>
              </w:rPr>
              <w:t>水质汞、砷、硒、铋和锑的测定原子荧光法</w:t>
            </w:r>
          </w:p>
        </w:tc>
        <w:tc>
          <w:tcPr>
            <w:tcW w:w="1976" w:type="dxa"/>
            <w:vAlign w:val="center"/>
          </w:tcPr>
          <w:p>
            <w:pPr>
              <w:pStyle w:val="37"/>
            </w:pPr>
            <w:r>
              <w:t>AFS-8220</w:t>
            </w:r>
          </w:p>
          <w:p>
            <w:pPr>
              <w:pStyle w:val="37"/>
            </w:pPr>
            <w:r>
              <w:rPr>
                <w:rFonts w:hint="eastAsia"/>
              </w:rPr>
              <w:t>原子荧光分光光度计</w:t>
            </w:r>
          </w:p>
        </w:tc>
        <w:tc>
          <w:tcPr>
            <w:tcW w:w="1974" w:type="dxa"/>
            <w:vAlign w:val="top"/>
          </w:tcPr>
          <w:p>
            <w:pPr>
              <w:pStyle w:val="37"/>
            </w:pPr>
            <w:r>
              <w:rPr>
                <w:rFonts w:hint="eastAsia"/>
              </w:rPr>
              <w:t>0.3 ug/L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六价铬</w:t>
            </w:r>
          </w:p>
        </w:tc>
        <w:tc>
          <w:tcPr>
            <w:tcW w:w="3941" w:type="dxa"/>
            <w:vAlign w:val="center"/>
          </w:tcPr>
          <w:p>
            <w:pPr>
              <w:pStyle w:val="37"/>
            </w:pPr>
            <w:r>
              <w:t>GB 7467-1987</w:t>
            </w:r>
            <w:r>
              <w:rPr>
                <w:rFonts w:hint="eastAsia"/>
              </w:rPr>
              <w:t>水质六价铬的测定</w:t>
            </w:r>
          </w:p>
          <w:p>
            <w:pPr>
              <w:pStyle w:val="37"/>
            </w:pPr>
            <w:r>
              <w:rPr>
                <w:rFonts w:hint="eastAsia"/>
              </w:rPr>
              <w:t>二苯碳酰二肼分光光度法</w:t>
            </w:r>
          </w:p>
        </w:tc>
        <w:tc>
          <w:tcPr>
            <w:tcW w:w="1976" w:type="dxa"/>
            <w:vAlign w:val="center"/>
          </w:tcPr>
          <w:p>
            <w:pPr>
              <w:pStyle w:val="37"/>
            </w:pPr>
            <w:r>
              <w:t>SP—722</w:t>
            </w:r>
            <w:r>
              <w:rPr>
                <w:rFonts w:hint="eastAsia"/>
              </w:rPr>
              <w:t>（</w:t>
            </w:r>
            <w:r>
              <w:t>E</w:t>
            </w:r>
            <w:r>
              <w:rPr>
                <w:rFonts w:hint="eastAsia"/>
              </w:rPr>
              <w:t>）</w:t>
            </w:r>
          </w:p>
          <w:p>
            <w:pPr>
              <w:pStyle w:val="37"/>
            </w:pPr>
            <w:r>
              <w:rPr>
                <w:rFonts w:hint="eastAsia"/>
              </w:rPr>
              <w:t>可见分光光度计</w:t>
            </w:r>
          </w:p>
        </w:tc>
        <w:tc>
          <w:tcPr>
            <w:tcW w:w="1974" w:type="dxa"/>
            <w:vAlign w:val="top"/>
          </w:tcPr>
          <w:p>
            <w:pPr>
              <w:pStyle w:val="37"/>
            </w:pPr>
            <w:r>
              <w:rPr>
                <w:rFonts w:hint="eastAsia"/>
              </w:rPr>
              <w:t>0.004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57" w:type="dxa"/>
            <w:vAlign w:val="center"/>
          </w:tcPr>
          <w:p>
            <w:pPr>
              <w:pStyle w:val="37"/>
            </w:pPr>
            <w:r>
              <w:rPr>
                <w:rFonts w:hint="eastAsia"/>
              </w:rPr>
              <w:t>铅</w:t>
            </w:r>
          </w:p>
        </w:tc>
        <w:tc>
          <w:tcPr>
            <w:tcW w:w="3941" w:type="dxa"/>
            <w:vAlign w:val="center"/>
          </w:tcPr>
          <w:p>
            <w:pPr>
              <w:pStyle w:val="37"/>
            </w:pPr>
            <w:r>
              <w:rPr>
                <w:rFonts w:hint="eastAsia"/>
              </w:rPr>
              <w:t>《水和废水监测分析方法》（第四版）国家环境保护总局（</w:t>
            </w:r>
            <w:r>
              <w:t>2002</w:t>
            </w:r>
            <w:r>
              <w:rPr>
                <w:rFonts w:hint="eastAsia"/>
              </w:rPr>
              <w:t>年）铜、铅、镉石墨炉原子吸收分光光度法</w:t>
            </w:r>
            <w:r>
              <w:t>(3.4.16.5)</w:t>
            </w:r>
          </w:p>
        </w:tc>
        <w:tc>
          <w:tcPr>
            <w:tcW w:w="1976" w:type="dxa"/>
            <w:vAlign w:val="center"/>
          </w:tcPr>
          <w:p>
            <w:pPr>
              <w:pStyle w:val="37"/>
            </w:pPr>
            <w:r>
              <w:t>TAS-990AFG</w:t>
            </w:r>
          </w:p>
          <w:p>
            <w:pPr>
              <w:pStyle w:val="37"/>
            </w:pPr>
            <w:r>
              <w:rPr>
                <w:rFonts w:hint="eastAsia"/>
              </w:rPr>
              <w:t>原子吸收分光光度计</w:t>
            </w:r>
          </w:p>
        </w:tc>
        <w:tc>
          <w:tcPr>
            <w:tcW w:w="1974" w:type="dxa"/>
            <w:vAlign w:val="top"/>
          </w:tcPr>
          <w:p>
            <w:pPr>
              <w:pStyle w:val="37"/>
            </w:pPr>
            <w:r>
              <w:rPr>
                <w:rFonts w:hint="eastAsia"/>
              </w:rPr>
              <w:t>1ug/L</w:t>
            </w:r>
          </w:p>
        </w:tc>
      </w:tr>
    </w:tbl>
    <w:p>
      <w:pPr>
        <w:ind w:firstLine="480"/>
      </w:pPr>
      <w:r>
        <w:rPr>
          <w:rFonts w:hint="eastAsia"/>
        </w:rPr>
        <w:t>（</w:t>
      </w:r>
      <w:r>
        <w:t>4</w:t>
      </w:r>
      <w:r>
        <w:rPr>
          <w:rFonts w:hint="eastAsia"/>
        </w:rPr>
        <w:t>）水质监测结果；地表水质监测结果汇总见表</w:t>
      </w:r>
      <w:r>
        <w:t>4.1-3.</w:t>
      </w:r>
    </w:p>
    <w:p>
      <w:pPr>
        <w:pStyle w:val="14"/>
      </w:pPr>
      <w:r>
        <w:rPr>
          <w:rFonts w:hint="eastAsia"/>
        </w:rPr>
        <w:t>表</w:t>
      </w:r>
      <w:r>
        <w:fldChar w:fldCharType="begin"/>
      </w:r>
      <w:r>
        <w:instrText xml:space="preserve"> STYLEREF 2 \s </w:instrText>
      </w:r>
      <w:r>
        <w:fldChar w:fldCharType="separate"/>
      </w:r>
      <w:r>
        <w:t>4.1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地表水监测结果</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93"/>
        <w:gridCol w:w="1983"/>
        <w:gridCol w:w="1985"/>
        <w:gridCol w:w="1970"/>
        <w:gridCol w:w="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rPr>
              <w:t>监测点位</w:t>
            </w:r>
          </w:p>
        </w:tc>
        <w:tc>
          <w:tcPr>
            <w:tcW w:w="5953" w:type="dxa"/>
            <w:gridSpan w:val="4"/>
            <w:vAlign w:val="center"/>
          </w:tcPr>
          <w:p>
            <w:pPr>
              <w:pStyle w:val="37"/>
            </w:pPr>
            <w:r>
              <w:t>W1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rPr>
              <w:t>监测日期</w:t>
            </w:r>
          </w:p>
        </w:tc>
        <w:tc>
          <w:tcPr>
            <w:tcW w:w="1983" w:type="dxa"/>
            <w:vAlign w:val="center"/>
          </w:tcPr>
          <w:p>
            <w:pPr>
              <w:pStyle w:val="37"/>
            </w:pPr>
            <w:r>
              <w:t>8</w:t>
            </w:r>
            <w:r>
              <w:rPr>
                <w:rFonts w:hAnsi="宋体"/>
              </w:rPr>
              <w:t>.</w:t>
            </w:r>
            <w:r>
              <w:t>9</w:t>
            </w:r>
          </w:p>
        </w:tc>
        <w:tc>
          <w:tcPr>
            <w:tcW w:w="1985" w:type="dxa"/>
            <w:vAlign w:val="center"/>
          </w:tcPr>
          <w:p>
            <w:pPr>
              <w:pStyle w:val="37"/>
            </w:pPr>
            <w:r>
              <w:t>8</w:t>
            </w:r>
            <w:r>
              <w:rPr>
                <w:rFonts w:hAnsi="宋体"/>
              </w:rPr>
              <w:t>.</w:t>
            </w:r>
            <w:r>
              <w:t>10</w:t>
            </w:r>
          </w:p>
        </w:tc>
        <w:tc>
          <w:tcPr>
            <w:tcW w:w="1985" w:type="dxa"/>
            <w:gridSpan w:val="2"/>
            <w:vAlign w:val="center"/>
          </w:tcPr>
          <w:p>
            <w:pPr>
              <w:pStyle w:val="37"/>
            </w:pPr>
            <w:r>
              <w:t>8</w:t>
            </w:r>
            <w:r>
              <w:rPr>
                <w:rFonts w:hAnsi="宋体"/>
              </w:rPr>
              <w:t>.</w:t>
            </w:r>
            <w: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rPr>
                <w:spacing w:val="-16"/>
              </w:rPr>
            </w:pPr>
            <w:r>
              <w:rPr>
                <w:spacing w:val="-16"/>
              </w:rPr>
              <w:t>pH</w:t>
            </w:r>
            <w:r>
              <w:rPr>
                <w:rFonts w:hint="eastAsia"/>
                <w:w w:val="69"/>
                <w:kern w:val="0"/>
              </w:rPr>
              <w:t>（无量纲</w:t>
            </w:r>
            <w:r>
              <w:rPr>
                <w:rFonts w:hint="eastAsia"/>
              </w:rPr>
              <w:t>）</w:t>
            </w:r>
          </w:p>
        </w:tc>
        <w:tc>
          <w:tcPr>
            <w:tcW w:w="1983" w:type="dxa"/>
            <w:vAlign w:val="center"/>
          </w:tcPr>
          <w:p>
            <w:pPr>
              <w:pStyle w:val="37"/>
            </w:pPr>
            <w:r>
              <w:t>6.86</w:t>
            </w:r>
          </w:p>
        </w:tc>
        <w:tc>
          <w:tcPr>
            <w:tcW w:w="1985" w:type="dxa"/>
            <w:vAlign w:val="center"/>
          </w:tcPr>
          <w:p>
            <w:pPr>
              <w:pStyle w:val="37"/>
            </w:pPr>
            <w:r>
              <w:t>6.84</w:t>
            </w:r>
          </w:p>
        </w:tc>
        <w:tc>
          <w:tcPr>
            <w:tcW w:w="1985" w:type="dxa"/>
            <w:gridSpan w:val="2"/>
            <w:vAlign w:val="center"/>
          </w:tcPr>
          <w:p>
            <w:pPr>
              <w:pStyle w:val="37"/>
            </w:pPr>
            <w:r>
              <w:t>6.85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t>COD (mg/L)</w:t>
            </w:r>
          </w:p>
        </w:tc>
        <w:tc>
          <w:tcPr>
            <w:tcW w:w="1983" w:type="dxa"/>
            <w:vAlign w:val="center"/>
          </w:tcPr>
          <w:p>
            <w:pPr>
              <w:pStyle w:val="37"/>
            </w:pPr>
            <w:r>
              <w:t>12.1</w:t>
            </w:r>
          </w:p>
        </w:tc>
        <w:tc>
          <w:tcPr>
            <w:tcW w:w="1985" w:type="dxa"/>
            <w:vAlign w:val="center"/>
          </w:tcPr>
          <w:p>
            <w:pPr>
              <w:pStyle w:val="37"/>
            </w:pPr>
            <w:r>
              <w:t>10.5</w:t>
            </w:r>
          </w:p>
        </w:tc>
        <w:tc>
          <w:tcPr>
            <w:tcW w:w="1985" w:type="dxa"/>
            <w:gridSpan w:val="2"/>
            <w:vAlign w:val="center"/>
          </w:tcPr>
          <w:p>
            <w:pPr>
              <w:pStyle w:val="37"/>
            </w:pPr>
            <w:r>
              <w:t>15.3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氨氮</w:t>
            </w:r>
            <w:r>
              <w:t>(mg/L)</w:t>
            </w:r>
          </w:p>
        </w:tc>
        <w:tc>
          <w:tcPr>
            <w:tcW w:w="1983" w:type="dxa"/>
            <w:vAlign w:val="center"/>
          </w:tcPr>
          <w:p>
            <w:pPr>
              <w:pStyle w:val="37"/>
            </w:pPr>
            <w:r>
              <w:t>0.085</w:t>
            </w:r>
          </w:p>
        </w:tc>
        <w:tc>
          <w:tcPr>
            <w:tcW w:w="1985" w:type="dxa"/>
            <w:vAlign w:val="center"/>
          </w:tcPr>
          <w:p>
            <w:pPr>
              <w:pStyle w:val="37"/>
            </w:pPr>
            <w:r>
              <w:t>0.307</w:t>
            </w:r>
          </w:p>
        </w:tc>
        <w:tc>
          <w:tcPr>
            <w:tcW w:w="1985" w:type="dxa"/>
            <w:gridSpan w:val="2"/>
            <w:vAlign w:val="center"/>
          </w:tcPr>
          <w:p>
            <w:pPr>
              <w:pStyle w:val="37"/>
            </w:pPr>
            <w:r>
              <w:t>0.217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t>BOD</w:t>
            </w:r>
            <w:r>
              <w:rPr>
                <w:vertAlign w:val="subscript"/>
              </w:rPr>
              <w:t>5</w:t>
            </w:r>
            <w:r>
              <w:t>(mg/L)</w:t>
            </w:r>
          </w:p>
        </w:tc>
        <w:tc>
          <w:tcPr>
            <w:tcW w:w="1983" w:type="dxa"/>
            <w:vAlign w:val="center"/>
          </w:tcPr>
          <w:p>
            <w:pPr>
              <w:pStyle w:val="37"/>
            </w:pPr>
            <w:r>
              <w:t>1.8</w:t>
            </w:r>
          </w:p>
        </w:tc>
        <w:tc>
          <w:tcPr>
            <w:tcW w:w="1985" w:type="dxa"/>
            <w:vAlign w:val="center"/>
          </w:tcPr>
          <w:p>
            <w:pPr>
              <w:pStyle w:val="37"/>
            </w:pPr>
            <w:r>
              <w:t>1.5</w:t>
            </w:r>
          </w:p>
        </w:tc>
        <w:tc>
          <w:tcPr>
            <w:tcW w:w="1985" w:type="dxa"/>
            <w:gridSpan w:val="2"/>
            <w:vAlign w:val="center"/>
          </w:tcPr>
          <w:p>
            <w:pPr>
              <w:pStyle w:val="37"/>
            </w:pPr>
            <w: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t>SS (mg/L)</w:t>
            </w:r>
          </w:p>
        </w:tc>
        <w:tc>
          <w:tcPr>
            <w:tcW w:w="1983" w:type="dxa"/>
            <w:vAlign w:val="center"/>
          </w:tcPr>
          <w:p>
            <w:pPr>
              <w:pStyle w:val="37"/>
            </w:pPr>
            <w:r>
              <w:t>7</w:t>
            </w:r>
          </w:p>
        </w:tc>
        <w:tc>
          <w:tcPr>
            <w:tcW w:w="1985" w:type="dxa"/>
            <w:vAlign w:val="center"/>
          </w:tcPr>
          <w:p>
            <w:pPr>
              <w:pStyle w:val="37"/>
            </w:pPr>
            <w:r>
              <w:t>6</w:t>
            </w:r>
          </w:p>
        </w:tc>
        <w:tc>
          <w:tcPr>
            <w:tcW w:w="1985" w:type="dxa"/>
            <w:gridSpan w:val="2"/>
            <w:vAlign w:val="center"/>
          </w:tcPr>
          <w:p>
            <w:pPr>
              <w:pStyle w:val="37"/>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石油类</w:t>
            </w:r>
            <w:r>
              <w:t>(mg/L)</w:t>
            </w:r>
          </w:p>
        </w:tc>
        <w:tc>
          <w:tcPr>
            <w:tcW w:w="1983" w:type="dxa"/>
            <w:vAlign w:val="center"/>
          </w:tcPr>
          <w:p>
            <w:pPr>
              <w:pStyle w:val="37"/>
            </w:pPr>
            <w:r>
              <w:t>0.01</w:t>
            </w:r>
          </w:p>
        </w:tc>
        <w:tc>
          <w:tcPr>
            <w:tcW w:w="1985" w:type="dxa"/>
            <w:vAlign w:val="center"/>
          </w:tcPr>
          <w:p>
            <w:pPr>
              <w:pStyle w:val="37"/>
            </w:pPr>
            <w:r>
              <w:t>0.02</w:t>
            </w:r>
          </w:p>
        </w:tc>
        <w:tc>
          <w:tcPr>
            <w:tcW w:w="1985" w:type="dxa"/>
            <w:gridSpan w:val="2"/>
            <w:vAlign w:val="center"/>
          </w:tcPr>
          <w:p>
            <w:pPr>
              <w:pStyle w:val="37"/>
            </w:pPr>
            <w: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粪大肠菌群</w:t>
            </w:r>
            <w:r>
              <w:t>(MPN/L)</w:t>
            </w:r>
          </w:p>
        </w:tc>
        <w:tc>
          <w:tcPr>
            <w:tcW w:w="1983" w:type="dxa"/>
            <w:vAlign w:val="center"/>
          </w:tcPr>
          <w:p>
            <w:pPr>
              <w:pStyle w:val="37"/>
            </w:pPr>
            <w:r>
              <w:t>1300</w:t>
            </w:r>
          </w:p>
        </w:tc>
        <w:tc>
          <w:tcPr>
            <w:tcW w:w="1985" w:type="dxa"/>
            <w:vAlign w:val="center"/>
          </w:tcPr>
          <w:p>
            <w:pPr>
              <w:pStyle w:val="37"/>
            </w:pPr>
            <w:r>
              <w:t>1700</w:t>
            </w:r>
          </w:p>
        </w:tc>
        <w:tc>
          <w:tcPr>
            <w:tcW w:w="1985" w:type="dxa"/>
            <w:gridSpan w:val="2"/>
            <w:vAlign w:val="center"/>
          </w:tcPr>
          <w:p>
            <w:pPr>
              <w:pStyle w:val="37"/>
            </w:pPr>
            <w:r>
              <w:t>1110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砷</w:t>
            </w:r>
            <w:r>
              <w:t>(µg/L)</w:t>
            </w:r>
          </w:p>
        </w:tc>
        <w:tc>
          <w:tcPr>
            <w:tcW w:w="1983" w:type="dxa"/>
            <w:vAlign w:val="center"/>
          </w:tcPr>
          <w:p>
            <w:pPr>
              <w:pStyle w:val="37"/>
            </w:pPr>
            <w:r>
              <w:t>1.1</w:t>
            </w:r>
          </w:p>
        </w:tc>
        <w:tc>
          <w:tcPr>
            <w:tcW w:w="1985" w:type="dxa"/>
            <w:vAlign w:val="center"/>
          </w:tcPr>
          <w:p>
            <w:pPr>
              <w:pStyle w:val="37"/>
            </w:pPr>
            <w:r>
              <w:t>0.9</w:t>
            </w:r>
          </w:p>
        </w:tc>
        <w:tc>
          <w:tcPr>
            <w:tcW w:w="1985" w:type="dxa"/>
            <w:gridSpan w:val="2"/>
            <w:vAlign w:val="center"/>
          </w:tcPr>
          <w:p>
            <w:pPr>
              <w:pStyle w:val="37"/>
            </w:pPr>
            <w: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六价铬</w:t>
            </w:r>
            <w:r>
              <w:t>(mg/L)</w:t>
            </w:r>
          </w:p>
        </w:tc>
        <w:tc>
          <w:tcPr>
            <w:tcW w:w="1983" w:type="dxa"/>
            <w:vAlign w:val="center"/>
          </w:tcPr>
          <w:p>
            <w:pPr>
              <w:pStyle w:val="37"/>
            </w:pPr>
            <w:r>
              <w:t>0.004L</w:t>
            </w:r>
          </w:p>
        </w:tc>
        <w:tc>
          <w:tcPr>
            <w:tcW w:w="1985" w:type="dxa"/>
            <w:vAlign w:val="center"/>
          </w:tcPr>
          <w:p>
            <w:pPr>
              <w:pStyle w:val="37"/>
            </w:pPr>
            <w:r>
              <w:t>0.004L</w:t>
            </w:r>
          </w:p>
        </w:tc>
        <w:tc>
          <w:tcPr>
            <w:tcW w:w="1985" w:type="dxa"/>
            <w:gridSpan w:val="2"/>
            <w:vAlign w:val="center"/>
          </w:tcPr>
          <w:p>
            <w:pPr>
              <w:pStyle w:val="37"/>
            </w:pPr>
            <w:r>
              <w:t>0.004L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3193" w:type="dxa"/>
            <w:vAlign w:val="center"/>
          </w:tcPr>
          <w:p>
            <w:pPr>
              <w:pStyle w:val="37"/>
            </w:pPr>
            <w:r>
              <w:rPr>
                <w:rFonts w:hint="eastAsia" w:hAnsi="宋体"/>
              </w:rPr>
              <w:t>铅</w:t>
            </w:r>
            <w:r>
              <w:t>(µg/L)</w:t>
            </w:r>
          </w:p>
        </w:tc>
        <w:tc>
          <w:tcPr>
            <w:tcW w:w="1983" w:type="dxa"/>
            <w:vAlign w:val="center"/>
          </w:tcPr>
          <w:p>
            <w:pPr>
              <w:pStyle w:val="37"/>
            </w:pPr>
            <w:r>
              <w:t>1L</w:t>
            </w:r>
          </w:p>
        </w:tc>
        <w:tc>
          <w:tcPr>
            <w:tcW w:w="1985" w:type="dxa"/>
            <w:vAlign w:val="center"/>
          </w:tcPr>
          <w:p>
            <w:pPr>
              <w:pStyle w:val="37"/>
            </w:pPr>
            <w:r>
              <w:t>1L</w:t>
            </w:r>
          </w:p>
        </w:tc>
        <w:tc>
          <w:tcPr>
            <w:tcW w:w="1985" w:type="dxa"/>
            <w:gridSpan w:val="2"/>
            <w:tcBorders>
              <w:right w:val="single" w:color="auto" w:sz="12" w:space="0"/>
            </w:tcBorders>
            <w:vAlign w:val="center"/>
          </w:tcPr>
          <w:p>
            <w:pPr>
              <w:pStyle w:val="37"/>
            </w:pPr>
            <w:r>
              <w:t>1L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5" w:type="dxa"/>
          <w:trHeight w:val="340" w:hRule="atLeast"/>
          <w:jc w:val="center"/>
        </w:trPr>
        <w:tc>
          <w:tcPr>
            <w:tcW w:w="3193" w:type="dxa"/>
            <w:vAlign w:val="center"/>
          </w:tcPr>
          <w:p>
            <w:pPr>
              <w:pStyle w:val="37"/>
            </w:pPr>
            <w:r>
              <w:rPr>
                <w:rFonts w:hint="eastAsia"/>
              </w:rPr>
              <w:t>备注</w:t>
            </w:r>
          </w:p>
        </w:tc>
        <w:tc>
          <w:tcPr>
            <w:tcW w:w="5938" w:type="dxa"/>
            <w:gridSpan w:val="3"/>
            <w:tcBorders>
              <w:right w:val="single" w:color="auto" w:sz="12" w:space="0"/>
            </w:tcBorders>
            <w:vAlign w:val="center"/>
          </w:tcPr>
          <w:p>
            <w:pPr>
              <w:pStyle w:val="37"/>
            </w:pPr>
            <w:r>
              <w:t>.“L”</w:t>
            </w:r>
            <w:r>
              <w:rPr>
                <w:rFonts w:hint="eastAsia"/>
              </w:rPr>
              <w:t>表示检测结果低于该检测项目检出限。</w:t>
            </w:r>
          </w:p>
        </w:tc>
      </w:tr>
    </w:tbl>
    <w:p>
      <w:pPr>
        <w:pStyle w:val="4"/>
      </w:pPr>
      <w:r>
        <w:rPr>
          <w:rFonts w:hint="eastAsia"/>
        </w:rPr>
        <w:t>地表水质量现状评价</w:t>
      </w:r>
    </w:p>
    <w:p>
      <w:pPr>
        <w:ind w:firstLine="480"/>
      </w:pPr>
      <w:r>
        <w:rPr>
          <w:rFonts w:hint="eastAsia"/>
        </w:rPr>
        <w:t>（</w:t>
      </w:r>
      <w:r>
        <w:t>1</w:t>
      </w:r>
      <w:r>
        <w:rPr>
          <w:rFonts w:hint="eastAsia"/>
        </w:rPr>
        <w:t>）评价标准</w:t>
      </w:r>
    </w:p>
    <w:p>
      <w:pPr>
        <w:ind w:firstLine="480"/>
      </w:pPr>
      <w:r>
        <w:rPr>
          <w:rFonts w:hint="eastAsia"/>
          <w:color w:val="000000"/>
        </w:rPr>
        <w:t>水质执行</w:t>
      </w:r>
      <w:r>
        <w:rPr>
          <w:rFonts w:hint="eastAsia"/>
        </w:rPr>
        <w:t>《地表水环境质量标准》</w:t>
      </w:r>
      <w:r>
        <w:t>(GB3838-2002)</w:t>
      </w:r>
      <w:r>
        <w:rPr>
          <w:rFonts w:hint="eastAsia"/>
        </w:rPr>
        <w:t>中</w:t>
      </w:r>
      <w:r>
        <w:t>III</w:t>
      </w:r>
      <w:r>
        <w:rPr>
          <w:rFonts w:hint="eastAsia"/>
        </w:rPr>
        <w:t>类标准</w:t>
      </w:r>
    </w:p>
    <w:p>
      <w:pPr>
        <w:ind w:firstLine="480"/>
      </w:pPr>
      <w:r>
        <w:rPr>
          <w:rFonts w:hint="eastAsia"/>
        </w:rPr>
        <w:t>（</w:t>
      </w:r>
      <w:r>
        <w:t>2</w:t>
      </w:r>
      <w:r>
        <w:rPr>
          <w:rFonts w:hint="eastAsia"/>
        </w:rPr>
        <w:t>）评价方法</w:t>
      </w:r>
    </w:p>
    <w:p>
      <w:pPr>
        <w:ind w:firstLine="480"/>
      </w:pPr>
      <w:r>
        <w:rPr>
          <w:rFonts w:hint="eastAsia"/>
        </w:rPr>
        <w:t>采用单项水质参数评价模式，在各项水质参数评价中，对某一水质参数的现状浓度采用多次监测的平均浓度值。单因子污染指数计算公式为：</w:t>
      </w:r>
    </w:p>
    <w:p>
      <w:pPr>
        <w:ind w:firstLine="480"/>
      </w:pPr>
      <w:r>
        <w:rPr>
          <w:rFonts w:hint="eastAsia"/>
        </w:rPr>
        <w:fldChar w:fldCharType="begin"/>
      </w:r>
      <w:r>
        <w:instrText xml:space="preserve"> = 1 \* GB3 </w:instrText>
      </w:r>
      <w:r>
        <w:rPr>
          <w:rFonts w:hint="eastAsia"/>
        </w:rPr>
        <w:fldChar w:fldCharType="separate"/>
      </w:r>
      <w:r>
        <w:rPr>
          <w:rFonts w:hint="eastAsia"/>
        </w:rPr>
        <w:t>①</w:t>
      </w:r>
      <w:r>
        <w:rPr>
          <w:rFonts w:hint="eastAsia"/>
        </w:rPr>
        <w:fldChar w:fldCharType="end"/>
      </w:r>
      <w:r>
        <w:rPr>
          <w:rFonts w:hint="eastAsia"/>
        </w:rPr>
        <w:t>一般污染物采用单因子标准指数法进行评价，即：</w:t>
      </w:r>
    </w:p>
    <w:p>
      <w:pPr>
        <w:ind w:firstLine="480"/>
        <w:jc w:val="center"/>
      </w:pPr>
      <w:r>
        <w:rPr>
          <w:rFonts w:ascii="Times New Roman" w:hAnsi="Times New Roman" w:eastAsia="宋体" w:cs="Times New Roman"/>
          <w:kern w:val="2"/>
          <w:sz w:val="24"/>
          <w:szCs w:val="21"/>
          <w:lang w:val="en-US" w:eastAsia="zh-CN" w:bidi="ar-SA"/>
        </w:rPr>
        <w:object>
          <v:shape id="Picture 6" type="#_x0000_t75" style="height:20.1pt;width:56.1pt;rotation:0f;" o:ole="t"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o:OLEObject Type="Embed" ProgID="Equation.3" ShapeID="Picture 6" DrawAspect="Content" ObjectID="_66" r:id="rId34"/>
        </w:object>
      </w:r>
    </w:p>
    <w:p>
      <w:pPr>
        <w:ind w:firstLine="480"/>
      </w:pPr>
      <w:r>
        <w:rPr>
          <w:rFonts w:hint="eastAsia"/>
        </w:rPr>
        <w:t>式中：</w:t>
      </w:r>
      <w:r>
        <w:t>Si―</w:t>
      </w:r>
      <w:r>
        <w:rPr>
          <w:rFonts w:hint="eastAsia"/>
        </w:rPr>
        <w:t>第</w:t>
      </w:r>
      <w:r>
        <w:t>i</w:t>
      </w:r>
      <w:r>
        <w:rPr>
          <w:rFonts w:hint="eastAsia"/>
        </w:rPr>
        <w:t>种污染物的标准指数；</w:t>
      </w:r>
    </w:p>
    <w:p>
      <w:pPr>
        <w:ind w:firstLine="480"/>
      </w:pPr>
      <w:r>
        <w:t xml:space="preserve">      Ci―</w:t>
      </w:r>
      <w:r>
        <w:rPr>
          <w:rFonts w:hint="eastAsia"/>
        </w:rPr>
        <w:t>第</w:t>
      </w:r>
      <w:r>
        <w:t>i</w:t>
      </w:r>
      <w:r>
        <w:rPr>
          <w:rFonts w:hint="eastAsia"/>
        </w:rPr>
        <w:t>种污染物的实测值（</w:t>
      </w:r>
      <w:r>
        <w:t>mg/L</w:t>
      </w:r>
      <w:r>
        <w:rPr>
          <w:rFonts w:hint="eastAsia"/>
        </w:rPr>
        <w:t>）；</w:t>
      </w:r>
    </w:p>
    <w:p>
      <w:pPr>
        <w:ind w:firstLine="480"/>
      </w:pPr>
      <w:r>
        <w:t xml:space="preserve">      Cs―</w:t>
      </w:r>
      <w:r>
        <w:rPr>
          <w:rFonts w:hint="eastAsia"/>
        </w:rPr>
        <w:t>为第</w:t>
      </w:r>
      <w:r>
        <w:t>i</w:t>
      </w:r>
      <w:r>
        <w:rPr>
          <w:rFonts w:hint="eastAsia"/>
        </w:rPr>
        <w:t>种污染物的标准值（</w:t>
      </w:r>
      <w:r>
        <w:t>mg/L</w:t>
      </w:r>
      <w:r>
        <w:rPr>
          <w:rFonts w:hint="eastAsia"/>
        </w:rPr>
        <w:t>）；</w:t>
      </w:r>
    </w:p>
    <w:p>
      <w:pPr>
        <w:ind w:firstLine="557" w:firstLineChars="232"/>
      </w:pP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r>
        <w:t>pH</w:t>
      </w:r>
      <w:r>
        <w:rPr>
          <w:rFonts w:hint="eastAsia"/>
        </w:rPr>
        <w:t>的标准指数采用下式计算：</w:t>
      </w:r>
    </w:p>
    <w:p>
      <w:pPr>
        <w:ind w:firstLine="557" w:firstLineChars="232"/>
      </w:pPr>
    </w:p>
    <w:p>
      <w:pPr>
        <w:ind w:firstLine="557" w:firstLineChars="232"/>
      </w:pPr>
      <w:r>
        <w:rPr>
          <w:rFonts w:ascii="Times New Roman" w:hAnsi="Times New Roman" w:eastAsia="宋体" w:cs="Times New Roman"/>
          <w:kern w:val="2"/>
          <w:sz w:val="24"/>
          <w:szCs w:val="21"/>
          <w:lang w:val="en-US" w:eastAsia="zh-CN" w:bidi="ar-SA"/>
        </w:rPr>
        <w:pict>
          <v:group id="Group 109" o:spid="_x0000_s1092" style="position:absolute;left:0;margin-left:14.9pt;margin-top:-16.55pt;height:74.2pt;width:188.2pt;mso-position-horizontal-relative:char;mso-position-vertical-relative:line;rotation:0f;z-index:251673600;" coordorigin="0,0" coordsize="3764,1484">
            <o:lock v:ext="edit" position="f" selection="f" grouping="f" rotation="f" cropping="f" text="f"/>
            <v:shape id="Picture 110" o:spid="_x0000_s1093" type="#_x0000_t75" style="position:absolute;left:0;top:0;height:1484;width:3764;rotation:0f;" o:ole="f" fillcolor="#FFFFFF" filled="f" o:preferrelative="t" stroked="f" coordorigin="0,0" coordsize="21600,21600">
              <v:fill on="f" color2="#FFFFFF" focus="0%"/>
              <v:imagedata gain="65536f" blacklevel="0f" gamma="0" o:title="" r:id="rId36"/>
              <o:lock v:ext="edit" position="f" selection="f" grouping="f" rotation="f" cropping="f" text="f" aspectratio="t"/>
            </v:shape>
            <v:rect id="Rectangle 111" o:spid="_x0000_s1094" style="position:absolute;left:3045;top:961;height:312;width:540;rotation:0f;" o:ole="f" fillcolor="#FFFFFF" filled="t" o:preferrelative="t" stroked="f" coordsize="21600,21600">
              <v:imagedata gain="65536f" blacklevel="0f" gamma="0"/>
              <o:lock v:ext="edit" position="f" selection="f" grouping="f" rotation="f" cropping="f" text="f" aspectratio="f"/>
              <v:textbox inset="0.00pt,0.00pt,0.00pt,0.00pt">
                <w:txbxContent>
                  <w:p>
                    <w:pPr>
                      <w:pStyle w:val="14"/>
                    </w:pPr>
                    <w:r>
                      <w:rPr>
                        <w:rFonts w:hint="eastAsia"/>
                      </w:rPr>
                      <w:t>＞7.0</w:t>
                    </w:r>
                  </w:p>
                </w:txbxContent>
              </v:textbox>
            </v:rect>
          </v:group>
        </w:pict>
      </w:r>
    </w:p>
    <w:p>
      <w:pPr>
        <w:ind w:firstLine="199" w:firstLineChars="83"/>
      </w:pPr>
    </w:p>
    <w:p>
      <w:pPr>
        <w:ind w:firstLine="629" w:firstLineChars="262"/>
      </w:pPr>
    </w:p>
    <w:p>
      <w:pPr>
        <w:ind w:firstLine="629" w:firstLineChars="262"/>
      </w:pPr>
      <w:r>
        <w:rPr>
          <w:rFonts w:hint="eastAsia"/>
        </w:rPr>
        <w:t>式中：</w:t>
      </w:r>
      <w:r>
        <w:t>pHj—j</w:t>
      </w:r>
      <w:r>
        <w:rPr>
          <w:rFonts w:hint="eastAsia"/>
        </w:rPr>
        <w:t>取样点水样</w:t>
      </w:r>
      <w:r>
        <w:t>pH</w:t>
      </w:r>
      <w:r>
        <w:rPr>
          <w:rFonts w:hint="eastAsia"/>
        </w:rPr>
        <w:t>值；</w:t>
      </w:r>
    </w:p>
    <w:p>
      <w:pPr>
        <w:ind w:left="-62" w:leftChars="-100" w:hanging="178" w:hangingChars="74"/>
      </w:pPr>
      <w:r>
        <w:t xml:space="preserve">             pHsd—</w:t>
      </w:r>
      <w:r>
        <w:rPr>
          <w:rFonts w:hint="eastAsia"/>
        </w:rPr>
        <w:t>评价标准规定的下限值；</w:t>
      </w:r>
    </w:p>
    <w:p>
      <w:pPr>
        <w:ind w:left="-2" w:firstLine="480"/>
      </w:pPr>
      <w:r>
        <w:t xml:space="preserve">       pHsu—</w:t>
      </w:r>
      <w:r>
        <w:rPr>
          <w:rFonts w:hint="eastAsia"/>
        </w:rPr>
        <w:t>评价标准规定的上限值。</w:t>
      </w:r>
    </w:p>
    <w:p>
      <w:pPr>
        <w:ind w:firstLine="480"/>
      </w:pPr>
      <w:r>
        <w:rPr>
          <w:rFonts w:hint="eastAsia"/>
        </w:rPr>
        <w:t>③评价结果</w:t>
      </w:r>
    </w:p>
    <w:p>
      <w:pPr>
        <w:ind w:firstLine="480"/>
      </w:pPr>
      <w:r>
        <w:rPr>
          <w:rFonts w:hint="eastAsia"/>
        </w:rPr>
        <w:t>采用单因子指数法进行评价，标准指数见表</w:t>
      </w:r>
      <w:r>
        <w:t>4.1-4</w:t>
      </w:r>
      <w:r>
        <w:rPr>
          <w:rFonts w:hint="eastAsia"/>
        </w:rPr>
        <w:t>。</w:t>
      </w:r>
    </w:p>
    <w:p>
      <w:pPr>
        <w:pStyle w:val="14"/>
      </w:pPr>
      <w:r>
        <w:rPr>
          <w:rFonts w:hint="eastAsia"/>
        </w:rPr>
        <w:t>表</w:t>
      </w:r>
      <w:r>
        <w:fldChar w:fldCharType="begin"/>
      </w:r>
      <w:r>
        <w:instrText xml:space="preserve"> STYLEREF 2 \s </w:instrText>
      </w:r>
      <w:r>
        <w:fldChar w:fldCharType="separate"/>
      </w:r>
      <w:r>
        <w:t>4.1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r>
        <w:rPr>
          <w:rFonts w:hint="eastAsia"/>
        </w:rPr>
        <w:t>地表水环境现状质量评价结果</w:t>
      </w:r>
    </w:p>
    <w:tbl>
      <w:tblPr>
        <w:tblStyle w:val="35"/>
        <w:tblW w:w="9144"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924"/>
        <w:gridCol w:w="1236"/>
        <w:gridCol w:w="584"/>
        <w:gridCol w:w="689"/>
        <w:gridCol w:w="689"/>
        <w:gridCol w:w="730"/>
        <w:gridCol w:w="813"/>
        <w:gridCol w:w="794"/>
        <w:gridCol w:w="1173"/>
        <w:gridCol w:w="813"/>
        <w:gridCol w:w="699"/>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924" w:type="dxa"/>
            <w:vMerge w:val="restart"/>
            <w:vAlign w:val="center"/>
          </w:tcPr>
          <w:p>
            <w:pPr>
              <w:pStyle w:val="37"/>
            </w:pPr>
            <w:r>
              <w:rPr>
                <w:rFonts w:hint="eastAsia"/>
              </w:rPr>
              <w:t>采样点位</w:t>
            </w:r>
          </w:p>
        </w:tc>
        <w:tc>
          <w:tcPr>
            <w:tcW w:w="1236" w:type="dxa"/>
            <w:vMerge w:val="restart"/>
            <w:vAlign w:val="center"/>
          </w:tcPr>
          <w:p>
            <w:pPr>
              <w:pStyle w:val="37"/>
            </w:pPr>
            <w:r>
              <w:rPr>
                <w:rFonts w:hint="eastAsia"/>
              </w:rPr>
              <w:t>评价项目</w:t>
            </w:r>
          </w:p>
        </w:tc>
        <w:tc>
          <w:tcPr>
            <w:tcW w:w="6984" w:type="dxa"/>
            <w:gridSpan w:val="9"/>
            <w:tcBorders>
              <w:right w:val="single" w:color="auto" w:sz="4" w:space="0"/>
            </w:tcBorders>
            <w:vAlign w:val="center"/>
          </w:tcPr>
          <w:p>
            <w:pPr>
              <w:pStyle w:val="37"/>
              <w:rPr>
                <w:color w:val="FF0000"/>
              </w:rPr>
            </w:pPr>
            <w:r>
              <w:rPr>
                <w:rFonts w:hint="eastAsia"/>
              </w:rPr>
              <w:t>污染物标准指数结果（</w:t>
            </w:r>
            <w:r>
              <w:t>mg/L</w:t>
            </w:r>
            <w:r>
              <w:rPr>
                <w:rFonts w:hint="eastAsia"/>
              </w:rPr>
              <w:t>，</w:t>
            </w:r>
            <w:r>
              <w:t>pH</w:t>
            </w:r>
            <w:r>
              <w:rPr>
                <w:rFonts w:hint="eastAsia"/>
              </w:rPr>
              <w:t>无量纲，粪大肠菌群数（个</w:t>
            </w:r>
            <w:r>
              <w:t>/L</w:t>
            </w:r>
            <w:r>
              <w:rPr>
                <w:rFonts w:hint="eastAsia"/>
              </w:rP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924" w:type="dxa"/>
            <w:vMerge w:val="continue"/>
            <w:vAlign w:val="center"/>
          </w:tcPr>
          <w:p>
            <w:pPr>
              <w:pStyle w:val="37"/>
            </w:pPr>
          </w:p>
        </w:tc>
        <w:tc>
          <w:tcPr>
            <w:tcW w:w="1236" w:type="dxa"/>
            <w:vMerge w:val="continue"/>
            <w:vAlign w:val="center"/>
          </w:tcPr>
          <w:p>
            <w:pPr>
              <w:pStyle w:val="37"/>
            </w:pPr>
          </w:p>
        </w:tc>
        <w:tc>
          <w:tcPr>
            <w:tcW w:w="584" w:type="dxa"/>
            <w:vAlign w:val="center"/>
          </w:tcPr>
          <w:p>
            <w:pPr>
              <w:pStyle w:val="37"/>
            </w:pPr>
            <w:r>
              <w:t>pH</w:t>
            </w:r>
          </w:p>
        </w:tc>
        <w:tc>
          <w:tcPr>
            <w:tcW w:w="689" w:type="dxa"/>
            <w:vAlign w:val="center"/>
          </w:tcPr>
          <w:p>
            <w:pPr>
              <w:pStyle w:val="37"/>
            </w:pPr>
            <w:r>
              <w:t>COD</w:t>
            </w:r>
          </w:p>
        </w:tc>
        <w:tc>
          <w:tcPr>
            <w:tcW w:w="689" w:type="dxa"/>
            <w:vAlign w:val="center"/>
          </w:tcPr>
          <w:p>
            <w:pPr>
              <w:pStyle w:val="37"/>
            </w:pPr>
            <w:r>
              <w:rPr>
                <w:rFonts w:hint="eastAsia"/>
              </w:rPr>
              <w:t>氨氮</w:t>
            </w:r>
          </w:p>
        </w:tc>
        <w:tc>
          <w:tcPr>
            <w:tcW w:w="730" w:type="dxa"/>
            <w:vAlign w:val="center"/>
          </w:tcPr>
          <w:p>
            <w:pPr>
              <w:pStyle w:val="37"/>
            </w:pPr>
            <w:r>
              <w:t>BOD</w:t>
            </w:r>
            <w:r>
              <w:rPr>
                <w:vertAlign w:val="subscript"/>
              </w:rPr>
              <w:t>5</w:t>
            </w:r>
          </w:p>
        </w:tc>
        <w:tc>
          <w:tcPr>
            <w:tcW w:w="813" w:type="dxa"/>
            <w:vAlign w:val="center"/>
          </w:tcPr>
          <w:p>
            <w:pPr>
              <w:pStyle w:val="37"/>
            </w:pPr>
            <w:r>
              <w:rPr>
                <w:rFonts w:hint="eastAsia"/>
              </w:rPr>
              <w:t>石油类</w:t>
            </w:r>
          </w:p>
          <w:p>
            <w:pPr>
              <w:pStyle w:val="37"/>
              <w:jc w:val="both"/>
            </w:pPr>
          </w:p>
        </w:tc>
        <w:tc>
          <w:tcPr>
            <w:tcW w:w="794" w:type="dxa"/>
            <w:vAlign w:val="center"/>
          </w:tcPr>
          <w:p>
            <w:pPr>
              <w:pStyle w:val="37"/>
            </w:pPr>
            <w:r>
              <w:rPr>
                <w:rFonts w:hint="eastAsia"/>
              </w:rPr>
              <w:t>砷</w:t>
            </w:r>
          </w:p>
        </w:tc>
        <w:tc>
          <w:tcPr>
            <w:tcW w:w="1173" w:type="dxa"/>
            <w:vAlign w:val="center"/>
          </w:tcPr>
          <w:p>
            <w:pPr>
              <w:pStyle w:val="37"/>
            </w:pPr>
            <w:r>
              <w:rPr>
                <w:rFonts w:hint="eastAsia"/>
              </w:rPr>
              <w:t>粪大肠菌群</w:t>
            </w:r>
          </w:p>
        </w:tc>
        <w:tc>
          <w:tcPr>
            <w:tcW w:w="813" w:type="dxa"/>
            <w:vAlign w:val="center"/>
          </w:tcPr>
          <w:p>
            <w:pPr>
              <w:pStyle w:val="37"/>
              <w:rPr>
                <w:b/>
              </w:rPr>
            </w:pPr>
            <w:r>
              <w:rPr>
                <w:rFonts w:hint="eastAsia"/>
              </w:rPr>
              <w:t>六价铬</w:t>
            </w:r>
          </w:p>
        </w:tc>
        <w:tc>
          <w:tcPr>
            <w:tcW w:w="699" w:type="dxa"/>
            <w:vAlign w:val="center"/>
          </w:tcPr>
          <w:p>
            <w:pPr>
              <w:pStyle w:val="37"/>
            </w:pPr>
            <w:r>
              <w:rPr>
                <w:rFonts w:hint="eastAsia"/>
              </w:rPr>
              <w:t>铅</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2160" w:type="dxa"/>
            <w:gridSpan w:val="2"/>
            <w:vAlign w:val="center"/>
          </w:tcPr>
          <w:p>
            <w:pPr>
              <w:pStyle w:val="37"/>
            </w:pPr>
            <w:r>
              <w:rPr>
                <w:rFonts w:hint="eastAsia"/>
              </w:rPr>
              <w:t>标准值</w:t>
            </w:r>
          </w:p>
        </w:tc>
        <w:tc>
          <w:tcPr>
            <w:tcW w:w="584" w:type="dxa"/>
            <w:vAlign w:val="center"/>
          </w:tcPr>
          <w:p>
            <w:pPr>
              <w:pStyle w:val="37"/>
            </w:pPr>
            <w:r>
              <w:t>6~9</w:t>
            </w:r>
          </w:p>
        </w:tc>
        <w:tc>
          <w:tcPr>
            <w:tcW w:w="689" w:type="dxa"/>
            <w:vAlign w:val="center"/>
          </w:tcPr>
          <w:p>
            <w:pPr>
              <w:pStyle w:val="37"/>
            </w:pPr>
            <w:r>
              <w:t>≤20</w:t>
            </w:r>
          </w:p>
        </w:tc>
        <w:tc>
          <w:tcPr>
            <w:tcW w:w="689" w:type="dxa"/>
            <w:vAlign w:val="center"/>
          </w:tcPr>
          <w:p>
            <w:pPr>
              <w:pStyle w:val="37"/>
            </w:pPr>
            <w:r>
              <w:t>≤1.0</w:t>
            </w:r>
          </w:p>
        </w:tc>
        <w:tc>
          <w:tcPr>
            <w:tcW w:w="730" w:type="dxa"/>
            <w:vAlign w:val="center"/>
          </w:tcPr>
          <w:p>
            <w:pPr>
              <w:pStyle w:val="37"/>
            </w:pPr>
            <w:r>
              <w:t>≤4</w:t>
            </w:r>
          </w:p>
        </w:tc>
        <w:tc>
          <w:tcPr>
            <w:tcW w:w="813" w:type="dxa"/>
            <w:vAlign w:val="center"/>
          </w:tcPr>
          <w:p>
            <w:pPr>
              <w:pStyle w:val="37"/>
            </w:pPr>
            <w:r>
              <w:t>≤0.05</w:t>
            </w:r>
          </w:p>
        </w:tc>
        <w:tc>
          <w:tcPr>
            <w:tcW w:w="794" w:type="dxa"/>
            <w:vAlign w:val="center"/>
          </w:tcPr>
          <w:p>
            <w:pPr>
              <w:pStyle w:val="37"/>
            </w:pPr>
            <w:r>
              <w:t>≤0.05</w:t>
            </w:r>
          </w:p>
        </w:tc>
        <w:tc>
          <w:tcPr>
            <w:tcW w:w="1173" w:type="dxa"/>
            <w:vAlign w:val="center"/>
          </w:tcPr>
          <w:p>
            <w:pPr>
              <w:pStyle w:val="37"/>
            </w:pPr>
            <w:r>
              <w:t>≤10000</w:t>
            </w:r>
          </w:p>
        </w:tc>
        <w:tc>
          <w:tcPr>
            <w:tcW w:w="813" w:type="dxa"/>
            <w:vAlign w:val="center"/>
          </w:tcPr>
          <w:p>
            <w:pPr>
              <w:pStyle w:val="37"/>
            </w:pPr>
            <w:r>
              <w:t>≤0.05</w:t>
            </w:r>
          </w:p>
        </w:tc>
        <w:tc>
          <w:tcPr>
            <w:tcW w:w="699" w:type="dxa"/>
            <w:vAlign w:val="center"/>
          </w:tcPr>
          <w:p>
            <w:pPr>
              <w:pStyle w:val="37"/>
            </w:pPr>
            <w:r>
              <w:t>≤0.05</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924" w:type="dxa"/>
            <w:vMerge w:val="restart"/>
            <w:tcBorders>
              <w:top w:val="single" w:color="auto" w:sz="4" w:space="0"/>
            </w:tcBorders>
            <w:vAlign w:val="center"/>
          </w:tcPr>
          <w:p>
            <w:pPr>
              <w:pStyle w:val="37"/>
              <w:jc w:val="both"/>
            </w:pPr>
            <w:r>
              <w:t>W</w:t>
            </w:r>
            <w:r>
              <w:rPr>
                <w:vertAlign w:val="subscript"/>
              </w:rPr>
              <w:t>1</w:t>
            </w:r>
          </w:p>
          <w:p>
            <w:pPr>
              <w:pStyle w:val="37"/>
            </w:pPr>
          </w:p>
        </w:tc>
        <w:tc>
          <w:tcPr>
            <w:tcW w:w="1236" w:type="dxa"/>
            <w:vAlign w:val="center"/>
          </w:tcPr>
          <w:p>
            <w:pPr>
              <w:pStyle w:val="37"/>
            </w:pPr>
            <w:r>
              <w:rPr>
                <w:rFonts w:hint="eastAsia"/>
              </w:rPr>
              <w:t>最大值</w:t>
            </w:r>
          </w:p>
        </w:tc>
        <w:tc>
          <w:tcPr>
            <w:tcW w:w="584" w:type="dxa"/>
            <w:vAlign w:val="center"/>
          </w:tcPr>
          <w:p>
            <w:pPr>
              <w:pStyle w:val="37"/>
            </w:pPr>
            <w:r>
              <w:t>6.86</w:t>
            </w:r>
          </w:p>
        </w:tc>
        <w:tc>
          <w:tcPr>
            <w:tcW w:w="689" w:type="dxa"/>
            <w:vAlign w:val="center"/>
          </w:tcPr>
          <w:p>
            <w:pPr>
              <w:pStyle w:val="37"/>
            </w:pPr>
            <w:r>
              <w:t>15.3</w:t>
            </w:r>
          </w:p>
        </w:tc>
        <w:tc>
          <w:tcPr>
            <w:tcW w:w="689" w:type="dxa"/>
            <w:vAlign w:val="center"/>
          </w:tcPr>
          <w:p>
            <w:pPr>
              <w:pStyle w:val="37"/>
            </w:pPr>
            <w:r>
              <w:t>0.307</w:t>
            </w:r>
          </w:p>
        </w:tc>
        <w:tc>
          <w:tcPr>
            <w:tcW w:w="730" w:type="dxa"/>
            <w:vAlign w:val="center"/>
          </w:tcPr>
          <w:p>
            <w:pPr>
              <w:pStyle w:val="37"/>
            </w:pPr>
            <w:r>
              <w:t>2.2</w:t>
            </w:r>
          </w:p>
        </w:tc>
        <w:tc>
          <w:tcPr>
            <w:tcW w:w="813" w:type="dxa"/>
            <w:vAlign w:val="center"/>
          </w:tcPr>
          <w:p>
            <w:pPr>
              <w:pStyle w:val="37"/>
            </w:pPr>
            <w:r>
              <w:t>0.02</w:t>
            </w:r>
          </w:p>
        </w:tc>
        <w:tc>
          <w:tcPr>
            <w:tcW w:w="794" w:type="dxa"/>
            <w:vAlign w:val="center"/>
          </w:tcPr>
          <w:p>
            <w:pPr>
              <w:pStyle w:val="37"/>
            </w:pPr>
            <w:r>
              <w:t>0.0011</w:t>
            </w:r>
          </w:p>
        </w:tc>
        <w:tc>
          <w:tcPr>
            <w:tcW w:w="1173" w:type="dxa"/>
            <w:vAlign w:val="center"/>
          </w:tcPr>
          <w:p>
            <w:pPr>
              <w:pStyle w:val="37"/>
            </w:pPr>
            <w:r>
              <w:t>1700</w:t>
            </w:r>
          </w:p>
        </w:tc>
        <w:tc>
          <w:tcPr>
            <w:tcW w:w="813" w:type="dxa"/>
            <w:vAlign w:val="center"/>
          </w:tcPr>
          <w:p>
            <w:pPr>
              <w:pStyle w:val="37"/>
            </w:pPr>
            <w:r>
              <w:t>/</w:t>
            </w:r>
          </w:p>
        </w:tc>
        <w:tc>
          <w:tcPr>
            <w:tcW w:w="699" w:type="dxa"/>
            <w:vAlign w:val="center"/>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1360" w:hRule="atLeast"/>
          <w:jc w:val="center"/>
        </w:trPr>
        <w:tc>
          <w:tcPr>
            <w:tcW w:w="924" w:type="dxa"/>
            <w:vMerge w:val="continue"/>
            <w:tcBorders>
              <w:bottom w:val="single" w:color="auto" w:sz="4" w:space="0"/>
            </w:tcBorders>
            <w:vAlign w:val="center"/>
          </w:tcPr>
          <w:p>
            <w:pPr>
              <w:pStyle w:val="37"/>
            </w:pPr>
          </w:p>
        </w:tc>
        <w:tc>
          <w:tcPr>
            <w:tcW w:w="1236" w:type="dxa"/>
            <w:vAlign w:val="center"/>
          </w:tcPr>
          <w:p>
            <w:pPr>
              <w:pStyle w:val="37"/>
            </w:pPr>
            <w:r>
              <w:rPr>
                <w:rFonts w:hint="eastAsia"/>
              </w:rPr>
              <w:t>最大标准指数</w:t>
            </w:r>
          </w:p>
        </w:tc>
        <w:tc>
          <w:tcPr>
            <w:tcW w:w="584" w:type="dxa"/>
            <w:vAlign w:val="center"/>
          </w:tcPr>
          <w:p>
            <w:pPr>
              <w:pStyle w:val="37"/>
              <w:rPr>
                <w:b/>
              </w:rPr>
            </w:pPr>
            <w:r>
              <w:t>0.14</w:t>
            </w:r>
          </w:p>
        </w:tc>
        <w:tc>
          <w:tcPr>
            <w:tcW w:w="689" w:type="dxa"/>
            <w:vAlign w:val="center"/>
          </w:tcPr>
          <w:p>
            <w:pPr>
              <w:pStyle w:val="37"/>
            </w:pPr>
            <w:r>
              <w:t>0.765</w:t>
            </w:r>
          </w:p>
        </w:tc>
        <w:tc>
          <w:tcPr>
            <w:tcW w:w="689" w:type="dxa"/>
            <w:vAlign w:val="center"/>
          </w:tcPr>
          <w:p>
            <w:pPr>
              <w:pStyle w:val="37"/>
            </w:pPr>
            <w:r>
              <w:t>0.307</w:t>
            </w:r>
          </w:p>
        </w:tc>
        <w:tc>
          <w:tcPr>
            <w:tcW w:w="730" w:type="dxa"/>
            <w:vAlign w:val="center"/>
          </w:tcPr>
          <w:p>
            <w:pPr>
              <w:pStyle w:val="37"/>
            </w:pPr>
            <w:r>
              <w:t>0.55</w:t>
            </w:r>
          </w:p>
        </w:tc>
        <w:tc>
          <w:tcPr>
            <w:tcW w:w="813" w:type="dxa"/>
            <w:vAlign w:val="center"/>
          </w:tcPr>
          <w:p>
            <w:pPr>
              <w:pStyle w:val="37"/>
              <w:rPr>
                <w:b/>
                <w:highlight w:val="yellow"/>
              </w:rPr>
            </w:pPr>
            <w:r>
              <w:t>0.4</w:t>
            </w:r>
          </w:p>
        </w:tc>
        <w:tc>
          <w:tcPr>
            <w:tcW w:w="794" w:type="dxa"/>
            <w:vAlign w:val="center"/>
          </w:tcPr>
          <w:p>
            <w:pPr>
              <w:pStyle w:val="37"/>
            </w:pPr>
            <w:r>
              <w:t>0.022</w:t>
            </w:r>
          </w:p>
        </w:tc>
        <w:tc>
          <w:tcPr>
            <w:tcW w:w="1173" w:type="dxa"/>
            <w:vAlign w:val="center"/>
          </w:tcPr>
          <w:p>
            <w:pPr>
              <w:pStyle w:val="37"/>
            </w:pPr>
            <w:r>
              <w:t>0.17</w:t>
            </w:r>
          </w:p>
        </w:tc>
        <w:tc>
          <w:tcPr>
            <w:tcW w:w="813" w:type="dxa"/>
            <w:vAlign w:val="center"/>
          </w:tcPr>
          <w:p>
            <w:pPr>
              <w:pStyle w:val="37"/>
            </w:pPr>
            <w:r>
              <w:t>/</w:t>
            </w:r>
          </w:p>
        </w:tc>
        <w:tc>
          <w:tcPr>
            <w:tcW w:w="699" w:type="dxa"/>
            <w:vAlign w:val="center"/>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2160" w:type="dxa"/>
            <w:gridSpan w:val="2"/>
            <w:tcBorders>
              <w:bottom w:val="single" w:color="auto" w:sz="4" w:space="0"/>
            </w:tcBorders>
            <w:vAlign w:val="center"/>
          </w:tcPr>
          <w:p>
            <w:pPr>
              <w:pStyle w:val="37"/>
            </w:pPr>
            <w:r>
              <w:rPr>
                <w:rFonts w:hint="eastAsia"/>
              </w:rPr>
              <w:t>超标倍数</w:t>
            </w:r>
          </w:p>
        </w:tc>
        <w:tc>
          <w:tcPr>
            <w:tcW w:w="584" w:type="dxa"/>
            <w:vAlign w:val="center"/>
          </w:tcPr>
          <w:p>
            <w:pPr>
              <w:pStyle w:val="37"/>
              <w:rPr>
                <w:b/>
                <w:highlight w:val="yellow"/>
              </w:rPr>
            </w:pPr>
            <w:r>
              <w:t>/</w:t>
            </w:r>
          </w:p>
        </w:tc>
        <w:tc>
          <w:tcPr>
            <w:tcW w:w="689" w:type="dxa"/>
            <w:vAlign w:val="center"/>
          </w:tcPr>
          <w:p>
            <w:pPr>
              <w:pStyle w:val="37"/>
            </w:pPr>
            <w:r>
              <w:rPr>
                <w:rFonts w:hint="eastAsia"/>
              </w:rPr>
              <w:t>/</w:t>
            </w:r>
          </w:p>
        </w:tc>
        <w:tc>
          <w:tcPr>
            <w:tcW w:w="689" w:type="dxa"/>
            <w:vAlign w:val="center"/>
          </w:tcPr>
          <w:p>
            <w:pPr>
              <w:pStyle w:val="37"/>
            </w:pPr>
            <w:r>
              <w:t>/</w:t>
            </w:r>
          </w:p>
        </w:tc>
        <w:tc>
          <w:tcPr>
            <w:tcW w:w="730" w:type="dxa"/>
            <w:vAlign w:val="center"/>
          </w:tcPr>
          <w:p>
            <w:pPr>
              <w:pStyle w:val="37"/>
            </w:pPr>
            <w:r>
              <w:t>/</w:t>
            </w:r>
          </w:p>
        </w:tc>
        <w:tc>
          <w:tcPr>
            <w:tcW w:w="813" w:type="dxa"/>
            <w:vAlign w:val="center"/>
          </w:tcPr>
          <w:p>
            <w:pPr>
              <w:pStyle w:val="37"/>
              <w:rPr>
                <w:b/>
                <w:highlight w:val="yellow"/>
              </w:rPr>
            </w:pPr>
            <w:r>
              <w:rPr>
                <w:rFonts w:hint="eastAsia"/>
                <w:b/>
              </w:rPr>
              <w:t>/</w:t>
            </w:r>
          </w:p>
        </w:tc>
        <w:tc>
          <w:tcPr>
            <w:tcW w:w="794" w:type="dxa"/>
            <w:vAlign w:val="center"/>
          </w:tcPr>
          <w:p>
            <w:pPr>
              <w:pStyle w:val="37"/>
            </w:pPr>
            <w:r>
              <w:t>/</w:t>
            </w:r>
          </w:p>
        </w:tc>
        <w:tc>
          <w:tcPr>
            <w:tcW w:w="1173" w:type="dxa"/>
            <w:vAlign w:val="center"/>
          </w:tcPr>
          <w:p>
            <w:pPr>
              <w:pStyle w:val="37"/>
            </w:pPr>
            <w:r>
              <w:t>/</w:t>
            </w:r>
          </w:p>
        </w:tc>
        <w:tc>
          <w:tcPr>
            <w:tcW w:w="813" w:type="dxa"/>
            <w:vAlign w:val="center"/>
          </w:tcPr>
          <w:p>
            <w:pPr>
              <w:pStyle w:val="37"/>
            </w:pPr>
            <w:r>
              <w:t>/</w:t>
            </w:r>
          </w:p>
        </w:tc>
        <w:tc>
          <w:tcPr>
            <w:tcW w:w="699" w:type="dxa"/>
            <w:vAlign w:val="center"/>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54" w:hRule="atLeast"/>
          <w:jc w:val="center"/>
        </w:trPr>
        <w:tc>
          <w:tcPr>
            <w:tcW w:w="2160" w:type="dxa"/>
            <w:gridSpan w:val="2"/>
            <w:tcBorders>
              <w:top w:val="single" w:color="auto" w:sz="4" w:space="0"/>
            </w:tcBorders>
            <w:vAlign w:val="center"/>
          </w:tcPr>
          <w:p>
            <w:pPr>
              <w:pStyle w:val="37"/>
            </w:pPr>
            <w:r>
              <w:rPr>
                <w:rFonts w:hint="eastAsia"/>
              </w:rPr>
              <w:t>超标率</w:t>
            </w:r>
            <w:r>
              <w:t>%</w:t>
            </w:r>
          </w:p>
        </w:tc>
        <w:tc>
          <w:tcPr>
            <w:tcW w:w="584" w:type="dxa"/>
            <w:vAlign w:val="center"/>
          </w:tcPr>
          <w:p>
            <w:pPr>
              <w:pStyle w:val="37"/>
            </w:pPr>
            <w:r>
              <w:t>0</w:t>
            </w:r>
          </w:p>
        </w:tc>
        <w:tc>
          <w:tcPr>
            <w:tcW w:w="689" w:type="dxa"/>
            <w:vAlign w:val="center"/>
          </w:tcPr>
          <w:p>
            <w:pPr>
              <w:pStyle w:val="37"/>
            </w:pPr>
            <w:r>
              <w:rPr>
                <w:rFonts w:hint="eastAsia"/>
              </w:rPr>
              <w:t>0</w:t>
            </w:r>
          </w:p>
        </w:tc>
        <w:tc>
          <w:tcPr>
            <w:tcW w:w="689" w:type="dxa"/>
            <w:vAlign w:val="center"/>
          </w:tcPr>
          <w:p>
            <w:pPr>
              <w:pStyle w:val="37"/>
            </w:pPr>
            <w:r>
              <w:t>0</w:t>
            </w:r>
          </w:p>
        </w:tc>
        <w:tc>
          <w:tcPr>
            <w:tcW w:w="730" w:type="dxa"/>
            <w:vAlign w:val="center"/>
          </w:tcPr>
          <w:p>
            <w:pPr>
              <w:pStyle w:val="37"/>
            </w:pPr>
            <w:r>
              <w:t>0</w:t>
            </w:r>
          </w:p>
        </w:tc>
        <w:tc>
          <w:tcPr>
            <w:tcW w:w="813" w:type="dxa"/>
            <w:vAlign w:val="center"/>
          </w:tcPr>
          <w:p>
            <w:pPr>
              <w:pStyle w:val="37"/>
            </w:pPr>
            <w:r>
              <w:rPr>
                <w:rFonts w:hint="eastAsia"/>
              </w:rPr>
              <w:t>0</w:t>
            </w:r>
          </w:p>
        </w:tc>
        <w:tc>
          <w:tcPr>
            <w:tcW w:w="794" w:type="dxa"/>
            <w:vAlign w:val="center"/>
          </w:tcPr>
          <w:p>
            <w:pPr>
              <w:pStyle w:val="37"/>
            </w:pPr>
            <w:r>
              <w:t>0</w:t>
            </w:r>
          </w:p>
        </w:tc>
        <w:tc>
          <w:tcPr>
            <w:tcW w:w="1173" w:type="dxa"/>
            <w:vAlign w:val="center"/>
          </w:tcPr>
          <w:p>
            <w:pPr>
              <w:pStyle w:val="37"/>
            </w:pPr>
            <w:r>
              <w:t>0</w:t>
            </w:r>
          </w:p>
        </w:tc>
        <w:tc>
          <w:tcPr>
            <w:tcW w:w="813" w:type="dxa"/>
            <w:vAlign w:val="center"/>
          </w:tcPr>
          <w:p>
            <w:pPr>
              <w:pStyle w:val="37"/>
            </w:pPr>
            <w:r>
              <w:t>0</w:t>
            </w:r>
          </w:p>
        </w:tc>
        <w:tc>
          <w:tcPr>
            <w:tcW w:w="699" w:type="dxa"/>
            <w:vAlign w:val="center"/>
          </w:tcPr>
          <w:p>
            <w:pPr>
              <w:pStyle w:val="37"/>
            </w:pPr>
            <w:r>
              <w:t>0</w:t>
            </w:r>
          </w:p>
        </w:tc>
      </w:tr>
    </w:tbl>
    <w:p>
      <w:pPr>
        <w:ind w:firstLine="480"/>
        <w:rPr>
          <w:shd w:val="clear" w:color="auto" w:fill="FFFF00"/>
        </w:rPr>
      </w:pPr>
      <w:r>
        <w:rPr>
          <w:rFonts w:hint="eastAsia"/>
        </w:rPr>
        <w:t>从表中可以看出，</w:t>
      </w:r>
      <w:r>
        <w:rPr>
          <w:kern w:val="0"/>
        </w:rPr>
        <w:t>pH</w:t>
      </w:r>
      <w:r>
        <w:rPr>
          <w:rFonts w:hint="eastAsia"/>
          <w:kern w:val="0"/>
        </w:rPr>
        <w:t>、氨氮、</w:t>
      </w:r>
      <w:r>
        <w:t>BOD</w:t>
      </w:r>
      <w:r>
        <w:rPr>
          <w:vertAlign w:val="subscript"/>
        </w:rPr>
        <w:t>5</w:t>
      </w:r>
      <w:r>
        <w:rPr>
          <w:rFonts w:hint="eastAsia"/>
          <w:kern w:val="0"/>
        </w:rPr>
        <w:t>、粪大肠菌群、</w:t>
      </w:r>
      <w:r>
        <w:rPr>
          <w:rFonts w:hint="eastAsia"/>
        </w:rPr>
        <w:t>砷、</w:t>
      </w:r>
      <w:r>
        <w:rPr>
          <w:rFonts w:hint="eastAsia"/>
          <w:kern w:val="0"/>
        </w:rPr>
        <w:t>六价铬、铅</w:t>
      </w:r>
      <w:r>
        <w:rPr>
          <w:rFonts w:hint="eastAsia"/>
        </w:rPr>
        <w:t>可符合《地表水环境质量标准》（</w:t>
      </w:r>
      <w:r>
        <w:t>GB3838-2002</w:t>
      </w:r>
      <w:r>
        <w:rPr>
          <w:rFonts w:hint="eastAsia"/>
        </w:rPr>
        <w:t>）</w:t>
      </w:r>
      <w:r>
        <w:fldChar w:fldCharType="begin"/>
      </w:r>
      <w:r>
        <w:instrText xml:space="preserve"> = 3 \* ROMAN \* MERGEFORMAT </w:instrText>
      </w:r>
      <w:r>
        <w:fldChar w:fldCharType="separate"/>
      </w:r>
      <w:r>
        <w:t>III</w:t>
      </w:r>
      <w:r>
        <w:fldChar w:fldCharType="end"/>
      </w:r>
      <w:r>
        <w:rPr>
          <w:rFonts w:hint="eastAsia"/>
        </w:rPr>
        <w:t>类标准。说明项目周边地表水体水质较好。</w:t>
      </w:r>
    </w:p>
    <w:p>
      <w:pPr>
        <w:pStyle w:val="3"/>
      </w:pPr>
      <w:bookmarkStart w:id="88" w:name="_Toc346092586"/>
      <w:bookmarkStart w:id="89" w:name="_Toc397322829"/>
      <w:bookmarkStart w:id="90" w:name="_Toc245713243"/>
      <w:bookmarkStart w:id="91" w:name="_Toc337645885"/>
      <w:bookmarkStart w:id="92" w:name="_Toc320200549"/>
      <w:bookmarkStart w:id="93" w:name="_Toc391370167"/>
      <w:bookmarkStart w:id="94" w:name="_Toc462818426"/>
      <w:r>
        <w:rPr>
          <w:rFonts w:hint="eastAsia"/>
        </w:rPr>
        <w:t>地下水质量现状监测与评价</w:t>
      </w:r>
      <w:bookmarkEnd w:id="88"/>
      <w:bookmarkEnd w:id="89"/>
      <w:bookmarkEnd w:id="90"/>
      <w:bookmarkEnd w:id="91"/>
      <w:bookmarkEnd w:id="92"/>
      <w:bookmarkEnd w:id="93"/>
      <w:bookmarkEnd w:id="94"/>
    </w:p>
    <w:p>
      <w:pPr>
        <w:pStyle w:val="4"/>
        <w:rPr>
          <w:color w:val="000000"/>
          <w:kern w:val="0"/>
        </w:rPr>
      </w:pPr>
      <w:r>
        <w:rPr>
          <w:rFonts w:hint="eastAsia"/>
        </w:rPr>
        <w:t>地下水质量现状监测</w:t>
      </w:r>
    </w:p>
    <w:p>
      <w:pPr>
        <w:ind w:firstLine="480"/>
      </w:pPr>
      <w:r>
        <w:rPr>
          <w:rFonts w:hint="eastAsia"/>
        </w:rPr>
        <w:t>在评价区域内设置</w:t>
      </w:r>
      <w:r>
        <w:t>2</w:t>
      </w:r>
      <w:r>
        <w:rPr>
          <w:rFonts w:hint="eastAsia"/>
        </w:rPr>
        <w:t>个地下水水质监测点，对项目北面500m、项目所在地下水下游西北面1000m处的地下水环境质量进行监测。</w:t>
      </w:r>
    </w:p>
    <w:p>
      <w:pPr>
        <w:ind w:firstLine="480"/>
      </w:pPr>
      <w:r>
        <w:rPr>
          <w:rFonts w:hint="eastAsia" w:ascii="Times New Roman" w:hAnsi="Times New Roman" w:eastAsia="宋体" w:cs="Times New Roman"/>
          <w:kern w:val="2"/>
          <w:sz w:val="24"/>
          <w:szCs w:val="21"/>
          <w:lang w:val="en-US" w:eastAsia="zh-CN" w:bidi="ar-SA"/>
        </w:rPr>
        <w:pict>
          <v:shape id="图片 9" o:spid="_x0000_s1095" type="#_x0000_t75" style="position:absolute;left:0;margin-top:344.9pt;height:312.25pt;width:447.2pt;mso-position-horizontal:center;mso-position-horizontal-relative:margin;mso-position-vertical-relative:margin;mso-wrap-distance-bottom:0pt;mso-wrap-distance-top:0pt;rotation:0f;z-index:251676672;" o:ole="f" fillcolor="#FFFFFF" filled="f" o:preferrelative="t" stroked="f" coordorigin="0,0" coordsize="21600,21600">
            <v:fill on="f" color2="#FFFFFF" focus="0%"/>
            <v:imagedata gain="65536f" blacklevel="0f" gamma="0" o:title="" r:id="rId37"/>
            <o:lock v:ext="edit" position="f" selection="f" grouping="f" rotation="f" cropping="f" text="f" aspectratio="t"/>
            <w10:wrap type="topAndBottom"/>
          </v:shape>
        </w:pict>
      </w:r>
    </w:p>
    <w:p>
      <w:pPr>
        <w:pStyle w:val="14"/>
        <w:rPr>
          <w:kern w:val="0"/>
        </w:rPr>
      </w:pPr>
      <w:r>
        <w:rPr>
          <w:rFonts w:hint="eastAsia"/>
          <w:kern w:val="0"/>
        </w:rPr>
        <w:t>图</w:t>
      </w:r>
      <w:r>
        <w:rPr>
          <w:kern w:val="0"/>
        </w:rPr>
        <w:fldChar w:fldCharType="begin"/>
      </w:r>
      <w:r>
        <w:rPr>
          <w:kern w:val="0"/>
        </w:rPr>
        <w:instrText xml:space="preserve"> STYLEREF 2 \s </w:instrText>
      </w:r>
      <w:r>
        <w:rPr>
          <w:kern w:val="0"/>
        </w:rPr>
        <w:fldChar w:fldCharType="separate"/>
      </w:r>
      <w:r>
        <w:rPr>
          <w:kern w:val="0"/>
        </w:rPr>
        <w:t>4.2</w:t>
      </w:r>
      <w:r>
        <w:rPr>
          <w:kern w:val="0"/>
        </w:rPr>
        <w:fldChar w:fldCharType="end"/>
      </w:r>
      <w:r>
        <w:rPr>
          <w:kern w:val="0"/>
        </w:rPr>
        <w:noBreakHyphen/>
      </w:r>
      <w:r>
        <w:rPr>
          <w:kern w:val="0"/>
        </w:rPr>
        <w:fldChar w:fldCharType="begin"/>
      </w:r>
      <w:r>
        <w:rPr>
          <w:kern w:val="0"/>
        </w:rPr>
        <w:instrText xml:space="preserve"> SEQ 图 \* ARABIC \s 2 </w:instrText>
      </w:r>
      <w:r>
        <w:rPr>
          <w:kern w:val="0"/>
        </w:rPr>
        <w:fldChar w:fldCharType="separate"/>
      </w:r>
      <w:r>
        <w:rPr>
          <w:kern w:val="0"/>
        </w:rPr>
        <w:t>1</w:t>
      </w:r>
      <w:r>
        <w:rPr>
          <w:kern w:val="0"/>
        </w:rPr>
        <w:fldChar w:fldCharType="end"/>
      </w:r>
      <w:r>
        <w:rPr>
          <w:rFonts w:hint="eastAsia"/>
          <w:kern w:val="0"/>
        </w:rPr>
        <w:t xml:space="preserve"> 地下水监测点位图</w:t>
      </w:r>
    </w:p>
    <w:p>
      <w:pPr>
        <w:ind w:firstLine="480"/>
        <w:rPr>
          <w:kern w:val="0"/>
        </w:rPr>
      </w:pPr>
      <w:r>
        <w:rPr>
          <w:rFonts w:hint="eastAsia"/>
          <w:kern w:val="0"/>
        </w:rPr>
        <w:t>（</w:t>
      </w:r>
      <w:r>
        <w:rPr>
          <w:kern w:val="0"/>
        </w:rPr>
        <w:t>1</w:t>
      </w:r>
      <w:r>
        <w:rPr>
          <w:rFonts w:hint="eastAsia"/>
          <w:kern w:val="0"/>
        </w:rPr>
        <w:t>）监测项目：</w:t>
      </w:r>
      <w:r>
        <w:rPr>
          <w:kern w:val="0"/>
        </w:rPr>
        <w:t>pH</w:t>
      </w:r>
      <w:r>
        <w:rPr>
          <w:rFonts w:hint="eastAsia"/>
          <w:kern w:val="0"/>
        </w:rPr>
        <w:t>、高锰酸盐指数、氨氮、砷、汞、六价铬、铅、镉、铁、锰、铜、锌、总大肠菌群。</w:t>
      </w:r>
    </w:p>
    <w:p>
      <w:pPr>
        <w:ind w:firstLine="480"/>
      </w:pPr>
      <w:r>
        <w:rPr>
          <w:rFonts w:hint="eastAsia"/>
        </w:rPr>
        <w:t>（</w:t>
      </w:r>
      <w:r>
        <w:t>2</w:t>
      </w:r>
      <w:r>
        <w:rPr>
          <w:rFonts w:hint="eastAsia"/>
        </w:rPr>
        <w:t>）监测时间：按国家环保部颁发的《环境监测分析方法》的有关规定和要求执行，连续监测</w:t>
      </w:r>
      <w:r>
        <w:t>2</w:t>
      </w:r>
      <w:r>
        <w:rPr>
          <w:rFonts w:hint="eastAsia"/>
        </w:rPr>
        <w:t>天。</w:t>
      </w:r>
    </w:p>
    <w:p>
      <w:pPr>
        <w:ind w:firstLine="480"/>
      </w:pPr>
      <w:r>
        <w:rPr>
          <w:rFonts w:hint="eastAsia"/>
        </w:rPr>
        <w:t>（</w:t>
      </w:r>
      <w:r>
        <w:t>3</w:t>
      </w:r>
      <w:r>
        <w:rPr>
          <w:rFonts w:hint="eastAsia"/>
        </w:rPr>
        <w:t>）采样及分析方法</w:t>
      </w:r>
    </w:p>
    <w:p>
      <w:pPr>
        <w:ind w:firstLine="480"/>
      </w:pPr>
      <w:r>
        <w:rPr>
          <w:rFonts w:hint="eastAsia"/>
        </w:rPr>
        <w:t>按国家环保部颁发的《环境监测分析方法》的有关规定和要求执行。具体见表</w:t>
      </w:r>
      <w:r>
        <w:t>4.2-1</w:t>
      </w:r>
      <w:r>
        <w:rPr>
          <w:rFonts w:hint="eastAsia"/>
        </w:rPr>
        <w:t>。</w:t>
      </w:r>
    </w:p>
    <w:p>
      <w:pPr>
        <w:pStyle w:val="14"/>
      </w:pPr>
      <w:r>
        <w:rPr>
          <w:rFonts w:hint="eastAsia"/>
        </w:rPr>
        <w:t>表</w:t>
      </w:r>
      <w:r>
        <w:fldChar w:fldCharType="begin"/>
      </w:r>
      <w:r>
        <w:instrText xml:space="preserve"> STYLEREF 2 \s </w:instrText>
      </w:r>
      <w:r>
        <w:fldChar w:fldCharType="separate"/>
      </w:r>
      <w:r>
        <w:t>4.2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地下水质分析方法</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1"/>
        <w:gridCol w:w="3843"/>
        <w:gridCol w:w="2062"/>
        <w:gridCol w:w="2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检测项目</w:t>
            </w:r>
          </w:p>
        </w:tc>
        <w:tc>
          <w:tcPr>
            <w:tcW w:w="3843" w:type="dxa"/>
            <w:vAlign w:val="center"/>
          </w:tcPr>
          <w:p>
            <w:pPr>
              <w:pStyle w:val="37"/>
            </w:pPr>
            <w:r>
              <w:rPr>
                <w:rFonts w:hint="eastAsia"/>
              </w:rPr>
              <w:t>分析方法</w:t>
            </w:r>
          </w:p>
        </w:tc>
        <w:tc>
          <w:tcPr>
            <w:tcW w:w="2062" w:type="dxa"/>
            <w:vAlign w:val="center"/>
          </w:tcPr>
          <w:p>
            <w:pPr>
              <w:pStyle w:val="37"/>
            </w:pPr>
            <w:r>
              <w:rPr>
                <w:rFonts w:hint="eastAsia"/>
              </w:rPr>
              <w:t>使用仪器</w:t>
            </w:r>
          </w:p>
        </w:tc>
        <w:tc>
          <w:tcPr>
            <w:tcW w:w="2060" w:type="dxa"/>
            <w:vAlign w:val="top"/>
          </w:tcPr>
          <w:p>
            <w:pPr>
              <w:pStyle w:val="37"/>
            </w:pPr>
            <w:r>
              <w:rPr>
                <w:rFonts w:hint="eastAsia"/>
              </w:rPr>
              <w:t>最低检出限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t>pH</w:t>
            </w:r>
          </w:p>
        </w:tc>
        <w:tc>
          <w:tcPr>
            <w:tcW w:w="3843" w:type="dxa"/>
            <w:vAlign w:val="center"/>
          </w:tcPr>
          <w:p>
            <w:pPr>
              <w:pStyle w:val="37"/>
            </w:pPr>
            <w:r>
              <w:t>GB 6920-1986</w:t>
            </w:r>
            <w:r>
              <w:rPr>
                <w:rFonts w:hint="eastAsia"/>
              </w:rPr>
              <w:t>水质</w:t>
            </w:r>
            <w:r>
              <w:t xml:space="preserve"> pH</w:t>
            </w:r>
            <w:r>
              <w:rPr>
                <w:rFonts w:hint="eastAsia"/>
              </w:rPr>
              <w:t>值的测定玻璃电极法</w:t>
            </w:r>
          </w:p>
        </w:tc>
        <w:tc>
          <w:tcPr>
            <w:tcW w:w="2062" w:type="dxa"/>
            <w:vAlign w:val="center"/>
          </w:tcPr>
          <w:p>
            <w:pPr>
              <w:pStyle w:val="37"/>
            </w:pPr>
            <w:r>
              <w:t>PHS—3CpH</w:t>
            </w:r>
            <w:r>
              <w:rPr>
                <w:rFonts w:hint="eastAsia"/>
              </w:rPr>
              <w:t>计</w:t>
            </w:r>
          </w:p>
        </w:tc>
        <w:tc>
          <w:tcPr>
            <w:tcW w:w="2060" w:type="dxa"/>
            <w:vAlign w:val="top"/>
          </w:tcPr>
          <w:p>
            <w:pPr>
              <w:pStyle w:val="37"/>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高锰酸盐指数</w:t>
            </w:r>
          </w:p>
        </w:tc>
        <w:tc>
          <w:tcPr>
            <w:tcW w:w="3843" w:type="dxa"/>
            <w:vAlign w:val="center"/>
          </w:tcPr>
          <w:p>
            <w:pPr>
              <w:pStyle w:val="37"/>
            </w:pPr>
            <w:r>
              <w:t>GB 11892-1989</w:t>
            </w:r>
            <w:r>
              <w:rPr>
                <w:rFonts w:hint="eastAsia"/>
              </w:rPr>
              <w:t>水质</w:t>
            </w:r>
            <w:r>
              <w:t> </w:t>
            </w:r>
            <w:r>
              <w:rPr>
                <w:rFonts w:hint="eastAsia"/>
              </w:rPr>
              <w:t>高锰酸盐指数的测定</w:t>
            </w:r>
          </w:p>
        </w:tc>
        <w:tc>
          <w:tcPr>
            <w:tcW w:w="2062" w:type="dxa"/>
            <w:vAlign w:val="center"/>
          </w:tcPr>
          <w:p>
            <w:pPr>
              <w:pStyle w:val="37"/>
            </w:pPr>
            <w:r>
              <w:rPr>
                <w:rFonts w:hint="eastAsia"/>
              </w:rPr>
              <w:t>滴定管</w:t>
            </w:r>
          </w:p>
        </w:tc>
        <w:tc>
          <w:tcPr>
            <w:tcW w:w="2060" w:type="dxa"/>
            <w:vAlign w:val="top"/>
          </w:tcPr>
          <w:p>
            <w:pPr>
              <w:pStyle w:val="37"/>
            </w:pPr>
            <w:r>
              <w:rPr>
                <w:rFonts w:hint="eastAsia"/>
              </w:rPr>
              <w:t>0.5mg/L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氨氮</w:t>
            </w:r>
          </w:p>
        </w:tc>
        <w:tc>
          <w:tcPr>
            <w:tcW w:w="3843" w:type="dxa"/>
            <w:vAlign w:val="center"/>
          </w:tcPr>
          <w:p>
            <w:pPr>
              <w:pStyle w:val="37"/>
            </w:pPr>
            <w:r>
              <w:t>HJ 535-2009</w:t>
            </w:r>
            <w:r>
              <w:rPr>
                <w:rFonts w:hint="eastAsia"/>
              </w:rPr>
              <w:t>水质氨氮的测定纳氏试剂分光光度法</w:t>
            </w:r>
          </w:p>
        </w:tc>
        <w:tc>
          <w:tcPr>
            <w:tcW w:w="2062" w:type="dxa"/>
            <w:vAlign w:val="center"/>
          </w:tcPr>
          <w:p>
            <w:pPr>
              <w:pStyle w:val="37"/>
            </w:pPr>
            <w:r>
              <w:t>SP—722</w:t>
            </w:r>
            <w:r>
              <w:rPr>
                <w:rFonts w:hint="eastAsia"/>
              </w:rPr>
              <w:t>（</w:t>
            </w:r>
            <w:r>
              <w:t>E</w:t>
            </w:r>
            <w:r>
              <w:rPr>
                <w:rFonts w:hint="eastAsia"/>
              </w:rPr>
              <w:t>）可见分光光度计</w:t>
            </w:r>
          </w:p>
        </w:tc>
        <w:tc>
          <w:tcPr>
            <w:tcW w:w="2060" w:type="dxa"/>
            <w:vAlign w:val="top"/>
          </w:tcPr>
          <w:p>
            <w:pPr>
              <w:pStyle w:val="37"/>
            </w:pPr>
            <w:r>
              <w:rPr>
                <w:rFonts w:hint="eastAsia"/>
              </w:rPr>
              <w:t>0.025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砷</w:t>
            </w:r>
          </w:p>
        </w:tc>
        <w:tc>
          <w:tcPr>
            <w:tcW w:w="3843" w:type="dxa"/>
            <w:vAlign w:val="center"/>
          </w:tcPr>
          <w:p>
            <w:pPr>
              <w:pStyle w:val="37"/>
            </w:pPr>
            <w:r>
              <w:t>HJ 694-2014</w:t>
            </w:r>
            <w:r>
              <w:rPr>
                <w:rFonts w:hint="eastAsia"/>
              </w:rPr>
              <w:t>水质汞、砷、硒、铋和锑的测定原子荧光法</w:t>
            </w:r>
          </w:p>
        </w:tc>
        <w:tc>
          <w:tcPr>
            <w:tcW w:w="2062" w:type="dxa"/>
            <w:vAlign w:val="center"/>
          </w:tcPr>
          <w:p>
            <w:pPr>
              <w:pStyle w:val="37"/>
            </w:pPr>
            <w:r>
              <w:t>AFS-8220</w:t>
            </w:r>
          </w:p>
          <w:p>
            <w:pPr>
              <w:pStyle w:val="37"/>
            </w:pPr>
            <w:r>
              <w:rPr>
                <w:rFonts w:hint="eastAsia"/>
              </w:rPr>
              <w:t>原子荧光分光光度计</w:t>
            </w:r>
          </w:p>
        </w:tc>
        <w:tc>
          <w:tcPr>
            <w:tcW w:w="2060" w:type="dxa"/>
            <w:vAlign w:val="top"/>
          </w:tcPr>
          <w:p>
            <w:pPr>
              <w:pStyle w:val="37"/>
            </w:pPr>
            <w:r>
              <w:rPr>
                <w:rFonts w:hint="eastAsia"/>
              </w:rPr>
              <w:t>0.3ug/L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汞</w:t>
            </w:r>
          </w:p>
        </w:tc>
        <w:tc>
          <w:tcPr>
            <w:tcW w:w="3843" w:type="dxa"/>
            <w:vAlign w:val="center"/>
          </w:tcPr>
          <w:p>
            <w:pPr>
              <w:pStyle w:val="37"/>
            </w:pPr>
            <w:r>
              <w:t>HJ 694-2014</w:t>
            </w:r>
            <w:r>
              <w:rPr>
                <w:rFonts w:hint="eastAsia"/>
              </w:rPr>
              <w:t>水质汞、砷、硒、铋和锑的测定原子荧光法</w:t>
            </w:r>
          </w:p>
        </w:tc>
        <w:tc>
          <w:tcPr>
            <w:tcW w:w="2062" w:type="dxa"/>
            <w:vAlign w:val="center"/>
          </w:tcPr>
          <w:p>
            <w:pPr>
              <w:pStyle w:val="37"/>
            </w:pPr>
            <w:r>
              <w:t>AFS-8220</w:t>
            </w:r>
          </w:p>
          <w:p>
            <w:pPr>
              <w:pStyle w:val="37"/>
            </w:pPr>
            <w:r>
              <w:rPr>
                <w:rFonts w:hint="eastAsia"/>
              </w:rPr>
              <w:t>原子荧光分光光度计</w:t>
            </w:r>
          </w:p>
        </w:tc>
        <w:tc>
          <w:tcPr>
            <w:tcW w:w="2060" w:type="dxa"/>
            <w:vAlign w:val="top"/>
          </w:tcPr>
          <w:p>
            <w:pPr>
              <w:pStyle w:val="37"/>
            </w:pPr>
            <w:r>
              <w:rPr>
                <w:rFonts w:hint="eastAsia"/>
              </w:rPr>
              <w:t>0.04 ug/L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六价铬</w:t>
            </w:r>
          </w:p>
        </w:tc>
        <w:tc>
          <w:tcPr>
            <w:tcW w:w="3843" w:type="dxa"/>
            <w:vAlign w:val="center"/>
          </w:tcPr>
          <w:p>
            <w:pPr>
              <w:pStyle w:val="37"/>
            </w:pPr>
            <w:r>
              <w:t>GB 7467-1987</w:t>
            </w:r>
            <w:r>
              <w:rPr>
                <w:rFonts w:hint="eastAsia"/>
              </w:rPr>
              <w:t>水质六价铬的测定二苯碳酰二肼分光光度法</w:t>
            </w:r>
          </w:p>
        </w:tc>
        <w:tc>
          <w:tcPr>
            <w:tcW w:w="2062" w:type="dxa"/>
            <w:vAlign w:val="center"/>
          </w:tcPr>
          <w:p>
            <w:pPr>
              <w:pStyle w:val="37"/>
            </w:pPr>
            <w:r>
              <w:t>SP—722</w:t>
            </w:r>
            <w:r>
              <w:rPr>
                <w:rFonts w:hint="eastAsia"/>
              </w:rPr>
              <w:t>（</w:t>
            </w:r>
            <w:r>
              <w:t>E</w:t>
            </w:r>
            <w:r>
              <w:rPr>
                <w:rFonts w:hint="eastAsia"/>
              </w:rPr>
              <w:t>）</w:t>
            </w:r>
          </w:p>
          <w:p>
            <w:pPr>
              <w:pStyle w:val="37"/>
            </w:pPr>
            <w:r>
              <w:rPr>
                <w:rFonts w:hint="eastAsia"/>
              </w:rPr>
              <w:t>可见分光光度计</w:t>
            </w:r>
          </w:p>
        </w:tc>
        <w:tc>
          <w:tcPr>
            <w:tcW w:w="2060" w:type="dxa"/>
            <w:vAlign w:val="top"/>
          </w:tcPr>
          <w:p>
            <w:pPr>
              <w:pStyle w:val="37"/>
            </w:pPr>
            <w:r>
              <w:rPr>
                <w:rFonts w:hint="eastAsia"/>
              </w:rPr>
              <w:t>0.004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铅</w:t>
            </w:r>
          </w:p>
        </w:tc>
        <w:tc>
          <w:tcPr>
            <w:tcW w:w="3843" w:type="dxa"/>
            <w:vAlign w:val="center"/>
          </w:tcPr>
          <w:p>
            <w:pPr>
              <w:pStyle w:val="37"/>
            </w:pPr>
            <w:r>
              <w:rPr>
                <w:rFonts w:hint="eastAsia"/>
              </w:rPr>
              <w:t>《水和废水监测分析方法》（第四版）国家环境保护总局（</w:t>
            </w:r>
            <w:r>
              <w:t>2002</w:t>
            </w:r>
            <w:r>
              <w:rPr>
                <w:rFonts w:hint="eastAsia"/>
              </w:rPr>
              <w:t>年）铜、铅、镉石墨炉原子吸收分光光度法</w:t>
            </w:r>
            <w:r>
              <w:t>(3.4.16.5)</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1ug/L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镉</w:t>
            </w:r>
          </w:p>
        </w:tc>
        <w:tc>
          <w:tcPr>
            <w:tcW w:w="3843" w:type="dxa"/>
            <w:vAlign w:val="center"/>
          </w:tcPr>
          <w:p>
            <w:pPr>
              <w:pStyle w:val="37"/>
            </w:pPr>
            <w:r>
              <w:rPr>
                <w:rFonts w:hint="eastAsia"/>
              </w:rPr>
              <w:t>《水和废水监测分析方法》（第四版）国家环境保护总局（</w:t>
            </w:r>
            <w:r>
              <w:t>2002</w:t>
            </w:r>
            <w:r>
              <w:rPr>
                <w:rFonts w:hint="eastAsia"/>
              </w:rPr>
              <w:t>年）铜、铅、镉石墨炉原子吸收分光光度法（</w:t>
            </w:r>
            <w:r>
              <w:t>3.4.7.4</w:t>
            </w:r>
            <w:r>
              <w:rPr>
                <w:rFonts w:hint="eastAsia"/>
              </w:rPr>
              <w:t>）</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0.1 ug/L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铁</w:t>
            </w:r>
          </w:p>
        </w:tc>
        <w:tc>
          <w:tcPr>
            <w:tcW w:w="3843" w:type="dxa"/>
            <w:vAlign w:val="center"/>
          </w:tcPr>
          <w:p>
            <w:pPr>
              <w:pStyle w:val="37"/>
            </w:pPr>
            <w:r>
              <w:rPr>
                <w:rFonts w:hint="eastAsia"/>
              </w:rPr>
              <w:t>水质铁、锰的测定火焰原子吸收分光光度法</w:t>
            </w:r>
            <w:r>
              <w:t>(GB 11911-1989)</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0.03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锰</w:t>
            </w:r>
          </w:p>
        </w:tc>
        <w:tc>
          <w:tcPr>
            <w:tcW w:w="3843" w:type="dxa"/>
            <w:vAlign w:val="center"/>
          </w:tcPr>
          <w:p>
            <w:pPr>
              <w:pStyle w:val="37"/>
            </w:pPr>
            <w:r>
              <w:rPr>
                <w:rFonts w:hint="eastAsia"/>
              </w:rPr>
              <w:t>水质铁、锰的测定火焰原子吸收分光光度法</w:t>
            </w:r>
            <w:r>
              <w:t>(GB 11911-1989)</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0.01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铜</w:t>
            </w:r>
          </w:p>
        </w:tc>
        <w:tc>
          <w:tcPr>
            <w:tcW w:w="3843" w:type="dxa"/>
            <w:vAlign w:val="center"/>
          </w:tcPr>
          <w:p>
            <w:pPr>
              <w:pStyle w:val="37"/>
            </w:pPr>
            <w:r>
              <w:t>GB 7475-1987</w:t>
            </w:r>
            <w:r>
              <w:rPr>
                <w:rFonts w:hint="eastAsia"/>
              </w:rPr>
              <w:t>水质铜、锌、铅、镉的测定原子吸收分光光度法</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0.05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锌</w:t>
            </w:r>
          </w:p>
        </w:tc>
        <w:tc>
          <w:tcPr>
            <w:tcW w:w="3843" w:type="dxa"/>
            <w:vAlign w:val="center"/>
          </w:tcPr>
          <w:p>
            <w:pPr>
              <w:pStyle w:val="37"/>
            </w:pPr>
            <w:r>
              <w:t>GB 7475-1987</w:t>
            </w:r>
            <w:r>
              <w:rPr>
                <w:rFonts w:hint="eastAsia"/>
              </w:rPr>
              <w:t>水质铜、锌、铅、镉的测定原子吸收分光光度法</w:t>
            </w:r>
          </w:p>
        </w:tc>
        <w:tc>
          <w:tcPr>
            <w:tcW w:w="2062" w:type="dxa"/>
            <w:vAlign w:val="center"/>
          </w:tcPr>
          <w:p>
            <w:pPr>
              <w:pStyle w:val="37"/>
            </w:pPr>
            <w:r>
              <w:t>TAS-990AFG</w:t>
            </w:r>
          </w:p>
          <w:p>
            <w:pPr>
              <w:pStyle w:val="37"/>
            </w:pPr>
            <w:r>
              <w:rPr>
                <w:rFonts w:hint="eastAsia"/>
              </w:rPr>
              <w:t>原子吸收分光光度计</w:t>
            </w:r>
          </w:p>
        </w:tc>
        <w:tc>
          <w:tcPr>
            <w:tcW w:w="2060" w:type="dxa"/>
            <w:vAlign w:val="top"/>
          </w:tcPr>
          <w:p>
            <w:pPr>
              <w:pStyle w:val="37"/>
            </w:pPr>
            <w:r>
              <w:rPr>
                <w:rFonts w:hint="eastAsia"/>
              </w:rPr>
              <w:t>0.05 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81" w:type="dxa"/>
            <w:vAlign w:val="center"/>
          </w:tcPr>
          <w:p>
            <w:pPr>
              <w:pStyle w:val="37"/>
            </w:pPr>
            <w:r>
              <w:rPr>
                <w:rFonts w:hint="eastAsia"/>
              </w:rPr>
              <w:t>总大肠菌群</w:t>
            </w:r>
          </w:p>
        </w:tc>
        <w:tc>
          <w:tcPr>
            <w:tcW w:w="3843" w:type="dxa"/>
            <w:vAlign w:val="center"/>
          </w:tcPr>
          <w:p>
            <w:pPr>
              <w:pStyle w:val="37"/>
            </w:pPr>
            <w:r>
              <w:t>GB/T 5750.12-2006</w:t>
            </w:r>
            <w:r>
              <w:rPr>
                <w:rFonts w:hint="eastAsia"/>
              </w:rPr>
              <w:t>生活饮用水标准检验方法微生物指标</w:t>
            </w:r>
            <w:r>
              <w:t xml:space="preserve">  2.1</w:t>
            </w:r>
            <w:r>
              <w:rPr>
                <w:rFonts w:hint="eastAsia"/>
              </w:rPr>
              <w:t>多管发酵法</w:t>
            </w:r>
          </w:p>
        </w:tc>
        <w:tc>
          <w:tcPr>
            <w:tcW w:w="2062" w:type="dxa"/>
            <w:vAlign w:val="center"/>
          </w:tcPr>
          <w:p>
            <w:pPr>
              <w:pStyle w:val="37"/>
            </w:pPr>
            <w:r>
              <w:t>SPX-70BX</w:t>
            </w:r>
          </w:p>
          <w:p>
            <w:pPr>
              <w:pStyle w:val="37"/>
            </w:pPr>
            <w:r>
              <w:rPr>
                <w:rFonts w:hint="eastAsia"/>
              </w:rPr>
              <w:t>五日生化培养箱</w:t>
            </w:r>
          </w:p>
        </w:tc>
        <w:tc>
          <w:tcPr>
            <w:tcW w:w="2060" w:type="dxa"/>
            <w:vAlign w:val="top"/>
          </w:tcPr>
          <w:p>
            <w:pPr>
              <w:pStyle w:val="37"/>
            </w:pPr>
            <w:r>
              <w:rPr>
                <w:rFonts w:hint="eastAsia"/>
              </w:rPr>
              <w:t>&lt;20MPN/L</w:t>
            </w:r>
          </w:p>
        </w:tc>
      </w:tr>
    </w:tbl>
    <w:p>
      <w:pPr>
        <w:ind w:firstLine="480"/>
        <w:rPr>
          <w:kern w:val="0"/>
        </w:rPr>
      </w:pPr>
      <w:r>
        <w:rPr>
          <w:rFonts w:hint="eastAsia"/>
          <w:kern w:val="0"/>
        </w:rPr>
        <w:t>（</w:t>
      </w:r>
      <w:r>
        <w:rPr>
          <w:kern w:val="0"/>
        </w:rPr>
        <w:t>3</w:t>
      </w:r>
      <w:r>
        <w:rPr>
          <w:rFonts w:hint="eastAsia"/>
          <w:kern w:val="0"/>
        </w:rPr>
        <w:t>）检测结果；</w:t>
      </w:r>
      <w:r>
        <w:rPr>
          <w:rFonts w:hint="eastAsia"/>
        </w:rPr>
        <w:t>地下水质监测结果汇总见表</w:t>
      </w:r>
      <w:r>
        <w:t>4.2-2.</w:t>
      </w:r>
    </w:p>
    <w:p>
      <w:pPr>
        <w:pStyle w:val="14"/>
      </w:pPr>
      <w:r>
        <w:rPr>
          <w:rFonts w:hint="eastAsia"/>
        </w:rPr>
        <w:t>表</w:t>
      </w:r>
      <w:r>
        <w:fldChar w:fldCharType="begin"/>
      </w:r>
      <w:r>
        <w:instrText xml:space="preserve"> STYLEREF 2 \s </w:instrText>
      </w:r>
      <w:r>
        <w:fldChar w:fldCharType="separate"/>
      </w:r>
      <w:r>
        <w:t>4.2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地下水监测结果</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0"/>
        <w:gridCol w:w="1829"/>
        <w:gridCol w:w="1829"/>
        <w:gridCol w:w="1829"/>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pPr>
            <w:r>
              <w:rPr>
                <w:rFonts w:hint="eastAsia"/>
              </w:rPr>
              <w:t>监测点位</w:t>
            </w:r>
          </w:p>
        </w:tc>
        <w:tc>
          <w:tcPr>
            <w:tcW w:w="3658" w:type="dxa"/>
            <w:gridSpan w:val="2"/>
            <w:vAlign w:val="center"/>
          </w:tcPr>
          <w:p>
            <w:pPr>
              <w:pStyle w:val="37"/>
            </w:pPr>
            <w:r>
              <w:t>1</w:t>
            </w:r>
            <w:r>
              <w:rPr>
                <w:vertAlign w:val="superscript"/>
              </w:rPr>
              <w:t>#</w:t>
            </w:r>
            <w:r>
              <w:rPr>
                <w:rFonts w:hint="eastAsia"/>
              </w:rPr>
              <w:t>项目北面</w:t>
            </w:r>
            <w:r>
              <w:t>500m</w:t>
            </w:r>
          </w:p>
        </w:tc>
        <w:tc>
          <w:tcPr>
            <w:tcW w:w="3658" w:type="dxa"/>
            <w:gridSpan w:val="2"/>
            <w:vAlign w:val="center"/>
          </w:tcPr>
          <w:p>
            <w:pPr>
              <w:pStyle w:val="37"/>
            </w:pPr>
            <w:r>
              <w:t>2</w:t>
            </w:r>
            <w:r>
              <w:rPr>
                <w:vertAlign w:val="superscript"/>
              </w:rPr>
              <w:t>#</w:t>
            </w:r>
            <w:r>
              <w:rPr>
                <w:rFonts w:hint="eastAsia"/>
              </w:rPr>
              <w:t>项目西北面</w:t>
            </w:r>
            <w:r>
              <w:t>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pPr>
            <w:r>
              <w:rPr>
                <w:rFonts w:hint="eastAsia"/>
              </w:rPr>
              <w:t>监测日期</w:t>
            </w:r>
          </w:p>
        </w:tc>
        <w:tc>
          <w:tcPr>
            <w:tcW w:w="1829" w:type="dxa"/>
            <w:vAlign w:val="center"/>
          </w:tcPr>
          <w:p>
            <w:pPr>
              <w:pStyle w:val="37"/>
            </w:pPr>
            <w:r>
              <w:t>8</w:t>
            </w:r>
            <w:r>
              <w:rPr>
                <w:rFonts w:hint="eastAsia"/>
              </w:rPr>
              <w:t>月</w:t>
            </w:r>
            <w:r>
              <w:t>9</w:t>
            </w:r>
            <w:r>
              <w:rPr>
                <w:rFonts w:hint="eastAsia"/>
              </w:rPr>
              <w:t>日</w:t>
            </w:r>
          </w:p>
        </w:tc>
        <w:tc>
          <w:tcPr>
            <w:tcW w:w="1829" w:type="dxa"/>
            <w:vAlign w:val="center"/>
          </w:tcPr>
          <w:p>
            <w:pPr>
              <w:pStyle w:val="37"/>
            </w:pPr>
            <w:r>
              <w:t>8</w:t>
            </w:r>
            <w:r>
              <w:rPr>
                <w:rFonts w:hint="eastAsia"/>
              </w:rPr>
              <w:t>月</w:t>
            </w:r>
            <w:r>
              <w:t>10</w:t>
            </w:r>
            <w:r>
              <w:rPr>
                <w:rFonts w:hint="eastAsia"/>
              </w:rPr>
              <w:t>日</w:t>
            </w:r>
          </w:p>
        </w:tc>
        <w:tc>
          <w:tcPr>
            <w:tcW w:w="1829" w:type="dxa"/>
            <w:vAlign w:val="center"/>
          </w:tcPr>
          <w:p>
            <w:pPr>
              <w:pStyle w:val="37"/>
            </w:pPr>
            <w:r>
              <w:t>8</w:t>
            </w:r>
            <w:r>
              <w:rPr>
                <w:rFonts w:hint="eastAsia"/>
              </w:rPr>
              <w:t>月</w:t>
            </w:r>
            <w:r>
              <w:t>9</w:t>
            </w:r>
            <w:r>
              <w:rPr>
                <w:rFonts w:hint="eastAsia"/>
              </w:rPr>
              <w:t>日</w:t>
            </w:r>
          </w:p>
        </w:tc>
        <w:tc>
          <w:tcPr>
            <w:tcW w:w="1829" w:type="dxa"/>
            <w:vAlign w:val="center"/>
          </w:tcPr>
          <w:p>
            <w:pPr>
              <w:pStyle w:val="37"/>
            </w:pPr>
            <w:r>
              <w:t>8</w:t>
            </w:r>
            <w:r>
              <w:rPr>
                <w:rFonts w:hint="eastAsia"/>
              </w:rPr>
              <w:t>月</w:t>
            </w:r>
            <w:r>
              <w:t>10</w:t>
            </w:r>
            <w:r>
              <w:rPr>
                <w:rFonts w:hint="eastAsia"/>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pPr>
            <w:r>
              <w:t>pH</w:t>
            </w:r>
            <w:r>
              <w:rPr>
                <w:rFonts w:hint="eastAsia"/>
                <w:w w:val="69"/>
                <w:kern w:val="0"/>
              </w:rPr>
              <w:t>（无量纲</w:t>
            </w:r>
            <w:r>
              <w:rPr>
                <w:rFonts w:hint="eastAsia"/>
              </w:rPr>
              <w:t>）</w:t>
            </w:r>
          </w:p>
        </w:tc>
        <w:tc>
          <w:tcPr>
            <w:tcW w:w="1829" w:type="dxa"/>
            <w:vAlign w:val="center"/>
          </w:tcPr>
          <w:p>
            <w:pPr>
              <w:pStyle w:val="37"/>
            </w:pPr>
            <w:r>
              <w:t>6.89</w:t>
            </w:r>
          </w:p>
        </w:tc>
        <w:tc>
          <w:tcPr>
            <w:tcW w:w="1829" w:type="dxa"/>
            <w:vAlign w:val="center"/>
          </w:tcPr>
          <w:p>
            <w:pPr>
              <w:pStyle w:val="37"/>
            </w:pPr>
            <w:r>
              <w:t>6.79</w:t>
            </w:r>
          </w:p>
        </w:tc>
        <w:tc>
          <w:tcPr>
            <w:tcW w:w="1829" w:type="dxa"/>
            <w:vAlign w:val="center"/>
          </w:tcPr>
          <w:p>
            <w:pPr>
              <w:pStyle w:val="37"/>
            </w:pPr>
            <w:r>
              <w:t>6.75</w:t>
            </w:r>
          </w:p>
        </w:tc>
        <w:tc>
          <w:tcPr>
            <w:tcW w:w="1829" w:type="dxa"/>
            <w:vAlign w:val="center"/>
          </w:tcPr>
          <w:p>
            <w:pPr>
              <w:pStyle w:val="37"/>
            </w:pPr>
            <w:r>
              <w:t>6.74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pPr>
            <w:r>
              <w:rPr>
                <w:rFonts w:hint="eastAsia"/>
              </w:rPr>
              <w:t>高锰酸盐指数</w:t>
            </w:r>
            <w:r>
              <w:rPr>
                <w:spacing w:val="-16"/>
              </w:rPr>
              <w:t>(mg/L)</w:t>
            </w:r>
          </w:p>
        </w:tc>
        <w:tc>
          <w:tcPr>
            <w:tcW w:w="1829" w:type="dxa"/>
            <w:vAlign w:val="center"/>
          </w:tcPr>
          <w:p>
            <w:pPr>
              <w:pStyle w:val="37"/>
            </w:pPr>
            <w:r>
              <w:t>0.7</w:t>
            </w:r>
          </w:p>
        </w:tc>
        <w:tc>
          <w:tcPr>
            <w:tcW w:w="1829" w:type="dxa"/>
            <w:vAlign w:val="center"/>
          </w:tcPr>
          <w:p>
            <w:pPr>
              <w:pStyle w:val="37"/>
            </w:pPr>
            <w:r>
              <w:t>0.6</w:t>
            </w:r>
          </w:p>
        </w:tc>
        <w:tc>
          <w:tcPr>
            <w:tcW w:w="1829" w:type="dxa"/>
            <w:vAlign w:val="center"/>
          </w:tcPr>
          <w:p>
            <w:pPr>
              <w:pStyle w:val="37"/>
            </w:pPr>
            <w:r>
              <w:t>2.9</w:t>
            </w:r>
          </w:p>
        </w:tc>
        <w:tc>
          <w:tcPr>
            <w:tcW w:w="1829" w:type="dxa"/>
            <w:vAlign w:val="center"/>
          </w:tcPr>
          <w:p>
            <w:pPr>
              <w:pStyle w:val="37"/>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氨氮</w:t>
            </w:r>
            <w:r>
              <w:t>(mg/L)</w:t>
            </w:r>
          </w:p>
        </w:tc>
        <w:tc>
          <w:tcPr>
            <w:tcW w:w="1829" w:type="dxa"/>
            <w:vAlign w:val="center"/>
          </w:tcPr>
          <w:p>
            <w:pPr>
              <w:pStyle w:val="37"/>
            </w:pPr>
            <w:r>
              <w:t>0.025L</w:t>
            </w:r>
          </w:p>
        </w:tc>
        <w:tc>
          <w:tcPr>
            <w:tcW w:w="1829" w:type="dxa"/>
            <w:vAlign w:val="center"/>
          </w:tcPr>
          <w:p>
            <w:pPr>
              <w:pStyle w:val="37"/>
            </w:pPr>
            <w:r>
              <w:t>0.025L</w:t>
            </w:r>
          </w:p>
        </w:tc>
        <w:tc>
          <w:tcPr>
            <w:tcW w:w="1829" w:type="dxa"/>
            <w:vAlign w:val="center"/>
          </w:tcPr>
          <w:p>
            <w:pPr>
              <w:pStyle w:val="37"/>
            </w:pPr>
            <w:r>
              <w:t>0.141</w:t>
            </w:r>
          </w:p>
        </w:tc>
        <w:tc>
          <w:tcPr>
            <w:tcW w:w="1829" w:type="dxa"/>
            <w:vAlign w:val="center"/>
          </w:tcPr>
          <w:p>
            <w:pPr>
              <w:pStyle w:val="37"/>
            </w:pPr>
            <w:r>
              <w:t>0.420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830" w:type="dxa"/>
            <w:vAlign w:val="center"/>
          </w:tcPr>
          <w:p>
            <w:pPr>
              <w:pStyle w:val="37"/>
              <w:rPr>
                <w:bCs/>
              </w:rPr>
            </w:pPr>
            <w:r>
              <w:rPr>
                <w:rFonts w:hint="eastAsia"/>
                <w:bCs/>
              </w:rPr>
              <w:t>砷</w:t>
            </w:r>
            <w:r>
              <w:t>(µg/L)</w:t>
            </w:r>
          </w:p>
        </w:tc>
        <w:tc>
          <w:tcPr>
            <w:tcW w:w="1829" w:type="dxa"/>
            <w:vAlign w:val="center"/>
          </w:tcPr>
          <w:p>
            <w:pPr>
              <w:pStyle w:val="37"/>
            </w:pPr>
            <w:r>
              <w:t>5.1</w:t>
            </w:r>
          </w:p>
        </w:tc>
        <w:tc>
          <w:tcPr>
            <w:tcW w:w="1829" w:type="dxa"/>
            <w:vAlign w:val="center"/>
          </w:tcPr>
          <w:p>
            <w:pPr>
              <w:pStyle w:val="37"/>
            </w:pPr>
            <w:r>
              <w:t>4.1</w:t>
            </w:r>
          </w:p>
        </w:tc>
        <w:tc>
          <w:tcPr>
            <w:tcW w:w="1829" w:type="dxa"/>
            <w:vAlign w:val="center"/>
          </w:tcPr>
          <w:p>
            <w:pPr>
              <w:pStyle w:val="37"/>
            </w:pPr>
            <w:r>
              <w:t>2.0</w:t>
            </w:r>
          </w:p>
        </w:tc>
        <w:tc>
          <w:tcPr>
            <w:tcW w:w="1829" w:type="dxa"/>
            <w:vAlign w:val="center"/>
          </w:tcPr>
          <w:p>
            <w:pPr>
              <w:pStyle w:val="37"/>
            </w:pPr>
            <w: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汞</w:t>
            </w:r>
            <w:r>
              <w:t>(µg/L)</w:t>
            </w:r>
          </w:p>
        </w:tc>
        <w:tc>
          <w:tcPr>
            <w:tcW w:w="1829" w:type="dxa"/>
            <w:vAlign w:val="center"/>
          </w:tcPr>
          <w:p>
            <w:pPr>
              <w:pStyle w:val="37"/>
            </w:pPr>
            <w:r>
              <w:t>0.18</w:t>
            </w:r>
          </w:p>
        </w:tc>
        <w:tc>
          <w:tcPr>
            <w:tcW w:w="1829" w:type="dxa"/>
            <w:vAlign w:val="center"/>
          </w:tcPr>
          <w:p>
            <w:pPr>
              <w:pStyle w:val="37"/>
            </w:pPr>
            <w:r>
              <w:t>0.28</w:t>
            </w:r>
          </w:p>
        </w:tc>
        <w:tc>
          <w:tcPr>
            <w:tcW w:w="1829" w:type="dxa"/>
            <w:vAlign w:val="center"/>
          </w:tcPr>
          <w:p>
            <w:pPr>
              <w:pStyle w:val="37"/>
            </w:pPr>
            <w:r>
              <w:t>0.21</w:t>
            </w:r>
          </w:p>
        </w:tc>
        <w:tc>
          <w:tcPr>
            <w:tcW w:w="1829" w:type="dxa"/>
            <w:vAlign w:val="center"/>
          </w:tcPr>
          <w:p>
            <w:pPr>
              <w:pStyle w:val="37"/>
            </w:pPr>
            <w: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六价铬</w:t>
            </w:r>
            <w:r>
              <w:t>(mg/L)</w:t>
            </w:r>
          </w:p>
        </w:tc>
        <w:tc>
          <w:tcPr>
            <w:tcW w:w="1829" w:type="dxa"/>
            <w:vAlign w:val="center"/>
          </w:tcPr>
          <w:p>
            <w:pPr>
              <w:pStyle w:val="37"/>
            </w:pPr>
            <w:r>
              <w:t>0.004L</w:t>
            </w:r>
          </w:p>
        </w:tc>
        <w:tc>
          <w:tcPr>
            <w:tcW w:w="1829" w:type="dxa"/>
            <w:vAlign w:val="center"/>
          </w:tcPr>
          <w:p>
            <w:pPr>
              <w:pStyle w:val="37"/>
            </w:pPr>
            <w:r>
              <w:t>0.004L</w:t>
            </w:r>
          </w:p>
        </w:tc>
        <w:tc>
          <w:tcPr>
            <w:tcW w:w="1829" w:type="dxa"/>
            <w:vAlign w:val="center"/>
          </w:tcPr>
          <w:p>
            <w:pPr>
              <w:pStyle w:val="37"/>
            </w:pPr>
            <w:r>
              <w:t>0.004L</w:t>
            </w:r>
          </w:p>
        </w:tc>
        <w:tc>
          <w:tcPr>
            <w:tcW w:w="1829" w:type="dxa"/>
            <w:vAlign w:val="center"/>
          </w:tcPr>
          <w:p>
            <w:pPr>
              <w:pStyle w:val="37"/>
            </w:pPr>
            <w:r>
              <w:t>0.004L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铅</w:t>
            </w:r>
            <w:r>
              <w:t>(µg/L)</w:t>
            </w:r>
          </w:p>
        </w:tc>
        <w:tc>
          <w:tcPr>
            <w:tcW w:w="1829" w:type="dxa"/>
            <w:vAlign w:val="center"/>
          </w:tcPr>
          <w:p>
            <w:pPr>
              <w:pStyle w:val="37"/>
            </w:pPr>
            <w:r>
              <w:t>1L</w:t>
            </w:r>
          </w:p>
        </w:tc>
        <w:tc>
          <w:tcPr>
            <w:tcW w:w="1829" w:type="dxa"/>
            <w:vAlign w:val="center"/>
          </w:tcPr>
          <w:p>
            <w:pPr>
              <w:pStyle w:val="37"/>
            </w:pPr>
            <w:r>
              <w:t>1L</w:t>
            </w:r>
          </w:p>
        </w:tc>
        <w:tc>
          <w:tcPr>
            <w:tcW w:w="1829" w:type="dxa"/>
            <w:vAlign w:val="center"/>
          </w:tcPr>
          <w:p>
            <w:pPr>
              <w:pStyle w:val="37"/>
            </w:pPr>
            <w:r>
              <w:t>1L</w:t>
            </w:r>
          </w:p>
        </w:tc>
        <w:tc>
          <w:tcPr>
            <w:tcW w:w="1829" w:type="dxa"/>
            <w:vAlign w:val="center"/>
          </w:tcPr>
          <w:p>
            <w:pPr>
              <w:pStyle w:val="37"/>
            </w:pPr>
            <w:r>
              <w:t>1L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镉</w:t>
            </w:r>
            <w:r>
              <w:t>(µg/L)</w:t>
            </w:r>
          </w:p>
        </w:tc>
        <w:tc>
          <w:tcPr>
            <w:tcW w:w="1829" w:type="dxa"/>
            <w:vAlign w:val="center"/>
          </w:tcPr>
          <w:p>
            <w:pPr>
              <w:pStyle w:val="37"/>
            </w:pPr>
            <w:r>
              <w:t>0.1L</w:t>
            </w:r>
          </w:p>
        </w:tc>
        <w:tc>
          <w:tcPr>
            <w:tcW w:w="1829" w:type="dxa"/>
            <w:vAlign w:val="center"/>
          </w:tcPr>
          <w:p>
            <w:pPr>
              <w:pStyle w:val="37"/>
            </w:pPr>
            <w:r>
              <w:t>0.1L</w:t>
            </w:r>
          </w:p>
        </w:tc>
        <w:tc>
          <w:tcPr>
            <w:tcW w:w="1829" w:type="dxa"/>
            <w:vAlign w:val="center"/>
          </w:tcPr>
          <w:p>
            <w:pPr>
              <w:pStyle w:val="37"/>
            </w:pPr>
            <w:r>
              <w:t>0.1L</w:t>
            </w:r>
          </w:p>
        </w:tc>
        <w:tc>
          <w:tcPr>
            <w:tcW w:w="1829" w:type="dxa"/>
            <w:vAlign w:val="center"/>
          </w:tcPr>
          <w:p>
            <w:pPr>
              <w:pStyle w:val="37"/>
            </w:pPr>
            <w:r>
              <w:t>0.1L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铁</w:t>
            </w:r>
            <w:r>
              <w:t>(mg/L)</w:t>
            </w:r>
          </w:p>
        </w:tc>
        <w:tc>
          <w:tcPr>
            <w:tcW w:w="1829" w:type="dxa"/>
            <w:vAlign w:val="center"/>
          </w:tcPr>
          <w:p>
            <w:pPr>
              <w:pStyle w:val="37"/>
            </w:pPr>
            <w:r>
              <w:t>0.05</w:t>
            </w:r>
          </w:p>
        </w:tc>
        <w:tc>
          <w:tcPr>
            <w:tcW w:w="1829" w:type="dxa"/>
            <w:vAlign w:val="center"/>
          </w:tcPr>
          <w:p>
            <w:pPr>
              <w:pStyle w:val="37"/>
            </w:pPr>
            <w:r>
              <w:t>0.06</w:t>
            </w:r>
          </w:p>
        </w:tc>
        <w:tc>
          <w:tcPr>
            <w:tcW w:w="1829" w:type="dxa"/>
            <w:vAlign w:val="center"/>
          </w:tcPr>
          <w:p>
            <w:pPr>
              <w:pStyle w:val="37"/>
            </w:pPr>
            <w:r>
              <w:t>0.16</w:t>
            </w:r>
          </w:p>
        </w:tc>
        <w:tc>
          <w:tcPr>
            <w:tcW w:w="1829" w:type="dxa"/>
            <w:vAlign w:val="center"/>
          </w:tcPr>
          <w:p>
            <w:pPr>
              <w:pStyle w:val="37"/>
            </w:pPr>
            <w: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锰</w:t>
            </w:r>
            <w:r>
              <w:t>(mg/L)</w:t>
            </w:r>
          </w:p>
        </w:tc>
        <w:tc>
          <w:tcPr>
            <w:tcW w:w="1829" w:type="dxa"/>
            <w:vAlign w:val="center"/>
          </w:tcPr>
          <w:p>
            <w:pPr>
              <w:pStyle w:val="37"/>
            </w:pPr>
            <w:r>
              <w:t>0.01L</w:t>
            </w:r>
          </w:p>
        </w:tc>
        <w:tc>
          <w:tcPr>
            <w:tcW w:w="1829" w:type="dxa"/>
            <w:vAlign w:val="center"/>
          </w:tcPr>
          <w:p>
            <w:pPr>
              <w:pStyle w:val="37"/>
            </w:pPr>
            <w:r>
              <w:t>0.01</w:t>
            </w:r>
          </w:p>
        </w:tc>
        <w:tc>
          <w:tcPr>
            <w:tcW w:w="1829" w:type="dxa"/>
            <w:vAlign w:val="center"/>
          </w:tcPr>
          <w:p>
            <w:pPr>
              <w:pStyle w:val="37"/>
            </w:pPr>
            <w:r>
              <w:t>0.01L</w:t>
            </w:r>
          </w:p>
        </w:tc>
        <w:tc>
          <w:tcPr>
            <w:tcW w:w="1829" w:type="dxa"/>
            <w:vAlign w:val="center"/>
          </w:tcPr>
          <w:p>
            <w:pPr>
              <w:pStyle w:val="37"/>
            </w:pPr>
            <w:r>
              <w:t>0.01L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铜</w:t>
            </w:r>
            <w:r>
              <w:t>(mg/L)</w:t>
            </w:r>
          </w:p>
        </w:tc>
        <w:tc>
          <w:tcPr>
            <w:tcW w:w="1829" w:type="dxa"/>
            <w:vAlign w:val="center"/>
          </w:tcPr>
          <w:p>
            <w:pPr>
              <w:pStyle w:val="37"/>
            </w:pPr>
            <w:r>
              <w:t>0.05L</w:t>
            </w:r>
          </w:p>
        </w:tc>
        <w:tc>
          <w:tcPr>
            <w:tcW w:w="1829" w:type="dxa"/>
            <w:vAlign w:val="center"/>
          </w:tcPr>
          <w:p>
            <w:pPr>
              <w:pStyle w:val="37"/>
            </w:pPr>
            <w:r>
              <w:t>0.05L</w:t>
            </w:r>
          </w:p>
        </w:tc>
        <w:tc>
          <w:tcPr>
            <w:tcW w:w="1829" w:type="dxa"/>
            <w:vAlign w:val="center"/>
          </w:tcPr>
          <w:p>
            <w:pPr>
              <w:pStyle w:val="37"/>
            </w:pPr>
            <w:r>
              <w:t>0.05L</w:t>
            </w:r>
          </w:p>
        </w:tc>
        <w:tc>
          <w:tcPr>
            <w:tcW w:w="1829" w:type="dxa"/>
            <w:vAlign w:val="center"/>
          </w:tcPr>
          <w:p>
            <w:pPr>
              <w:pStyle w:val="37"/>
            </w:pPr>
            <w:r>
              <w:t>0.05L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锌</w:t>
            </w:r>
            <w:r>
              <w:t>(mg/L)</w:t>
            </w:r>
          </w:p>
        </w:tc>
        <w:tc>
          <w:tcPr>
            <w:tcW w:w="1829" w:type="dxa"/>
            <w:vAlign w:val="center"/>
          </w:tcPr>
          <w:p>
            <w:pPr>
              <w:pStyle w:val="37"/>
            </w:pPr>
            <w:r>
              <w:t>0.05L</w:t>
            </w:r>
          </w:p>
        </w:tc>
        <w:tc>
          <w:tcPr>
            <w:tcW w:w="1829" w:type="dxa"/>
            <w:vAlign w:val="center"/>
          </w:tcPr>
          <w:p>
            <w:pPr>
              <w:pStyle w:val="37"/>
            </w:pPr>
            <w:r>
              <w:t>0.05L</w:t>
            </w:r>
          </w:p>
        </w:tc>
        <w:tc>
          <w:tcPr>
            <w:tcW w:w="1829" w:type="dxa"/>
            <w:vAlign w:val="center"/>
          </w:tcPr>
          <w:p>
            <w:pPr>
              <w:pStyle w:val="37"/>
            </w:pPr>
            <w:r>
              <w:t>0.06</w:t>
            </w:r>
          </w:p>
        </w:tc>
        <w:tc>
          <w:tcPr>
            <w:tcW w:w="1829" w:type="dxa"/>
            <w:vAlign w:val="center"/>
          </w:tcPr>
          <w:p>
            <w:pPr>
              <w:pStyle w:val="37"/>
            </w:pPr>
            <w:r>
              <w:t>0.05L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rPr>
                <w:bCs/>
              </w:rPr>
            </w:pPr>
            <w:r>
              <w:rPr>
                <w:rFonts w:hint="eastAsia"/>
                <w:bCs/>
              </w:rPr>
              <w:t>总大肠菌群（MPN/L）</w:t>
            </w:r>
          </w:p>
        </w:tc>
        <w:tc>
          <w:tcPr>
            <w:tcW w:w="1829" w:type="dxa"/>
            <w:vAlign w:val="center"/>
          </w:tcPr>
          <w:p>
            <w:pPr>
              <w:pStyle w:val="37"/>
            </w:pPr>
            <w:r>
              <w:rPr>
                <w:rFonts w:hint="eastAsia"/>
              </w:rPr>
              <w:t>70</w:t>
            </w:r>
          </w:p>
        </w:tc>
        <w:tc>
          <w:tcPr>
            <w:tcW w:w="1829" w:type="dxa"/>
            <w:vAlign w:val="center"/>
          </w:tcPr>
          <w:p>
            <w:pPr>
              <w:pStyle w:val="37"/>
            </w:pPr>
            <w:r>
              <w:rPr>
                <w:rFonts w:hint="eastAsia"/>
              </w:rPr>
              <w:t>40</w:t>
            </w:r>
          </w:p>
        </w:tc>
        <w:tc>
          <w:tcPr>
            <w:tcW w:w="1829" w:type="dxa"/>
            <w:vAlign w:val="center"/>
          </w:tcPr>
          <w:p>
            <w:pPr>
              <w:pStyle w:val="37"/>
            </w:pPr>
            <w:r>
              <w:rPr>
                <w:rFonts w:hint="eastAsia"/>
              </w:rPr>
              <w:t>40</w:t>
            </w:r>
          </w:p>
        </w:tc>
        <w:tc>
          <w:tcPr>
            <w:tcW w:w="1829" w:type="dxa"/>
            <w:vAlign w:val="center"/>
          </w:tcPr>
          <w:p>
            <w:pPr>
              <w:pStyle w:val="37"/>
            </w:pPr>
            <w:r>
              <w:rPr>
                <w:rFonts w:hint="eastAsi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30" w:type="dxa"/>
            <w:vAlign w:val="center"/>
          </w:tcPr>
          <w:p>
            <w:pPr>
              <w:pStyle w:val="37"/>
            </w:pPr>
            <w:r>
              <w:rPr>
                <w:rFonts w:hint="eastAsia"/>
              </w:rPr>
              <w:t>备注</w:t>
            </w:r>
          </w:p>
        </w:tc>
        <w:tc>
          <w:tcPr>
            <w:tcW w:w="7316" w:type="dxa"/>
            <w:gridSpan w:val="4"/>
            <w:vAlign w:val="center"/>
          </w:tcPr>
          <w:p>
            <w:pPr>
              <w:pStyle w:val="37"/>
            </w:pPr>
            <w:r>
              <w:rPr>
                <w:rFonts w:hint="eastAsia"/>
                <w:bCs/>
              </w:rPr>
              <w:t>参考执行</w:t>
            </w:r>
            <w:r>
              <w:rPr>
                <w:rFonts w:hint="eastAsia"/>
              </w:rPr>
              <w:t>《地下水环境监测技术规范》</w:t>
            </w:r>
            <w:r>
              <w:t>(HJ-T164-2004)</w:t>
            </w:r>
            <w:r>
              <w:rPr>
                <w:rFonts w:hint="eastAsia"/>
              </w:rPr>
              <w:t>Ⅲ类标准</w:t>
            </w:r>
          </w:p>
        </w:tc>
      </w:tr>
    </w:tbl>
    <w:p>
      <w:pPr>
        <w:ind w:firstLine="480"/>
        <w:rPr>
          <w:kern w:val="0"/>
        </w:rPr>
      </w:pPr>
    </w:p>
    <w:p>
      <w:pPr>
        <w:pStyle w:val="4"/>
        <w:rPr>
          <w:i/>
          <w:szCs w:val="21"/>
        </w:rPr>
      </w:pPr>
      <w:r>
        <w:rPr>
          <w:rFonts w:hint="eastAsia"/>
        </w:rPr>
        <w:t>地下水环境质量现状评价</w:t>
      </w:r>
    </w:p>
    <w:p>
      <w:pPr>
        <w:ind w:firstLine="480"/>
      </w:pPr>
      <w:r>
        <w:rPr>
          <w:rFonts w:hint="eastAsia"/>
        </w:rPr>
        <w:t>①评价标准</w:t>
      </w:r>
    </w:p>
    <w:p>
      <w:pPr>
        <w:ind w:firstLine="480"/>
      </w:pPr>
      <w:r>
        <w:rPr>
          <w:rFonts w:hint="eastAsia"/>
        </w:rPr>
        <w:t>地下水水质执行《地下水质量标准》</w:t>
      </w:r>
      <w:r>
        <w:t>(</w:t>
      </w:r>
      <w:r>
        <w:rPr>
          <w:bCs/>
        </w:rPr>
        <w:t>GB/T 14848-93</w:t>
      </w:r>
      <w:r>
        <w:t>)</w:t>
      </w:r>
      <w:r>
        <w:rPr>
          <w:rFonts w:hint="eastAsia"/>
        </w:rPr>
        <w:t>中</w:t>
      </w:r>
      <w:r>
        <w:rPr>
          <w:rFonts w:hint="eastAsia" w:ascii="宋体" w:hAnsi="宋体" w:cs="宋体"/>
        </w:rPr>
        <w:t>Ⅲ</w:t>
      </w:r>
      <w:r>
        <w:rPr>
          <w:rFonts w:hint="eastAsia"/>
        </w:rPr>
        <w:t>类标准。</w:t>
      </w:r>
    </w:p>
    <w:p>
      <w:pPr>
        <w:ind w:firstLine="480"/>
      </w:pPr>
      <w:r>
        <w:rPr>
          <w:rFonts w:hint="eastAsia"/>
        </w:rPr>
        <w:t>②评价方法</w:t>
      </w:r>
    </w:p>
    <w:p>
      <w:pPr>
        <w:ind w:firstLine="480"/>
      </w:pPr>
      <w:r>
        <w:rPr>
          <w:rFonts w:hint="eastAsia"/>
        </w:rPr>
        <w:t>采用标准指数法进行评价，标准指数大于</w:t>
      </w:r>
      <w:r>
        <w:t>1</w:t>
      </w:r>
      <w:r>
        <w:rPr>
          <w:rFonts w:hint="eastAsia"/>
        </w:rPr>
        <w:t>，表明该水质因子已超过了规定的水质标准。指数值越大，超标越严重。标准指数计算公式为：</w:t>
      </w:r>
    </w:p>
    <w:p>
      <w:pPr>
        <w:ind w:firstLine="480"/>
        <w:jc w:val="center"/>
      </w:pPr>
      <w:r>
        <w:t>P</w:t>
      </w:r>
      <w:r>
        <w:rPr>
          <w:vertAlign w:val="subscript"/>
        </w:rPr>
        <w:t>i</w:t>
      </w:r>
      <w:r>
        <w:t>=C</w:t>
      </w:r>
      <w:r>
        <w:rPr>
          <w:vertAlign w:val="subscript"/>
        </w:rPr>
        <w:t>i</w:t>
      </w:r>
      <w:r>
        <w:t>/C</w:t>
      </w:r>
      <w:r>
        <w:rPr>
          <w:vertAlign w:val="subscript"/>
        </w:rPr>
        <w:t>si</w:t>
      </w:r>
    </w:p>
    <w:p>
      <w:pPr>
        <w:ind w:firstLine="480"/>
      </w:pPr>
      <w:r>
        <w:rPr>
          <w:rFonts w:hint="eastAsia"/>
        </w:rPr>
        <w:t>式中：</w:t>
      </w:r>
    </w:p>
    <w:p>
      <w:pPr>
        <w:ind w:firstLine="480"/>
      </w:pPr>
      <w:r>
        <w:t>P</w:t>
      </w:r>
      <w:r>
        <w:rPr>
          <w:vertAlign w:val="subscript"/>
        </w:rPr>
        <w:t>i</w:t>
      </w:r>
      <w:r>
        <w:t>—</w:t>
      </w:r>
      <w:r>
        <w:rPr>
          <w:rFonts w:hint="eastAsia"/>
        </w:rPr>
        <w:t>第</w:t>
      </w:r>
      <w:r>
        <w:t>i</w:t>
      </w:r>
      <w:r>
        <w:rPr>
          <w:rFonts w:hint="eastAsia"/>
        </w:rPr>
        <w:t>个水质因子的标准指数，无量纲；</w:t>
      </w:r>
    </w:p>
    <w:p>
      <w:pPr>
        <w:ind w:firstLine="480"/>
      </w:pPr>
      <w:r>
        <w:t>C</w:t>
      </w:r>
      <w:r>
        <w:rPr>
          <w:vertAlign w:val="subscript"/>
        </w:rPr>
        <w:t>i</w:t>
      </w:r>
      <w:r>
        <w:t>—</w:t>
      </w:r>
      <w:r>
        <w:rPr>
          <w:rFonts w:hint="eastAsia"/>
        </w:rPr>
        <w:t>第</w:t>
      </w:r>
      <w:r>
        <w:t>i</w:t>
      </w:r>
      <w:r>
        <w:rPr>
          <w:rFonts w:hint="eastAsia"/>
        </w:rPr>
        <w:t>个水质因子的监测浓度值，</w:t>
      </w:r>
      <w:r>
        <w:t>mg/L</w:t>
      </w:r>
      <w:r>
        <w:rPr>
          <w:rFonts w:hint="eastAsia"/>
        </w:rPr>
        <w:t>；</w:t>
      </w:r>
    </w:p>
    <w:p>
      <w:pPr>
        <w:ind w:firstLine="480"/>
      </w:pPr>
      <w:r>
        <w:t>C</w:t>
      </w:r>
      <w:r>
        <w:rPr>
          <w:vertAlign w:val="subscript"/>
        </w:rPr>
        <w:t>si</w:t>
      </w:r>
      <w:r>
        <w:t>—</w:t>
      </w:r>
      <w:r>
        <w:rPr>
          <w:rFonts w:hint="eastAsia"/>
        </w:rPr>
        <w:t>第</w:t>
      </w:r>
      <w:r>
        <w:t>i</w:t>
      </w:r>
      <w:r>
        <w:rPr>
          <w:rFonts w:hint="eastAsia"/>
        </w:rPr>
        <w:t>个水质因子的标准浓度值，</w:t>
      </w:r>
      <w:r>
        <w:t>mg/L</w:t>
      </w:r>
      <w:r>
        <w:rPr>
          <w:rFonts w:hint="eastAsia"/>
        </w:rPr>
        <w:t>。</w:t>
      </w:r>
    </w:p>
    <w:p>
      <w:pPr>
        <w:ind w:firstLine="480"/>
      </w:pPr>
      <w:r>
        <w:rPr>
          <w:rFonts w:hint="eastAsia"/>
        </w:rPr>
        <w:t>对于</w:t>
      </w:r>
      <w:r>
        <w:t>pH</w:t>
      </w:r>
      <w:r>
        <w:rPr>
          <w:rFonts w:hint="eastAsia"/>
        </w:rPr>
        <w:t>为：</w:t>
      </w:r>
    </w:p>
    <w:p>
      <w:pPr>
        <w:ind w:firstLine="480"/>
        <w:jc w:val="center"/>
      </w:pPr>
      <w:r>
        <w:rPr>
          <w:rFonts w:ascii="Times New Roman" w:hAnsi="Times New Roman" w:eastAsia="宋体" w:cs="Times New Roman"/>
          <w:kern w:val="2"/>
          <w:sz w:val="24"/>
          <w:szCs w:val="21"/>
          <w:lang w:val="en-US" w:eastAsia="zh-CN" w:bidi="ar-SA"/>
        </w:rPr>
        <w:object>
          <v:shape id="Picture 7" type="#_x0000_t75" style="height:31pt;width:82.9pt;rotation:0f;" o:ole="t"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o:OLEObject Type="Embed" ProgID="" ShapeID="Picture 7" DrawAspect="Content" ObjectID="_71" r:id="rId38"/>
        </w:object>
      </w:r>
      <w:r>
        <w:t xml:space="preserve"> (pH≤7.0</w:t>
      </w:r>
      <w:r>
        <w:rPr>
          <w:rFonts w:hint="eastAsia"/>
        </w:rPr>
        <w:t>时</w:t>
      </w:r>
      <w:r>
        <w:t>)</w:t>
      </w:r>
    </w:p>
    <w:p>
      <w:pPr>
        <w:ind w:firstLine="480"/>
        <w:jc w:val="center"/>
      </w:pPr>
      <w:r>
        <w:rPr>
          <w:rFonts w:ascii="Times New Roman" w:hAnsi="Times New Roman" w:eastAsia="宋体" w:cs="Times New Roman"/>
          <w:kern w:val="2"/>
          <w:sz w:val="24"/>
          <w:szCs w:val="21"/>
          <w:lang w:val="en-US" w:eastAsia="zh-CN" w:bidi="ar-SA"/>
        </w:rPr>
        <w:object>
          <v:shape id="Picture 8" type="#_x0000_t75" style="height:31pt;width:77pt;rotation:0f;" o:ole="t"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o:OLEObject Type="Embed" ProgID="" ShapeID="Picture 8" DrawAspect="Content" ObjectID="_72" r:id="rId40"/>
        </w:object>
      </w:r>
      <w:r>
        <w:t xml:space="preserve"> (pH</w:t>
      </w:r>
      <w:r>
        <w:rPr>
          <w:rFonts w:hint="eastAsia"/>
        </w:rPr>
        <w:t>＞</w:t>
      </w:r>
      <w:r>
        <w:t>7.0</w:t>
      </w:r>
      <w:r>
        <w:rPr>
          <w:rFonts w:hint="eastAsia"/>
        </w:rPr>
        <w:t>时</w:t>
      </w:r>
      <w:r>
        <w:t>)</w:t>
      </w:r>
    </w:p>
    <w:p>
      <w:pPr>
        <w:ind w:firstLine="480"/>
      </w:pPr>
      <w:r>
        <w:rPr>
          <w:rFonts w:hint="eastAsia"/>
        </w:rPr>
        <w:t>式中：</w:t>
      </w:r>
    </w:p>
    <w:p>
      <w:pPr>
        <w:ind w:firstLine="480"/>
      </w:pPr>
      <w:r>
        <w:t>P</w:t>
      </w:r>
      <w:r>
        <w:rPr>
          <w:vertAlign w:val="subscript"/>
        </w:rPr>
        <w:t>pH</w:t>
      </w:r>
      <w:r>
        <w:t xml:space="preserve"> —pH</w:t>
      </w:r>
      <w:r>
        <w:rPr>
          <w:rFonts w:hint="eastAsia"/>
        </w:rPr>
        <w:t>的标准指数，无量纲；</w:t>
      </w:r>
    </w:p>
    <w:p>
      <w:pPr>
        <w:ind w:firstLine="480"/>
      </w:pPr>
      <w:r>
        <w:t>pH —pH</w:t>
      </w:r>
      <w:r>
        <w:rPr>
          <w:rFonts w:hint="eastAsia"/>
        </w:rPr>
        <w:t>监测值；</w:t>
      </w:r>
    </w:p>
    <w:p>
      <w:pPr>
        <w:ind w:firstLine="480"/>
      </w:pPr>
      <w:r>
        <w:t>pH</w:t>
      </w:r>
      <w:r>
        <w:rPr>
          <w:vertAlign w:val="subscript"/>
        </w:rPr>
        <w:t>su</w:t>
      </w:r>
      <w:r>
        <w:t>—</w:t>
      </w:r>
      <w:r>
        <w:rPr>
          <w:rFonts w:hint="eastAsia"/>
        </w:rPr>
        <w:t>标准中</w:t>
      </w:r>
      <w:r>
        <w:t>pH</w:t>
      </w:r>
      <w:r>
        <w:rPr>
          <w:rFonts w:hint="eastAsia"/>
        </w:rPr>
        <w:t>的上限值；</w:t>
      </w:r>
    </w:p>
    <w:p>
      <w:pPr>
        <w:ind w:firstLine="480"/>
      </w:pPr>
      <w:r>
        <w:t>pH</w:t>
      </w:r>
      <w:r>
        <w:rPr>
          <w:vertAlign w:val="subscript"/>
        </w:rPr>
        <w:t>sd</w:t>
      </w:r>
      <w:r>
        <w:t>—</w:t>
      </w:r>
      <w:r>
        <w:rPr>
          <w:rFonts w:hint="eastAsia"/>
        </w:rPr>
        <w:t>标准中</w:t>
      </w:r>
      <w:r>
        <w:t>pH</w:t>
      </w:r>
      <w:r>
        <w:rPr>
          <w:rFonts w:hint="eastAsia"/>
        </w:rPr>
        <w:t>的下限值；</w:t>
      </w:r>
    </w:p>
    <w:p>
      <w:pPr>
        <w:ind w:firstLine="480"/>
      </w:pPr>
      <w:r>
        <w:rPr>
          <w:rFonts w:hint="eastAsia"/>
        </w:rPr>
        <w:t>③评价结果</w:t>
      </w:r>
    </w:p>
    <w:p>
      <w:pPr>
        <w:ind w:firstLine="480"/>
      </w:pPr>
      <w:r>
        <w:rPr>
          <w:rFonts w:hint="eastAsia"/>
        </w:rPr>
        <w:t>采用标准指数法进行评价，监测因子相应浓度的标准指数见表</w:t>
      </w:r>
      <w:r>
        <w:t>4.2-3</w:t>
      </w:r>
      <w:r>
        <w:rPr>
          <w:rFonts w:hint="eastAsia"/>
        </w:rPr>
        <w:t>。</w:t>
      </w:r>
    </w:p>
    <w:p>
      <w:pPr>
        <w:pStyle w:val="14"/>
      </w:pPr>
      <w:r>
        <w:rPr>
          <w:rFonts w:hint="eastAsia"/>
        </w:rPr>
        <w:t>表</w:t>
      </w:r>
      <w:r>
        <w:fldChar w:fldCharType="begin"/>
      </w:r>
      <w:r>
        <w:instrText xml:space="preserve"> STYLEREF 2 \s </w:instrText>
      </w:r>
      <w:r>
        <w:fldChar w:fldCharType="separate"/>
      </w:r>
      <w:r>
        <w:t>4.2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项目地下水水质现状评价一览表</w:t>
      </w:r>
    </w:p>
    <w:tbl>
      <w:tblPr>
        <w:tblStyle w:val="35"/>
        <w:tblW w:w="8842"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071"/>
        <w:gridCol w:w="846"/>
        <w:gridCol w:w="1056"/>
        <w:gridCol w:w="939"/>
        <w:gridCol w:w="1173"/>
        <w:gridCol w:w="855"/>
        <w:gridCol w:w="846"/>
        <w:gridCol w:w="1056"/>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Merge w:val="restart"/>
            <w:tcBorders>
              <w:tl2br w:val="single" w:color="auto" w:sz="4" w:space="0"/>
            </w:tcBorders>
            <w:vAlign w:val="center"/>
          </w:tcPr>
          <w:p>
            <w:pPr>
              <w:pStyle w:val="37"/>
              <w:ind w:firstLine="945" w:firstLineChars="450"/>
              <w:jc w:val="both"/>
            </w:pPr>
            <w:r>
              <w:rPr>
                <w:rFonts w:hint="eastAsia"/>
              </w:rPr>
              <w:t>评价项目</w:t>
            </w:r>
          </w:p>
          <w:p>
            <w:pPr>
              <w:pStyle w:val="37"/>
              <w:jc w:val="both"/>
            </w:pPr>
            <w:r>
              <w:rPr>
                <w:rFonts w:hint="eastAsia"/>
              </w:rPr>
              <w:t>污染物</w:t>
            </w:r>
          </w:p>
        </w:tc>
        <w:tc>
          <w:tcPr>
            <w:tcW w:w="1902" w:type="dxa"/>
            <w:gridSpan w:val="2"/>
            <w:vAlign w:val="center"/>
          </w:tcPr>
          <w:p>
            <w:pPr>
              <w:pStyle w:val="37"/>
            </w:pPr>
            <w:r>
              <w:t>1#</w:t>
            </w:r>
            <w:r>
              <w:rPr>
                <w:rFonts w:hint="eastAsia"/>
              </w:rPr>
              <w:t>项目北面</w:t>
            </w:r>
            <w:r>
              <w:t>500m</w:t>
            </w:r>
          </w:p>
        </w:tc>
        <w:tc>
          <w:tcPr>
            <w:tcW w:w="2112" w:type="dxa"/>
            <w:gridSpan w:val="2"/>
            <w:vAlign w:val="center"/>
          </w:tcPr>
          <w:p>
            <w:pPr>
              <w:pStyle w:val="37"/>
            </w:pPr>
            <w:r>
              <w:t>2#</w:t>
            </w:r>
            <w:r>
              <w:rPr>
                <w:rFonts w:hint="eastAsia"/>
              </w:rPr>
              <w:t>项目西北面</w:t>
            </w:r>
            <w:r>
              <w:t>1000m</w:t>
            </w:r>
          </w:p>
        </w:tc>
        <w:tc>
          <w:tcPr>
            <w:tcW w:w="855" w:type="dxa"/>
            <w:vMerge w:val="restart"/>
            <w:tcBorders>
              <w:right w:val="single" w:color="auto" w:sz="4" w:space="0"/>
            </w:tcBorders>
            <w:vAlign w:val="top"/>
          </w:tcPr>
          <w:p>
            <w:pPr>
              <w:pStyle w:val="37"/>
            </w:pPr>
            <w:r>
              <w:rPr>
                <w:rFonts w:hint="eastAsia"/>
              </w:rPr>
              <w:t>标准值</w:t>
            </w:r>
          </w:p>
        </w:tc>
        <w:tc>
          <w:tcPr>
            <w:tcW w:w="846" w:type="dxa"/>
            <w:vMerge w:val="restart"/>
            <w:tcBorders>
              <w:left w:val="single" w:color="auto" w:sz="4" w:space="0"/>
            </w:tcBorders>
            <w:vAlign w:val="top"/>
          </w:tcPr>
          <w:p>
            <w:pPr>
              <w:pStyle w:val="37"/>
            </w:pPr>
            <w:r>
              <w:rPr>
                <w:rFonts w:hint="eastAsia"/>
              </w:rPr>
              <w:t>超标率</w:t>
            </w:r>
          </w:p>
        </w:tc>
        <w:tc>
          <w:tcPr>
            <w:tcW w:w="1056" w:type="dxa"/>
            <w:vMerge w:val="restart"/>
            <w:tcBorders>
              <w:left w:val="single" w:color="auto" w:sz="4" w:space="0"/>
            </w:tcBorders>
            <w:vAlign w:val="top"/>
          </w:tcPr>
          <w:p>
            <w:pPr>
              <w:pStyle w:val="37"/>
            </w:pPr>
            <w:r>
              <w:rPr>
                <w:rFonts w:hint="eastAsia"/>
              </w:rPr>
              <w:t>超标倍数</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Merge w:val="continue"/>
            <w:vAlign w:val="center"/>
          </w:tcPr>
          <w:p>
            <w:pPr>
              <w:pStyle w:val="37"/>
            </w:pPr>
          </w:p>
        </w:tc>
        <w:tc>
          <w:tcPr>
            <w:tcW w:w="846" w:type="dxa"/>
            <w:vAlign w:val="center"/>
          </w:tcPr>
          <w:p>
            <w:pPr>
              <w:pStyle w:val="37"/>
            </w:pPr>
            <w:r>
              <w:rPr>
                <w:rFonts w:hint="eastAsia"/>
              </w:rPr>
              <w:t>最大值</w:t>
            </w:r>
          </w:p>
        </w:tc>
        <w:tc>
          <w:tcPr>
            <w:tcW w:w="1056" w:type="dxa"/>
            <w:vAlign w:val="center"/>
          </w:tcPr>
          <w:p>
            <w:pPr>
              <w:pStyle w:val="37"/>
            </w:pPr>
            <w:r>
              <w:rPr>
                <w:rFonts w:hint="eastAsia"/>
              </w:rPr>
              <w:t>标准指数</w:t>
            </w:r>
          </w:p>
        </w:tc>
        <w:tc>
          <w:tcPr>
            <w:tcW w:w="939" w:type="dxa"/>
            <w:vAlign w:val="center"/>
          </w:tcPr>
          <w:p>
            <w:pPr>
              <w:pStyle w:val="37"/>
            </w:pPr>
            <w:r>
              <w:rPr>
                <w:rFonts w:hint="eastAsia"/>
              </w:rPr>
              <w:t>最大值</w:t>
            </w:r>
          </w:p>
        </w:tc>
        <w:tc>
          <w:tcPr>
            <w:tcW w:w="1173" w:type="dxa"/>
            <w:vAlign w:val="center"/>
          </w:tcPr>
          <w:p>
            <w:pPr>
              <w:pStyle w:val="37"/>
            </w:pPr>
            <w:r>
              <w:rPr>
                <w:rFonts w:hint="eastAsia"/>
              </w:rPr>
              <w:t>标准指数</w:t>
            </w:r>
          </w:p>
        </w:tc>
        <w:tc>
          <w:tcPr>
            <w:tcW w:w="855" w:type="dxa"/>
            <w:vMerge w:val="continue"/>
            <w:tcBorders>
              <w:right w:val="single" w:color="auto" w:sz="4" w:space="0"/>
            </w:tcBorders>
            <w:vAlign w:val="top"/>
          </w:tcPr>
          <w:p>
            <w:pPr>
              <w:pStyle w:val="37"/>
            </w:pPr>
          </w:p>
        </w:tc>
        <w:tc>
          <w:tcPr>
            <w:tcW w:w="846" w:type="dxa"/>
            <w:vMerge w:val="continue"/>
            <w:tcBorders>
              <w:left w:val="single" w:color="auto" w:sz="4" w:space="0"/>
            </w:tcBorders>
            <w:vAlign w:val="top"/>
          </w:tcPr>
          <w:p>
            <w:pPr>
              <w:pStyle w:val="37"/>
            </w:pPr>
          </w:p>
        </w:tc>
        <w:tc>
          <w:tcPr>
            <w:tcW w:w="1056" w:type="dxa"/>
            <w:vMerge w:val="continue"/>
            <w:tcBorders>
              <w:left w:val="single" w:color="auto" w:sz="4" w:space="0"/>
            </w:tcBorders>
            <w:vAlign w:val="top"/>
          </w:tcPr>
          <w:p>
            <w:pPr>
              <w:pStyle w:val="37"/>
            </w:pP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t>pH</w:t>
            </w:r>
            <w:r>
              <w:rPr>
                <w:rFonts w:hint="eastAsia"/>
              </w:rPr>
              <w:t>（无量纲）</w:t>
            </w:r>
          </w:p>
        </w:tc>
        <w:tc>
          <w:tcPr>
            <w:tcW w:w="846" w:type="dxa"/>
            <w:vAlign w:val="center"/>
          </w:tcPr>
          <w:p>
            <w:pPr>
              <w:pStyle w:val="37"/>
            </w:pPr>
            <w:r>
              <w:t>6.89</w:t>
            </w:r>
          </w:p>
        </w:tc>
        <w:tc>
          <w:tcPr>
            <w:tcW w:w="1056" w:type="dxa"/>
            <w:vAlign w:val="center"/>
          </w:tcPr>
          <w:p>
            <w:pPr>
              <w:pStyle w:val="37"/>
            </w:pPr>
            <w:r>
              <w:t>0.22</w:t>
            </w:r>
          </w:p>
        </w:tc>
        <w:tc>
          <w:tcPr>
            <w:tcW w:w="939" w:type="dxa"/>
            <w:vAlign w:val="center"/>
          </w:tcPr>
          <w:p>
            <w:pPr>
              <w:pStyle w:val="37"/>
            </w:pPr>
            <w:r>
              <w:t>6.75</w:t>
            </w:r>
          </w:p>
        </w:tc>
        <w:tc>
          <w:tcPr>
            <w:tcW w:w="1173" w:type="dxa"/>
            <w:vAlign w:val="center"/>
          </w:tcPr>
          <w:p>
            <w:pPr>
              <w:pStyle w:val="37"/>
            </w:pPr>
            <w:r>
              <w:t>0.5</w:t>
            </w:r>
          </w:p>
        </w:tc>
        <w:tc>
          <w:tcPr>
            <w:tcW w:w="855" w:type="dxa"/>
            <w:tcBorders>
              <w:right w:val="single" w:color="auto" w:sz="4" w:space="0"/>
            </w:tcBorders>
            <w:vAlign w:val="top"/>
          </w:tcPr>
          <w:p>
            <w:pPr>
              <w:pStyle w:val="37"/>
            </w:pPr>
            <w:r>
              <w:t>6.5~8.5</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高锰酸盐指数</w:t>
            </w:r>
            <w:r>
              <w:t>(mg/L)</w:t>
            </w:r>
          </w:p>
        </w:tc>
        <w:tc>
          <w:tcPr>
            <w:tcW w:w="846" w:type="dxa"/>
            <w:vAlign w:val="center"/>
          </w:tcPr>
          <w:p>
            <w:pPr>
              <w:pStyle w:val="37"/>
            </w:pPr>
            <w:r>
              <w:t>0.7</w:t>
            </w:r>
          </w:p>
        </w:tc>
        <w:tc>
          <w:tcPr>
            <w:tcW w:w="1056" w:type="dxa"/>
            <w:vAlign w:val="center"/>
          </w:tcPr>
          <w:p>
            <w:pPr>
              <w:pStyle w:val="37"/>
            </w:pPr>
            <w:r>
              <w:t>0.23</w:t>
            </w:r>
          </w:p>
        </w:tc>
        <w:tc>
          <w:tcPr>
            <w:tcW w:w="939" w:type="dxa"/>
            <w:vAlign w:val="center"/>
          </w:tcPr>
          <w:p>
            <w:pPr>
              <w:pStyle w:val="37"/>
            </w:pPr>
            <w:r>
              <w:t>2.9</w:t>
            </w:r>
          </w:p>
        </w:tc>
        <w:tc>
          <w:tcPr>
            <w:tcW w:w="1173" w:type="dxa"/>
            <w:vAlign w:val="center"/>
          </w:tcPr>
          <w:p>
            <w:pPr>
              <w:pStyle w:val="37"/>
            </w:pPr>
            <w:r>
              <w:t>0.97</w:t>
            </w:r>
          </w:p>
        </w:tc>
        <w:tc>
          <w:tcPr>
            <w:tcW w:w="855" w:type="dxa"/>
            <w:tcBorders>
              <w:right w:val="single" w:color="auto" w:sz="4" w:space="0"/>
            </w:tcBorders>
            <w:vAlign w:val="top"/>
          </w:tcPr>
          <w:p>
            <w:pPr>
              <w:pStyle w:val="37"/>
            </w:pPr>
            <w:r>
              <w:t>3.0</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氨氮</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0.42</w:t>
            </w:r>
          </w:p>
        </w:tc>
        <w:tc>
          <w:tcPr>
            <w:tcW w:w="1173" w:type="dxa"/>
            <w:vAlign w:val="center"/>
          </w:tcPr>
          <w:p>
            <w:pPr>
              <w:pStyle w:val="37"/>
            </w:pPr>
            <w:r>
              <w:t>2.1</w:t>
            </w:r>
          </w:p>
        </w:tc>
        <w:tc>
          <w:tcPr>
            <w:tcW w:w="855" w:type="dxa"/>
            <w:tcBorders>
              <w:right w:val="single" w:color="auto" w:sz="4" w:space="0"/>
            </w:tcBorders>
            <w:vAlign w:val="top"/>
          </w:tcPr>
          <w:p>
            <w:pPr>
              <w:pStyle w:val="37"/>
            </w:pPr>
            <w:r>
              <w:t>0.2</w:t>
            </w:r>
          </w:p>
        </w:tc>
        <w:tc>
          <w:tcPr>
            <w:tcW w:w="846" w:type="dxa"/>
            <w:tcBorders>
              <w:left w:val="single" w:color="auto" w:sz="4" w:space="0"/>
            </w:tcBorders>
            <w:vAlign w:val="top"/>
          </w:tcPr>
          <w:p>
            <w:pPr>
              <w:pStyle w:val="37"/>
            </w:pPr>
            <w:r>
              <w:t>25</w:t>
            </w:r>
          </w:p>
        </w:tc>
        <w:tc>
          <w:tcPr>
            <w:tcW w:w="1056" w:type="dxa"/>
            <w:tcBorders>
              <w:left w:val="single" w:color="auto" w:sz="4" w:space="0"/>
            </w:tcBorders>
            <w:vAlign w:val="top"/>
          </w:tcPr>
          <w:p>
            <w:pPr>
              <w:pStyle w:val="37"/>
            </w:pPr>
            <w:r>
              <w:t>1.1</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90" w:hRule="atLeast"/>
          <w:jc w:val="center"/>
        </w:trPr>
        <w:tc>
          <w:tcPr>
            <w:tcW w:w="2071" w:type="dxa"/>
            <w:vAlign w:val="center"/>
          </w:tcPr>
          <w:p>
            <w:pPr>
              <w:pStyle w:val="37"/>
            </w:pPr>
            <w:r>
              <w:rPr>
                <w:rFonts w:hint="eastAsia"/>
              </w:rPr>
              <w:t>砷</w:t>
            </w:r>
            <w:r>
              <w:t>(µg/L)</w:t>
            </w:r>
          </w:p>
        </w:tc>
        <w:tc>
          <w:tcPr>
            <w:tcW w:w="846" w:type="dxa"/>
            <w:vAlign w:val="center"/>
          </w:tcPr>
          <w:p>
            <w:pPr>
              <w:pStyle w:val="37"/>
            </w:pPr>
            <w:r>
              <w:t>5.1</w:t>
            </w:r>
          </w:p>
        </w:tc>
        <w:tc>
          <w:tcPr>
            <w:tcW w:w="1056" w:type="dxa"/>
            <w:vAlign w:val="center"/>
          </w:tcPr>
          <w:p>
            <w:pPr>
              <w:pStyle w:val="37"/>
            </w:pPr>
            <w:r>
              <w:t>0.102</w:t>
            </w:r>
          </w:p>
        </w:tc>
        <w:tc>
          <w:tcPr>
            <w:tcW w:w="939" w:type="dxa"/>
            <w:vAlign w:val="center"/>
          </w:tcPr>
          <w:p>
            <w:pPr>
              <w:pStyle w:val="37"/>
            </w:pPr>
            <w:r>
              <w:t>2.0</w:t>
            </w:r>
          </w:p>
        </w:tc>
        <w:tc>
          <w:tcPr>
            <w:tcW w:w="1173" w:type="dxa"/>
            <w:vAlign w:val="center"/>
          </w:tcPr>
          <w:p>
            <w:pPr>
              <w:pStyle w:val="37"/>
            </w:pPr>
            <w:r>
              <w:t>0.04</w:t>
            </w:r>
          </w:p>
        </w:tc>
        <w:tc>
          <w:tcPr>
            <w:tcW w:w="855" w:type="dxa"/>
            <w:tcBorders>
              <w:right w:val="single" w:color="auto" w:sz="4" w:space="0"/>
            </w:tcBorders>
            <w:vAlign w:val="top"/>
          </w:tcPr>
          <w:p>
            <w:pPr>
              <w:pStyle w:val="37"/>
            </w:pPr>
            <w:r>
              <w:t>50</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汞</w:t>
            </w:r>
            <w:r>
              <w:t>(µg/L)</w:t>
            </w:r>
          </w:p>
        </w:tc>
        <w:tc>
          <w:tcPr>
            <w:tcW w:w="846" w:type="dxa"/>
            <w:vAlign w:val="center"/>
          </w:tcPr>
          <w:p>
            <w:pPr>
              <w:pStyle w:val="37"/>
            </w:pPr>
            <w:r>
              <w:t>0.28</w:t>
            </w:r>
          </w:p>
        </w:tc>
        <w:tc>
          <w:tcPr>
            <w:tcW w:w="1056" w:type="dxa"/>
            <w:vAlign w:val="center"/>
          </w:tcPr>
          <w:p>
            <w:pPr>
              <w:pStyle w:val="37"/>
            </w:pPr>
            <w:r>
              <w:t>0.28</w:t>
            </w:r>
          </w:p>
        </w:tc>
        <w:tc>
          <w:tcPr>
            <w:tcW w:w="939" w:type="dxa"/>
            <w:vAlign w:val="center"/>
          </w:tcPr>
          <w:p>
            <w:pPr>
              <w:pStyle w:val="37"/>
            </w:pPr>
            <w:r>
              <w:t>0.35</w:t>
            </w:r>
          </w:p>
        </w:tc>
        <w:tc>
          <w:tcPr>
            <w:tcW w:w="1173" w:type="dxa"/>
            <w:vAlign w:val="center"/>
          </w:tcPr>
          <w:p>
            <w:pPr>
              <w:pStyle w:val="37"/>
            </w:pPr>
            <w:r>
              <w:t>0.35</w:t>
            </w:r>
          </w:p>
        </w:tc>
        <w:tc>
          <w:tcPr>
            <w:tcW w:w="855" w:type="dxa"/>
            <w:tcBorders>
              <w:right w:val="single" w:color="auto" w:sz="4" w:space="0"/>
            </w:tcBorders>
            <w:vAlign w:val="top"/>
          </w:tcPr>
          <w:p>
            <w:pPr>
              <w:pStyle w:val="37"/>
            </w:pPr>
            <w:r>
              <w:t>1</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六价铬</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w:t>
            </w:r>
          </w:p>
        </w:tc>
        <w:tc>
          <w:tcPr>
            <w:tcW w:w="1173" w:type="dxa"/>
            <w:vAlign w:val="center"/>
          </w:tcPr>
          <w:p>
            <w:pPr>
              <w:pStyle w:val="37"/>
            </w:pPr>
            <w:r>
              <w:t>/</w:t>
            </w:r>
          </w:p>
        </w:tc>
        <w:tc>
          <w:tcPr>
            <w:tcW w:w="855" w:type="dxa"/>
            <w:tcBorders>
              <w:right w:val="single" w:color="auto" w:sz="4" w:space="0"/>
            </w:tcBorders>
            <w:vAlign w:val="top"/>
          </w:tcPr>
          <w:p>
            <w:pPr>
              <w:pStyle w:val="37"/>
            </w:pPr>
            <w:r>
              <w:t>0.05</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铅</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w:t>
            </w:r>
          </w:p>
        </w:tc>
        <w:tc>
          <w:tcPr>
            <w:tcW w:w="1173" w:type="dxa"/>
            <w:vAlign w:val="center"/>
          </w:tcPr>
          <w:p>
            <w:pPr>
              <w:pStyle w:val="37"/>
            </w:pPr>
            <w:r>
              <w:t>/</w:t>
            </w:r>
          </w:p>
        </w:tc>
        <w:tc>
          <w:tcPr>
            <w:tcW w:w="855" w:type="dxa"/>
            <w:tcBorders>
              <w:right w:val="single" w:color="auto" w:sz="4" w:space="0"/>
            </w:tcBorders>
            <w:vAlign w:val="top"/>
          </w:tcPr>
          <w:p>
            <w:pPr>
              <w:pStyle w:val="37"/>
            </w:pPr>
            <w:r>
              <w:t>0.05</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镉</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w:t>
            </w:r>
          </w:p>
        </w:tc>
        <w:tc>
          <w:tcPr>
            <w:tcW w:w="1173" w:type="dxa"/>
            <w:vAlign w:val="center"/>
          </w:tcPr>
          <w:p>
            <w:pPr>
              <w:pStyle w:val="37"/>
            </w:pPr>
            <w:r>
              <w:t>/</w:t>
            </w:r>
          </w:p>
        </w:tc>
        <w:tc>
          <w:tcPr>
            <w:tcW w:w="855" w:type="dxa"/>
            <w:tcBorders>
              <w:right w:val="single" w:color="auto" w:sz="4" w:space="0"/>
            </w:tcBorders>
            <w:vAlign w:val="top"/>
          </w:tcPr>
          <w:p>
            <w:pPr>
              <w:pStyle w:val="37"/>
            </w:pPr>
            <w:r>
              <w:t>0.01</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铁</w:t>
            </w:r>
            <w:r>
              <w:t>(mg/L)</w:t>
            </w:r>
          </w:p>
        </w:tc>
        <w:tc>
          <w:tcPr>
            <w:tcW w:w="846" w:type="dxa"/>
            <w:vAlign w:val="center"/>
          </w:tcPr>
          <w:p>
            <w:pPr>
              <w:pStyle w:val="37"/>
            </w:pPr>
            <w:r>
              <w:t>0.06</w:t>
            </w:r>
          </w:p>
        </w:tc>
        <w:tc>
          <w:tcPr>
            <w:tcW w:w="1056" w:type="dxa"/>
            <w:vAlign w:val="center"/>
          </w:tcPr>
          <w:p>
            <w:pPr>
              <w:pStyle w:val="37"/>
            </w:pPr>
            <w:r>
              <w:t>0.2</w:t>
            </w:r>
          </w:p>
        </w:tc>
        <w:tc>
          <w:tcPr>
            <w:tcW w:w="939" w:type="dxa"/>
            <w:vAlign w:val="center"/>
          </w:tcPr>
          <w:p>
            <w:pPr>
              <w:pStyle w:val="37"/>
            </w:pPr>
            <w:r>
              <w:t>0.16</w:t>
            </w:r>
          </w:p>
        </w:tc>
        <w:tc>
          <w:tcPr>
            <w:tcW w:w="1173" w:type="dxa"/>
            <w:vAlign w:val="center"/>
          </w:tcPr>
          <w:p>
            <w:pPr>
              <w:pStyle w:val="37"/>
            </w:pPr>
            <w:r>
              <w:t>0.53</w:t>
            </w:r>
          </w:p>
        </w:tc>
        <w:tc>
          <w:tcPr>
            <w:tcW w:w="855" w:type="dxa"/>
            <w:tcBorders>
              <w:right w:val="single" w:color="auto" w:sz="4" w:space="0"/>
            </w:tcBorders>
            <w:vAlign w:val="top"/>
          </w:tcPr>
          <w:p>
            <w:pPr>
              <w:pStyle w:val="37"/>
            </w:pPr>
            <w:r>
              <w:t>0.3</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锰</w:t>
            </w:r>
            <w:r>
              <w:t>(mg/L)</w:t>
            </w:r>
          </w:p>
        </w:tc>
        <w:tc>
          <w:tcPr>
            <w:tcW w:w="846" w:type="dxa"/>
            <w:vAlign w:val="center"/>
          </w:tcPr>
          <w:p>
            <w:pPr>
              <w:pStyle w:val="37"/>
            </w:pPr>
            <w:r>
              <w:t>0.01</w:t>
            </w:r>
          </w:p>
        </w:tc>
        <w:tc>
          <w:tcPr>
            <w:tcW w:w="1056" w:type="dxa"/>
            <w:vAlign w:val="center"/>
          </w:tcPr>
          <w:p>
            <w:pPr>
              <w:pStyle w:val="37"/>
            </w:pPr>
            <w:r>
              <w:t>0.1</w:t>
            </w:r>
          </w:p>
        </w:tc>
        <w:tc>
          <w:tcPr>
            <w:tcW w:w="939" w:type="dxa"/>
            <w:vAlign w:val="center"/>
          </w:tcPr>
          <w:p>
            <w:pPr>
              <w:pStyle w:val="37"/>
            </w:pPr>
            <w:r>
              <w:t>/</w:t>
            </w:r>
          </w:p>
        </w:tc>
        <w:tc>
          <w:tcPr>
            <w:tcW w:w="1173" w:type="dxa"/>
            <w:vAlign w:val="center"/>
          </w:tcPr>
          <w:p>
            <w:pPr>
              <w:pStyle w:val="37"/>
            </w:pPr>
            <w:r>
              <w:t>/</w:t>
            </w:r>
          </w:p>
        </w:tc>
        <w:tc>
          <w:tcPr>
            <w:tcW w:w="855" w:type="dxa"/>
            <w:tcBorders>
              <w:right w:val="single" w:color="auto" w:sz="4" w:space="0"/>
            </w:tcBorders>
            <w:vAlign w:val="top"/>
          </w:tcPr>
          <w:p>
            <w:pPr>
              <w:pStyle w:val="37"/>
            </w:pPr>
            <w:r>
              <w:t>0.1</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铜</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w:t>
            </w:r>
          </w:p>
        </w:tc>
        <w:tc>
          <w:tcPr>
            <w:tcW w:w="1173" w:type="dxa"/>
            <w:vAlign w:val="center"/>
          </w:tcPr>
          <w:p>
            <w:pPr>
              <w:pStyle w:val="37"/>
            </w:pPr>
            <w:r>
              <w:t>/</w:t>
            </w:r>
          </w:p>
        </w:tc>
        <w:tc>
          <w:tcPr>
            <w:tcW w:w="855" w:type="dxa"/>
            <w:tcBorders>
              <w:right w:val="single" w:color="auto" w:sz="4" w:space="0"/>
            </w:tcBorders>
            <w:vAlign w:val="top"/>
          </w:tcPr>
          <w:p>
            <w:pPr>
              <w:pStyle w:val="37"/>
            </w:pPr>
            <w:r>
              <w:t>1.0</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锌</w:t>
            </w:r>
            <w:r>
              <w:t>(mg/L)</w:t>
            </w:r>
          </w:p>
        </w:tc>
        <w:tc>
          <w:tcPr>
            <w:tcW w:w="846" w:type="dxa"/>
            <w:vAlign w:val="center"/>
          </w:tcPr>
          <w:p>
            <w:pPr>
              <w:pStyle w:val="37"/>
            </w:pPr>
            <w:r>
              <w:t>/</w:t>
            </w:r>
          </w:p>
        </w:tc>
        <w:tc>
          <w:tcPr>
            <w:tcW w:w="1056" w:type="dxa"/>
            <w:vAlign w:val="center"/>
          </w:tcPr>
          <w:p>
            <w:pPr>
              <w:pStyle w:val="37"/>
            </w:pPr>
            <w:r>
              <w:t>/</w:t>
            </w:r>
          </w:p>
        </w:tc>
        <w:tc>
          <w:tcPr>
            <w:tcW w:w="939" w:type="dxa"/>
            <w:vAlign w:val="center"/>
          </w:tcPr>
          <w:p>
            <w:pPr>
              <w:pStyle w:val="37"/>
            </w:pPr>
            <w:r>
              <w:t>0.06</w:t>
            </w:r>
          </w:p>
        </w:tc>
        <w:tc>
          <w:tcPr>
            <w:tcW w:w="1173" w:type="dxa"/>
            <w:vAlign w:val="center"/>
          </w:tcPr>
          <w:p>
            <w:pPr>
              <w:pStyle w:val="37"/>
            </w:pPr>
            <w:r>
              <w:t>0.06</w:t>
            </w:r>
          </w:p>
        </w:tc>
        <w:tc>
          <w:tcPr>
            <w:tcW w:w="855" w:type="dxa"/>
            <w:tcBorders>
              <w:right w:val="single" w:color="auto" w:sz="4" w:space="0"/>
            </w:tcBorders>
            <w:vAlign w:val="top"/>
          </w:tcPr>
          <w:p>
            <w:pPr>
              <w:pStyle w:val="37"/>
            </w:pPr>
            <w:r>
              <w:t>1.0</w:t>
            </w:r>
          </w:p>
        </w:tc>
        <w:tc>
          <w:tcPr>
            <w:tcW w:w="846" w:type="dxa"/>
            <w:tcBorders>
              <w:left w:val="single" w:color="auto" w:sz="4" w:space="0"/>
            </w:tcBorders>
            <w:vAlign w:val="top"/>
          </w:tcPr>
          <w:p>
            <w:pPr>
              <w:pStyle w:val="37"/>
            </w:pPr>
            <w:r>
              <w:t>0</w:t>
            </w:r>
          </w:p>
        </w:tc>
        <w:tc>
          <w:tcPr>
            <w:tcW w:w="1056" w:type="dxa"/>
            <w:tcBorders>
              <w:left w:val="single" w:color="auto" w:sz="4" w:space="0"/>
            </w:tcBorders>
            <w:vAlign w:val="top"/>
          </w:tcPr>
          <w:p>
            <w:pPr>
              <w:pStyle w:val="37"/>
            </w:pPr>
            <w: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rPr>
                <w:bCs/>
              </w:rPr>
            </w:pPr>
            <w:r>
              <w:rPr>
                <w:rFonts w:hint="eastAsia"/>
                <w:bCs/>
              </w:rPr>
              <w:t>总大肠菌群（MPN/L）</w:t>
            </w:r>
          </w:p>
        </w:tc>
        <w:tc>
          <w:tcPr>
            <w:tcW w:w="846" w:type="dxa"/>
            <w:vAlign w:val="center"/>
          </w:tcPr>
          <w:p>
            <w:pPr>
              <w:pStyle w:val="37"/>
            </w:pPr>
            <w:r>
              <w:rPr>
                <w:rFonts w:hint="eastAsia"/>
              </w:rPr>
              <w:t>70</w:t>
            </w:r>
          </w:p>
        </w:tc>
        <w:tc>
          <w:tcPr>
            <w:tcW w:w="1056" w:type="dxa"/>
            <w:vAlign w:val="center"/>
          </w:tcPr>
          <w:p>
            <w:pPr>
              <w:pStyle w:val="37"/>
            </w:pPr>
            <w:r>
              <w:rPr>
                <w:rFonts w:hint="eastAsia"/>
              </w:rPr>
              <w:t>23</w:t>
            </w:r>
          </w:p>
        </w:tc>
        <w:tc>
          <w:tcPr>
            <w:tcW w:w="939" w:type="dxa"/>
            <w:vAlign w:val="center"/>
          </w:tcPr>
          <w:p>
            <w:pPr>
              <w:pStyle w:val="37"/>
            </w:pPr>
            <w:r>
              <w:rPr>
                <w:rFonts w:hint="eastAsia"/>
              </w:rPr>
              <w:t>50</w:t>
            </w:r>
          </w:p>
        </w:tc>
        <w:tc>
          <w:tcPr>
            <w:tcW w:w="1173" w:type="dxa"/>
            <w:vAlign w:val="center"/>
          </w:tcPr>
          <w:p>
            <w:pPr>
              <w:pStyle w:val="37"/>
            </w:pPr>
            <w:r>
              <w:rPr>
                <w:rFonts w:hint="eastAsia"/>
              </w:rPr>
              <w:t>17</w:t>
            </w:r>
          </w:p>
        </w:tc>
        <w:tc>
          <w:tcPr>
            <w:tcW w:w="855" w:type="dxa"/>
            <w:tcBorders>
              <w:right w:val="single" w:color="auto" w:sz="4" w:space="0"/>
            </w:tcBorders>
            <w:vAlign w:val="center"/>
          </w:tcPr>
          <w:p>
            <w:pPr>
              <w:pStyle w:val="37"/>
            </w:pPr>
            <w:r>
              <w:rPr>
                <w:rFonts w:hint="eastAsia"/>
              </w:rPr>
              <w:t>3</w:t>
            </w:r>
          </w:p>
        </w:tc>
        <w:tc>
          <w:tcPr>
            <w:tcW w:w="846" w:type="dxa"/>
            <w:tcBorders>
              <w:left w:val="single" w:color="auto" w:sz="4" w:space="0"/>
            </w:tcBorders>
            <w:vAlign w:val="center"/>
          </w:tcPr>
          <w:p>
            <w:pPr>
              <w:pStyle w:val="37"/>
            </w:pPr>
            <w:r>
              <w:rPr>
                <w:rFonts w:hint="eastAsia"/>
              </w:rPr>
              <w:t>100</w:t>
            </w:r>
          </w:p>
        </w:tc>
        <w:tc>
          <w:tcPr>
            <w:tcW w:w="1056" w:type="dxa"/>
            <w:tcBorders>
              <w:left w:val="single" w:color="auto" w:sz="4" w:space="0"/>
            </w:tcBorders>
            <w:vAlign w:val="center"/>
          </w:tcPr>
          <w:p>
            <w:pPr>
              <w:pStyle w:val="37"/>
            </w:pPr>
            <w:r>
              <w:rPr>
                <w:rFonts w:hint="eastAsia"/>
              </w:rPr>
              <w:t>22</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071" w:type="dxa"/>
            <w:vAlign w:val="center"/>
          </w:tcPr>
          <w:p>
            <w:pPr>
              <w:pStyle w:val="37"/>
            </w:pPr>
            <w:r>
              <w:rPr>
                <w:rFonts w:hint="eastAsia"/>
              </w:rPr>
              <w:t>备注</w:t>
            </w:r>
          </w:p>
        </w:tc>
        <w:tc>
          <w:tcPr>
            <w:tcW w:w="6771" w:type="dxa"/>
            <w:gridSpan w:val="7"/>
            <w:vAlign w:val="center"/>
          </w:tcPr>
          <w:p>
            <w:pPr>
              <w:pStyle w:val="37"/>
            </w:pPr>
            <w:r>
              <w:rPr>
                <w:rFonts w:hint="eastAsia"/>
              </w:rPr>
              <w:t>参考执行《地下水质量标准》（</w:t>
            </w:r>
            <w:r>
              <w:t>GB/T14848-1993</w:t>
            </w:r>
            <w:r>
              <w:rPr>
                <w:rFonts w:hint="eastAsia"/>
              </w:rPr>
              <w:t>）Ⅲ类标准</w:t>
            </w:r>
          </w:p>
        </w:tc>
      </w:tr>
    </w:tbl>
    <w:p>
      <w:pPr>
        <w:ind w:firstLine="480"/>
        <w:rPr>
          <w:u w:val="single"/>
        </w:rPr>
      </w:pPr>
      <w:r>
        <w:rPr>
          <w:rFonts w:hint="eastAsia"/>
        </w:rPr>
        <w:t>由表4</w:t>
      </w:r>
      <w:r>
        <w:t>.2-3</w:t>
      </w:r>
      <w:r>
        <w:rPr>
          <w:rFonts w:hint="eastAsia"/>
        </w:rPr>
        <w:t>可知，连续两天的监测中，项目西北面</w:t>
      </w:r>
      <w:r>
        <w:t>1000m</w:t>
      </w:r>
      <w:r>
        <w:rPr>
          <w:rFonts w:hint="eastAsia"/>
        </w:rPr>
        <w:t>处的地下水氨氮、总大肠菌群超标。项目区域地下水环境不能完全满足《地下水质量标准》（</w:t>
      </w:r>
      <w:r>
        <w:t>GB/T14848-1993</w:t>
      </w:r>
      <w:r>
        <w:rPr>
          <w:rFonts w:hint="eastAsia"/>
        </w:rPr>
        <w:t>）中</w:t>
      </w:r>
      <w:r>
        <w:fldChar w:fldCharType="begin"/>
      </w:r>
      <w:r>
        <w:instrText xml:space="preserve"> = 3 \* ROMAN </w:instrText>
      </w:r>
      <w:r>
        <w:fldChar w:fldCharType="separate"/>
      </w:r>
      <w:r>
        <w:t>III</w:t>
      </w:r>
      <w:r>
        <w:fldChar w:fldCharType="end"/>
      </w:r>
      <w:r>
        <w:rPr>
          <w:rFonts w:hint="eastAsia"/>
        </w:rPr>
        <w:t>类标准。</w:t>
      </w:r>
      <w:r>
        <w:rPr>
          <w:rFonts w:hint="eastAsia"/>
          <w:u w:val="single"/>
        </w:rPr>
        <w:t>根据现场调查，项目西北面为农田旱地，当地居民使用化粪池中废水作为农肥浇灌，部分未经吸收的浇灌废水渗入地下，造成区域地下水中氨氮、总大肠菌群超标。因此，建议当地居民合理利用农肥浇灌耕地。</w:t>
      </w:r>
    </w:p>
    <w:p>
      <w:pPr>
        <w:pStyle w:val="3"/>
      </w:pPr>
      <w:bookmarkStart w:id="95" w:name="_Toc218315364"/>
      <w:bookmarkStart w:id="96" w:name="_Toc82502300"/>
      <w:bookmarkStart w:id="97" w:name="_Toc122486655"/>
      <w:bookmarkStart w:id="98" w:name="_Toc199844088"/>
      <w:bookmarkStart w:id="99" w:name="_Toc124301365"/>
      <w:bookmarkStart w:id="100" w:name="_Toc337645882"/>
      <w:bookmarkStart w:id="101" w:name="_Toc346092580"/>
      <w:bookmarkStart w:id="102" w:name="_Toc320200547"/>
      <w:bookmarkStart w:id="103" w:name="_Toc391370165"/>
      <w:bookmarkStart w:id="104" w:name="_Toc397322827"/>
      <w:bookmarkStart w:id="105" w:name="_Toc462818427"/>
      <w:r>
        <w:rPr>
          <w:rFonts w:hint="eastAsia"/>
        </w:rPr>
        <w:t>环境空气质量现状监测与评价</w:t>
      </w:r>
      <w:bookmarkEnd w:id="95"/>
      <w:bookmarkEnd w:id="96"/>
      <w:bookmarkEnd w:id="97"/>
      <w:bookmarkEnd w:id="98"/>
      <w:bookmarkEnd w:id="99"/>
      <w:bookmarkEnd w:id="100"/>
      <w:bookmarkEnd w:id="101"/>
      <w:bookmarkEnd w:id="102"/>
      <w:bookmarkEnd w:id="103"/>
      <w:bookmarkEnd w:id="104"/>
      <w:bookmarkEnd w:id="105"/>
    </w:p>
    <w:p>
      <w:pPr>
        <w:pStyle w:val="4"/>
      </w:pPr>
      <w:r>
        <w:rPr>
          <w:rFonts w:hint="eastAsia"/>
        </w:rPr>
        <w:t>环境空气质量现状监测</w:t>
      </w:r>
    </w:p>
    <w:p>
      <w:pPr>
        <w:ind w:firstLine="480"/>
        <w:rPr>
          <w:kern w:val="0"/>
        </w:rPr>
      </w:pPr>
      <w:r>
        <w:rPr>
          <w:rFonts w:hint="eastAsia"/>
        </w:rPr>
        <w:t>为了解项目附近大气环境质量现状，本项目大气监测共布设</w:t>
      </w:r>
      <w:r>
        <w:t>2</w:t>
      </w:r>
      <w:r>
        <w:rPr>
          <w:rFonts w:hint="eastAsia"/>
        </w:rPr>
        <w:t>个环境监测点，大气监测点的具体布设位置详见表4</w:t>
      </w:r>
      <w:r>
        <w:t>.3-1</w:t>
      </w:r>
      <w:r>
        <w:rPr>
          <w:rFonts w:hint="eastAsia"/>
        </w:rPr>
        <w:t>。</w:t>
      </w:r>
    </w:p>
    <w:p>
      <w:pPr>
        <w:ind w:firstLine="480"/>
      </w:pPr>
      <w:r>
        <w:rPr>
          <w:rFonts w:hint="eastAsia"/>
        </w:rPr>
        <w:t>（</w:t>
      </w:r>
      <w:r>
        <w:t>1</w:t>
      </w:r>
      <w:r>
        <w:rPr>
          <w:rFonts w:hint="eastAsia"/>
        </w:rPr>
        <w:t>）监测项目：</w:t>
      </w:r>
      <w:r>
        <w:t>SO</w:t>
      </w:r>
      <w:r>
        <w:rPr>
          <w:vertAlign w:val="subscript"/>
        </w:rPr>
        <w:t>2</w:t>
      </w:r>
      <w:r>
        <w:rPr>
          <w:rFonts w:hint="eastAsia"/>
        </w:rPr>
        <w:t>、</w:t>
      </w:r>
      <w:r>
        <w:t>NO</w:t>
      </w:r>
      <w:r>
        <w:rPr>
          <w:vertAlign w:val="subscript"/>
        </w:rPr>
        <w:t>2</w:t>
      </w:r>
      <w:r>
        <w:rPr>
          <w:rFonts w:hint="eastAsia"/>
        </w:rPr>
        <w:t>、</w:t>
      </w:r>
      <w:r>
        <w:rPr>
          <w:rFonts w:eastAsia="方正宋三简体"/>
        </w:rPr>
        <w:t>PM</w:t>
      </w:r>
      <w:r>
        <w:rPr>
          <w:rFonts w:eastAsia="方正宋三简体"/>
          <w:vertAlign w:val="subscript"/>
        </w:rPr>
        <w:t>10</w:t>
      </w:r>
      <w:r>
        <w:rPr>
          <w:rFonts w:hint="eastAsia" w:eastAsia="方正宋三简体"/>
        </w:rPr>
        <w:t>、</w:t>
      </w:r>
      <w:r>
        <w:rPr>
          <w:rFonts w:hint="eastAsia"/>
        </w:rPr>
        <w:t>日均浓度值，</w:t>
      </w:r>
      <w:r>
        <w:t>SO</w:t>
      </w:r>
      <w:r>
        <w:rPr>
          <w:vertAlign w:val="subscript"/>
        </w:rPr>
        <w:t>2</w:t>
      </w:r>
      <w:r>
        <w:rPr>
          <w:rFonts w:hint="eastAsia"/>
        </w:rPr>
        <w:t>、</w:t>
      </w:r>
      <w:r>
        <w:t>NO</w:t>
      </w:r>
      <w:r>
        <w:rPr>
          <w:vertAlign w:val="subscript"/>
        </w:rPr>
        <w:t>2</w:t>
      </w:r>
      <w:r>
        <w:rPr>
          <w:rFonts w:hint="eastAsia" w:eastAsia="方正宋三简体"/>
        </w:rPr>
        <w:t>提供小时浓度值</w:t>
      </w:r>
      <w:r>
        <w:rPr>
          <w:rFonts w:hint="eastAsia"/>
        </w:rPr>
        <w:t>。</w:t>
      </w:r>
    </w:p>
    <w:p>
      <w:pPr>
        <w:ind w:firstLine="480"/>
      </w:pPr>
      <w:r>
        <w:rPr>
          <w:rFonts w:hint="eastAsia"/>
        </w:rPr>
        <w:t>（</w:t>
      </w:r>
      <w:r>
        <w:t>2</w:t>
      </w:r>
      <w:r>
        <w:rPr>
          <w:rFonts w:hint="eastAsia"/>
        </w:rPr>
        <w:t>）大气监测时间和监测点位</w:t>
      </w:r>
    </w:p>
    <w:p>
      <w:pPr>
        <w:ind w:firstLine="480"/>
      </w:pPr>
      <w:r>
        <w:rPr>
          <w:rFonts w:hint="eastAsia"/>
        </w:rPr>
        <w:t>监测进行连续</w:t>
      </w:r>
      <w:r>
        <w:t>7</w:t>
      </w:r>
      <w:r>
        <w:rPr>
          <w:rFonts w:hint="eastAsia"/>
        </w:rPr>
        <w:t>天采样。小时浓度值采样时间为</w:t>
      </w:r>
      <w:r>
        <w:t>02</w:t>
      </w:r>
      <w:r>
        <w:rPr>
          <w:rFonts w:hint="eastAsia"/>
        </w:rPr>
        <w:t>时、</w:t>
      </w:r>
      <w:r>
        <w:t>08</w:t>
      </w:r>
      <w:r>
        <w:rPr>
          <w:rFonts w:hint="eastAsia"/>
        </w:rPr>
        <w:t>时、</w:t>
      </w:r>
      <w:r>
        <w:t>14</w:t>
      </w:r>
      <w:r>
        <w:rPr>
          <w:rFonts w:hint="eastAsia"/>
        </w:rPr>
        <w:t>时、</w:t>
      </w:r>
      <w:r>
        <w:t>20</w:t>
      </w:r>
      <w:r>
        <w:rPr>
          <w:rFonts w:hint="eastAsia"/>
        </w:rPr>
        <w:t>时；日均值采样时间参考《环境空气质量标准》（</w:t>
      </w:r>
      <w:r>
        <w:t>GB3095-2012</w:t>
      </w:r>
      <w:r>
        <w:rPr>
          <w:rFonts w:hint="eastAsia"/>
        </w:rPr>
        <w:t>）中对数据有效性的规定。监测时请记录采样期间气象参数</w:t>
      </w:r>
      <w:r>
        <w:t>(</w:t>
      </w:r>
      <w:r>
        <w:rPr>
          <w:rFonts w:hint="eastAsia"/>
        </w:rPr>
        <w:t>包括气温、气压、风向、风速</w:t>
      </w:r>
      <w:r>
        <w:t>)</w:t>
      </w:r>
      <w:r>
        <w:rPr>
          <w:rFonts w:hint="eastAsia"/>
        </w:rPr>
        <w:t>。在项目拟建地上风向（</w:t>
      </w:r>
      <w:r>
        <w:t>500m</w:t>
      </w:r>
      <w:r>
        <w:rPr>
          <w:rFonts w:hint="eastAsia"/>
        </w:rPr>
        <w:t>）、下风向敏感点各设</w:t>
      </w:r>
      <w:r>
        <w:t>1</w:t>
      </w:r>
      <w:r>
        <w:rPr>
          <w:rFonts w:hint="eastAsia"/>
        </w:rPr>
        <w:t>个监测点</w:t>
      </w:r>
    </w:p>
    <w:p>
      <w:pPr>
        <w:pStyle w:val="14"/>
      </w:pPr>
      <w:r>
        <w:rPr>
          <w:rFonts w:hint="eastAsia"/>
        </w:rPr>
        <w:t>表</w:t>
      </w:r>
      <w:r>
        <w:fldChar w:fldCharType="begin"/>
      </w:r>
      <w:r>
        <w:instrText xml:space="preserve"> STYLEREF 2 \s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大气环境监测布点</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4085"/>
        <w:gridCol w:w="3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0" w:hRule="atLeast"/>
          <w:jc w:val="center"/>
        </w:trPr>
        <w:tc>
          <w:tcPr>
            <w:tcW w:w="1276" w:type="dxa"/>
            <w:vAlign w:val="center"/>
          </w:tcPr>
          <w:p>
            <w:pPr>
              <w:pStyle w:val="37"/>
            </w:pPr>
            <w:r>
              <w:rPr>
                <w:rFonts w:hint="eastAsia"/>
              </w:rPr>
              <w:t>序号</w:t>
            </w:r>
          </w:p>
        </w:tc>
        <w:tc>
          <w:tcPr>
            <w:tcW w:w="4085" w:type="dxa"/>
            <w:vAlign w:val="center"/>
          </w:tcPr>
          <w:p>
            <w:pPr>
              <w:pStyle w:val="37"/>
            </w:pPr>
            <w:r>
              <w:rPr>
                <w:rFonts w:hint="eastAsia"/>
              </w:rPr>
              <w:t>监测点位</w:t>
            </w:r>
          </w:p>
        </w:tc>
        <w:tc>
          <w:tcPr>
            <w:tcW w:w="3785" w:type="dxa"/>
            <w:vAlign w:val="center"/>
          </w:tcPr>
          <w:p>
            <w:pPr>
              <w:pStyle w:val="37"/>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3" w:hRule="atLeast"/>
          <w:jc w:val="center"/>
        </w:trPr>
        <w:tc>
          <w:tcPr>
            <w:tcW w:w="1276" w:type="dxa"/>
            <w:vAlign w:val="center"/>
          </w:tcPr>
          <w:p>
            <w:pPr>
              <w:pStyle w:val="37"/>
            </w:pPr>
            <w:r>
              <w:t>1</w:t>
            </w:r>
          </w:p>
        </w:tc>
        <w:tc>
          <w:tcPr>
            <w:tcW w:w="4085" w:type="dxa"/>
            <w:vAlign w:val="center"/>
          </w:tcPr>
          <w:p>
            <w:pPr>
              <w:pStyle w:val="37"/>
            </w:pPr>
            <w:r>
              <w:rPr>
                <w:rFonts w:hint="eastAsia"/>
              </w:rPr>
              <w:t>项目北面</w:t>
            </w:r>
            <w:r>
              <w:t>500m</w:t>
            </w:r>
            <w:r>
              <w:rPr>
                <w:rFonts w:hint="eastAsia"/>
              </w:rPr>
              <w:t>处</w:t>
            </w:r>
          </w:p>
        </w:tc>
        <w:tc>
          <w:tcPr>
            <w:tcW w:w="3785" w:type="dxa"/>
            <w:vAlign w:val="center"/>
          </w:tcPr>
          <w:p>
            <w:pPr>
              <w:pStyle w:val="37"/>
            </w:pPr>
            <w:r>
              <w:rPr>
                <w:rFonts w:hint="eastAsia"/>
              </w:rPr>
              <w:t>主导风向上风向，对照点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1276" w:type="dxa"/>
            <w:vAlign w:val="center"/>
          </w:tcPr>
          <w:p>
            <w:pPr>
              <w:pStyle w:val="37"/>
            </w:pPr>
            <w:r>
              <w:t>2</w:t>
            </w:r>
          </w:p>
        </w:tc>
        <w:tc>
          <w:tcPr>
            <w:tcW w:w="4085" w:type="dxa"/>
            <w:vAlign w:val="center"/>
          </w:tcPr>
          <w:p>
            <w:pPr>
              <w:pStyle w:val="37"/>
            </w:pPr>
            <w:r>
              <w:rPr>
                <w:rFonts w:hint="eastAsia"/>
              </w:rPr>
              <w:t>项目南侧</w:t>
            </w:r>
            <w:r>
              <w:t>500m</w:t>
            </w:r>
            <w:r>
              <w:rPr>
                <w:rFonts w:hint="eastAsia"/>
              </w:rPr>
              <w:t>陈家坡居民点</w:t>
            </w:r>
          </w:p>
        </w:tc>
        <w:tc>
          <w:tcPr>
            <w:tcW w:w="3785" w:type="dxa"/>
            <w:vAlign w:val="center"/>
          </w:tcPr>
          <w:p>
            <w:pPr>
              <w:pStyle w:val="37"/>
            </w:pPr>
            <w:r>
              <w:rPr>
                <w:rFonts w:hint="eastAsia"/>
              </w:rPr>
              <w:t>主导风向下风向，关心点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4" w:hRule="atLeast"/>
          <w:jc w:val="center"/>
        </w:trPr>
        <w:tc>
          <w:tcPr>
            <w:tcW w:w="9146" w:type="dxa"/>
            <w:gridSpan w:val="3"/>
            <w:vAlign w:val="center"/>
          </w:tcPr>
          <w:p>
            <w:pPr>
              <w:pStyle w:val="14"/>
              <w:jc w:val="both"/>
            </w:pPr>
            <w:r>
              <w:rPr>
                <w:rFonts w:ascii="Times New Roman" w:hAnsi="Times New Roman" w:eastAsia="宋体" w:cs="Times New Roman"/>
                <w:b/>
                <w:kern w:val="2"/>
                <w:sz w:val="21"/>
                <w:szCs w:val="20"/>
                <w:lang w:val="en-US" w:eastAsia="zh-CN" w:bidi="ar-SA"/>
              </w:rPr>
              <w:pict>
                <v:shape id="Quad Arrow 136" o:spid="_x0000_s1098" type="#_x0000_t202" style="position:absolute;left:0;margin-left:380.9pt;margin-top:49.2pt;height:48pt;width:56.3pt;mso-position-horizontal-relative:margin;mso-position-vertical-relative:margin;mso-wrap-distance-bottom:0pt;mso-wrap-distance-left:9pt;mso-wrap-distance-right:9pt;mso-wrap-distance-top:0pt;rotation:0f;z-index:251666432;"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FF0000"/>
                          </w:rPr>
                        </w:pPr>
                        <w:r>
                          <w:rPr>
                            <w:b/>
                            <w:color w:val="FF0000"/>
                          </w:rPr>
                          <w:t xml:space="preserve">  1:500</w:t>
                        </w:r>
                      </w:p>
                    </w:txbxContent>
                  </v:textbox>
                  <w10:wrap type="square"/>
                </v:shape>
              </w:pict>
            </w:r>
            <w:r>
              <w:rPr>
                <w:rFonts w:ascii="Times New Roman" w:hAnsi="Times New Roman" w:eastAsia="宋体" w:cs="Times New Roman"/>
                <w:b/>
                <w:kern w:val="2"/>
                <w:sz w:val="21"/>
                <w:szCs w:val="20"/>
                <w:lang w:val="en-US" w:eastAsia="zh-CN" w:bidi="ar-SA"/>
              </w:rPr>
              <w:pict>
                <v:shape id="Quad Arrow 137" o:spid="_x0000_s1099" type="#_x0000_t202" style="position:absolute;left:0;margin-left:282.65pt;margin-top:169.1pt;height:48pt;width:127.2pt;mso-position-horizontal-relative:margin;mso-position-vertical-relative:margin;mso-wrap-distance-bottom:0pt;mso-wrap-distance-left:9pt;mso-wrap-distance-right:9pt;mso-wrap-distance-top:0pt;rotation:0f;z-index:251665408;"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FF0000"/>
                          </w:rPr>
                        </w:pPr>
                        <w:r>
                          <w:rPr>
                            <w:rFonts w:hint="eastAsia"/>
                            <w:b/>
                            <w:color w:val="FF0000"/>
                          </w:rPr>
                          <w:t>图例</w:t>
                        </w:r>
                      </w:p>
                    </w:txbxContent>
                  </v:textbox>
                  <w10:wrap type="square"/>
                </v:shape>
              </w:pict>
            </w:r>
            <w:r>
              <w:rPr>
                <w:rFonts w:ascii="Times New Roman" w:hAnsi="Times New Roman" w:eastAsia="宋体" w:cs="Times New Roman"/>
                <w:b/>
                <w:kern w:val="2"/>
                <w:sz w:val="21"/>
                <w:szCs w:val="20"/>
                <w:lang w:val="en-US" w:eastAsia="zh-CN" w:bidi="ar-SA"/>
              </w:rPr>
              <w:pict>
                <v:shape id="图片 526" o:spid="_x0000_s1100" type="#_x0000_t75" style="position:absolute;left:0;margin-left:7pt;margin-top:6.15pt;height:240.25pt;width:429.65pt;rotation:0f;z-index:-251657216;" o:ole="f" fillcolor="#FFFFFF" filled="f" o:preferrelative="t" stroked="f" coordorigin="0,0" coordsize="21600,21600">
                  <v:fill on="f" color2="#FFFFFF" focus="0%"/>
                  <v:imagedata gain="65536f" blacklevel="0f" gamma="0" o:title="" r:id="rId42"/>
                  <o:lock v:ext="edit" position="f" selection="f" grouping="f" rotation="f" cropping="f" text="f" aspectratio="t"/>
                </v:shape>
              </w:pict>
            </w:r>
          </w:p>
          <w:p>
            <w:pPr>
              <w:ind w:firstLine="480"/>
            </w:pPr>
          </w:p>
          <w:p>
            <w:pPr>
              <w:ind w:firstLine="480"/>
            </w:pPr>
          </w:p>
        </w:tc>
      </w:tr>
    </w:tbl>
    <w:p>
      <w:pPr>
        <w:tabs>
          <w:tab w:val="left" w:pos="3075"/>
          <w:tab w:val="center" w:pos="4705"/>
        </w:tabs>
        <w:ind w:firstLine="422"/>
        <w:jc w:val="left"/>
        <w:rPr>
          <w:b/>
          <w:sz w:val="21"/>
        </w:rPr>
      </w:pPr>
      <w:r>
        <w:rPr>
          <w:b/>
          <w:sz w:val="21"/>
        </w:rPr>
        <w:tab/>
      </w:r>
      <w:r>
        <w:rPr>
          <w:b/>
          <w:sz w:val="21"/>
        </w:rPr>
        <w:tab/>
      </w:r>
      <w:r>
        <w:rPr>
          <w:rFonts w:hint="eastAsia"/>
          <w:b/>
          <w:sz w:val="21"/>
        </w:rPr>
        <w:t>图</w:t>
      </w:r>
      <w:r>
        <w:rPr>
          <w:b/>
          <w:sz w:val="21"/>
        </w:rPr>
        <w:fldChar w:fldCharType="begin"/>
      </w:r>
      <w:r>
        <w:rPr>
          <w:b/>
          <w:sz w:val="21"/>
        </w:rPr>
        <w:instrText xml:space="preserve"> </w:instrText>
      </w:r>
      <w:r>
        <w:rPr>
          <w:rFonts w:hint="eastAsia"/>
          <w:b/>
          <w:sz w:val="21"/>
        </w:rPr>
        <w:instrText xml:space="preserve">STYLEREF 2 \s</w:instrText>
      </w:r>
      <w:r>
        <w:rPr>
          <w:b/>
          <w:sz w:val="21"/>
        </w:rPr>
        <w:instrText xml:space="preserve"> </w:instrText>
      </w:r>
      <w:r>
        <w:rPr>
          <w:b/>
          <w:sz w:val="21"/>
        </w:rPr>
        <w:fldChar w:fldCharType="separate"/>
      </w:r>
      <w:r>
        <w:rPr>
          <w:b/>
          <w:sz w:val="21"/>
        </w:rPr>
        <w:t>4.3</w:t>
      </w:r>
      <w:r>
        <w:rPr>
          <w:b/>
          <w:sz w:val="21"/>
        </w:rPr>
        <w:fldChar w:fldCharType="end"/>
      </w:r>
      <w:r>
        <w:rPr>
          <w:b/>
          <w:sz w:val="21"/>
        </w:rPr>
        <w:noBreakHyphen/>
      </w:r>
      <w:r>
        <w:rPr>
          <w:b/>
          <w:sz w:val="21"/>
        </w:rPr>
        <w:fldChar w:fldCharType="begin"/>
      </w:r>
      <w:r>
        <w:rPr>
          <w:b/>
          <w:sz w:val="21"/>
        </w:rPr>
        <w:instrText xml:space="preserve"> </w:instrText>
      </w:r>
      <w:r>
        <w:rPr>
          <w:rFonts w:hint="eastAsia"/>
          <w:b/>
          <w:sz w:val="21"/>
        </w:rPr>
        <w:instrText xml:space="preserve">SEQ 图 \* ARABIC \s 2</w:instrText>
      </w:r>
      <w:r>
        <w:rPr>
          <w:b/>
          <w:sz w:val="21"/>
        </w:rPr>
        <w:instrText xml:space="preserve"> </w:instrText>
      </w:r>
      <w:r>
        <w:rPr>
          <w:b/>
          <w:sz w:val="21"/>
        </w:rPr>
        <w:fldChar w:fldCharType="separate"/>
      </w:r>
      <w:r>
        <w:rPr>
          <w:b/>
          <w:sz w:val="21"/>
        </w:rPr>
        <w:t>1</w:t>
      </w:r>
      <w:r>
        <w:rPr>
          <w:b/>
          <w:sz w:val="21"/>
        </w:rPr>
        <w:fldChar w:fldCharType="end"/>
      </w:r>
      <w:r>
        <w:rPr>
          <w:rFonts w:hint="eastAsia"/>
          <w:b/>
          <w:sz w:val="21"/>
        </w:rPr>
        <w:t>项目大气监测点位图</w:t>
      </w:r>
    </w:p>
    <w:p>
      <w:pPr>
        <w:ind w:firstLine="480"/>
      </w:pPr>
      <w:r>
        <w:rPr>
          <w:rFonts w:hint="eastAsia"/>
        </w:rPr>
        <w:t>（</w:t>
      </w:r>
      <w:r>
        <w:t>3</w:t>
      </w:r>
      <w:r>
        <w:rPr>
          <w:rFonts w:hint="eastAsia"/>
        </w:rPr>
        <w:t>）采样和分析方法</w:t>
      </w:r>
    </w:p>
    <w:p>
      <w:pPr>
        <w:ind w:firstLine="480"/>
      </w:pPr>
      <w:r>
        <w:rPr>
          <w:rFonts w:hint="eastAsia"/>
        </w:rPr>
        <w:t>采样和分析方法按照国家环保部颁布的《环境监测技术规范》（环境空气质量手工监测技术规范</w:t>
      </w:r>
      <w:r>
        <w:t>HJ/T 194-2005</w:t>
      </w:r>
      <w:r>
        <w:rPr>
          <w:rFonts w:hint="eastAsia"/>
        </w:rPr>
        <w:t>）和《空气和废气监测分析方法》（第四版）的有关要求和规定进行。具体见表</w:t>
      </w:r>
      <w:r>
        <w:t>4.3-2</w:t>
      </w:r>
      <w:r>
        <w:rPr>
          <w:rFonts w:hint="eastAsia"/>
        </w:rPr>
        <w:t>。</w:t>
      </w:r>
    </w:p>
    <w:p>
      <w:pPr>
        <w:pStyle w:val="14"/>
      </w:pPr>
      <w:r>
        <w:rPr>
          <w:rFonts w:hint="eastAsia"/>
        </w:rPr>
        <w:t>表</w:t>
      </w:r>
      <w:r>
        <w:fldChar w:fldCharType="begin"/>
      </w:r>
      <w:r>
        <w:instrText xml:space="preserve"> STYLEREF 2 \s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环境空气质量现状监测项目及采样分析方法</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4"/>
        <w:gridCol w:w="3432"/>
        <w:gridCol w:w="2466"/>
        <w:gridCol w:w="2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784" w:type="dxa"/>
            <w:vAlign w:val="center"/>
          </w:tcPr>
          <w:p>
            <w:pPr>
              <w:pStyle w:val="37"/>
            </w:pPr>
            <w:r>
              <w:rPr>
                <w:rFonts w:hint="eastAsia"/>
              </w:rPr>
              <w:t>项目</w:t>
            </w:r>
          </w:p>
        </w:tc>
        <w:tc>
          <w:tcPr>
            <w:tcW w:w="3432" w:type="dxa"/>
            <w:vAlign w:val="center"/>
          </w:tcPr>
          <w:p>
            <w:pPr>
              <w:pStyle w:val="37"/>
            </w:pPr>
            <w:r>
              <w:rPr>
                <w:rFonts w:hint="eastAsia"/>
              </w:rPr>
              <w:t>分析方法</w:t>
            </w:r>
          </w:p>
        </w:tc>
        <w:tc>
          <w:tcPr>
            <w:tcW w:w="2466" w:type="dxa"/>
            <w:vAlign w:val="top"/>
          </w:tcPr>
          <w:p>
            <w:pPr>
              <w:pStyle w:val="37"/>
            </w:pPr>
            <w:r>
              <w:rPr>
                <w:rFonts w:hint="eastAsia"/>
              </w:rPr>
              <w:t>最低检出限</w:t>
            </w:r>
          </w:p>
        </w:tc>
        <w:tc>
          <w:tcPr>
            <w:tcW w:w="2464" w:type="dxa"/>
            <w:vAlign w:val="center"/>
          </w:tcPr>
          <w:p>
            <w:pPr>
              <w:pStyle w:val="37"/>
            </w:pPr>
            <w:r>
              <w:rPr>
                <w:rFonts w:hint="eastAsia"/>
              </w:rPr>
              <w:t>监测依据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784" w:type="dxa"/>
            <w:vAlign w:val="center"/>
          </w:tcPr>
          <w:p>
            <w:pPr>
              <w:pStyle w:val="37"/>
            </w:pPr>
            <w:r>
              <w:rPr>
                <w:rFonts w:hint="eastAsia"/>
              </w:rPr>
              <w:t>二氧化硫</w:t>
            </w:r>
          </w:p>
        </w:tc>
        <w:tc>
          <w:tcPr>
            <w:tcW w:w="3432" w:type="dxa"/>
            <w:vAlign w:val="center"/>
          </w:tcPr>
          <w:p>
            <w:pPr>
              <w:pStyle w:val="37"/>
            </w:pPr>
            <w:r>
              <w:t>HJ 482-2009</w:t>
            </w:r>
            <w:r>
              <w:rPr>
                <w:rFonts w:hint="eastAsia"/>
              </w:rPr>
              <w:t>环境空气二氧化硫的测定甲醛吸收</w:t>
            </w:r>
            <w:r>
              <w:t>-</w:t>
            </w:r>
            <w:r>
              <w:rPr>
                <w:rFonts w:hint="eastAsia"/>
              </w:rPr>
              <w:t>副玫瑰苯胺分光光度法</w:t>
            </w:r>
          </w:p>
        </w:tc>
        <w:tc>
          <w:tcPr>
            <w:tcW w:w="2466" w:type="dxa"/>
            <w:vAlign w:val="top"/>
          </w:tcPr>
          <w:p>
            <w:pPr>
              <w:pStyle w:val="37"/>
              <w:rPr>
                <w:b/>
              </w:rPr>
            </w:pPr>
            <w:r>
              <w:rPr>
                <w:rFonts w:hint="eastAsia"/>
              </w:rPr>
              <w:t>小时：0.004 mg/m</w:t>
            </w:r>
            <w:r>
              <w:rPr>
                <w:rFonts w:hint="eastAsia"/>
                <w:vertAlign w:val="superscript"/>
              </w:rPr>
              <w:t>3</w:t>
            </w:r>
          </w:p>
          <w:p>
            <w:pPr>
              <w:pStyle w:val="37"/>
            </w:pPr>
            <w:r>
              <w:rPr>
                <w:rFonts w:hint="eastAsia"/>
              </w:rPr>
              <w:t>日均：0.007 mg/m</w:t>
            </w:r>
            <w:r>
              <w:rPr>
                <w:rFonts w:hint="eastAsia"/>
                <w:vertAlign w:val="superscript"/>
              </w:rPr>
              <w:t>3</w:t>
            </w:r>
          </w:p>
        </w:tc>
        <w:tc>
          <w:tcPr>
            <w:tcW w:w="2464" w:type="dxa"/>
            <w:vAlign w:val="center"/>
          </w:tcPr>
          <w:p>
            <w:pPr>
              <w:pStyle w:val="37"/>
            </w:pPr>
            <w:r>
              <w:t>UV-1800PC</w:t>
            </w:r>
            <w:r>
              <w:rPr>
                <w:rFonts w:hint="eastAsia"/>
              </w:rPr>
              <w:t>紫外可见分光光度计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784" w:type="dxa"/>
            <w:vAlign w:val="center"/>
          </w:tcPr>
          <w:p>
            <w:pPr>
              <w:pStyle w:val="37"/>
            </w:pPr>
            <w:r>
              <w:rPr>
                <w:rFonts w:hint="eastAsia"/>
              </w:rPr>
              <w:t>氮氧化物</w:t>
            </w:r>
          </w:p>
        </w:tc>
        <w:tc>
          <w:tcPr>
            <w:tcW w:w="3432" w:type="dxa"/>
            <w:vAlign w:val="center"/>
          </w:tcPr>
          <w:p>
            <w:pPr>
              <w:pStyle w:val="37"/>
            </w:pPr>
            <w:r>
              <w:t>HJ 479-2009</w:t>
            </w:r>
            <w:r>
              <w:rPr>
                <w:rFonts w:hint="eastAsia"/>
              </w:rPr>
              <w:t>环境空气氮氧化物（一氧化氮和二氧化氮）的测定盐酸萘乙二按分光光度法</w:t>
            </w:r>
          </w:p>
        </w:tc>
        <w:tc>
          <w:tcPr>
            <w:tcW w:w="2466" w:type="dxa"/>
            <w:vAlign w:val="top"/>
          </w:tcPr>
          <w:p>
            <w:pPr>
              <w:pStyle w:val="37"/>
              <w:rPr>
                <w:b/>
              </w:rPr>
            </w:pPr>
            <w:r>
              <w:rPr>
                <w:rFonts w:hint="eastAsia"/>
              </w:rPr>
              <w:t>小时：0.005mg/m</w:t>
            </w:r>
            <w:r>
              <w:rPr>
                <w:rFonts w:hint="eastAsia"/>
                <w:vertAlign w:val="superscript"/>
              </w:rPr>
              <w:t>3</w:t>
            </w:r>
          </w:p>
          <w:p>
            <w:pPr>
              <w:pStyle w:val="37"/>
            </w:pPr>
            <w:r>
              <w:rPr>
                <w:rFonts w:hint="eastAsia"/>
              </w:rPr>
              <w:t>日均：0.003mg/m</w:t>
            </w:r>
            <w:r>
              <w:rPr>
                <w:rFonts w:hint="eastAsia"/>
                <w:vertAlign w:val="superscript"/>
              </w:rPr>
              <w:t>3</w:t>
            </w:r>
          </w:p>
        </w:tc>
        <w:tc>
          <w:tcPr>
            <w:tcW w:w="2464" w:type="dxa"/>
            <w:vAlign w:val="center"/>
          </w:tcPr>
          <w:p>
            <w:pPr>
              <w:pStyle w:val="37"/>
            </w:pPr>
            <w:r>
              <w:t>UV-1800PC</w:t>
            </w:r>
            <w:r>
              <w:rPr>
                <w:rFonts w:hint="eastAsia"/>
              </w:rPr>
              <w:t>紫外可见分光光度计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7" w:hRule="atLeast"/>
          <w:jc w:val="center"/>
        </w:trPr>
        <w:tc>
          <w:tcPr>
            <w:tcW w:w="784" w:type="dxa"/>
            <w:vAlign w:val="center"/>
          </w:tcPr>
          <w:p>
            <w:pPr>
              <w:pStyle w:val="37"/>
            </w:pPr>
            <w:r>
              <w:t>PM</w:t>
            </w:r>
            <w:r>
              <w:rPr>
                <w:vertAlign w:val="subscript"/>
              </w:rPr>
              <w:t>10</w:t>
            </w:r>
          </w:p>
        </w:tc>
        <w:tc>
          <w:tcPr>
            <w:tcW w:w="3432" w:type="dxa"/>
            <w:vAlign w:val="center"/>
          </w:tcPr>
          <w:p>
            <w:pPr>
              <w:pStyle w:val="37"/>
              <w:rPr>
                <w:bCs/>
                <w:color w:val="000000"/>
              </w:rPr>
            </w:pPr>
            <w:r>
              <w:t xml:space="preserve">HJ 618-2011 </w:t>
            </w:r>
            <w:r>
              <w:rPr>
                <w:rFonts w:hint="eastAsia" w:hAnsi="宋体"/>
              </w:rPr>
              <w:t>环境空气</w:t>
            </w:r>
            <w:r>
              <w:t xml:space="preserve"> PM10</w:t>
            </w:r>
            <w:r>
              <w:rPr>
                <w:rFonts w:hint="eastAsia" w:hAnsi="宋体"/>
              </w:rPr>
              <w:t>和</w:t>
            </w:r>
            <w:r>
              <w:t>PM2.5</w:t>
            </w:r>
            <w:r>
              <w:rPr>
                <w:rFonts w:hint="eastAsia" w:hAnsi="宋体"/>
              </w:rPr>
              <w:t>的测定重量法</w:t>
            </w:r>
          </w:p>
        </w:tc>
        <w:tc>
          <w:tcPr>
            <w:tcW w:w="2466" w:type="dxa"/>
            <w:vAlign w:val="top"/>
          </w:tcPr>
          <w:p>
            <w:pPr>
              <w:pStyle w:val="37"/>
            </w:pPr>
            <w:r>
              <w:rPr>
                <w:rFonts w:hint="eastAsia"/>
              </w:rPr>
              <w:t>——</w:t>
            </w:r>
          </w:p>
        </w:tc>
        <w:tc>
          <w:tcPr>
            <w:tcW w:w="2464" w:type="dxa"/>
            <w:vAlign w:val="center"/>
          </w:tcPr>
          <w:p>
            <w:pPr>
              <w:pStyle w:val="37"/>
            </w:pPr>
            <w:r>
              <w:t>2050</w:t>
            </w:r>
            <w:r>
              <w:rPr>
                <w:rFonts w:hint="eastAsia"/>
              </w:rPr>
              <w:t>智能采样器</w:t>
            </w:r>
          </w:p>
        </w:tc>
      </w:tr>
    </w:tbl>
    <w:p>
      <w:pPr>
        <w:ind w:firstLine="480"/>
      </w:pPr>
      <w:r>
        <w:rPr>
          <w:rFonts w:hint="eastAsia"/>
        </w:rPr>
        <w:t>（</w:t>
      </w:r>
      <w:r>
        <w:t>4</w:t>
      </w:r>
      <w:r>
        <w:rPr>
          <w:rFonts w:hint="eastAsia"/>
        </w:rPr>
        <w:t>）环境空气监测结果统计见表</w:t>
      </w:r>
      <w:r>
        <w:t>4.3-3</w:t>
      </w:r>
      <w:r>
        <w:rPr>
          <w:rFonts w:hint="eastAsia"/>
        </w:rPr>
        <w:t>。</w:t>
      </w:r>
    </w:p>
    <w:p>
      <w:pPr>
        <w:pStyle w:val="14"/>
      </w:pPr>
      <w:r>
        <w:rPr>
          <w:rFonts w:hint="eastAsia"/>
        </w:rPr>
        <w:t>表</w:t>
      </w:r>
      <w:r>
        <w:fldChar w:fldCharType="begin"/>
      </w:r>
      <w:r>
        <w:instrText xml:space="preserve"> STYLEREF 2 \s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环境空气监测结果一览表</w:t>
      </w:r>
      <w:r>
        <w:rPr>
          <w:rFonts w:hint="eastAsia"/>
          <w:szCs w:val="21"/>
        </w:rPr>
        <w:t>单位：</w:t>
      </w:r>
      <w:r>
        <w:rPr>
          <w:szCs w:val="21"/>
        </w:rPr>
        <w:t>mg/m</w:t>
      </w:r>
      <w:r>
        <w:rPr>
          <w:szCs w:val="21"/>
          <w:vertAlign w:val="superscript"/>
        </w:rPr>
        <w:t>3</w:t>
      </w:r>
    </w:p>
    <w:tbl>
      <w:tblPr>
        <w:tblStyle w:val="35"/>
        <w:tblW w:w="8986" w:type="dxa"/>
        <w:jc w:val="center"/>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1097"/>
        <w:gridCol w:w="666"/>
        <w:gridCol w:w="568"/>
        <w:gridCol w:w="706"/>
        <w:gridCol w:w="706"/>
        <w:gridCol w:w="706"/>
        <w:gridCol w:w="706"/>
        <w:gridCol w:w="706"/>
        <w:gridCol w:w="706"/>
        <w:gridCol w:w="706"/>
        <w:gridCol w:w="575"/>
        <w:gridCol w:w="575"/>
        <w:gridCol w:w="563"/>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391" w:hRule="atLeast"/>
          <w:jc w:val="center"/>
        </w:trPr>
        <w:tc>
          <w:tcPr>
            <w:tcW w:w="1097" w:type="dxa"/>
            <w:vMerge w:val="restart"/>
            <w:vAlign w:val="center"/>
          </w:tcPr>
          <w:p>
            <w:pPr>
              <w:pStyle w:val="37"/>
            </w:pPr>
            <w:r>
              <w:rPr>
                <w:rFonts w:hint="eastAsia"/>
              </w:rPr>
              <w:t>监测</w:t>
            </w:r>
          </w:p>
          <w:p>
            <w:pPr>
              <w:pStyle w:val="37"/>
              <w:rPr>
                <w:lang w:val="zh-CN"/>
              </w:rPr>
            </w:pPr>
            <w:r>
              <w:rPr>
                <w:rFonts w:hint="eastAsia"/>
                <w:lang w:val="zh-CN"/>
              </w:rPr>
              <w:t>点位</w:t>
            </w:r>
          </w:p>
        </w:tc>
        <w:tc>
          <w:tcPr>
            <w:tcW w:w="666" w:type="dxa"/>
            <w:vMerge w:val="restart"/>
            <w:vAlign w:val="center"/>
          </w:tcPr>
          <w:p>
            <w:pPr>
              <w:pStyle w:val="37"/>
              <w:rPr>
                <w:lang w:val="zh-CN"/>
              </w:rPr>
            </w:pPr>
            <w:r>
              <w:rPr>
                <w:rFonts w:hint="eastAsia"/>
                <w:lang w:val="zh-CN"/>
              </w:rPr>
              <w:t>日期</w:t>
            </w:r>
          </w:p>
        </w:tc>
        <w:tc>
          <w:tcPr>
            <w:tcW w:w="568" w:type="dxa"/>
            <w:vMerge w:val="restart"/>
            <w:vAlign w:val="center"/>
          </w:tcPr>
          <w:p>
            <w:pPr>
              <w:pStyle w:val="37"/>
            </w:pPr>
            <w:r>
              <w:t>PM</w:t>
            </w:r>
            <w:r>
              <w:rPr>
                <w:vertAlign w:val="subscript"/>
              </w:rPr>
              <w:t>10</w:t>
            </w:r>
          </w:p>
        </w:tc>
        <w:tc>
          <w:tcPr>
            <w:tcW w:w="3530" w:type="dxa"/>
            <w:gridSpan w:val="5"/>
            <w:vAlign w:val="center"/>
          </w:tcPr>
          <w:p>
            <w:pPr>
              <w:pStyle w:val="37"/>
            </w:pPr>
            <w:r>
              <w:rPr>
                <w:rFonts w:hint="eastAsia"/>
              </w:rPr>
              <w:t>二氧化硫</w:t>
            </w:r>
          </w:p>
        </w:tc>
        <w:tc>
          <w:tcPr>
            <w:tcW w:w="3125" w:type="dxa"/>
            <w:gridSpan w:val="5"/>
            <w:vAlign w:val="center"/>
          </w:tcPr>
          <w:p>
            <w:pPr>
              <w:pStyle w:val="37"/>
            </w:pPr>
            <w:r>
              <w:rPr>
                <w:rFonts w:hint="eastAsia"/>
              </w:rPr>
              <w:t>氮氧化物</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391" w:hRule="atLeast"/>
          <w:jc w:val="center"/>
        </w:trPr>
        <w:tc>
          <w:tcPr>
            <w:tcW w:w="1097" w:type="dxa"/>
            <w:vMerge w:val="continue"/>
            <w:vAlign w:val="center"/>
          </w:tcPr>
          <w:p>
            <w:pPr>
              <w:pStyle w:val="37"/>
            </w:pPr>
          </w:p>
        </w:tc>
        <w:tc>
          <w:tcPr>
            <w:tcW w:w="666" w:type="dxa"/>
            <w:vMerge w:val="continue"/>
            <w:vAlign w:val="center"/>
          </w:tcPr>
          <w:p>
            <w:pPr>
              <w:pStyle w:val="37"/>
            </w:pPr>
          </w:p>
        </w:tc>
        <w:tc>
          <w:tcPr>
            <w:tcW w:w="568" w:type="dxa"/>
            <w:vMerge w:val="continue"/>
            <w:vAlign w:val="center"/>
          </w:tcPr>
          <w:p>
            <w:pPr>
              <w:pStyle w:val="37"/>
            </w:pPr>
          </w:p>
        </w:tc>
        <w:tc>
          <w:tcPr>
            <w:tcW w:w="706" w:type="dxa"/>
            <w:vAlign w:val="center"/>
          </w:tcPr>
          <w:p>
            <w:pPr>
              <w:pStyle w:val="37"/>
            </w:pPr>
            <w:r>
              <w:t>02:00</w:t>
            </w:r>
          </w:p>
        </w:tc>
        <w:tc>
          <w:tcPr>
            <w:tcW w:w="706" w:type="dxa"/>
            <w:vAlign w:val="center"/>
          </w:tcPr>
          <w:p>
            <w:pPr>
              <w:pStyle w:val="37"/>
            </w:pPr>
            <w:r>
              <w:t>08:00</w:t>
            </w:r>
          </w:p>
        </w:tc>
        <w:tc>
          <w:tcPr>
            <w:tcW w:w="706" w:type="dxa"/>
            <w:vAlign w:val="center"/>
          </w:tcPr>
          <w:p>
            <w:pPr>
              <w:pStyle w:val="37"/>
            </w:pPr>
            <w:r>
              <w:t>14:00</w:t>
            </w:r>
          </w:p>
        </w:tc>
        <w:tc>
          <w:tcPr>
            <w:tcW w:w="706" w:type="dxa"/>
            <w:vAlign w:val="center"/>
          </w:tcPr>
          <w:p>
            <w:pPr>
              <w:pStyle w:val="37"/>
            </w:pPr>
            <w:r>
              <w:t>20:00</w:t>
            </w:r>
          </w:p>
        </w:tc>
        <w:tc>
          <w:tcPr>
            <w:tcW w:w="706" w:type="dxa"/>
            <w:vAlign w:val="center"/>
          </w:tcPr>
          <w:p>
            <w:pPr>
              <w:pStyle w:val="37"/>
            </w:pPr>
            <w:r>
              <w:rPr>
                <w:rFonts w:hint="eastAsia"/>
              </w:rPr>
              <w:t>日均</w:t>
            </w:r>
          </w:p>
        </w:tc>
        <w:tc>
          <w:tcPr>
            <w:tcW w:w="706" w:type="dxa"/>
            <w:vAlign w:val="center"/>
          </w:tcPr>
          <w:p>
            <w:pPr>
              <w:pStyle w:val="37"/>
            </w:pPr>
            <w:r>
              <w:t>02:00</w:t>
            </w:r>
          </w:p>
        </w:tc>
        <w:tc>
          <w:tcPr>
            <w:tcW w:w="706" w:type="dxa"/>
            <w:vAlign w:val="center"/>
          </w:tcPr>
          <w:p>
            <w:pPr>
              <w:pStyle w:val="37"/>
            </w:pPr>
            <w:r>
              <w:t>08:00</w:t>
            </w:r>
          </w:p>
        </w:tc>
        <w:tc>
          <w:tcPr>
            <w:tcW w:w="575" w:type="dxa"/>
            <w:vAlign w:val="center"/>
          </w:tcPr>
          <w:p>
            <w:pPr>
              <w:pStyle w:val="37"/>
            </w:pPr>
            <w:r>
              <w:t>14:00</w:t>
            </w:r>
          </w:p>
        </w:tc>
        <w:tc>
          <w:tcPr>
            <w:tcW w:w="575" w:type="dxa"/>
            <w:vAlign w:val="center"/>
          </w:tcPr>
          <w:p>
            <w:pPr>
              <w:pStyle w:val="37"/>
            </w:pPr>
            <w:r>
              <w:t>20:00</w:t>
            </w:r>
          </w:p>
        </w:tc>
        <w:tc>
          <w:tcPr>
            <w:tcW w:w="563" w:type="dxa"/>
            <w:vAlign w:val="center"/>
          </w:tcPr>
          <w:p>
            <w:pPr>
              <w:pStyle w:val="37"/>
            </w:pPr>
            <w:r>
              <w:rPr>
                <w:rFonts w:hint="eastAsia"/>
              </w:rPr>
              <w:t>日均</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restart"/>
            <w:vAlign w:val="center"/>
          </w:tcPr>
          <w:p>
            <w:pPr>
              <w:pStyle w:val="37"/>
              <w:jc w:val="both"/>
            </w:pPr>
          </w:p>
          <w:p>
            <w:pPr>
              <w:pStyle w:val="37"/>
            </w:pPr>
            <w:r>
              <w:rPr>
                <w:rFonts w:hint="eastAsia"/>
              </w:rPr>
              <w:t>项目北面</w:t>
            </w:r>
            <w:r>
              <w:t>500m</w:t>
            </w:r>
          </w:p>
        </w:tc>
        <w:tc>
          <w:tcPr>
            <w:tcW w:w="666" w:type="dxa"/>
            <w:vAlign w:val="center"/>
          </w:tcPr>
          <w:p>
            <w:pPr>
              <w:pStyle w:val="37"/>
            </w:pPr>
            <w:r>
              <w:t>8.9</w:t>
            </w:r>
          </w:p>
        </w:tc>
        <w:tc>
          <w:tcPr>
            <w:tcW w:w="568" w:type="dxa"/>
            <w:vAlign w:val="center"/>
          </w:tcPr>
          <w:p>
            <w:pPr>
              <w:pStyle w:val="37"/>
            </w:pPr>
            <w:r>
              <w:t>0.107</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0.013</w:t>
            </w:r>
          </w:p>
        </w:tc>
        <w:tc>
          <w:tcPr>
            <w:tcW w:w="575" w:type="dxa"/>
            <w:vAlign w:val="center"/>
          </w:tcPr>
          <w:p>
            <w:pPr>
              <w:pStyle w:val="37"/>
            </w:pPr>
            <w:r>
              <w:t>0.006</w:t>
            </w:r>
          </w:p>
        </w:tc>
        <w:tc>
          <w:tcPr>
            <w:tcW w:w="575" w:type="dxa"/>
            <w:vAlign w:val="center"/>
          </w:tcPr>
          <w:p>
            <w:pPr>
              <w:pStyle w:val="37"/>
            </w:pPr>
            <w:r>
              <w:t>0.010</w:t>
            </w:r>
          </w:p>
        </w:tc>
        <w:tc>
          <w:tcPr>
            <w:tcW w:w="563" w:type="dxa"/>
            <w:vAlign w:val="center"/>
          </w:tcPr>
          <w:p>
            <w:pPr>
              <w:pStyle w:val="37"/>
            </w:pPr>
            <w:r>
              <w:t>0.005</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8.10</w:t>
            </w:r>
          </w:p>
        </w:tc>
        <w:tc>
          <w:tcPr>
            <w:tcW w:w="568" w:type="dxa"/>
            <w:vAlign w:val="center"/>
          </w:tcPr>
          <w:p>
            <w:pPr>
              <w:pStyle w:val="37"/>
            </w:pPr>
            <w:r>
              <w:t>0.109</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0.005L</w:t>
            </w:r>
          </w:p>
        </w:tc>
        <w:tc>
          <w:tcPr>
            <w:tcW w:w="706" w:type="dxa"/>
            <w:vAlign w:val="center"/>
          </w:tcPr>
          <w:p>
            <w:pPr>
              <w:pStyle w:val="37"/>
            </w:pPr>
            <w:r>
              <w:t>0.005L</w:t>
            </w:r>
          </w:p>
        </w:tc>
        <w:tc>
          <w:tcPr>
            <w:tcW w:w="575" w:type="dxa"/>
            <w:vAlign w:val="center"/>
          </w:tcPr>
          <w:p>
            <w:pPr>
              <w:pStyle w:val="37"/>
            </w:pPr>
            <w:r>
              <w:t>0.006</w:t>
            </w:r>
          </w:p>
        </w:tc>
        <w:tc>
          <w:tcPr>
            <w:tcW w:w="575" w:type="dxa"/>
            <w:vAlign w:val="center"/>
          </w:tcPr>
          <w:p>
            <w:pPr>
              <w:pStyle w:val="37"/>
            </w:pPr>
            <w:r>
              <w:t>0.006</w:t>
            </w:r>
          </w:p>
        </w:tc>
        <w:tc>
          <w:tcPr>
            <w:tcW w:w="563" w:type="dxa"/>
            <w:vAlign w:val="center"/>
          </w:tcPr>
          <w:p>
            <w:pPr>
              <w:pStyle w:val="37"/>
            </w:pPr>
            <w:r>
              <w:t>0.004</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8.11</w:t>
            </w:r>
          </w:p>
        </w:tc>
        <w:tc>
          <w:tcPr>
            <w:tcW w:w="568" w:type="dxa"/>
            <w:vAlign w:val="center"/>
          </w:tcPr>
          <w:p>
            <w:pPr>
              <w:pStyle w:val="37"/>
            </w:pPr>
            <w:r>
              <w:t>0.110</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0.005L</w:t>
            </w:r>
          </w:p>
        </w:tc>
        <w:tc>
          <w:tcPr>
            <w:tcW w:w="706" w:type="dxa"/>
            <w:vAlign w:val="center"/>
          </w:tcPr>
          <w:p>
            <w:pPr>
              <w:pStyle w:val="37"/>
            </w:pPr>
            <w:r>
              <w:t>0.006</w:t>
            </w:r>
          </w:p>
        </w:tc>
        <w:tc>
          <w:tcPr>
            <w:tcW w:w="575" w:type="dxa"/>
            <w:vAlign w:val="center"/>
          </w:tcPr>
          <w:p>
            <w:pPr>
              <w:pStyle w:val="37"/>
            </w:pPr>
            <w:r>
              <w:t>0.005</w:t>
            </w:r>
          </w:p>
        </w:tc>
        <w:tc>
          <w:tcPr>
            <w:tcW w:w="575" w:type="dxa"/>
            <w:vAlign w:val="center"/>
          </w:tcPr>
          <w:p>
            <w:pPr>
              <w:pStyle w:val="37"/>
            </w:pPr>
            <w:r>
              <w:t>0.006</w:t>
            </w:r>
          </w:p>
        </w:tc>
        <w:tc>
          <w:tcPr>
            <w:tcW w:w="563" w:type="dxa"/>
            <w:vAlign w:val="center"/>
          </w:tcPr>
          <w:p>
            <w:pPr>
              <w:pStyle w:val="37"/>
            </w:pPr>
            <w:r>
              <w:t>0.004</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8.12</w:t>
            </w:r>
          </w:p>
        </w:tc>
        <w:tc>
          <w:tcPr>
            <w:tcW w:w="568" w:type="dxa"/>
            <w:vAlign w:val="center"/>
          </w:tcPr>
          <w:p>
            <w:pPr>
              <w:pStyle w:val="37"/>
            </w:pPr>
            <w:r>
              <w:t>0.117</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0.013</w:t>
            </w:r>
          </w:p>
        </w:tc>
        <w:tc>
          <w:tcPr>
            <w:tcW w:w="575" w:type="dxa"/>
            <w:vAlign w:val="center"/>
          </w:tcPr>
          <w:p>
            <w:pPr>
              <w:pStyle w:val="37"/>
            </w:pPr>
            <w:r>
              <w:t>0.006</w:t>
            </w:r>
          </w:p>
        </w:tc>
        <w:tc>
          <w:tcPr>
            <w:tcW w:w="575" w:type="dxa"/>
            <w:vAlign w:val="center"/>
          </w:tcPr>
          <w:p>
            <w:pPr>
              <w:pStyle w:val="37"/>
            </w:pPr>
            <w:r>
              <w:t>0.018</w:t>
            </w:r>
          </w:p>
        </w:tc>
        <w:tc>
          <w:tcPr>
            <w:tcW w:w="563" w:type="dxa"/>
            <w:vAlign w:val="center"/>
          </w:tcPr>
          <w:p>
            <w:pPr>
              <w:pStyle w:val="37"/>
            </w:pPr>
            <w:r>
              <w:t>0.007</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8.13</w:t>
            </w:r>
          </w:p>
        </w:tc>
        <w:tc>
          <w:tcPr>
            <w:tcW w:w="568" w:type="dxa"/>
            <w:vAlign w:val="center"/>
          </w:tcPr>
          <w:p>
            <w:pPr>
              <w:pStyle w:val="37"/>
            </w:pPr>
            <w:r>
              <w:t>0.104</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0.025</w:t>
            </w:r>
          </w:p>
        </w:tc>
        <w:tc>
          <w:tcPr>
            <w:tcW w:w="706" w:type="dxa"/>
            <w:vAlign w:val="center"/>
          </w:tcPr>
          <w:p>
            <w:pPr>
              <w:pStyle w:val="37"/>
            </w:pPr>
            <w:r>
              <w:t>0.028</w:t>
            </w:r>
          </w:p>
        </w:tc>
        <w:tc>
          <w:tcPr>
            <w:tcW w:w="575" w:type="dxa"/>
            <w:vAlign w:val="center"/>
          </w:tcPr>
          <w:p>
            <w:pPr>
              <w:pStyle w:val="37"/>
            </w:pPr>
            <w:r>
              <w:t>0.033</w:t>
            </w:r>
          </w:p>
        </w:tc>
        <w:tc>
          <w:tcPr>
            <w:tcW w:w="575" w:type="dxa"/>
            <w:vAlign w:val="center"/>
          </w:tcPr>
          <w:p>
            <w:pPr>
              <w:pStyle w:val="37"/>
            </w:pPr>
            <w:r>
              <w:t>0.006</w:t>
            </w:r>
          </w:p>
        </w:tc>
        <w:tc>
          <w:tcPr>
            <w:tcW w:w="563" w:type="dxa"/>
            <w:vAlign w:val="center"/>
          </w:tcPr>
          <w:p>
            <w:pPr>
              <w:pStyle w:val="37"/>
            </w:pPr>
            <w:r>
              <w:t>0.010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8.14</w:t>
            </w:r>
          </w:p>
        </w:tc>
        <w:tc>
          <w:tcPr>
            <w:tcW w:w="568" w:type="dxa"/>
            <w:vAlign w:val="center"/>
          </w:tcPr>
          <w:p>
            <w:pPr>
              <w:pStyle w:val="37"/>
            </w:pPr>
            <w:r>
              <w:t>0.101</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0.008</w:t>
            </w:r>
          </w:p>
        </w:tc>
        <w:tc>
          <w:tcPr>
            <w:tcW w:w="706" w:type="dxa"/>
            <w:vAlign w:val="center"/>
          </w:tcPr>
          <w:p>
            <w:pPr>
              <w:pStyle w:val="37"/>
            </w:pPr>
            <w:r>
              <w:t>0.007</w:t>
            </w:r>
          </w:p>
        </w:tc>
        <w:tc>
          <w:tcPr>
            <w:tcW w:w="575" w:type="dxa"/>
            <w:vAlign w:val="center"/>
          </w:tcPr>
          <w:p>
            <w:pPr>
              <w:pStyle w:val="37"/>
            </w:pPr>
            <w:r>
              <w:t>0.006</w:t>
            </w:r>
          </w:p>
        </w:tc>
        <w:tc>
          <w:tcPr>
            <w:tcW w:w="575" w:type="dxa"/>
            <w:vAlign w:val="center"/>
          </w:tcPr>
          <w:p>
            <w:pPr>
              <w:pStyle w:val="37"/>
            </w:pPr>
            <w:r>
              <w:t>0.009</w:t>
            </w:r>
          </w:p>
        </w:tc>
        <w:tc>
          <w:tcPr>
            <w:tcW w:w="563" w:type="dxa"/>
            <w:vAlign w:val="center"/>
          </w:tcPr>
          <w:p>
            <w:pPr>
              <w:pStyle w:val="37"/>
            </w:pPr>
            <w:r>
              <w:t>0.005</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8.15</w:t>
            </w:r>
          </w:p>
        </w:tc>
        <w:tc>
          <w:tcPr>
            <w:tcW w:w="568" w:type="dxa"/>
            <w:vAlign w:val="center"/>
          </w:tcPr>
          <w:p>
            <w:pPr>
              <w:pStyle w:val="37"/>
            </w:pPr>
            <w:r>
              <w:t>0.098</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0.010</w:t>
            </w:r>
          </w:p>
        </w:tc>
        <w:tc>
          <w:tcPr>
            <w:tcW w:w="575" w:type="dxa"/>
            <w:vAlign w:val="center"/>
          </w:tcPr>
          <w:p>
            <w:pPr>
              <w:pStyle w:val="37"/>
            </w:pPr>
            <w:r>
              <w:t>0.007</w:t>
            </w:r>
          </w:p>
        </w:tc>
        <w:tc>
          <w:tcPr>
            <w:tcW w:w="575" w:type="dxa"/>
            <w:vAlign w:val="center"/>
          </w:tcPr>
          <w:p>
            <w:pPr>
              <w:pStyle w:val="37"/>
            </w:pPr>
            <w:r>
              <w:t>0.010</w:t>
            </w:r>
          </w:p>
        </w:tc>
        <w:tc>
          <w:tcPr>
            <w:tcW w:w="563" w:type="dxa"/>
            <w:vAlign w:val="center"/>
          </w:tcPr>
          <w:p>
            <w:pPr>
              <w:pStyle w:val="37"/>
            </w:pPr>
            <w:r>
              <w:t>0.008</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restart"/>
            <w:vAlign w:val="center"/>
          </w:tcPr>
          <w:p>
            <w:pPr>
              <w:pStyle w:val="37"/>
              <w:rPr>
                <w:vertAlign w:val="superscript"/>
              </w:rPr>
            </w:pPr>
          </w:p>
          <w:p>
            <w:pPr>
              <w:pStyle w:val="37"/>
            </w:pPr>
            <w:r>
              <w:rPr>
                <w:rFonts w:hint="eastAsia"/>
              </w:rPr>
              <w:t>陈家坡居民点</w:t>
            </w:r>
          </w:p>
        </w:tc>
        <w:tc>
          <w:tcPr>
            <w:tcW w:w="666" w:type="dxa"/>
            <w:vAlign w:val="center"/>
          </w:tcPr>
          <w:p>
            <w:pPr>
              <w:pStyle w:val="37"/>
            </w:pPr>
            <w:r>
              <w:t>8.9</w:t>
            </w:r>
          </w:p>
        </w:tc>
        <w:tc>
          <w:tcPr>
            <w:tcW w:w="568" w:type="dxa"/>
            <w:vAlign w:val="center"/>
          </w:tcPr>
          <w:p>
            <w:pPr>
              <w:pStyle w:val="37"/>
            </w:pPr>
            <w:r>
              <w:t>0.094</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0.011</w:t>
            </w:r>
          </w:p>
        </w:tc>
        <w:tc>
          <w:tcPr>
            <w:tcW w:w="575" w:type="dxa"/>
            <w:vAlign w:val="center"/>
          </w:tcPr>
          <w:p>
            <w:pPr>
              <w:pStyle w:val="37"/>
            </w:pPr>
            <w:r>
              <w:t>0.010</w:t>
            </w:r>
          </w:p>
        </w:tc>
        <w:tc>
          <w:tcPr>
            <w:tcW w:w="575" w:type="dxa"/>
            <w:vAlign w:val="center"/>
          </w:tcPr>
          <w:p>
            <w:pPr>
              <w:pStyle w:val="37"/>
            </w:pPr>
            <w:r>
              <w:t>0.013</w:t>
            </w:r>
          </w:p>
        </w:tc>
        <w:tc>
          <w:tcPr>
            <w:tcW w:w="563" w:type="dxa"/>
            <w:vAlign w:val="center"/>
          </w:tcPr>
          <w:p>
            <w:pPr>
              <w:pStyle w:val="37"/>
            </w:pPr>
            <w:r>
              <w:t>0.006</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8.10</w:t>
            </w:r>
          </w:p>
        </w:tc>
        <w:tc>
          <w:tcPr>
            <w:tcW w:w="568" w:type="dxa"/>
            <w:vAlign w:val="center"/>
          </w:tcPr>
          <w:p>
            <w:pPr>
              <w:pStyle w:val="37"/>
            </w:pPr>
            <w:r>
              <w:t>0.088</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0.006</w:t>
            </w:r>
          </w:p>
        </w:tc>
        <w:tc>
          <w:tcPr>
            <w:tcW w:w="575" w:type="dxa"/>
            <w:vAlign w:val="center"/>
          </w:tcPr>
          <w:p>
            <w:pPr>
              <w:pStyle w:val="37"/>
            </w:pPr>
            <w:r>
              <w:t>0.008</w:t>
            </w:r>
          </w:p>
        </w:tc>
        <w:tc>
          <w:tcPr>
            <w:tcW w:w="575" w:type="dxa"/>
            <w:vAlign w:val="center"/>
          </w:tcPr>
          <w:p>
            <w:pPr>
              <w:pStyle w:val="37"/>
            </w:pPr>
            <w:r>
              <w:t>0.010</w:t>
            </w:r>
          </w:p>
        </w:tc>
        <w:tc>
          <w:tcPr>
            <w:tcW w:w="563" w:type="dxa"/>
            <w:vAlign w:val="center"/>
          </w:tcPr>
          <w:p>
            <w:pPr>
              <w:pStyle w:val="37"/>
            </w:pPr>
            <w:r>
              <w:t>0.005</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8.11</w:t>
            </w:r>
          </w:p>
        </w:tc>
        <w:tc>
          <w:tcPr>
            <w:tcW w:w="568" w:type="dxa"/>
            <w:vAlign w:val="center"/>
          </w:tcPr>
          <w:p>
            <w:pPr>
              <w:pStyle w:val="37"/>
            </w:pPr>
            <w:r>
              <w:t>0.097</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0.005L</w:t>
            </w:r>
          </w:p>
        </w:tc>
        <w:tc>
          <w:tcPr>
            <w:tcW w:w="706" w:type="dxa"/>
            <w:vAlign w:val="center"/>
          </w:tcPr>
          <w:p>
            <w:pPr>
              <w:pStyle w:val="37"/>
            </w:pPr>
            <w:r>
              <w:t>0.007</w:t>
            </w:r>
          </w:p>
        </w:tc>
        <w:tc>
          <w:tcPr>
            <w:tcW w:w="575" w:type="dxa"/>
            <w:vAlign w:val="center"/>
          </w:tcPr>
          <w:p>
            <w:pPr>
              <w:pStyle w:val="37"/>
            </w:pPr>
            <w:r>
              <w:t>0.006</w:t>
            </w:r>
          </w:p>
        </w:tc>
        <w:tc>
          <w:tcPr>
            <w:tcW w:w="575" w:type="dxa"/>
            <w:vAlign w:val="center"/>
          </w:tcPr>
          <w:p>
            <w:pPr>
              <w:pStyle w:val="37"/>
            </w:pPr>
            <w:r>
              <w:t>0.008</w:t>
            </w:r>
          </w:p>
        </w:tc>
        <w:tc>
          <w:tcPr>
            <w:tcW w:w="563" w:type="dxa"/>
            <w:vAlign w:val="center"/>
          </w:tcPr>
          <w:p>
            <w:pPr>
              <w:pStyle w:val="37"/>
            </w:pPr>
            <w:r>
              <w:t>0.005</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8.12</w:t>
            </w:r>
          </w:p>
        </w:tc>
        <w:tc>
          <w:tcPr>
            <w:tcW w:w="568" w:type="dxa"/>
            <w:vAlign w:val="center"/>
          </w:tcPr>
          <w:p>
            <w:pPr>
              <w:pStyle w:val="37"/>
            </w:pPr>
            <w:r>
              <w:t>0.086</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0.007</w:t>
            </w:r>
          </w:p>
        </w:tc>
        <w:tc>
          <w:tcPr>
            <w:tcW w:w="706" w:type="dxa"/>
            <w:vAlign w:val="center"/>
          </w:tcPr>
          <w:p>
            <w:pPr>
              <w:pStyle w:val="37"/>
            </w:pPr>
            <w:r>
              <w:t>0.011</w:t>
            </w:r>
          </w:p>
        </w:tc>
        <w:tc>
          <w:tcPr>
            <w:tcW w:w="575" w:type="dxa"/>
            <w:vAlign w:val="center"/>
          </w:tcPr>
          <w:p>
            <w:pPr>
              <w:pStyle w:val="37"/>
            </w:pPr>
            <w:r>
              <w:t>0.008</w:t>
            </w:r>
          </w:p>
        </w:tc>
        <w:tc>
          <w:tcPr>
            <w:tcW w:w="575" w:type="dxa"/>
            <w:vAlign w:val="center"/>
          </w:tcPr>
          <w:p>
            <w:pPr>
              <w:pStyle w:val="37"/>
            </w:pPr>
            <w:r>
              <w:t>0.018</w:t>
            </w:r>
          </w:p>
        </w:tc>
        <w:tc>
          <w:tcPr>
            <w:tcW w:w="563" w:type="dxa"/>
            <w:vAlign w:val="center"/>
          </w:tcPr>
          <w:p>
            <w:pPr>
              <w:pStyle w:val="37"/>
            </w:pPr>
            <w:r>
              <w:t>0.006</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8.13</w:t>
            </w:r>
          </w:p>
        </w:tc>
        <w:tc>
          <w:tcPr>
            <w:tcW w:w="568" w:type="dxa"/>
            <w:vAlign w:val="center"/>
          </w:tcPr>
          <w:p>
            <w:pPr>
              <w:pStyle w:val="37"/>
            </w:pPr>
            <w:r>
              <w:t>0.089</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0.009</w:t>
            </w:r>
          </w:p>
        </w:tc>
        <w:tc>
          <w:tcPr>
            <w:tcW w:w="706" w:type="dxa"/>
            <w:vAlign w:val="center"/>
          </w:tcPr>
          <w:p>
            <w:pPr>
              <w:pStyle w:val="37"/>
            </w:pPr>
            <w:r>
              <w:t>0.010</w:t>
            </w:r>
          </w:p>
        </w:tc>
        <w:tc>
          <w:tcPr>
            <w:tcW w:w="575" w:type="dxa"/>
            <w:vAlign w:val="center"/>
          </w:tcPr>
          <w:p>
            <w:pPr>
              <w:pStyle w:val="37"/>
            </w:pPr>
            <w:r>
              <w:t>0.013</w:t>
            </w:r>
          </w:p>
        </w:tc>
        <w:tc>
          <w:tcPr>
            <w:tcW w:w="575" w:type="dxa"/>
            <w:vAlign w:val="center"/>
          </w:tcPr>
          <w:p>
            <w:pPr>
              <w:pStyle w:val="37"/>
            </w:pPr>
            <w:r>
              <w:t>0.029</w:t>
            </w:r>
          </w:p>
        </w:tc>
        <w:tc>
          <w:tcPr>
            <w:tcW w:w="563" w:type="dxa"/>
            <w:vAlign w:val="center"/>
          </w:tcPr>
          <w:p>
            <w:pPr>
              <w:pStyle w:val="37"/>
            </w:pPr>
            <w:r>
              <w:t>0.013</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8.14</w:t>
            </w:r>
          </w:p>
        </w:tc>
        <w:tc>
          <w:tcPr>
            <w:tcW w:w="568" w:type="dxa"/>
            <w:vAlign w:val="center"/>
          </w:tcPr>
          <w:p>
            <w:pPr>
              <w:pStyle w:val="37"/>
            </w:pPr>
            <w:r>
              <w:t>0.087</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0.009</w:t>
            </w:r>
          </w:p>
        </w:tc>
        <w:tc>
          <w:tcPr>
            <w:tcW w:w="706" w:type="dxa"/>
            <w:vAlign w:val="center"/>
          </w:tcPr>
          <w:p>
            <w:pPr>
              <w:pStyle w:val="37"/>
            </w:pPr>
            <w:r>
              <w:t>0.008</w:t>
            </w:r>
          </w:p>
        </w:tc>
        <w:tc>
          <w:tcPr>
            <w:tcW w:w="575" w:type="dxa"/>
            <w:vAlign w:val="center"/>
          </w:tcPr>
          <w:p>
            <w:pPr>
              <w:pStyle w:val="37"/>
            </w:pPr>
            <w:r>
              <w:t>0.008</w:t>
            </w:r>
          </w:p>
        </w:tc>
        <w:tc>
          <w:tcPr>
            <w:tcW w:w="575" w:type="dxa"/>
            <w:vAlign w:val="center"/>
          </w:tcPr>
          <w:p>
            <w:pPr>
              <w:pStyle w:val="37"/>
            </w:pPr>
            <w:r>
              <w:t>0.009</w:t>
            </w:r>
          </w:p>
        </w:tc>
        <w:tc>
          <w:tcPr>
            <w:tcW w:w="563" w:type="dxa"/>
            <w:vAlign w:val="center"/>
          </w:tcPr>
          <w:p>
            <w:pPr>
              <w:pStyle w:val="37"/>
            </w:pPr>
            <w:r>
              <w:t>0.007</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36" w:hRule="exact"/>
          <w:jc w:val="center"/>
        </w:trPr>
        <w:tc>
          <w:tcPr>
            <w:tcW w:w="1097" w:type="dxa"/>
            <w:vMerge w:val="continue"/>
            <w:vAlign w:val="center"/>
          </w:tcPr>
          <w:p>
            <w:pPr>
              <w:pStyle w:val="37"/>
            </w:pPr>
          </w:p>
        </w:tc>
        <w:tc>
          <w:tcPr>
            <w:tcW w:w="666" w:type="dxa"/>
            <w:vAlign w:val="center"/>
          </w:tcPr>
          <w:p>
            <w:pPr>
              <w:pStyle w:val="37"/>
            </w:pPr>
            <w:r>
              <w:t>8.15</w:t>
            </w:r>
          </w:p>
        </w:tc>
        <w:tc>
          <w:tcPr>
            <w:tcW w:w="568" w:type="dxa"/>
            <w:vAlign w:val="center"/>
          </w:tcPr>
          <w:p>
            <w:pPr>
              <w:pStyle w:val="37"/>
            </w:pPr>
            <w:r>
              <w:t>0.091</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0.007L</w:t>
            </w:r>
          </w:p>
        </w:tc>
        <w:tc>
          <w:tcPr>
            <w:tcW w:w="706" w:type="dxa"/>
            <w:vAlign w:val="center"/>
          </w:tcPr>
          <w:p>
            <w:pPr>
              <w:pStyle w:val="37"/>
            </w:pPr>
            <w:r>
              <w:t>0.004L</w:t>
            </w:r>
          </w:p>
        </w:tc>
        <w:tc>
          <w:tcPr>
            <w:tcW w:w="706" w:type="dxa"/>
            <w:vAlign w:val="center"/>
          </w:tcPr>
          <w:p>
            <w:pPr>
              <w:pStyle w:val="37"/>
            </w:pPr>
            <w:r>
              <w:t>0.010</w:t>
            </w:r>
          </w:p>
        </w:tc>
        <w:tc>
          <w:tcPr>
            <w:tcW w:w="706" w:type="dxa"/>
            <w:vAlign w:val="center"/>
          </w:tcPr>
          <w:p>
            <w:pPr>
              <w:pStyle w:val="37"/>
            </w:pPr>
            <w:r>
              <w:t>0.014</w:t>
            </w:r>
          </w:p>
        </w:tc>
        <w:tc>
          <w:tcPr>
            <w:tcW w:w="575" w:type="dxa"/>
            <w:vAlign w:val="center"/>
          </w:tcPr>
          <w:p>
            <w:pPr>
              <w:pStyle w:val="37"/>
            </w:pPr>
            <w:r>
              <w:t>0.012</w:t>
            </w:r>
          </w:p>
        </w:tc>
        <w:tc>
          <w:tcPr>
            <w:tcW w:w="575" w:type="dxa"/>
            <w:vAlign w:val="center"/>
          </w:tcPr>
          <w:p>
            <w:pPr>
              <w:pStyle w:val="37"/>
            </w:pPr>
            <w:r>
              <w:t>0.012</w:t>
            </w:r>
          </w:p>
        </w:tc>
        <w:tc>
          <w:tcPr>
            <w:tcW w:w="563" w:type="dxa"/>
            <w:vAlign w:val="center"/>
          </w:tcPr>
          <w:p>
            <w:pPr>
              <w:pStyle w:val="37"/>
            </w:pPr>
            <w:r>
              <w:t>0.010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Ex>
        <w:trPr>
          <w:trHeight w:val="465" w:hRule="exact"/>
          <w:jc w:val="center"/>
        </w:trPr>
        <w:tc>
          <w:tcPr>
            <w:tcW w:w="1097" w:type="dxa"/>
            <w:vAlign w:val="center"/>
          </w:tcPr>
          <w:p>
            <w:pPr>
              <w:pStyle w:val="37"/>
            </w:pPr>
            <w:r>
              <w:rPr>
                <w:rFonts w:hint="eastAsia"/>
              </w:rPr>
              <w:t>备注</w:t>
            </w:r>
          </w:p>
        </w:tc>
        <w:tc>
          <w:tcPr>
            <w:tcW w:w="7889" w:type="dxa"/>
            <w:gridSpan w:val="12"/>
            <w:vAlign w:val="center"/>
          </w:tcPr>
          <w:p>
            <w:pPr>
              <w:pStyle w:val="37"/>
              <w:rPr>
                <w:color w:val="000000"/>
              </w:rPr>
            </w:pPr>
            <w:r>
              <w:rPr>
                <w:rFonts w:hint="eastAsia"/>
                <w:bCs/>
              </w:rPr>
              <w:t>参考执行</w:t>
            </w:r>
            <w:r>
              <w:rPr>
                <w:rFonts w:hint="eastAsia"/>
              </w:rPr>
              <w:t>《环境空气质量标准》（</w:t>
            </w:r>
            <w:r>
              <w:t>GB3095-2012</w:t>
            </w:r>
            <w:r>
              <w:rPr>
                <w:rFonts w:hint="eastAsia"/>
              </w:rPr>
              <w:t>）二级标准</w:t>
            </w:r>
          </w:p>
        </w:tc>
      </w:tr>
    </w:tbl>
    <w:p>
      <w:pPr>
        <w:pStyle w:val="4"/>
      </w:pPr>
      <w:r>
        <w:rPr>
          <w:rFonts w:hint="eastAsia"/>
        </w:rPr>
        <w:t>环境空气质量评价</w:t>
      </w:r>
    </w:p>
    <w:p>
      <w:pPr>
        <w:ind w:firstLine="480"/>
      </w:pPr>
      <w:r>
        <w:rPr>
          <w:rFonts w:hint="eastAsia"/>
        </w:rPr>
        <w:t>（</w:t>
      </w:r>
      <w:r>
        <w:t>1</w:t>
      </w:r>
      <w:r>
        <w:rPr>
          <w:rFonts w:hint="eastAsia"/>
        </w:rPr>
        <w:t>）评价方法</w:t>
      </w:r>
    </w:p>
    <w:p>
      <w:pPr>
        <w:ind w:firstLine="480"/>
      </w:pPr>
      <w:r>
        <w:rPr>
          <w:rFonts w:hint="eastAsia"/>
        </w:rPr>
        <w:t>空气环境质量现状评价采用单因子指数法，计算公式为：</w:t>
      </w:r>
    </w:p>
    <w:p>
      <w:pPr>
        <w:ind w:firstLine="480"/>
        <w:jc w:val="center"/>
      </w:pPr>
      <w:r>
        <w:t>I</w:t>
      </w:r>
      <w:r>
        <w:rPr>
          <w:vertAlign w:val="subscript"/>
        </w:rPr>
        <w:t>ij</w:t>
      </w:r>
      <w:r>
        <w:t>=C</w:t>
      </w:r>
      <w:r>
        <w:rPr>
          <w:vertAlign w:val="subscript"/>
        </w:rPr>
        <w:t>ij</w:t>
      </w:r>
      <w:r>
        <w:t>/S</w:t>
      </w:r>
      <w:r>
        <w:rPr>
          <w:vertAlign w:val="subscript"/>
        </w:rPr>
        <w:t>j</w:t>
      </w:r>
    </w:p>
    <w:p>
      <w:pPr>
        <w:ind w:firstLine="480"/>
      </w:pPr>
      <w:r>
        <w:rPr>
          <w:rFonts w:hint="eastAsia"/>
        </w:rPr>
        <w:t>式中：</w:t>
      </w:r>
    </w:p>
    <w:p>
      <w:pPr>
        <w:ind w:firstLine="480"/>
      </w:pPr>
      <w:r>
        <w:t>I</w:t>
      </w:r>
      <w:r>
        <w:rPr>
          <w:vertAlign w:val="subscript"/>
        </w:rPr>
        <w:t>ij</w:t>
      </w:r>
      <w:r>
        <w:t>—i</w:t>
      </w:r>
      <w:r>
        <w:rPr>
          <w:rFonts w:hint="eastAsia"/>
        </w:rPr>
        <w:t>测点</w:t>
      </w:r>
      <w:r>
        <w:t>j</w:t>
      </w:r>
      <w:r>
        <w:rPr>
          <w:rFonts w:hint="eastAsia"/>
        </w:rPr>
        <w:t>项污染物单因子质量指数；</w:t>
      </w:r>
    </w:p>
    <w:p>
      <w:pPr>
        <w:ind w:firstLine="480"/>
      </w:pPr>
      <w:r>
        <w:t>C</w:t>
      </w:r>
      <w:r>
        <w:rPr>
          <w:vertAlign w:val="subscript"/>
        </w:rPr>
        <w:t>ij</w:t>
      </w:r>
      <w:r>
        <w:t>—i</w:t>
      </w:r>
      <w:r>
        <w:rPr>
          <w:rFonts w:hint="eastAsia"/>
        </w:rPr>
        <w:t>测点</w:t>
      </w:r>
      <w:r>
        <w:t>j</w:t>
      </w:r>
      <w:r>
        <w:rPr>
          <w:rFonts w:hint="eastAsia"/>
        </w:rPr>
        <w:t>项污染物实测浓度值，</w:t>
      </w:r>
      <w:r>
        <w:t>mg/m</w:t>
      </w:r>
      <w:r>
        <w:rPr>
          <w:vertAlign w:val="superscript"/>
        </w:rPr>
        <w:t>3</w:t>
      </w:r>
      <w:r>
        <w:rPr>
          <w:rFonts w:hint="eastAsia"/>
        </w:rPr>
        <w:t>；</w:t>
      </w:r>
    </w:p>
    <w:p>
      <w:pPr>
        <w:ind w:firstLine="480"/>
      </w:pPr>
      <w:r>
        <w:t>S</w:t>
      </w:r>
      <w:r>
        <w:rPr>
          <w:vertAlign w:val="subscript"/>
        </w:rPr>
        <w:t xml:space="preserve">j </w:t>
      </w:r>
      <w:r>
        <w:t>—j</w:t>
      </w:r>
      <w:r>
        <w:rPr>
          <w:rFonts w:hint="eastAsia"/>
        </w:rPr>
        <w:t>项污染物相应的浓度标准值，</w:t>
      </w:r>
      <w:r>
        <w:t>mg/m</w:t>
      </w:r>
      <w:r>
        <w:rPr>
          <w:vertAlign w:val="superscript"/>
        </w:rPr>
        <w:t>3</w:t>
      </w:r>
      <w:r>
        <w:rPr>
          <w:rFonts w:hint="eastAsia"/>
        </w:rPr>
        <w:t>。</w:t>
      </w:r>
    </w:p>
    <w:p>
      <w:pPr>
        <w:ind w:firstLine="480"/>
      </w:pPr>
      <w:r>
        <w:rPr>
          <w:rFonts w:hint="eastAsia"/>
        </w:rPr>
        <w:t>（</w:t>
      </w:r>
      <w:r>
        <w:t>2</w:t>
      </w:r>
      <w:r>
        <w:rPr>
          <w:rFonts w:hint="eastAsia"/>
        </w:rPr>
        <w:t>）环境空气质量现状评价结果</w:t>
      </w:r>
    </w:p>
    <w:p>
      <w:pPr>
        <w:ind w:firstLine="480"/>
      </w:pPr>
      <w:r>
        <w:rPr>
          <w:rFonts w:hint="eastAsia"/>
        </w:rPr>
        <w:t>环境空气监测评价统计见表</w:t>
      </w:r>
      <w:r>
        <w:t>4.3-4</w:t>
      </w:r>
      <w:r>
        <w:rPr>
          <w:rFonts w:hint="eastAsia"/>
        </w:rPr>
        <w:t>。</w:t>
      </w:r>
    </w:p>
    <w:p>
      <w:pPr>
        <w:pStyle w:val="14"/>
      </w:pPr>
      <w:r>
        <w:rPr>
          <w:rFonts w:hint="eastAsia"/>
        </w:rPr>
        <w:t>表</w:t>
      </w:r>
      <w:r>
        <w:fldChar w:fldCharType="begin"/>
      </w:r>
      <w:r>
        <w:instrText xml:space="preserve"> STYLEREF 2 \s </w:instrText>
      </w:r>
      <w:r>
        <w:fldChar w:fldCharType="separate"/>
      </w:r>
      <w:r>
        <w:t>4.3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r>
        <w:rPr>
          <w:rFonts w:hint="eastAsia"/>
        </w:rPr>
        <w:t>环境空气质量现状监测结果</w:t>
      </w:r>
    </w:p>
    <w:tbl>
      <w:tblPr>
        <w:tblStyle w:val="35"/>
        <w:tblpPr w:leftFromText="181" w:rightFromText="181" w:bottomFromText="142" w:vertAnchor="text" w:tblpXSpec="center" w:tblpY="1"/>
        <w:tblOverlap w:val="never"/>
        <w:tblW w:w="894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2903"/>
        <w:gridCol w:w="413"/>
        <w:gridCol w:w="915"/>
        <w:gridCol w:w="1361"/>
        <w:gridCol w:w="1067"/>
        <w:gridCol w:w="1593"/>
        <w:gridCol w:w="688"/>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608" w:hRule="atLeast"/>
        </w:trPr>
        <w:tc>
          <w:tcPr>
            <w:tcW w:w="2903"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监测点</w:t>
            </w:r>
          </w:p>
        </w:tc>
        <w:tc>
          <w:tcPr>
            <w:tcW w:w="1328" w:type="dxa"/>
            <w:gridSpan w:val="2"/>
            <w:tcBorders>
              <w:top w:val="single" w:color="auto" w:sz="4" w:space="0"/>
              <w:left w:val="single" w:color="auto" w:sz="4" w:space="0"/>
              <w:bottom w:val="single" w:color="auto" w:sz="4" w:space="0"/>
              <w:right w:val="single" w:color="auto" w:sz="4" w:space="0"/>
            </w:tcBorders>
            <w:vAlign w:val="center"/>
          </w:tcPr>
          <w:p>
            <w:pPr>
              <w:pStyle w:val="37"/>
            </w:pPr>
            <w:r>
              <w:rPr>
                <w:rFonts w:hint="eastAsia"/>
              </w:rPr>
              <w:t>因子</w:t>
            </w:r>
          </w:p>
        </w:tc>
        <w:tc>
          <w:tcPr>
            <w:tcW w:w="1361"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浓度范围</w:t>
            </w:r>
          </w:p>
          <w:p>
            <w:pPr>
              <w:pStyle w:val="37"/>
            </w:pPr>
            <w:r>
              <w:rPr>
                <w:rFonts w:hint="eastAsia"/>
              </w:rPr>
              <w:t>（</w:t>
            </w:r>
            <w:r>
              <w:t>mg/m</w:t>
            </w:r>
            <w:r>
              <w:rPr>
                <w:vertAlign w:val="superscript"/>
              </w:rPr>
              <w:t>3</w:t>
            </w:r>
            <w:r>
              <w:rPr>
                <w:rFonts w:hint="eastAsia"/>
              </w:rPr>
              <w:t>）</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质量标准</w:t>
            </w:r>
          </w:p>
          <w:p>
            <w:pPr>
              <w:pStyle w:val="37"/>
            </w:pPr>
            <w:r>
              <w:rPr>
                <w:rFonts w:hint="eastAsia"/>
              </w:rPr>
              <w:t>（</w:t>
            </w:r>
            <w:r>
              <w:t>mg/m</w:t>
            </w:r>
            <w:r>
              <w:rPr>
                <w:vertAlign w:val="superscript"/>
              </w:rPr>
              <w:t>3</w:t>
            </w:r>
            <w:r>
              <w:rPr>
                <w:rFonts w:hint="eastAsia"/>
              </w:rPr>
              <w:t>）</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最大单因子指数</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超标率</w:t>
            </w:r>
          </w:p>
          <w:p>
            <w:pPr>
              <w:pStyle w:val="37"/>
            </w:pPr>
            <w:r>
              <w:rPr>
                <w:rFonts w:hint="eastAsia"/>
              </w:rPr>
              <w:t>（</w:t>
            </w:r>
            <w:r>
              <w:t>%</w:t>
            </w:r>
            <w:r>
              <w:rPr>
                <w:rFonts w:hint="eastAsia"/>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15" w:hRule="atLeast"/>
        </w:trPr>
        <w:tc>
          <w:tcPr>
            <w:tcW w:w="2903" w:type="dxa"/>
            <w:vMerge w:val="restart"/>
            <w:tcBorders>
              <w:top w:val="single" w:color="auto" w:sz="4" w:space="0"/>
              <w:left w:val="single" w:color="auto" w:sz="4" w:space="0"/>
              <w:bottom w:val="single" w:color="auto" w:sz="4" w:space="0"/>
              <w:right w:val="single" w:color="auto" w:sz="4" w:space="0"/>
            </w:tcBorders>
            <w:vAlign w:val="center"/>
          </w:tcPr>
          <w:p>
            <w:pPr>
              <w:pStyle w:val="37"/>
            </w:pPr>
            <w:r>
              <w:rPr>
                <w:rFonts w:hint="eastAsia"/>
              </w:rPr>
              <w:t>项目北面</w:t>
            </w:r>
            <w:r>
              <w:t>500m</w:t>
            </w:r>
          </w:p>
        </w:tc>
        <w:tc>
          <w:tcPr>
            <w:tcW w:w="413" w:type="dxa"/>
            <w:vMerge w:val="restart"/>
            <w:tcBorders>
              <w:top w:val="single" w:color="auto" w:sz="4" w:space="0"/>
              <w:left w:val="single" w:color="auto" w:sz="4" w:space="0"/>
              <w:bottom w:val="single" w:color="auto" w:sz="4" w:space="0"/>
              <w:right w:val="single" w:color="auto" w:sz="4" w:space="0"/>
            </w:tcBorders>
            <w:vAlign w:val="center"/>
          </w:tcPr>
          <w:p>
            <w:pPr>
              <w:pStyle w:val="37"/>
            </w:pPr>
            <w:r>
              <w:t>SO</w:t>
            </w:r>
            <w:r>
              <w:rPr>
                <w:vertAlign w:val="subscript"/>
              </w:rPr>
              <w:t>2</w:t>
            </w: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小时均值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0.50</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15"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0.15</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158"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restart"/>
            <w:tcBorders>
              <w:top w:val="single" w:color="auto" w:sz="4" w:space="0"/>
              <w:left w:val="single" w:color="auto" w:sz="4" w:space="0"/>
              <w:bottom w:val="single" w:color="auto" w:sz="4" w:space="0"/>
              <w:right w:val="single" w:color="auto" w:sz="4" w:space="0"/>
            </w:tcBorders>
            <w:vAlign w:val="center"/>
          </w:tcPr>
          <w:p>
            <w:pPr>
              <w:pStyle w:val="37"/>
            </w:pPr>
            <w:r>
              <w:t>NO</w:t>
            </w:r>
            <w:r>
              <w:rPr>
                <w:vertAlign w:val="subscript"/>
              </w:rPr>
              <w:t>2</w:t>
            </w: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小时均值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0.005</w:t>
            </w:r>
            <w:r>
              <w:rPr>
                <w:rFonts w:hint="eastAsia"/>
              </w:rPr>
              <w:t>～</w:t>
            </w:r>
            <w:r>
              <w:t>0.033</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0.20</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0.165</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157"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0.004</w:t>
            </w:r>
            <w:r>
              <w:rPr>
                <w:rFonts w:hint="eastAsia"/>
              </w:rPr>
              <w:t>～</w:t>
            </w:r>
            <w:r>
              <w:t>0.008</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0.08</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0.1</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157"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1328" w:type="dxa"/>
            <w:gridSpan w:val="2"/>
            <w:tcBorders>
              <w:top w:val="single" w:color="auto" w:sz="4" w:space="0"/>
              <w:left w:val="single" w:color="auto" w:sz="4" w:space="0"/>
              <w:bottom w:val="single" w:color="auto" w:sz="4" w:space="0"/>
              <w:right w:val="single" w:color="auto" w:sz="4" w:space="0"/>
            </w:tcBorders>
            <w:vAlign w:val="center"/>
          </w:tcPr>
          <w:p>
            <w:pPr>
              <w:pStyle w:val="37"/>
            </w:pPr>
            <w:r>
              <w:t>PM</w:t>
            </w:r>
            <w:r>
              <w:rPr>
                <w:vertAlign w:val="subscript"/>
              </w:rPr>
              <w:t>10</w:t>
            </w: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center"/>
          </w:tcPr>
          <w:p>
            <w:pPr>
              <w:pStyle w:val="37"/>
            </w:pPr>
            <w:r>
              <w:t>0.0098</w:t>
            </w:r>
            <w:r>
              <w:rPr>
                <w:rFonts w:hint="eastAsia"/>
              </w:rPr>
              <w:t>～</w:t>
            </w:r>
            <w:r>
              <w:t>0.117</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0.15</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0.78</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3" w:hRule="atLeast"/>
        </w:trPr>
        <w:tc>
          <w:tcPr>
            <w:tcW w:w="2903" w:type="dxa"/>
            <w:vMerge w:val="restart"/>
            <w:tcBorders>
              <w:top w:val="single" w:color="auto" w:sz="4" w:space="0"/>
              <w:left w:val="single" w:color="auto" w:sz="4" w:space="0"/>
              <w:bottom w:val="single" w:color="auto" w:sz="4" w:space="0"/>
              <w:right w:val="single" w:color="auto" w:sz="4" w:space="0"/>
            </w:tcBorders>
            <w:vAlign w:val="center"/>
          </w:tcPr>
          <w:p>
            <w:pPr>
              <w:pStyle w:val="37"/>
            </w:pPr>
            <w:r>
              <w:rPr>
                <w:rFonts w:hint="eastAsia"/>
              </w:rPr>
              <w:t>项目南侧</w:t>
            </w:r>
            <w:r>
              <w:t>460m</w:t>
            </w:r>
            <w:r>
              <w:rPr>
                <w:rFonts w:hint="eastAsia"/>
              </w:rPr>
              <w:t>陈家坡居民点</w:t>
            </w:r>
          </w:p>
        </w:tc>
        <w:tc>
          <w:tcPr>
            <w:tcW w:w="413" w:type="dxa"/>
            <w:vMerge w:val="restart"/>
            <w:tcBorders>
              <w:top w:val="single" w:color="auto" w:sz="4" w:space="0"/>
              <w:left w:val="single" w:color="auto" w:sz="4" w:space="0"/>
              <w:bottom w:val="single" w:color="auto" w:sz="4" w:space="0"/>
              <w:right w:val="single" w:color="auto" w:sz="4" w:space="0"/>
            </w:tcBorders>
            <w:vAlign w:val="center"/>
          </w:tcPr>
          <w:p>
            <w:pPr>
              <w:pStyle w:val="37"/>
            </w:pPr>
            <w:r>
              <w:t>SO</w:t>
            </w:r>
            <w:r>
              <w:rPr>
                <w:vertAlign w:val="subscript"/>
              </w:rPr>
              <w:t>2</w:t>
            </w: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小时均值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0.50</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3"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0.15</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3"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restart"/>
            <w:tcBorders>
              <w:top w:val="single" w:color="auto" w:sz="4" w:space="0"/>
              <w:left w:val="single" w:color="auto" w:sz="4" w:space="0"/>
              <w:bottom w:val="single" w:color="auto" w:sz="4" w:space="0"/>
              <w:right w:val="single" w:color="auto" w:sz="4" w:space="0"/>
            </w:tcBorders>
            <w:vAlign w:val="center"/>
          </w:tcPr>
          <w:p>
            <w:pPr>
              <w:pStyle w:val="37"/>
            </w:pPr>
            <w:r>
              <w:t>NO</w:t>
            </w:r>
            <w:r>
              <w:rPr>
                <w:vertAlign w:val="subscript"/>
              </w:rPr>
              <w:t>2</w:t>
            </w: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小时均值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0.006</w:t>
            </w:r>
            <w:r>
              <w:rPr>
                <w:rFonts w:hint="eastAsia"/>
              </w:rPr>
              <w:t>～</w:t>
            </w:r>
            <w:r>
              <w:t>0.029</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0.20</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0.145</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3"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41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915" w:type="dxa"/>
            <w:tcBorders>
              <w:top w:val="single" w:color="auto" w:sz="4" w:space="0"/>
              <w:left w:val="single" w:color="auto" w:sz="4" w:space="0"/>
              <w:bottom w:val="single" w:color="auto" w:sz="4" w:space="0"/>
              <w:right w:val="single" w:color="auto" w:sz="4" w:space="0"/>
            </w:tcBorders>
            <w:vAlign w:val="center"/>
          </w:tcPr>
          <w:p>
            <w:pPr>
              <w:pStyle w:val="37"/>
            </w:pP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top"/>
          </w:tcPr>
          <w:p>
            <w:pPr>
              <w:pStyle w:val="37"/>
            </w:pPr>
            <w:r>
              <w:t>0.005</w:t>
            </w:r>
            <w:r>
              <w:rPr>
                <w:rFonts w:hint="eastAsia"/>
              </w:rPr>
              <w:t>～</w:t>
            </w:r>
            <w:r>
              <w:t>0.013</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0.08</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0.1625</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Ex>
        <w:trPr>
          <w:trHeight w:val="333" w:hRule="atLeast"/>
        </w:trPr>
        <w:tc>
          <w:tcPr>
            <w:tcW w:w="2903" w:type="dxa"/>
            <w:vMerge w:val="continue"/>
            <w:tcBorders>
              <w:top w:val="single" w:color="auto" w:sz="4" w:space="0"/>
              <w:left w:val="single" w:color="auto" w:sz="4" w:space="0"/>
              <w:bottom w:val="single" w:color="auto" w:sz="4" w:space="0"/>
              <w:right w:val="single" w:color="auto" w:sz="4" w:space="0"/>
            </w:tcBorders>
            <w:vAlign w:val="center"/>
          </w:tcPr>
          <w:p>
            <w:pPr>
              <w:pStyle w:val="37"/>
            </w:pPr>
          </w:p>
        </w:tc>
        <w:tc>
          <w:tcPr>
            <w:tcW w:w="1328" w:type="dxa"/>
            <w:gridSpan w:val="2"/>
            <w:tcBorders>
              <w:top w:val="single" w:color="auto" w:sz="4" w:space="0"/>
              <w:left w:val="single" w:color="auto" w:sz="4" w:space="0"/>
              <w:bottom w:val="single" w:color="auto" w:sz="4" w:space="0"/>
              <w:right w:val="single" w:color="auto" w:sz="4" w:space="0"/>
            </w:tcBorders>
            <w:vAlign w:val="center"/>
          </w:tcPr>
          <w:p>
            <w:pPr>
              <w:pStyle w:val="37"/>
            </w:pPr>
            <w:r>
              <w:t>PM</w:t>
            </w:r>
            <w:r>
              <w:rPr>
                <w:vertAlign w:val="subscript"/>
              </w:rPr>
              <w:t>10</w:t>
            </w:r>
            <w:r>
              <w:rPr>
                <w:rFonts w:hint="eastAsia"/>
              </w:rPr>
              <w:t>日均值</w:t>
            </w:r>
          </w:p>
        </w:tc>
        <w:tc>
          <w:tcPr>
            <w:tcW w:w="1361" w:type="dxa"/>
            <w:tcBorders>
              <w:top w:val="single" w:color="auto" w:sz="4" w:space="0"/>
              <w:left w:val="single" w:color="auto" w:sz="4" w:space="0"/>
              <w:bottom w:val="single" w:color="auto" w:sz="4" w:space="0"/>
              <w:right w:val="single" w:color="auto" w:sz="4" w:space="0"/>
            </w:tcBorders>
            <w:vAlign w:val="center"/>
          </w:tcPr>
          <w:p>
            <w:pPr>
              <w:pStyle w:val="37"/>
            </w:pPr>
            <w:r>
              <w:t>0.086</w:t>
            </w:r>
            <w:r>
              <w:rPr>
                <w:rFonts w:hint="eastAsia"/>
              </w:rPr>
              <w:t>～</w:t>
            </w:r>
            <w:r>
              <w:t>0.097</w:t>
            </w:r>
          </w:p>
        </w:tc>
        <w:tc>
          <w:tcPr>
            <w:tcW w:w="1067" w:type="dxa"/>
            <w:tcBorders>
              <w:top w:val="single" w:color="auto" w:sz="4" w:space="0"/>
              <w:left w:val="single" w:color="auto" w:sz="4" w:space="0"/>
              <w:bottom w:val="single" w:color="auto" w:sz="4" w:space="0"/>
              <w:right w:val="single" w:color="auto" w:sz="4" w:space="0"/>
            </w:tcBorders>
            <w:vAlign w:val="center"/>
          </w:tcPr>
          <w:p>
            <w:pPr>
              <w:pStyle w:val="37"/>
            </w:pPr>
            <w:r>
              <w:t>0.15</w:t>
            </w:r>
          </w:p>
        </w:tc>
        <w:tc>
          <w:tcPr>
            <w:tcW w:w="1593" w:type="dxa"/>
            <w:tcBorders>
              <w:top w:val="single" w:color="auto" w:sz="4" w:space="0"/>
              <w:left w:val="single" w:color="auto" w:sz="4" w:space="0"/>
              <w:bottom w:val="single" w:color="auto" w:sz="4" w:space="0"/>
              <w:right w:val="single" w:color="auto" w:sz="4" w:space="0"/>
            </w:tcBorders>
            <w:vAlign w:val="center"/>
          </w:tcPr>
          <w:p>
            <w:pPr>
              <w:pStyle w:val="37"/>
            </w:pPr>
            <w:r>
              <w:t>0.65</w:t>
            </w:r>
          </w:p>
        </w:tc>
        <w:tc>
          <w:tcPr>
            <w:tcW w:w="688" w:type="dxa"/>
            <w:tcBorders>
              <w:top w:val="single" w:color="auto" w:sz="4" w:space="0"/>
              <w:left w:val="single" w:color="auto" w:sz="4" w:space="0"/>
              <w:bottom w:val="single" w:color="auto" w:sz="4" w:space="0"/>
              <w:right w:val="single" w:color="auto" w:sz="4" w:space="0"/>
            </w:tcBorders>
            <w:vAlign w:val="center"/>
          </w:tcPr>
          <w:p>
            <w:pPr>
              <w:pStyle w:val="37"/>
            </w:pPr>
            <w:r>
              <w:t>0</w:t>
            </w:r>
          </w:p>
        </w:tc>
      </w:tr>
    </w:tbl>
    <w:p>
      <w:pPr>
        <w:ind w:firstLine="480"/>
      </w:pPr>
      <w:r>
        <w:rPr>
          <w:rFonts w:hint="eastAsia"/>
        </w:rPr>
        <w:t>环境空气质量现状评价结果表明：项目拟建地所在区域环境空气质量监测中，</w:t>
      </w:r>
      <w:r>
        <w:t xml:space="preserve"> SO</w:t>
      </w:r>
      <w:r>
        <w:rPr>
          <w:vertAlign w:val="subscript"/>
        </w:rPr>
        <w:t>2</w:t>
      </w:r>
      <w:r>
        <w:rPr>
          <w:rFonts w:hint="eastAsia"/>
        </w:rPr>
        <w:t>、</w:t>
      </w:r>
      <w:r>
        <w:t>NO</w:t>
      </w:r>
      <w:r>
        <w:rPr>
          <w:vertAlign w:val="subscript"/>
        </w:rPr>
        <w:t>2</w:t>
      </w:r>
      <w:r>
        <w:rPr>
          <w:rFonts w:hint="eastAsia"/>
        </w:rPr>
        <w:t>小时均值、日均值及</w:t>
      </w:r>
      <w:r>
        <w:t>PM</w:t>
      </w:r>
      <w:r>
        <w:rPr>
          <w:vertAlign w:val="subscript"/>
        </w:rPr>
        <w:t>10</w:t>
      </w:r>
      <w:r>
        <w:rPr>
          <w:rFonts w:hint="eastAsia"/>
        </w:rPr>
        <w:t>日均值均满足《环境空气质量标准》（</w:t>
      </w:r>
      <w:r>
        <w:t>GB3095-1996</w:t>
      </w:r>
      <w:r>
        <w:rPr>
          <w:rFonts w:hint="eastAsia"/>
        </w:rPr>
        <w:t>）中二级标准要求，项目所在地环境空气质量良好。</w:t>
      </w:r>
    </w:p>
    <w:p>
      <w:pPr>
        <w:pStyle w:val="3"/>
      </w:pPr>
      <w:bookmarkStart w:id="106" w:name="_Toc462818428"/>
      <w:r>
        <w:rPr>
          <w:rFonts w:hint="eastAsia"/>
        </w:rPr>
        <w:t>声环境现状调查及评价</w:t>
      </w:r>
      <w:bookmarkEnd w:id="106"/>
    </w:p>
    <w:p>
      <w:pPr>
        <w:ind w:firstLine="480"/>
        <w:rPr>
          <w:kern w:val="0"/>
        </w:rPr>
      </w:pPr>
      <w:r>
        <w:rPr>
          <w:rFonts w:hint="eastAsia"/>
          <w:kern w:val="0"/>
        </w:rPr>
        <w:t>（</w:t>
      </w:r>
      <w:r>
        <w:rPr>
          <w:kern w:val="0"/>
        </w:rPr>
        <w:t>1</w:t>
      </w:r>
      <w:r>
        <w:rPr>
          <w:rFonts w:hint="eastAsia"/>
          <w:kern w:val="0"/>
        </w:rPr>
        <w:t>）监测点布设：本项目噪声监测共布设</w:t>
      </w:r>
      <w:r>
        <w:rPr>
          <w:kern w:val="0"/>
        </w:rPr>
        <w:t>4</w:t>
      </w:r>
      <w:r>
        <w:rPr>
          <w:rFonts w:hint="eastAsia"/>
          <w:kern w:val="0"/>
        </w:rPr>
        <w:t>个点，监测点布设详见表</w:t>
      </w:r>
      <w:r>
        <w:rPr>
          <w:kern w:val="0"/>
        </w:rPr>
        <w:t>4.4-1</w:t>
      </w:r>
      <w:r>
        <w:rPr>
          <w:rFonts w:hint="eastAsia"/>
          <w:kern w:val="0"/>
        </w:rPr>
        <w:t>。按国家规定的噪声测试规范要求进行昼间和夜间环境噪声监测。</w:t>
      </w:r>
    </w:p>
    <w:p>
      <w:pPr>
        <w:pStyle w:val="14"/>
        <w:rPr>
          <w:kern w:val="0"/>
        </w:rPr>
      </w:pPr>
      <w:r>
        <w:rPr>
          <w:rFonts w:hint="eastAsia"/>
        </w:rPr>
        <w:t>表</w:t>
      </w:r>
      <w:r>
        <w:fldChar w:fldCharType="begin"/>
      </w:r>
      <w:r>
        <w:instrText xml:space="preserve"> STYLEREF 2 \s </w:instrText>
      </w:r>
      <w:r>
        <w:fldChar w:fldCharType="separate"/>
      </w:r>
      <w:r>
        <w:t>4.4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kern w:val="0"/>
        </w:rPr>
        <w:t>声环境质量现状监测点布置表</w:t>
      </w:r>
    </w:p>
    <w:tbl>
      <w:tblPr>
        <w:tblStyle w:val="35"/>
        <w:tblW w:w="85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7"/>
        <w:gridCol w:w="4115"/>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067" w:type="dxa"/>
            <w:vAlign w:val="top"/>
          </w:tcPr>
          <w:p>
            <w:pPr>
              <w:pStyle w:val="37"/>
            </w:pPr>
            <w:r>
              <w:rPr>
                <w:rFonts w:hint="eastAsia"/>
              </w:rPr>
              <w:t>编号</w:t>
            </w:r>
          </w:p>
        </w:tc>
        <w:tc>
          <w:tcPr>
            <w:tcW w:w="4115" w:type="dxa"/>
            <w:vAlign w:val="top"/>
          </w:tcPr>
          <w:p>
            <w:pPr>
              <w:pStyle w:val="37"/>
            </w:pPr>
            <w:r>
              <w:rPr>
                <w:rFonts w:hint="eastAsia"/>
              </w:rPr>
              <w:t>监测点</w:t>
            </w:r>
          </w:p>
        </w:tc>
        <w:tc>
          <w:tcPr>
            <w:tcW w:w="2346" w:type="dxa"/>
            <w:vAlign w:val="top"/>
          </w:tcPr>
          <w:p>
            <w:pPr>
              <w:pStyle w:val="37"/>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0" w:hRule="atLeast"/>
        </w:trPr>
        <w:tc>
          <w:tcPr>
            <w:tcW w:w="2067" w:type="dxa"/>
            <w:vAlign w:val="top"/>
          </w:tcPr>
          <w:p>
            <w:pPr>
              <w:pStyle w:val="37"/>
            </w:pPr>
            <w:r>
              <w:t>1#</w:t>
            </w:r>
          </w:p>
        </w:tc>
        <w:tc>
          <w:tcPr>
            <w:tcW w:w="4115" w:type="dxa"/>
            <w:vAlign w:val="top"/>
          </w:tcPr>
          <w:p>
            <w:pPr>
              <w:pStyle w:val="37"/>
            </w:pPr>
            <w:r>
              <w:rPr>
                <w:rFonts w:hint="eastAsia"/>
              </w:rPr>
              <w:t>项目东侧场界外</w:t>
            </w:r>
            <w:r>
              <w:t>1m</w:t>
            </w:r>
          </w:p>
        </w:tc>
        <w:tc>
          <w:tcPr>
            <w:tcW w:w="2346" w:type="dxa"/>
            <w:vMerge w:val="restart"/>
            <w:vAlign w:val="center"/>
          </w:tcPr>
          <w:p>
            <w:pPr>
              <w:pStyle w:val="37"/>
            </w:pPr>
            <w:r>
              <w:rPr>
                <w:rFonts w:hint="eastAsia"/>
              </w:rPr>
              <w:t>环境现状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Pr>
        <w:tc>
          <w:tcPr>
            <w:tcW w:w="2067" w:type="dxa"/>
            <w:vAlign w:val="top"/>
          </w:tcPr>
          <w:p>
            <w:pPr>
              <w:pStyle w:val="37"/>
            </w:pPr>
            <w:r>
              <w:t>2#</w:t>
            </w:r>
          </w:p>
        </w:tc>
        <w:tc>
          <w:tcPr>
            <w:tcW w:w="4115" w:type="dxa"/>
            <w:vAlign w:val="top"/>
          </w:tcPr>
          <w:p>
            <w:pPr>
              <w:pStyle w:val="37"/>
            </w:pPr>
            <w:r>
              <w:rPr>
                <w:rFonts w:hint="eastAsia"/>
              </w:rPr>
              <w:t>项目南侧场界外</w:t>
            </w:r>
            <w:r>
              <w:t>1m</w:t>
            </w:r>
          </w:p>
        </w:tc>
        <w:tc>
          <w:tcPr>
            <w:tcW w:w="2346" w:type="dxa"/>
            <w:vMerge w:val="continue"/>
            <w:vAlign w:val="top"/>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Pr>
        <w:tc>
          <w:tcPr>
            <w:tcW w:w="2067" w:type="dxa"/>
            <w:vAlign w:val="top"/>
          </w:tcPr>
          <w:p>
            <w:pPr>
              <w:pStyle w:val="37"/>
            </w:pPr>
            <w:r>
              <w:t>3#</w:t>
            </w:r>
          </w:p>
        </w:tc>
        <w:tc>
          <w:tcPr>
            <w:tcW w:w="4115" w:type="dxa"/>
            <w:vAlign w:val="top"/>
          </w:tcPr>
          <w:p>
            <w:pPr>
              <w:pStyle w:val="37"/>
            </w:pPr>
            <w:r>
              <w:rPr>
                <w:rFonts w:hint="eastAsia"/>
              </w:rPr>
              <w:t>项目西侧场界外</w:t>
            </w:r>
            <w:r>
              <w:t>1m</w:t>
            </w:r>
          </w:p>
        </w:tc>
        <w:tc>
          <w:tcPr>
            <w:tcW w:w="2346" w:type="dxa"/>
            <w:vMerge w:val="continue"/>
            <w:vAlign w:val="top"/>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Pr>
        <w:tc>
          <w:tcPr>
            <w:tcW w:w="2067" w:type="dxa"/>
            <w:vAlign w:val="top"/>
          </w:tcPr>
          <w:p>
            <w:pPr>
              <w:pStyle w:val="37"/>
            </w:pPr>
            <w:r>
              <w:t>4#</w:t>
            </w:r>
          </w:p>
        </w:tc>
        <w:tc>
          <w:tcPr>
            <w:tcW w:w="4115" w:type="dxa"/>
            <w:vAlign w:val="top"/>
          </w:tcPr>
          <w:p>
            <w:pPr>
              <w:pStyle w:val="37"/>
            </w:pPr>
            <w:r>
              <w:rPr>
                <w:rFonts w:hint="eastAsia"/>
              </w:rPr>
              <w:t>项目北侧场界外</w:t>
            </w:r>
            <w:r>
              <w:t>1m</w:t>
            </w:r>
          </w:p>
        </w:tc>
        <w:tc>
          <w:tcPr>
            <w:tcW w:w="2346" w:type="dxa"/>
            <w:vMerge w:val="continue"/>
            <w:vAlign w:val="top"/>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Pr>
        <w:tc>
          <w:tcPr>
            <w:tcW w:w="8528" w:type="dxa"/>
            <w:gridSpan w:val="3"/>
            <w:vAlign w:val="top"/>
          </w:tcPr>
          <w:p>
            <w:pPr>
              <w:pStyle w:val="37"/>
            </w:pPr>
            <w:r>
              <w:rPr>
                <w:rFonts w:ascii="Times New Roman" w:hAnsi="Times New Roman" w:eastAsia="宋体" w:cs="Times New Roman"/>
                <w:kern w:val="2"/>
                <w:sz w:val="21"/>
                <w:szCs w:val="21"/>
                <w:lang w:val="en-US" w:eastAsia="zh-CN" w:bidi="ar-SA"/>
              </w:rPr>
              <w:pict>
                <v:shape id="Quad Arrow 139" o:spid="_x0000_s1101" type="#_x0000_t202" style="position:absolute;left:0;margin-left:371.9pt;margin-top:43.5pt;height:26.75pt;width:48.25pt;mso-position-horizontal-relative:margin;mso-position-vertical-relative:margin;rotation:0f;z-index:251669504;"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000000"/>
                          </w:rPr>
                        </w:pPr>
                        <w:r>
                          <w:rPr>
                            <w:b/>
                            <w:color w:val="000000"/>
                          </w:rPr>
                          <w:t>1:500</w:t>
                        </w:r>
                      </w:p>
                    </w:txbxContent>
                  </v:textbox>
                </v:shape>
              </w:pict>
            </w:r>
            <w:r>
              <w:rPr>
                <w:rFonts w:ascii="Times New Roman" w:hAnsi="Times New Roman" w:eastAsia="宋体" w:cs="Times New Roman"/>
                <w:kern w:val="2"/>
                <w:sz w:val="21"/>
                <w:szCs w:val="21"/>
                <w:lang w:val="en-US" w:eastAsia="zh-CN" w:bidi="ar-SA"/>
              </w:rPr>
              <w:pict>
                <v:shape id="Quad Arrow 140" o:spid="_x0000_s1102" type="#_x0000_t202" style="position:absolute;left:0;margin-left:346.35pt;margin-top:156.75pt;height:26.75pt;width:69.3pt;mso-position-horizontal-relative:margin;mso-position-vertical-relative:margin;rotation:0f;z-index:251668480;"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0" w:firstLineChars="0"/>
                          <w:rPr>
                            <w:b/>
                            <w:color w:val="FF0000"/>
                          </w:rPr>
                        </w:pPr>
                        <w:r>
                          <w:rPr>
                            <w:rFonts w:hint="eastAsia"/>
                            <w:b/>
                            <w:color w:val="FF0000"/>
                          </w:rPr>
                          <w:t>图例</w:t>
                        </w:r>
                      </w:p>
                    </w:txbxContent>
                  </v:textbox>
                </v:shape>
              </w:pict>
            </w:r>
            <w:r>
              <w:rPr>
                <w:rFonts w:ascii="Times New Roman" w:hAnsi="Times New Roman" w:eastAsia="宋体" w:cs="Times New Roman"/>
                <w:kern w:val="2"/>
                <w:sz w:val="21"/>
                <w:szCs w:val="21"/>
                <w:lang w:val="en-US" w:eastAsia="zh-CN" w:bidi="ar-SA"/>
              </w:rPr>
              <w:pict>
                <v:shape id="图片 9" o:spid="_x0000_s1103" type="#_x0000_t75" style="height:237.75pt;width:414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p>
          <w:p>
            <w:pPr>
              <w:pStyle w:val="14"/>
            </w:pPr>
            <w:r>
              <w:rPr>
                <w:rFonts w:hint="eastAsia"/>
              </w:rPr>
              <w:t>图</w:t>
            </w:r>
            <w:r>
              <w:fldChar w:fldCharType="begin"/>
            </w:r>
            <w:r>
              <w:instrText xml:space="preserve"> STYLEREF 2 \s </w:instrText>
            </w:r>
            <w:r>
              <w:fldChar w:fldCharType="separate"/>
            </w:r>
            <w:r>
              <w:t>4.4</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噪声监测布点图</w:t>
            </w:r>
          </w:p>
        </w:tc>
      </w:tr>
    </w:tbl>
    <w:p>
      <w:pPr>
        <w:ind w:firstLine="480"/>
        <w:rPr>
          <w:b/>
          <w:bCs/>
        </w:rPr>
      </w:pPr>
      <w:r>
        <w:rPr>
          <w:rFonts w:hint="eastAsia"/>
        </w:rPr>
        <w:t>（</w:t>
      </w:r>
      <w:r>
        <w:t>3</w:t>
      </w:r>
      <w:r>
        <w:rPr>
          <w:rFonts w:hint="eastAsia"/>
        </w:rPr>
        <w:t>）</w:t>
      </w:r>
      <w:r>
        <w:rPr>
          <w:rFonts w:hint="eastAsia"/>
          <w:kern w:val="0"/>
        </w:rPr>
        <w:t>监测时段：分别测定昼间和夜间的环境等效</w:t>
      </w:r>
      <w:r>
        <w:rPr>
          <w:kern w:val="0"/>
        </w:rPr>
        <w:t>A</w:t>
      </w:r>
      <w:r>
        <w:rPr>
          <w:rFonts w:hint="eastAsia"/>
          <w:kern w:val="0"/>
        </w:rPr>
        <w:t>声级，连续监测</w:t>
      </w:r>
      <w:r>
        <w:rPr>
          <w:kern w:val="0"/>
        </w:rPr>
        <w:t>3</w:t>
      </w:r>
      <w:r>
        <w:rPr>
          <w:rFonts w:hint="eastAsia"/>
          <w:kern w:val="0"/>
        </w:rPr>
        <w:t>天，昼、夜间各一次。</w:t>
      </w:r>
    </w:p>
    <w:p>
      <w:pPr>
        <w:ind w:firstLine="480"/>
      </w:pPr>
      <w:r>
        <w:rPr>
          <w:rFonts w:hint="eastAsia"/>
        </w:rPr>
        <w:t>（</w:t>
      </w:r>
      <w:r>
        <w:t>4</w:t>
      </w:r>
      <w:r>
        <w:rPr>
          <w:rFonts w:hint="eastAsia"/>
        </w:rPr>
        <w:t>）监测结果及评价</w:t>
      </w:r>
    </w:p>
    <w:p>
      <w:pPr>
        <w:ind w:firstLine="480"/>
      </w:pPr>
      <w:r>
        <w:rPr>
          <w:rFonts w:hint="eastAsia"/>
        </w:rPr>
        <w:t>监测结果的统计平均值见表</w:t>
      </w:r>
      <w:r>
        <w:t>4.4-2</w:t>
      </w:r>
      <w:r>
        <w:rPr>
          <w:rFonts w:hint="eastAsia"/>
        </w:rPr>
        <w:t>。</w:t>
      </w:r>
    </w:p>
    <w:p>
      <w:pPr>
        <w:pStyle w:val="14"/>
      </w:pPr>
      <w:r>
        <w:rPr>
          <w:rFonts w:hint="eastAsia"/>
        </w:rPr>
        <w:t>表</w:t>
      </w:r>
      <w:r>
        <w:fldChar w:fldCharType="begin"/>
      </w:r>
      <w:r>
        <w:instrText xml:space="preserve"> STYLEREF 2 \s </w:instrText>
      </w:r>
      <w:r>
        <w:fldChar w:fldCharType="separate"/>
      </w:r>
      <w:r>
        <w:t>4.4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声环境质量现状监测结果</w:t>
      </w:r>
    </w:p>
    <w:tbl>
      <w:tblPr>
        <w:tblStyle w:val="35"/>
        <w:tblpPr w:leftFromText="180" w:rightFromText="180" w:vertAnchor="text" w:horzAnchor="margin" w:tblpXSpec="left" w:tblpY="277"/>
        <w:tblOverlap w:val="never"/>
        <w:tblW w:w="9146"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62"/>
        <w:gridCol w:w="920"/>
        <w:gridCol w:w="920"/>
        <w:gridCol w:w="920"/>
        <w:gridCol w:w="920"/>
        <w:gridCol w:w="920"/>
        <w:gridCol w:w="922"/>
        <w:gridCol w:w="17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p>
        </w:tc>
        <w:tc>
          <w:tcPr>
            <w:tcW w:w="5522" w:type="dxa"/>
            <w:gridSpan w:val="6"/>
            <w:tcBorders>
              <w:top w:val="single" w:color="auto" w:sz="2" w:space="0"/>
              <w:left w:val="single" w:color="auto" w:sz="2" w:space="0"/>
              <w:bottom w:val="single" w:color="auto" w:sz="2" w:space="0"/>
              <w:right w:val="single" w:color="auto" w:sz="2" w:space="0"/>
            </w:tcBorders>
            <w:vAlign w:val="center"/>
          </w:tcPr>
          <w:p>
            <w:pPr>
              <w:pStyle w:val="37"/>
            </w:pPr>
            <w:r>
              <w:rPr>
                <w:rFonts w:hint="eastAsia"/>
              </w:rPr>
              <w:t>测试结果</w:t>
            </w:r>
            <w:r>
              <w:t>/Leq</w:t>
            </w:r>
            <w:r>
              <w:rPr>
                <w:rFonts w:hint="eastAsia"/>
              </w:rPr>
              <w:t>〔</w:t>
            </w:r>
            <w:r>
              <w:t>dB(A)</w:t>
            </w:r>
            <w:r>
              <w:rPr>
                <w:rFonts w:hint="eastAsia"/>
              </w:rPr>
              <w:t>〕</w:t>
            </w:r>
          </w:p>
        </w:tc>
        <w:tc>
          <w:tcPr>
            <w:tcW w:w="17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参考标准限值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vMerge w:val="restart"/>
            <w:tcBorders>
              <w:top w:val="single" w:color="auto" w:sz="2" w:space="0"/>
              <w:left w:val="single" w:color="auto" w:sz="2" w:space="0"/>
              <w:bottom w:val="single" w:color="auto" w:sz="2" w:space="0"/>
              <w:right w:val="single" w:color="auto" w:sz="2" w:space="0"/>
              <w:tl2br w:val="single" w:color="auto" w:sz="4" w:space="0"/>
            </w:tcBorders>
            <w:vAlign w:val="center"/>
          </w:tcPr>
          <w:p>
            <w:pPr>
              <w:pStyle w:val="37"/>
            </w:pPr>
            <w:r>
              <w:rPr>
                <w:rFonts w:hint="eastAsia"/>
              </w:rPr>
              <w:t>监测时间</w:t>
            </w:r>
          </w:p>
          <w:p>
            <w:pPr>
              <w:pStyle w:val="37"/>
            </w:pPr>
            <w:r>
              <w:rPr>
                <w:rFonts w:hint="eastAsia"/>
              </w:rPr>
              <w:t>监测点位</w:t>
            </w:r>
          </w:p>
        </w:tc>
        <w:tc>
          <w:tcPr>
            <w:tcW w:w="1840" w:type="dxa"/>
            <w:gridSpan w:val="2"/>
            <w:tcBorders>
              <w:top w:val="single" w:color="auto" w:sz="2" w:space="0"/>
              <w:left w:val="single" w:color="auto" w:sz="2" w:space="0"/>
              <w:bottom w:val="single" w:color="auto" w:sz="2" w:space="0"/>
              <w:right w:val="single" w:color="auto" w:sz="2" w:space="0"/>
            </w:tcBorders>
            <w:vAlign w:val="center"/>
          </w:tcPr>
          <w:p>
            <w:pPr>
              <w:pStyle w:val="37"/>
            </w:pPr>
            <w:r>
              <w:t>8</w:t>
            </w:r>
            <w:r>
              <w:rPr>
                <w:rFonts w:hint="eastAsia"/>
              </w:rPr>
              <w:t>月</w:t>
            </w:r>
            <w:r>
              <w:t>9</w:t>
            </w:r>
            <w:r>
              <w:rPr>
                <w:rFonts w:hint="eastAsia"/>
              </w:rPr>
              <w:t>日</w:t>
            </w:r>
          </w:p>
        </w:tc>
        <w:tc>
          <w:tcPr>
            <w:tcW w:w="1840" w:type="dxa"/>
            <w:gridSpan w:val="2"/>
            <w:tcBorders>
              <w:top w:val="single" w:color="auto" w:sz="2" w:space="0"/>
              <w:left w:val="single" w:color="auto" w:sz="2" w:space="0"/>
              <w:bottom w:val="single" w:color="auto" w:sz="2" w:space="0"/>
              <w:right w:val="single" w:color="auto" w:sz="2" w:space="0"/>
            </w:tcBorders>
            <w:vAlign w:val="center"/>
          </w:tcPr>
          <w:p>
            <w:pPr>
              <w:pStyle w:val="37"/>
            </w:pPr>
            <w:r>
              <w:t>8</w:t>
            </w:r>
            <w:r>
              <w:rPr>
                <w:rFonts w:hint="eastAsia"/>
              </w:rPr>
              <w:t>月</w:t>
            </w:r>
            <w:r>
              <w:t>10</w:t>
            </w:r>
            <w:r>
              <w:rPr>
                <w:rFonts w:hint="eastAsia"/>
              </w:rPr>
              <w:t>日</w:t>
            </w:r>
          </w:p>
        </w:tc>
        <w:tc>
          <w:tcPr>
            <w:tcW w:w="1842" w:type="dxa"/>
            <w:gridSpan w:val="2"/>
            <w:tcBorders>
              <w:top w:val="single" w:color="auto" w:sz="2" w:space="0"/>
              <w:left w:val="single" w:color="auto" w:sz="2" w:space="0"/>
              <w:bottom w:val="single" w:color="auto" w:sz="2" w:space="0"/>
              <w:right w:val="single" w:color="auto" w:sz="2" w:space="0"/>
            </w:tcBorders>
            <w:vAlign w:val="center"/>
          </w:tcPr>
          <w:p>
            <w:pPr>
              <w:pStyle w:val="37"/>
            </w:pPr>
            <w:r>
              <w:t>8</w:t>
            </w:r>
            <w:r>
              <w:rPr>
                <w:rFonts w:hint="eastAsia"/>
              </w:rPr>
              <w:t>月</w:t>
            </w:r>
            <w:r>
              <w:t>11</w:t>
            </w:r>
            <w:r>
              <w:rPr>
                <w:rFonts w:hint="eastAsia"/>
              </w:rPr>
              <w:t>日</w:t>
            </w:r>
          </w:p>
        </w:tc>
        <w:tc>
          <w:tcPr>
            <w:tcW w:w="1762" w:type="dxa"/>
            <w:vMerge w:val="restart"/>
            <w:tcBorders>
              <w:top w:val="single" w:color="auto" w:sz="2" w:space="0"/>
              <w:left w:val="single" w:color="auto" w:sz="2" w:space="0"/>
              <w:bottom w:val="single" w:color="auto" w:sz="2" w:space="0"/>
              <w:right w:val="single" w:color="auto" w:sz="2" w:space="0"/>
            </w:tcBorders>
            <w:vAlign w:val="center"/>
          </w:tcPr>
          <w:p>
            <w:pPr>
              <w:pStyle w:val="37"/>
            </w:pPr>
            <w:r>
              <w:rPr>
                <w:rFonts w:hint="eastAsia"/>
              </w:rPr>
              <w:t>昼间</w:t>
            </w:r>
            <w:r>
              <w:t>60</w:t>
            </w:r>
          </w:p>
          <w:p>
            <w:pPr>
              <w:pStyle w:val="37"/>
            </w:pPr>
          </w:p>
          <w:p>
            <w:pPr>
              <w:pStyle w:val="37"/>
            </w:pPr>
            <w:r>
              <w:rPr>
                <w:rFonts w:hint="eastAsia"/>
              </w:rPr>
              <w:t>夜间</w:t>
            </w:r>
            <w:r>
              <w:t>50</w:t>
            </w:r>
          </w:p>
          <w:p>
            <w:pPr>
              <w:pStyle w:val="37"/>
            </w:pPr>
          </w:p>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昼间</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夜间</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昼间</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夜间</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昼间</w:t>
            </w:r>
          </w:p>
        </w:tc>
        <w:tc>
          <w:tcPr>
            <w:tcW w:w="92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夜间</w:t>
            </w:r>
          </w:p>
        </w:tc>
        <w:tc>
          <w:tcPr>
            <w:tcW w:w="17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项目厂界东侧</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53.2</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rPr>
                <w:b/>
              </w:rPr>
            </w:pPr>
            <w:r>
              <w:rPr>
                <w:b/>
              </w:rPr>
              <w:t>50.2</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50.0</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48.8</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52.0</w:t>
            </w:r>
          </w:p>
        </w:tc>
        <w:tc>
          <w:tcPr>
            <w:tcW w:w="922" w:type="dxa"/>
            <w:tcBorders>
              <w:top w:val="single" w:color="auto" w:sz="2" w:space="0"/>
              <w:left w:val="single" w:color="auto" w:sz="2" w:space="0"/>
              <w:bottom w:val="single" w:color="auto" w:sz="2" w:space="0"/>
              <w:right w:val="single" w:color="auto" w:sz="2" w:space="0"/>
            </w:tcBorders>
            <w:vAlign w:val="center"/>
          </w:tcPr>
          <w:p>
            <w:pPr>
              <w:pStyle w:val="37"/>
            </w:pPr>
            <w:r>
              <w:t>48.5</w:t>
            </w:r>
          </w:p>
        </w:tc>
        <w:tc>
          <w:tcPr>
            <w:tcW w:w="17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项目厂界南侧</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51.1</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46.1</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51.0</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rPr>
                <w:b/>
              </w:rPr>
            </w:pPr>
            <w:r>
              <w:rPr>
                <w:b/>
              </w:rPr>
              <w:t>50.1</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52.8</w:t>
            </w:r>
          </w:p>
        </w:tc>
        <w:tc>
          <w:tcPr>
            <w:tcW w:w="922" w:type="dxa"/>
            <w:tcBorders>
              <w:top w:val="single" w:color="auto" w:sz="2" w:space="0"/>
              <w:left w:val="single" w:color="auto" w:sz="2" w:space="0"/>
              <w:bottom w:val="single" w:color="auto" w:sz="2" w:space="0"/>
              <w:right w:val="single" w:color="auto" w:sz="2" w:space="0"/>
            </w:tcBorders>
            <w:vAlign w:val="center"/>
          </w:tcPr>
          <w:p>
            <w:pPr>
              <w:pStyle w:val="37"/>
            </w:pPr>
            <w:r>
              <w:t>49.3</w:t>
            </w:r>
          </w:p>
        </w:tc>
        <w:tc>
          <w:tcPr>
            <w:tcW w:w="17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项目厂界西侧</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53.7</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rPr>
                <w:b/>
              </w:rPr>
            </w:pPr>
            <w:r>
              <w:rPr>
                <w:b/>
              </w:rPr>
              <w:t>50.4</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51.4</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46.5</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56.4</w:t>
            </w:r>
          </w:p>
        </w:tc>
        <w:tc>
          <w:tcPr>
            <w:tcW w:w="922" w:type="dxa"/>
            <w:tcBorders>
              <w:top w:val="single" w:color="auto" w:sz="2" w:space="0"/>
              <w:left w:val="single" w:color="auto" w:sz="2" w:space="0"/>
              <w:bottom w:val="single" w:color="auto" w:sz="2" w:space="0"/>
              <w:right w:val="single" w:color="auto" w:sz="2" w:space="0"/>
            </w:tcBorders>
            <w:vAlign w:val="center"/>
          </w:tcPr>
          <w:p>
            <w:pPr>
              <w:pStyle w:val="37"/>
              <w:rPr>
                <w:b/>
              </w:rPr>
            </w:pPr>
            <w:r>
              <w:rPr>
                <w:b/>
              </w:rPr>
              <w:t>52.6</w:t>
            </w:r>
          </w:p>
        </w:tc>
        <w:tc>
          <w:tcPr>
            <w:tcW w:w="17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项目厂界北侧</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50.4</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45.9</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57.8</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52.4</w:t>
            </w:r>
          </w:p>
        </w:tc>
        <w:tc>
          <w:tcPr>
            <w:tcW w:w="920" w:type="dxa"/>
            <w:tcBorders>
              <w:top w:val="single" w:color="auto" w:sz="2" w:space="0"/>
              <w:left w:val="single" w:color="auto" w:sz="2" w:space="0"/>
              <w:bottom w:val="single" w:color="auto" w:sz="2" w:space="0"/>
              <w:right w:val="single" w:color="auto" w:sz="2" w:space="0"/>
            </w:tcBorders>
            <w:vAlign w:val="center"/>
          </w:tcPr>
          <w:p>
            <w:pPr>
              <w:pStyle w:val="37"/>
            </w:pPr>
            <w:r>
              <w:t>56.6</w:t>
            </w:r>
          </w:p>
        </w:tc>
        <w:tc>
          <w:tcPr>
            <w:tcW w:w="922" w:type="dxa"/>
            <w:tcBorders>
              <w:top w:val="single" w:color="auto" w:sz="2" w:space="0"/>
              <w:left w:val="single" w:color="auto" w:sz="2" w:space="0"/>
              <w:bottom w:val="single" w:color="auto" w:sz="2" w:space="0"/>
              <w:right w:val="single" w:color="auto" w:sz="2" w:space="0"/>
            </w:tcBorders>
            <w:vAlign w:val="center"/>
          </w:tcPr>
          <w:p>
            <w:pPr>
              <w:pStyle w:val="37"/>
              <w:rPr>
                <w:b/>
              </w:rPr>
            </w:pPr>
            <w:r>
              <w:rPr>
                <w:b/>
              </w:rPr>
              <w:t>52.4</w:t>
            </w:r>
          </w:p>
        </w:tc>
        <w:tc>
          <w:tcPr>
            <w:tcW w:w="1762" w:type="dxa"/>
            <w:vMerge w:val="continue"/>
            <w:tcBorders>
              <w:top w:val="single" w:color="auto" w:sz="2" w:space="0"/>
              <w:left w:val="single" w:color="auto" w:sz="2" w:space="0"/>
              <w:bottom w:val="single" w:color="auto" w:sz="2" w:space="0"/>
              <w:right w:val="single" w:color="auto" w:sz="2" w:space="0"/>
            </w:tcBorders>
            <w:vAlign w:val="center"/>
          </w:tcPr>
          <w:p>
            <w:pPr>
              <w:pStyle w:val="37"/>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862" w:type="dxa"/>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备注</w:t>
            </w:r>
          </w:p>
        </w:tc>
        <w:tc>
          <w:tcPr>
            <w:tcW w:w="7284" w:type="dxa"/>
            <w:gridSpan w:val="7"/>
            <w:tcBorders>
              <w:top w:val="single" w:color="auto" w:sz="2" w:space="0"/>
              <w:left w:val="single" w:color="auto" w:sz="2" w:space="0"/>
              <w:bottom w:val="single" w:color="auto" w:sz="2" w:space="0"/>
              <w:right w:val="single" w:color="auto" w:sz="2" w:space="0"/>
            </w:tcBorders>
            <w:vAlign w:val="center"/>
          </w:tcPr>
          <w:p>
            <w:pPr>
              <w:pStyle w:val="37"/>
            </w:pPr>
            <w:r>
              <w:rPr>
                <w:rFonts w:hint="eastAsia"/>
              </w:rPr>
              <w:t>参考执行《声环境质量标准》（</w:t>
            </w:r>
            <w:r>
              <w:t>GB3096-2008</w:t>
            </w:r>
            <w:r>
              <w:rPr>
                <w:rFonts w:hint="eastAsia"/>
              </w:rPr>
              <w:t>）</w:t>
            </w:r>
            <w:r>
              <w:t>2</w:t>
            </w:r>
            <w:r>
              <w:rPr>
                <w:rFonts w:hint="eastAsia"/>
              </w:rPr>
              <w:t>类区域标准</w:t>
            </w:r>
          </w:p>
        </w:tc>
      </w:tr>
    </w:tbl>
    <w:p>
      <w:pPr>
        <w:ind w:firstLine="480"/>
      </w:pPr>
      <w:r>
        <w:rPr>
          <w:rFonts w:hint="eastAsia"/>
        </w:rPr>
        <w:t>由监测结果可知，本项目各场界噪声监测点位昼间噪声值均满足《声环境质量标准》（</w:t>
      </w:r>
      <w:r>
        <w:t>GB3096-2008</w:t>
      </w:r>
      <w:r>
        <w:rPr>
          <w:rFonts w:hint="eastAsia"/>
        </w:rPr>
        <w:t>）</w:t>
      </w:r>
      <w:r>
        <w:t>2</w:t>
      </w:r>
      <w:r>
        <w:rPr>
          <w:rFonts w:hint="eastAsia"/>
        </w:rPr>
        <w:t>类标准要求，但各场界噪声监测点位夜间噪声值均有超标。项目所在地昼间声环境质量良好，夜间声环境质量一般。经项目现场调查，项目采石场夜间仍有采石作业，造成项目厂界夜间噪声超标。</w:t>
      </w:r>
    </w:p>
    <w:p>
      <w:pPr>
        <w:pStyle w:val="3"/>
      </w:pPr>
      <w:bookmarkStart w:id="107" w:name="_Toc391370169"/>
      <w:bookmarkStart w:id="108" w:name="_Toc397322831"/>
      <w:bookmarkStart w:id="109" w:name="_Toc369025869"/>
      <w:bookmarkStart w:id="110" w:name="_Toc462818429"/>
      <w:r>
        <w:rPr>
          <w:rFonts w:hint="eastAsia"/>
        </w:rPr>
        <w:t>土壤环境质量现状</w:t>
      </w:r>
      <w:bookmarkEnd w:id="107"/>
      <w:bookmarkEnd w:id="108"/>
      <w:bookmarkEnd w:id="109"/>
      <w:bookmarkEnd w:id="110"/>
    </w:p>
    <w:p>
      <w:pPr>
        <w:ind w:firstLine="480"/>
      </w:pPr>
      <w:r>
        <w:rPr>
          <w:rFonts w:hint="eastAsia" w:ascii="宋体" w:hAnsi="宋体" w:cs="宋体"/>
          <w:shd w:val="clear" w:color="auto" w:fill="FFFFFF"/>
        </w:rPr>
        <w:t>根据《土壤环境监测技术规范》</w:t>
      </w:r>
      <w:r>
        <w:rPr>
          <w:rFonts w:hint="eastAsia"/>
          <w:shd w:val="clear" w:color="auto" w:fill="FFFFFF"/>
        </w:rPr>
        <w:t>（</w:t>
      </w:r>
      <w:r>
        <w:rPr>
          <w:shd w:val="clear" w:color="auto" w:fill="FFFFFF"/>
        </w:rPr>
        <w:t>HJ/T 166 -2004</w:t>
      </w:r>
      <w:r>
        <w:rPr>
          <w:rFonts w:hint="eastAsia"/>
          <w:shd w:val="clear" w:color="auto" w:fill="FFFFFF"/>
        </w:rPr>
        <w:t>）</w:t>
      </w:r>
      <w:r>
        <w:rPr>
          <w:rFonts w:hint="eastAsia"/>
        </w:rPr>
        <w:t>本次土壤环境现状监测项目如下：</w:t>
      </w:r>
    </w:p>
    <w:p>
      <w:pPr>
        <w:ind w:firstLine="480"/>
      </w:pPr>
      <w:r>
        <w:rPr>
          <w:rFonts w:hint="eastAsia"/>
        </w:rPr>
        <w:t>（</w:t>
      </w:r>
      <w:r>
        <w:t>1</w:t>
      </w:r>
      <w:r>
        <w:rPr>
          <w:rFonts w:hint="eastAsia"/>
        </w:rPr>
        <w:t>）监测项目：</w:t>
      </w:r>
      <w:r>
        <w:t>pH</w:t>
      </w:r>
      <w:r>
        <w:rPr>
          <w:rFonts w:hint="eastAsia"/>
        </w:rPr>
        <w:t>、砷、铬、铅、镉、铜、锌。</w:t>
      </w:r>
    </w:p>
    <w:p>
      <w:pPr>
        <w:ind w:firstLine="480"/>
        <w:jc w:val="left"/>
      </w:pPr>
      <w:r>
        <w:rPr>
          <w:rFonts w:hint="eastAsia"/>
        </w:rPr>
        <w:t>（</w:t>
      </w:r>
      <w:r>
        <w:t>2</w:t>
      </w:r>
      <w:r>
        <w:rPr>
          <w:rFonts w:hint="eastAsia"/>
        </w:rPr>
        <w:t>）监测布点：本次土壤监测布设</w:t>
      </w:r>
      <w:r>
        <w:t>2</w:t>
      </w:r>
      <w:r>
        <w:rPr>
          <w:rFonts w:hint="eastAsia"/>
        </w:rPr>
        <w:t>个监测点，项目场地内（</w:t>
      </w:r>
      <w:r>
        <w:t>1#</w:t>
      </w:r>
      <w:r>
        <w:rPr>
          <w:rFonts w:hint="eastAsia"/>
        </w:rPr>
        <w:t>）、附近农区（</w:t>
      </w:r>
      <w:r>
        <w:t>2#</w:t>
      </w:r>
      <w:r>
        <w:rPr>
          <w:rFonts w:hint="eastAsia"/>
        </w:rPr>
        <w:t>）各设一个监测点。</w:t>
      </w:r>
      <w:r>
        <w:rPr>
          <w:rFonts w:ascii="Times New Roman" w:hAnsi="Times New Roman" w:eastAsia="宋体" w:cs="Times New Roman"/>
          <w:kern w:val="2"/>
          <w:sz w:val="24"/>
          <w:szCs w:val="21"/>
          <w:lang w:val="en-US" w:eastAsia="zh-CN" w:bidi="ar-SA"/>
        </w:rPr>
        <w:pict>
          <v:shape id="图片 4" o:spid="_x0000_s1104" type="#_x0000_t75" style="height:225pt;width:415.5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p>
    <w:p>
      <w:pPr>
        <w:pStyle w:val="14"/>
      </w:pPr>
      <w:r>
        <w:rPr>
          <w:rFonts w:hint="eastAsia"/>
        </w:rPr>
        <w:t>图</w:t>
      </w:r>
      <w:r>
        <w:fldChar w:fldCharType="begin"/>
      </w:r>
      <w:r>
        <w:instrText xml:space="preserve"> STYLEREF 2 \s </w:instrText>
      </w:r>
      <w:r>
        <w:fldChar w:fldCharType="separate"/>
      </w:r>
      <w:r>
        <w:t>4.5</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项目土壤监测点位图</w:t>
      </w:r>
    </w:p>
    <w:p>
      <w:pPr>
        <w:ind w:firstLine="480"/>
      </w:pPr>
      <w:r>
        <w:rPr>
          <w:rFonts w:hint="eastAsia"/>
        </w:rPr>
        <w:t>（</w:t>
      </w:r>
      <w:r>
        <w:t>3</w:t>
      </w:r>
      <w:r>
        <w:rPr>
          <w:rFonts w:hint="eastAsia"/>
        </w:rPr>
        <w:t>）分析方法</w:t>
      </w:r>
    </w:p>
    <w:p>
      <w:pPr>
        <w:pStyle w:val="14"/>
      </w:pPr>
      <w:r>
        <w:rPr>
          <w:rFonts w:hint="eastAsia"/>
        </w:rPr>
        <w:t>表</w:t>
      </w:r>
      <w:r>
        <w:fldChar w:fldCharType="begin"/>
      </w:r>
      <w:r>
        <w:instrText xml:space="preserve"> STYLEREF 2 \s </w:instrText>
      </w:r>
      <w:r>
        <w:fldChar w:fldCharType="separate"/>
      </w:r>
      <w:r>
        <w:t>4.5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土壤检测方法及仪器设备</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473"/>
        <w:gridCol w:w="4267"/>
        <w:gridCol w:w="1990"/>
        <w:gridCol w:w="1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8" w:hRule="atLeast"/>
        </w:trPr>
        <w:tc>
          <w:tcPr>
            <w:tcW w:w="426" w:type="dxa"/>
            <w:vAlign w:val="center"/>
          </w:tcPr>
          <w:p>
            <w:pPr>
              <w:pStyle w:val="37"/>
            </w:pPr>
            <w:r>
              <w:rPr>
                <w:rFonts w:hint="eastAsia"/>
              </w:rPr>
              <w:t>序号</w:t>
            </w:r>
          </w:p>
        </w:tc>
        <w:tc>
          <w:tcPr>
            <w:tcW w:w="473" w:type="dxa"/>
            <w:vAlign w:val="center"/>
          </w:tcPr>
          <w:p>
            <w:pPr>
              <w:pStyle w:val="37"/>
            </w:pPr>
            <w:r>
              <w:rPr>
                <w:rFonts w:hint="eastAsia"/>
              </w:rPr>
              <w:t>参数</w:t>
            </w:r>
          </w:p>
        </w:tc>
        <w:tc>
          <w:tcPr>
            <w:tcW w:w="4267" w:type="dxa"/>
            <w:vAlign w:val="center"/>
          </w:tcPr>
          <w:p>
            <w:pPr>
              <w:pStyle w:val="37"/>
            </w:pPr>
            <w:r>
              <w:rPr>
                <w:rFonts w:hint="eastAsia"/>
              </w:rPr>
              <w:t>测定方法</w:t>
            </w:r>
          </w:p>
        </w:tc>
        <w:tc>
          <w:tcPr>
            <w:tcW w:w="1990" w:type="dxa"/>
            <w:vAlign w:val="center"/>
          </w:tcPr>
          <w:p>
            <w:pPr>
              <w:pStyle w:val="37"/>
            </w:pPr>
            <w:r>
              <w:rPr>
                <w:rFonts w:hint="eastAsia"/>
              </w:rPr>
              <w:t>仪器</w:t>
            </w:r>
          </w:p>
        </w:tc>
        <w:tc>
          <w:tcPr>
            <w:tcW w:w="1990" w:type="dxa"/>
            <w:vAlign w:val="top"/>
          </w:tcPr>
          <w:p>
            <w:pPr>
              <w:pStyle w:val="37"/>
            </w:pPr>
            <w:r>
              <w:rPr>
                <w:rFonts w:hint="eastAsia"/>
              </w:rPr>
              <w:t>最低检出限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1</w:t>
            </w:r>
          </w:p>
        </w:tc>
        <w:tc>
          <w:tcPr>
            <w:tcW w:w="473" w:type="dxa"/>
            <w:vAlign w:val="center"/>
          </w:tcPr>
          <w:p>
            <w:pPr>
              <w:pStyle w:val="37"/>
            </w:pPr>
            <w:r>
              <w:t>pH</w:t>
            </w:r>
          </w:p>
        </w:tc>
        <w:tc>
          <w:tcPr>
            <w:tcW w:w="4267" w:type="dxa"/>
            <w:vAlign w:val="center"/>
          </w:tcPr>
          <w:p>
            <w:pPr>
              <w:pStyle w:val="37"/>
            </w:pPr>
            <w:r>
              <w:t>NY/T 1377-2007</w:t>
            </w:r>
            <w:r>
              <w:rPr>
                <w:rFonts w:hint="eastAsia" w:hAnsi="宋体"/>
              </w:rPr>
              <w:t>土壤中</w:t>
            </w:r>
            <w:r>
              <w:t>pH</w:t>
            </w:r>
            <w:r>
              <w:rPr>
                <w:rFonts w:hint="eastAsia" w:hAnsi="宋体"/>
              </w:rPr>
              <w:t>值的测定</w:t>
            </w:r>
          </w:p>
        </w:tc>
        <w:tc>
          <w:tcPr>
            <w:tcW w:w="1990" w:type="dxa"/>
            <w:vAlign w:val="center"/>
          </w:tcPr>
          <w:p>
            <w:pPr>
              <w:pStyle w:val="37"/>
            </w:pPr>
            <w:r>
              <w:t>PHS—3CpH</w:t>
            </w:r>
            <w:r>
              <w:rPr>
                <w:rFonts w:hint="eastAsia" w:hAnsi="宋体"/>
              </w:rPr>
              <w:t>计</w:t>
            </w:r>
          </w:p>
        </w:tc>
        <w:tc>
          <w:tcPr>
            <w:tcW w:w="1990" w:type="dxa"/>
            <w:vAlign w:val="top"/>
          </w:tcPr>
          <w:p>
            <w:pPr>
              <w:pStyle w:val="37"/>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2</w:t>
            </w:r>
          </w:p>
        </w:tc>
        <w:tc>
          <w:tcPr>
            <w:tcW w:w="473" w:type="dxa"/>
            <w:vAlign w:val="center"/>
          </w:tcPr>
          <w:p>
            <w:pPr>
              <w:pStyle w:val="37"/>
            </w:pPr>
            <w:r>
              <w:rPr>
                <w:rFonts w:hint="eastAsia"/>
              </w:rPr>
              <w:t>砷</w:t>
            </w:r>
          </w:p>
        </w:tc>
        <w:tc>
          <w:tcPr>
            <w:tcW w:w="4267" w:type="dxa"/>
            <w:vAlign w:val="center"/>
          </w:tcPr>
          <w:p>
            <w:pPr>
              <w:pStyle w:val="37"/>
            </w:pPr>
            <w:r>
              <w:t>GB/T 22105.2-2008</w:t>
            </w:r>
            <w:r>
              <w:rPr>
                <w:rFonts w:hint="eastAsia"/>
              </w:rPr>
              <w:t>土壤质量总砷、总铅的测定原子荧光法第</w:t>
            </w:r>
            <w:r>
              <w:t>2</w:t>
            </w:r>
            <w:r>
              <w:rPr>
                <w:rFonts w:hint="eastAsia"/>
              </w:rPr>
              <w:t>部分：土壤中总砷的测定</w:t>
            </w:r>
          </w:p>
        </w:tc>
        <w:tc>
          <w:tcPr>
            <w:tcW w:w="1990" w:type="dxa"/>
            <w:vAlign w:val="center"/>
          </w:tcPr>
          <w:p>
            <w:pPr>
              <w:pStyle w:val="37"/>
            </w:pPr>
            <w:r>
              <w:t>AFS-8220</w:t>
            </w:r>
            <w:r>
              <w:rPr>
                <w:rFonts w:hint="eastAsia" w:hAnsi="宋体"/>
              </w:rPr>
              <w:t>原子荧光分光光度计</w:t>
            </w:r>
          </w:p>
        </w:tc>
        <w:tc>
          <w:tcPr>
            <w:tcW w:w="1990" w:type="dxa"/>
            <w:vAlign w:val="top"/>
          </w:tcPr>
          <w:p>
            <w:pPr>
              <w:pStyle w:val="37"/>
            </w:pPr>
            <w:r>
              <w:rPr>
                <w:rFonts w:hint="eastAsia"/>
              </w:rPr>
              <w:t>0.01mg/kg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3</w:t>
            </w:r>
          </w:p>
        </w:tc>
        <w:tc>
          <w:tcPr>
            <w:tcW w:w="473" w:type="dxa"/>
            <w:vAlign w:val="center"/>
          </w:tcPr>
          <w:p>
            <w:pPr>
              <w:pStyle w:val="37"/>
            </w:pPr>
            <w:r>
              <w:rPr>
                <w:rFonts w:hint="eastAsia"/>
              </w:rPr>
              <w:t>铬</w:t>
            </w:r>
          </w:p>
        </w:tc>
        <w:tc>
          <w:tcPr>
            <w:tcW w:w="4267" w:type="dxa"/>
            <w:vAlign w:val="center"/>
          </w:tcPr>
          <w:p>
            <w:pPr>
              <w:pStyle w:val="37"/>
            </w:pPr>
            <w:r>
              <w:t>HJ 491-2009</w:t>
            </w:r>
            <w:r>
              <w:rPr>
                <w:rFonts w:hint="eastAsia"/>
              </w:rPr>
              <w:t>土壤总铬的测定火焰原子吸收分光光度法</w:t>
            </w:r>
          </w:p>
        </w:tc>
        <w:tc>
          <w:tcPr>
            <w:tcW w:w="1990" w:type="dxa"/>
            <w:vAlign w:val="center"/>
          </w:tcPr>
          <w:p>
            <w:pPr>
              <w:pStyle w:val="37"/>
            </w:pPr>
            <w:r>
              <w:t>TAS-990AFG</w:t>
            </w:r>
            <w:r>
              <w:rPr>
                <w:rFonts w:hint="eastAsia" w:hAnsi="宋体"/>
              </w:rPr>
              <w:t>原子吸收分光光度计</w:t>
            </w:r>
          </w:p>
        </w:tc>
        <w:tc>
          <w:tcPr>
            <w:tcW w:w="1990" w:type="dxa"/>
            <w:vAlign w:val="top"/>
          </w:tcPr>
          <w:p>
            <w:pPr>
              <w:pStyle w:val="37"/>
            </w:pPr>
            <w:r>
              <w:rPr>
                <w:rFonts w:hint="eastAsia"/>
              </w:rPr>
              <w:t>5mg/kg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4</w:t>
            </w:r>
          </w:p>
        </w:tc>
        <w:tc>
          <w:tcPr>
            <w:tcW w:w="473" w:type="dxa"/>
            <w:vAlign w:val="center"/>
          </w:tcPr>
          <w:p>
            <w:pPr>
              <w:pStyle w:val="37"/>
            </w:pPr>
            <w:r>
              <w:rPr>
                <w:rFonts w:hint="eastAsia"/>
              </w:rPr>
              <w:t>铅</w:t>
            </w:r>
          </w:p>
        </w:tc>
        <w:tc>
          <w:tcPr>
            <w:tcW w:w="4267" w:type="dxa"/>
            <w:vAlign w:val="center"/>
          </w:tcPr>
          <w:p>
            <w:pPr>
              <w:pStyle w:val="37"/>
            </w:pPr>
            <w:r>
              <w:t>GB/T 17140-1997</w:t>
            </w:r>
            <w:r>
              <w:rPr>
                <w:rFonts w:hint="eastAsia" w:hAnsi="宋体"/>
              </w:rPr>
              <w:t>土壤质量铅、镉的测定</w:t>
            </w:r>
            <w:r>
              <w:t xml:space="preserve"> KI-MIBK</w:t>
            </w:r>
            <w:r>
              <w:rPr>
                <w:rFonts w:hint="eastAsia" w:hAnsi="宋体"/>
              </w:rPr>
              <w:t>萃取火焰原子吸收分光光度法</w:t>
            </w:r>
          </w:p>
        </w:tc>
        <w:tc>
          <w:tcPr>
            <w:tcW w:w="1990" w:type="dxa"/>
            <w:vAlign w:val="center"/>
          </w:tcPr>
          <w:p>
            <w:pPr>
              <w:pStyle w:val="37"/>
            </w:pPr>
            <w:r>
              <w:t>TAS-990AFG</w:t>
            </w:r>
            <w:r>
              <w:rPr>
                <w:rFonts w:hint="eastAsia" w:hAnsi="宋体"/>
              </w:rPr>
              <w:t>原子吸收分光光度计</w:t>
            </w:r>
          </w:p>
        </w:tc>
        <w:tc>
          <w:tcPr>
            <w:tcW w:w="1990" w:type="dxa"/>
            <w:vAlign w:val="top"/>
          </w:tcPr>
          <w:p>
            <w:pPr>
              <w:pStyle w:val="37"/>
            </w:pPr>
            <w:r>
              <w:rPr>
                <w:rFonts w:hint="eastAsia"/>
              </w:rPr>
              <w:t>0.1mg/kg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5</w:t>
            </w:r>
          </w:p>
        </w:tc>
        <w:tc>
          <w:tcPr>
            <w:tcW w:w="473" w:type="dxa"/>
            <w:vAlign w:val="center"/>
          </w:tcPr>
          <w:p>
            <w:pPr>
              <w:pStyle w:val="37"/>
            </w:pPr>
            <w:r>
              <w:rPr>
                <w:rFonts w:hint="eastAsia"/>
              </w:rPr>
              <w:t>镉</w:t>
            </w:r>
          </w:p>
        </w:tc>
        <w:tc>
          <w:tcPr>
            <w:tcW w:w="4267" w:type="dxa"/>
            <w:vAlign w:val="center"/>
          </w:tcPr>
          <w:p>
            <w:pPr>
              <w:pStyle w:val="37"/>
            </w:pPr>
            <w:r>
              <w:t>GB/T 17141-1997</w:t>
            </w:r>
            <w:r>
              <w:rPr>
                <w:rFonts w:hint="eastAsia"/>
              </w:rPr>
              <w:t>土壤质量铅、镉的测定石墨炉原子吸收分光光度法</w:t>
            </w:r>
          </w:p>
        </w:tc>
        <w:tc>
          <w:tcPr>
            <w:tcW w:w="1990" w:type="dxa"/>
            <w:vAlign w:val="center"/>
          </w:tcPr>
          <w:p>
            <w:pPr>
              <w:pStyle w:val="37"/>
            </w:pPr>
            <w:r>
              <w:t>TAS-990AFG</w:t>
            </w:r>
            <w:r>
              <w:rPr>
                <w:rFonts w:hint="eastAsia" w:hAnsi="宋体"/>
              </w:rPr>
              <w:t>原子吸收分光光度计</w:t>
            </w:r>
          </w:p>
        </w:tc>
        <w:tc>
          <w:tcPr>
            <w:tcW w:w="1990" w:type="dxa"/>
            <w:vAlign w:val="top"/>
          </w:tcPr>
          <w:p>
            <w:pPr>
              <w:pStyle w:val="37"/>
            </w:pPr>
            <w:r>
              <w:rPr>
                <w:rFonts w:hint="eastAsia"/>
              </w:rPr>
              <w:t>0.01mg/kg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6</w:t>
            </w:r>
          </w:p>
        </w:tc>
        <w:tc>
          <w:tcPr>
            <w:tcW w:w="473" w:type="dxa"/>
            <w:vAlign w:val="center"/>
          </w:tcPr>
          <w:p>
            <w:pPr>
              <w:pStyle w:val="37"/>
            </w:pPr>
            <w:r>
              <w:rPr>
                <w:rFonts w:hint="eastAsia"/>
              </w:rPr>
              <w:t>铜</w:t>
            </w:r>
          </w:p>
        </w:tc>
        <w:tc>
          <w:tcPr>
            <w:tcW w:w="4267" w:type="dxa"/>
            <w:vAlign w:val="center"/>
          </w:tcPr>
          <w:p>
            <w:pPr>
              <w:pStyle w:val="37"/>
            </w:pPr>
            <w:r>
              <w:t>GB/T 17138-1997</w:t>
            </w:r>
            <w:r>
              <w:rPr>
                <w:rFonts w:hint="eastAsia"/>
              </w:rPr>
              <w:t>土壤质量铜、锌的测定火焰原子吸收分光光度法</w:t>
            </w:r>
          </w:p>
        </w:tc>
        <w:tc>
          <w:tcPr>
            <w:tcW w:w="1990" w:type="dxa"/>
            <w:vAlign w:val="center"/>
          </w:tcPr>
          <w:p>
            <w:pPr>
              <w:pStyle w:val="37"/>
            </w:pPr>
            <w:r>
              <w:t>TAS-990AFG</w:t>
            </w:r>
          </w:p>
          <w:p>
            <w:pPr>
              <w:pStyle w:val="37"/>
            </w:pPr>
            <w:r>
              <w:rPr>
                <w:rFonts w:hint="eastAsia"/>
              </w:rPr>
              <w:t>原子吸收分光光度计</w:t>
            </w:r>
          </w:p>
        </w:tc>
        <w:tc>
          <w:tcPr>
            <w:tcW w:w="1990" w:type="dxa"/>
            <w:vAlign w:val="top"/>
          </w:tcPr>
          <w:p>
            <w:pPr>
              <w:pStyle w:val="37"/>
            </w:pPr>
            <w:r>
              <w:rPr>
                <w:rFonts w:hint="eastAsia"/>
              </w:rPr>
              <w:t>1mg/kg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trPr>
        <w:tc>
          <w:tcPr>
            <w:tcW w:w="426" w:type="dxa"/>
            <w:vAlign w:val="center"/>
          </w:tcPr>
          <w:p>
            <w:pPr>
              <w:pStyle w:val="37"/>
            </w:pPr>
            <w:r>
              <w:t>7</w:t>
            </w:r>
          </w:p>
        </w:tc>
        <w:tc>
          <w:tcPr>
            <w:tcW w:w="473" w:type="dxa"/>
            <w:vAlign w:val="center"/>
          </w:tcPr>
          <w:p>
            <w:pPr>
              <w:pStyle w:val="37"/>
            </w:pPr>
            <w:r>
              <w:rPr>
                <w:rFonts w:hint="eastAsia"/>
              </w:rPr>
              <w:t>锌</w:t>
            </w:r>
          </w:p>
        </w:tc>
        <w:tc>
          <w:tcPr>
            <w:tcW w:w="4267" w:type="dxa"/>
            <w:vAlign w:val="center"/>
          </w:tcPr>
          <w:p>
            <w:pPr>
              <w:pStyle w:val="37"/>
            </w:pPr>
            <w:r>
              <w:t>GB/T 17138-1997</w:t>
            </w:r>
            <w:r>
              <w:rPr>
                <w:rFonts w:hint="eastAsia"/>
              </w:rPr>
              <w:t>土壤质量铜、锌的测定火焰原子吸收分光光度法</w:t>
            </w:r>
          </w:p>
        </w:tc>
        <w:tc>
          <w:tcPr>
            <w:tcW w:w="1990" w:type="dxa"/>
            <w:vAlign w:val="center"/>
          </w:tcPr>
          <w:p>
            <w:pPr>
              <w:pStyle w:val="37"/>
            </w:pPr>
            <w:r>
              <w:t>TAS-990AFG</w:t>
            </w:r>
          </w:p>
          <w:p>
            <w:pPr>
              <w:pStyle w:val="37"/>
            </w:pPr>
            <w:r>
              <w:rPr>
                <w:rFonts w:hint="eastAsia"/>
              </w:rPr>
              <w:t>原子吸收分光光度计</w:t>
            </w:r>
          </w:p>
        </w:tc>
        <w:tc>
          <w:tcPr>
            <w:tcW w:w="1990" w:type="dxa"/>
            <w:vAlign w:val="top"/>
          </w:tcPr>
          <w:p>
            <w:pPr>
              <w:pStyle w:val="37"/>
            </w:pPr>
            <w:r>
              <w:rPr>
                <w:rFonts w:hint="eastAsia"/>
              </w:rPr>
              <w:t>0.5 mg/kg</w:t>
            </w:r>
          </w:p>
        </w:tc>
      </w:tr>
    </w:tbl>
    <w:p>
      <w:pPr>
        <w:ind w:firstLine="480"/>
      </w:pPr>
      <w:r>
        <w:rPr>
          <w:rFonts w:hint="eastAsia"/>
        </w:rPr>
        <w:t>（</w:t>
      </w:r>
      <w:r>
        <w:t>4</w:t>
      </w:r>
      <w:r>
        <w:rPr>
          <w:rFonts w:hint="eastAsia"/>
        </w:rPr>
        <w:t>）监测结果</w:t>
      </w:r>
    </w:p>
    <w:p>
      <w:pPr>
        <w:pStyle w:val="14"/>
      </w:pPr>
      <w:r>
        <w:rPr>
          <w:rFonts w:hint="eastAsia"/>
        </w:rPr>
        <w:t>表</w:t>
      </w:r>
      <w:r>
        <w:fldChar w:fldCharType="begin"/>
      </w:r>
      <w:r>
        <w:instrText xml:space="preserve"> STYLEREF 2 \s </w:instrText>
      </w:r>
      <w:r>
        <w:fldChar w:fldCharType="separate"/>
      </w:r>
      <w:r>
        <w:t>4.5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土壤现状监测结果统计一览表（单位：</w:t>
      </w:r>
      <w:r>
        <w:t>mg/kg</w:t>
      </w:r>
      <w:r>
        <w:rPr>
          <w:rFonts w:hint="eastAsia"/>
        </w:rPr>
        <w:t>，除</w:t>
      </w:r>
      <w:r>
        <w:t>pH</w:t>
      </w:r>
      <w:r>
        <w:rPr>
          <w:rFonts w:hint="eastAsia"/>
        </w:rPr>
        <w:t>）</w:t>
      </w:r>
    </w:p>
    <w:tbl>
      <w:tblPr>
        <w:tblStyle w:val="35"/>
        <w:tblW w:w="9146"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398"/>
        <w:gridCol w:w="3053"/>
        <w:gridCol w:w="369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442" w:hRule="atLeast"/>
          <w:jc w:val="center"/>
        </w:trPr>
        <w:tc>
          <w:tcPr>
            <w:tcW w:w="2398" w:type="dxa"/>
            <w:vAlign w:val="center"/>
          </w:tcPr>
          <w:p>
            <w:pPr>
              <w:pStyle w:val="37"/>
            </w:pPr>
            <w:r>
              <w:rPr>
                <w:rFonts w:hint="eastAsia"/>
              </w:rPr>
              <w:t>监测点位</w:t>
            </w:r>
          </w:p>
        </w:tc>
        <w:tc>
          <w:tcPr>
            <w:tcW w:w="3053" w:type="dxa"/>
            <w:vAlign w:val="center"/>
          </w:tcPr>
          <w:p>
            <w:pPr>
              <w:pStyle w:val="37"/>
            </w:pPr>
            <w:r>
              <w:t>1</w:t>
            </w:r>
            <w:r>
              <w:rPr>
                <w:vertAlign w:val="superscript"/>
              </w:rPr>
              <w:t>#</w:t>
            </w:r>
          </w:p>
        </w:tc>
        <w:tc>
          <w:tcPr>
            <w:tcW w:w="3695" w:type="dxa"/>
            <w:vAlign w:val="center"/>
          </w:tcPr>
          <w:p>
            <w:pPr>
              <w:pStyle w:val="37"/>
            </w:pPr>
            <w:r>
              <w:t>2</w:t>
            </w:r>
            <w:r>
              <w:rPr>
                <w:vertAlign w:val="superscript"/>
              </w:rP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t>pH</w:t>
            </w:r>
            <w:r>
              <w:rPr>
                <w:rFonts w:hint="eastAsia"/>
              </w:rPr>
              <w:t>值（无量纲）</w:t>
            </w:r>
          </w:p>
        </w:tc>
        <w:tc>
          <w:tcPr>
            <w:tcW w:w="3053" w:type="dxa"/>
            <w:vAlign w:val="center"/>
          </w:tcPr>
          <w:p>
            <w:pPr>
              <w:pStyle w:val="37"/>
            </w:pPr>
            <w:r>
              <w:t>5.20</w:t>
            </w:r>
          </w:p>
        </w:tc>
        <w:tc>
          <w:tcPr>
            <w:tcW w:w="3695" w:type="dxa"/>
            <w:vAlign w:val="center"/>
          </w:tcPr>
          <w:p>
            <w:pPr>
              <w:pStyle w:val="37"/>
            </w:pPr>
            <w:r>
              <w:t>5.18</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砷（</w:t>
            </w:r>
            <w:r>
              <w:t>mg/kg</w:t>
            </w:r>
            <w:r>
              <w:rPr>
                <w:rFonts w:hint="eastAsia"/>
              </w:rPr>
              <w:t>）</w:t>
            </w:r>
          </w:p>
        </w:tc>
        <w:tc>
          <w:tcPr>
            <w:tcW w:w="3053" w:type="dxa"/>
            <w:vAlign w:val="center"/>
          </w:tcPr>
          <w:p>
            <w:pPr>
              <w:pStyle w:val="37"/>
            </w:pPr>
            <w:r>
              <w:t>2.50</w:t>
            </w:r>
          </w:p>
        </w:tc>
        <w:tc>
          <w:tcPr>
            <w:tcW w:w="3695" w:type="dxa"/>
            <w:vAlign w:val="center"/>
          </w:tcPr>
          <w:p>
            <w:pPr>
              <w:pStyle w:val="37"/>
            </w:pPr>
            <w:r>
              <w:t>2.80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铬（</w:t>
            </w:r>
            <w:r>
              <w:t>mg/kg</w:t>
            </w:r>
            <w:r>
              <w:rPr>
                <w:rFonts w:hint="eastAsia"/>
              </w:rPr>
              <w:t>）</w:t>
            </w:r>
          </w:p>
        </w:tc>
        <w:tc>
          <w:tcPr>
            <w:tcW w:w="3053" w:type="dxa"/>
            <w:vAlign w:val="center"/>
          </w:tcPr>
          <w:p>
            <w:pPr>
              <w:pStyle w:val="37"/>
            </w:pPr>
            <w:r>
              <w:t>72</w:t>
            </w:r>
          </w:p>
        </w:tc>
        <w:tc>
          <w:tcPr>
            <w:tcW w:w="3695" w:type="dxa"/>
            <w:vAlign w:val="center"/>
          </w:tcPr>
          <w:p>
            <w:pPr>
              <w:pStyle w:val="37"/>
            </w:pPr>
            <w:r>
              <w:t>109</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铅（</w:t>
            </w:r>
            <w:r>
              <w:t>mg/kg</w:t>
            </w:r>
            <w:r>
              <w:rPr>
                <w:rFonts w:hint="eastAsia"/>
              </w:rPr>
              <w:t>）</w:t>
            </w:r>
          </w:p>
        </w:tc>
        <w:tc>
          <w:tcPr>
            <w:tcW w:w="3053" w:type="dxa"/>
            <w:vAlign w:val="center"/>
          </w:tcPr>
          <w:p>
            <w:pPr>
              <w:pStyle w:val="37"/>
            </w:pPr>
            <w:r>
              <w:t>18.7</w:t>
            </w:r>
          </w:p>
        </w:tc>
        <w:tc>
          <w:tcPr>
            <w:tcW w:w="3695" w:type="dxa"/>
            <w:vAlign w:val="center"/>
          </w:tcPr>
          <w:p>
            <w:pPr>
              <w:pStyle w:val="37"/>
            </w:pPr>
            <w:r>
              <w:t>21.1</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铜（</w:t>
            </w:r>
            <w:r>
              <w:t>mg/kg</w:t>
            </w:r>
            <w:r>
              <w:rPr>
                <w:rFonts w:hint="eastAsia"/>
              </w:rPr>
              <w:t>）</w:t>
            </w:r>
          </w:p>
        </w:tc>
        <w:tc>
          <w:tcPr>
            <w:tcW w:w="3053" w:type="dxa"/>
            <w:vAlign w:val="center"/>
          </w:tcPr>
          <w:p>
            <w:pPr>
              <w:pStyle w:val="37"/>
            </w:pPr>
            <w:r>
              <w:t>16</w:t>
            </w:r>
          </w:p>
        </w:tc>
        <w:tc>
          <w:tcPr>
            <w:tcW w:w="3695" w:type="dxa"/>
            <w:vAlign w:val="center"/>
          </w:tcPr>
          <w:p>
            <w:pPr>
              <w:pStyle w:val="37"/>
            </w:pPr>
            <w:r>
              <w:t>17</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锌（</w:t>
            </w:r>
            <w:r>
              <w:t>mg/kg</w:t>
            </w:r>
            <w:r>
              <w:rPr>
                <w:rFonts w:hint="eastAsia"/>
              </w:rPr>
              <w:t>）</w:t>
            </w:r>
          </w:p>
        </w:tc>
        <w:tc>
          <w:tcPr>
            <w:tcW w:w="3053" w:type="dxa"/>
            <w:vAlign w:val="center"/>
          </w:tcPr>
          <w:p>
            <w:pPr>
              <w:pStyle w:val="37"/>
            </w:pPr>
            <w:r>
              <w:t>53.3</w:t>
            </w:r>
          </w:p>
        </w:tc>
        <w:tc>
          <w:tcPr>
            <w:tcW w:w="3695" w:type="dxa"/>
            <w:vAlign w:val="center"/>
          </w:tcPr>
          <w:p>
            <w:pPr>
              <w:pStyle w:val="37"/>
            </w:pPr>
            <w:r>
              <w:t>55.7</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jc w:val="center"/>
        </w:trPr>
        <w:tc>
          <w:tcPr>
            <w:tcW w:w="2398" w:type="dxa"/>
            <w:vAlign w:val="center"/>
          </w:tcPr>
          <w:p>
            <w:pPr>
              <w:pStyle w:val="37"/>
            </w:pPr>
            <w:r>
              <w:rPr>
                <w:rFonts w:hint="eastAsia"/>
              </w:rPr>
              <w:t>备注</w:t>
            </w:r>
          </w:p>
        </w:tc>
        <w:tc>
          <w:tcPr>
            <w:tcW w:w="6748" w:type="dxa"/>
            <w:gridSpan w:val="2"/>
            <w:vAlign w:val="center"/>
          </w:tcPr>
          <w:p>
            <w:pPr>
              <w:pStyle w:val="37"/>
            </w:pPr>
            <w:r>
              <w:rPr>
                <w:rFonts w:hint="eastAsia"/>
                <w:bCs/>
              </w:rPr>
              <w:t>参考执行</w:t>
            </w:r>
            <w:r>
              <w:rPr>
                <w:rFonts w:hint="eastAsia"/>
              </w:rPr>
              <w:t>《土壤环境质量标准》（</w:t>
            </w:r>
            <w:r>
              <w:t>GB15318-2008</w:t>
            </w:r>
            <w:r>
              <w:rPr>
                <w:rFonts w:hint="eastAsia"/>
              </w:rPr>
              <w:t>）</w:t>
            </w:r>
          </w:p>
        </w:tc>
      </w:tr>
    </w:tbl>
    <w:p>
      <w:pPr>
        <w:ind w:firstLine="480"/>
        <w:rPr>
          <w:b/>
        </w:rPr>
      </w:pPr>
      <w:r>
        <w:rPr>
          <w:rFonts w:hint="eastAsia"/>
        </w:rPr>
        <w:t>（</w:t>
      </w:r>
      <w:r>
        <w:t>5</w:t>
      </w:r>
      <w:r>
        <w:rPr>
          <w:rFonts w:hint="eastAsia"/>
        </w:rPr>
        <w:t>）评价方法</w:t>
      </w:r>
    </w:p>
    <w:p>
      <w:pPr>
        <w:ind w:firstLine="480"/>
      </w:pPr>
      <w:r>
        <w:rPr>
          <w:rFonts w:hint="eastAsia"/>
        </w:rPr>
        <w:t>根据《土壤环境监测技术规范》（</w:t>
      </w:r>
      <w:r>
        <w:t>HJ/T166-2004</w:t>
      </w:r>
      <w:r>
        <w:rPr>
          <w:rFonts w:hint="eastAsia"/>
        </w:rPr>
        <w:t>），土壤现状评价采用单项污染指数法进行评价，评价标准采用《土壤环境质量标准》（</w:t>
      </w:r>
      <w:r>
        <w:t>GB15618-1995</w:t>
      </w:r>
      <w:r>
        <w:rPr>
          <w:rFonts w:hint="eastAsia"/>
        </w:rPr>
        <w:t>）二级标准的相应标准值，其中砷、铬采用旱地标准值作评价标准，铜采用农田等标准值，根据土壤</w:t>
      </w:r>
      <w:r>
        <w:t>pH</w:t>
      </w:r>
      <w:r>
        <w:rPr>
          <w:rFonts w:hint="eastAsia"/>
        </w:rPr>
        <w:t>值的不同选择不同标准值。</w:t>
      </w:r>
    </w:p>
    <w:p>
      <w:pPr>
        <w:ind w:firstLine="480"/>
      </w:pPr>
      <w:r>
        <w:rPr>
          <w:rFonts w:hint="eastAsia"/>
        </w:rPr>
        <w:t>土壤单项污染指数评价公式：</w:t>
      </w:r>
    </w:p>
    <w:p>
      <w:pPr>
        <w:ind w:firstLine="480"/>
        <w:jc w:val="center"/>
      </w:pPr>
      <w:r>
        <w:t>P</w:t>
      </w:r>
      <w:r>
        <w:rPr>
          <w:vertAlign w:val="subscript"/>
        </w:rPr>
        <w:t>i</w:t>
      </w:r>
      <w:r>
        <w:t>=C</w:t>
      </w:r>
      <w:r>
        <w:rPr>
          <w:vertAlign w:val="subscript"/>
        </w:rPr>
        <w:t>i</w:t>
      </w:r>
      <w:r>
        <w:t>/C</w:t>
      </w:r>
      <w:r>
        <w:rPr>
          <w:vertAlign w:val="subscript"/>
        </w:rPr>
        <w:t>si</w:t>
      </w:r>
    </w:p>
    <w:p>
      <w:pPr>
        <w:ind w:firstLine="480"/>
      </w:pPr>
      <w:r>
        <w:rPr>
          <w:rFonts w:hint="eastAsia"/>
        </w:rPr>
        <w:t>式中：</w:t>
      </w:r>
      <w:r>
        <w:rPr>
          <w:i/>
        </w:rPr>
        <w:t>Pi</w:t>
      </w:r>
      <w:r>
        <w:t>——</w:t>
      </w:r>
      <w:r>
        <w:rPr>
          <w:rFonts w:hint="eastAsia"/>
        </w:rPr>
        <w:t>土壤的污染指数；</w:t>
      </w:r>
    </w:p>
    <w:p>
      <w:pPr>
        <w:ind w:firstLine="480"/>
      </w:pPr>
      <w:r>
        <w:rPr>
          <w:i/>
        </w:rPr>
        <w:t>Ci</w:t>
      </w:r>
      <w:r>
        <w:t>——</w:t>
      </w:r>
      <w:r>
        <w:rPr>
          <w:rFonts w:hint="eastAsia"/>
        </w:rPr>
        <w:t>各项指标的实测值；</w:t>
      </w:r>
    </w:p>
    <w:p>
      <w:pPr>
        <w:ind w:firstLine="480"/>
      </w:pPr>
      <w:r>
        <w:rPr>
          <w:i/>
        </w:rPr>
        <w:t>Si</w:t>
      </w:r>
      <w:r>
        <w:t>——</w:t>
      </w:r>
      <w:r>
        <w:rPr>
          <w:rFonts w:hint="eastAsia"/>
        </w:rPr>
        <w:t>各项指标的标准值。</w:t>
      </w:r>
    </w:p>
    <w:p>
      <w:pPr>
        <w:ind w:firstLine="480"/>
      </w:pPr>
      <w:r>
        <w:rPr>
          <w:rFonts w:hint="eastAsia"/>
        </w:rPr>
        <w:t>若</w:t>
      </w:r>
      <w:r>
        <w:rPr>
          <w:i/>
        </w:rPr>
        <w:t>Pi</w:t>
      </w:r>
      <w:r>
        <w:t>&gt;1</w:t>
      </w:r>
      <w:r>
        <w:rPr>
          <w:rFonts w:hint="eastAsia"/>
        </w:rPr>
        <w:t>，即表示其中某一指标的浓度值已超过标准。</w:t>
      </w:r>
    </w:p>
    <w:p>
      <w:pPr>
        <w:ind w:firstLine="480"/>
      </w:pPr>
      <w:r>
        <w:rPr>
          <w:rFonts w:hint="eastAsia"/>
        </w:rPr>
        <w:t>（</w:t>
      </w:r>
      <w:r>
        <w:t>6</w:t>
      </w:r>
      <w:r>
        <w:rPr>
          <w:rFonts w:hint="eastAsia"/>
        </w:rPr>
        <w:t>）评价结果</w:t>
      </w:r>
    </w:p>
    <w:p>
      <w:pPr>
        <w:ind w:firstLine="480"/>
      </w:pPr>
      <w:r>
        <w:rPr>
          <w:rFonts w:hint="eastAsia"/>
        </w:rPr>
        <w:t>土壤污染评价标准见</w:t>
      </w:r>
      <w:r>
        <w:t>4.5-3</w:t>
      </w:r>
      <w:r>
        <w:rPr>
          <w:rFonts w:hint="eastAsia"/>
        </w:rPr>
        <w:t>所示。</w:t>
      </w:r>
    </w:p>
    <w:p>
      <w:pPr>
        <w:pStyle w:val="14"/>
      </w:pPr>
      <w:r>
        <w:rPr>
          <w:rFonts w:hint="eastAsia"/>
        </w:rPr>
        <w:t>表</w:t>
      </w:r>
      <w:r>
        <w:fldChar w:fldCharType="begin"/>
      </w:r>
      <w:r>
        <w:instrText xml:space="preserve"> STYLEREF 2 \s </w:instrText>
      </w:r>
      <w:r>
        <w:fldChar w:fldCharType="separate"/>
      </w:r>
      <w:r>
        <w:t>4.5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土壤污染指数评价标准</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280"/>
        <w:gridCol w:w="1440"/>
        <w:gridCol w:w="1610"/>
        <w:gridCol w:w="1608"/>
        <w:gridCol w:w="1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Merge w:val="restart"/>
            <w:tcBorders>
              <w:tl2br w:val="single" w:color="auto" w:sz="4" w:space="0"/>
            </w:tcBorders>
            <w:vAlign w:val="top"/>
          </w:tcPr>
          <w:p>
            <w:pPr>
              <w:pStyle w:val="37"/>
            </w:pPr>
            <w:r>
              <w:rPr>
                <w:rFonts w:hint="eastAsia"/>
              </w:rPr>
              <w:t>项目</w:t>
            </w:r>
          </w:p>
          <w:p>
            <w:pPr>
              <w:pStyle w:val="37"/>
              <w:jc w:val="both"/>
            </w:pPr>
            <w:r>
              <w:rPr>
                <w:rFonts w:hint="eastAsia"/>
              </w:rPr>
              <w:t>污染物</w:t>
            </w:r>
          </w:p>
        </w:tc>
        <w:tc>
          <w:tcPr>
            <w:tcW w:w="2720" w:type="dxa"/>
            <w:gridSpan w:val="2"/>
            <w:vAlign w:val="top"/>
          </w:tcPr>
          <w:p>
            <w:pPr>
              <w:pStyle w:val="37"/>
            </w:pPr>
            <w:r>
              <w:rPr>
                <w:rFonts w:hint="eastAsia"/>
              </w:rPr>
              <w:t>污染物单项标准指数</w:t>
            </w:r>
          </w:p>
        </w:tc>
        <w:tc>
          <w:tcPr>
            <w:tcW w:w="1610" w:type="dxa"/>
            <w:vMerge w:val="restart"/>
            <w:vAlign w:val="center"/>
          </w:tcPr>
          <w:p>
            <w:pPr>
              <w:pStyle w:val="37"/>
            </w:pPr>
            <w:r>
              <w:rPr>
                <w:rFonts w:hint="eastAsia"/>
              </w:rPr>
              <w:t>标准值</w:t>
            </w:r>
          </w:p>
        </w:tc>
        <w:tc>
          <w:tcPr>
            <w:tcW w:w="1608" w:type="dxa"/>
            <w:vMerge w:val="restart"/>
            <w:vAlign w:val="center"/>
          </w:tcPr>
          <w:p>
            <w:pPr>
              <w:pStyle w:val="37"/>
            </w:pPr>
            <w:r>
              <w:rPr>
                <w:rFonts w:hint="eastAsia"/>
              </w:rPr>
              <w:t>超标率</w:t>
            </w:r>
          </w:p>
        </w:tc>
        <w:tc>
          <w:tcPr>
            <w:tcW w:w="1608" w:type="dxa"/>
            <w:vMerge w:val="restart"/>
            <w:vAlign w:val="center"/>
          </w:tcPr>
          <w:p>
            <w:pPr>
              <w:pStyle w:val="37"/>
            </w:pPr>
            <w:r>
              <w:rPr>
                <w:rFonts w:hint="eastAsia"/>
              </w:rPr>
              <w:t>最大超标倍数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Merge w:val="continue"/>
            <w:vAlign w:val="top"/>
          </w:tcPr>
          <w:p>
            <w:pPr>
              <w:pStyle w:val="37"/>
            </w:pPr>
          </w:p>
        </w:tc>
        <w:tc>
          <w:tcPr>
            <w:tcW w:w="1280" w:type="dxa"/>
            <w:vAlign w:val="top"/>
          </w:tcPr>
          <w:p>
            <w:pPr>
              <w:pStyle w:val="37"/>
            </w:pPr>
            <w:r>
              <w:t>1#</w:t>
            </w:r>
          </w:p>
        </w:tc>
        <w:tc>
          <w:tcPr>
            <w:tcW w:w="1440" w:type="dxa"/>
            <w:vAlign w:val="center"/>
          </w:tcPr>
          <w:p>
            <w:pPr>
              <w:pStyle w:val="37"/>
            </w:pPr>
            <w:r>
              <w:t>2#</w:t>
            </w:r>
          </w:p>
        </w:tc>
        <w:tc>
          <w:tcPr>
            <w:tcW w:w="1610" w:type="dxa"/>
            <w:vMerge w:val="continue"/>
            <w:vAlign w:val="top"/>
          </w:tcPr>
          <w:p>
            <w:pPr>
              <w:pStyle w:val="37"/>
            </w:pPr>
          </w:p>
        </w:tc>
        <w:tc>
          <w:tcPr>
            <w:tcW w:w="1608" w:type="dxa"/>
            <w:vMerge w:val="continue"/>
            <w:vAlign w:val="center"/>
          </w:tcPr>
          <w:p>
            <w:pPr>
              <w:pStyle w:val="37"/>
            </w:pPr>
          </w:p>
        </w:tc>
        <w:tc>
          <w:tcPr>
            <w:tcW w:w="1608" w:type="dxa"/>
            <w:vMerge w:val="continue"/>
            <w:vAlign w:val="top"/>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Align w:val="center"/>
          </w:tcPr>
          <w:p>
            <w:pPr>
              <w:pStyle w:val="37"/>
            </w:pPr>
            <w:r>
              <w:rPr>
                <w:rFonts w:hint="eastAsia"/>
              </w:rPr>
              <w:t>砷（</w:t>
            </w:r>
            <w:r>
              <w:t>mg/kg</w:t>
            </w:r>
            <w:r>
              <w:rPr>
                <w:rFonts w:hint="eastAsia"/>
              </w:rPr>
              <w:t>）</w:t>
            </w:r>
          </w:p>
        </w:tc>
        <w:tc>
          <w:tcPr>
            <w:tcW w:w="1280" w:type="dxa"/>
            <w:vAlign w:val="top"/>
          </w:tcPr>
          <w:p>
            <w:pPr>
              <w:pStyle w:val="37"/>
            </w:pPr>
            <w:r>
              <w:t>0.0625</w:t>
            </w:r>
          </w:p>
        </w:tc>
        <w:tc>
          <w:tcPr>
            <w:tcW w:w="1440" w:type="dxa"/>
            <w:vAlign w:val="center"/>
          </w:tcPr>
          <w:p>
            <w:pPr>
              <w:pStyle w:val="37"/>
            </w:pPr>
            <w:r>
              <w:t>0.07</w:t>
            </w:r>
          </w:p>
        </w:tc>
        <w:tc>
          <w:tcPr>
            <w:tcW w:w="1610" w:type="dxa"/>
            <w:vAlign w:val="top"/>
          </w:tcPr>
          <w:p>
            <w:pPr>
              <w:pStyle w:val="37"/>
            </w:pPr>
            <w:r>
              <w:t>40</w:t>
            </w:r>
          </w:p>
        </w:tc>
        <w:tc>
          <w:tcPr>
            <w:tcW w:w="1608" w:type="dxa"/>
            <w:vAlign w:val="center"/>
          </w:tcPr>
          <w:p>
            <w:pPr>
              <w:pStyle w:val="37"/>
            </w:pPr>
            <w:r>
              <w:t>0</w:t>
            </w:r>
          </w:p>
        </w:tc>
        <w:tc>
          <w:tcPr>
            <w:tcW w:w="1608" w:type="dxa"/>
            <w:vAlign w:val="top"/>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Align w:val="center"/>
          </w:tcPr>
          <w:p>
            <w:pPr>
              <w:pStyle w:val="37"/>
            </w:pPr>
            <w:r>
              <w:rPr>
                <w:rFonts w:hint="eastAsia"/>
              </w:rPr>
              <w:t>铬（</w:t>
            </w:r>
            <w:r>
              <w:t>mg/kg</w:t>
            </w:r>
            <w:r>
              <w:rPr>
                <w:rFonts w:hint="eastAsia"/>
              </w:rPr>
              <w:t>）</w:t>
            </w:r>
          </w:p>
        </w:tc>
        <w:tc>
          <w:tcPr>
            <w:tcW w:w="1280" w:type="dxa"/>
            <w:vAlign w:val="top"/>
          </w:tcPr>
          <w:p>
            <w:pPr>
              <w:pStyle w:val="37"/>
            </w:pPr>
            <w:r>
              <w:t>0.48</w:t>
            </w:r>
          </w:p>
        </w:tc>
        <w:tc>
          <w:tcPr>
            <w:tcW w:w="1440" w:type="dxa"/>
            <w:vAlign w:val="center"/>
          </w:tcPr>
          <w:p>
            <w:pPr>
              <w:pStyle w:val="37"/>
            </w:pPr>
            <w:r>
              <w:t>0.73</w:t>
            </w:r>
          </w:p>
        </w:tc>
        <w:tc>
          <w:tcPr>
            <w:tcW w:w="1610" w:type="dxa"/>
            <w:vAlign w:val="top"/>
          </w:tcPr>
          <w:p>
            <w:pPr>
              <w:pStyle w:val="37"/>
            </w:pPr>
            <w:r>
              <w:t>150</w:t>
            </w:r>
          </w:p>
        </w:tc>
        <w:tc>
          <w:tcPr>
            <w:tcW w:w="1608" w:type="dxa"/>
            <w:vAlign w:val="center"/>
          </w:tcPr>
          <w:p>
            <w:pPr>
              <w:pStyle w:val="37"/>
            </w:pPr>
            <w:r>
              <w:t>0</w:t>
            </w:r>
          </w:p>
        </w:tc>
        <w:tc>
          <w:tcPr>
            <w:tcW w:w="1608" w:type="dxa"/>
            <w:vAlign w:val="top"/>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Align w:val="center"/>
          </w:tcPr>
          <w:p>
            <w:pPr>
              <w:pStyle w:val="37"/>
            </w:pPr>
            <w:r>
              <w:rPr>
                <w:rFonts w:hint="eastAsia"/>
              </w:rPr>
              <w:t>铅（</w:t>
            </w:r>
            <w:r>
              <w:t>mg/kg</w:t>
            </w:r>
            <w:r>
              <w:rPr>
                <w:rFonts w:hint="eastAsia"/>
              </w:rPr>
              <w:t>）</w:t>
            </w:r>
          </w:p>
        </w:tc>
        <w:tc>
          <w:tcPr>
            <w:tcW w:w="1280" w:type="dxa"/>
            <w:vAlign w:val="top"/>
          </w:tcPr>
          <w:p>
            <w:pPr>
              <w:pStyle w:val="37"/>
            </w:pPr>
            <w:r>
              <w:t>0.0748</w:t>
            </w:r>
          </w:p>
        </w:tc>
        <w:tc>
          <w:tcPr>
            <w:tcW w:w="1440" w:type="dxa"/>
            <w:vAlign w:val="center"/>
          </w:tcPr>
          <w:p>
            <w:pPr>
              <w:pStyle w:val="37"/>
            </w:pPr>
            <w:r>
              <w:t>0.0844</w:t>
            </w:r>
          </w:p>
        </w:tc>
        <w:tc>
          <w:tcPr>
            <w:tcW w:w="1610" w:type="dxa"/>
            <w:vAlign w:val="top"/>
          </w:tcPr>
          <w:p>
            <w:pPr>
              <w:pStyle w:val="37"/>
            </w:pPr>
            <w:r>
              <w:t>250</w:t>
            </w:r>
          </w:p>
        </w:tc>
        <w:tc>
          <w:tcPr>
            <w:tcW w:w="1608" w:type="dxa"/>
            <w:vAlign w:val="center"/>
          </w:tcPr>
          <w:p>
            <w:pPr>
              <w:pStyle w:val="37"/>
            </w:pPr>
            <w:r>
              <w:t>0</w:t>
            </w:r>
          </w:p>
        </w:tc>
        <w:tc>
          <w:tcPr>
            <w:tcW w:w="1608" w:type="dxa"/>
            <w:vAlign w:val="top"/>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Align w:val="center"/>
          </w:tcPr>
          <w:p>
            <w:pPr>
              <w:pStyle w:val="37"/>
            </w:pPr>
            <w:r>
              <w:rPr>
                <w:rFonts w:hint="eastAsia"/>
              </w:rPr>
              <w:t>铜（</w:t>
            </w:r>
            <w:r>
              <w:t>mg/kg</w:t>
            </w:r>
            <w:r>
              <w:rPr>
                <w:rFonts w:hint="eastAsia"/>
              </w:rPr>
              <w:t>）</w:t>
            </w:r>
          </w:p>
        </w:tc>
        <w:tc>
          <w:tcPr>
            <w:tcW w:w="1280" w:type="dxa"/>
            <w:vAlign w:val="top"/>
          </w:tcPr>
          <w:p>
            <w:pPr>
              <w:pStyle w:val="37"/>
            </w:pPr>
            <w:r>
              <w:t>0.32</w:t>
            </w:r>
          </w:p>
        </w:tc>
        <w:tc>
          <w:tcPr>
            <w:tcW w:w="1440" w:type="dxa"/>
            <w:vAlign w:val="center"/>
          </w:tcPr>
          <w:p>
            <w:pPr>
              <w:pStyle w:val="37"/>
            </w:pPr>
            <w:r>
              <w:t>0.34</w:t>
            </w:r>
          </w:p>
        </w:tc>
        <w:tc>
          <w:tcPr>
            <w:tcW w:w="1610" w:type="dxa"/>
            <w:vAlign w:val="top"/>
          </w:tcPr>
          <w:p>
            <w:pPr>
              <w:pStyle w:val="37"/>
            </w:pPr>
            <w:r>
              <w:t>50</w:t>
            </w:r>
          </w:p>
        </w:tc>
        <w:tc>
          <w:tcPr>
            <w:tcW w:w="1608" w:type="dxa"/>
            <w:vAlign w:val="center"/>
          </w:tcPr>
          <w:p>
            <w:pPr>
              <w:pStyle w:val="37"/>
            </w:pPr>
            <w:r>
              <w:t>0</w:t>
            </w:r>
          </w:p>
        </w:tc>
        <w:tc>
          <w:tcPr>
            <w:tcW w:w="1608" w:type="dxa"/>
            <w:vAlign w:val="top"/>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0" w:type="dxa"/>
            <w:vAlign w:val="center"/>
          </w:tcPr>
          <w:p>
            <w:pPr>
              <w:pStyle w:val="37"/>
            </w:pPr>
            <w:r>
              <w:rPr>
                <w:rFonts w:hint="eastAsia"/>
              </w:rPr>
              <w:t>锌（</w:t>
            </w:r>
            <w:r>
              <w:t>mg/kg</w:t>
            </w:r>
            <w:r>
              <w:rPr>
                <w:rFonts w:hint="eastAsia"/>
              </w:rPr>
              <w:t>）</w:t>
            </w:r>
          </w:p>
        </w:tc>
        <w:tc>
          <w:tcPr>
            <w:tcW w:w="1280" w:type="dxa"/>
            <w:vAlign w:val="top"/>
          </w:tcPr>
          <w:p>
            <w:pPr>
              <w:pStyle w:val="37"/>
            </w:pPr>
            <w:r>
              <w:t>0.2665</w:t>
            </w:r>
          </w:p>
        </w:tc>
        <w:tc>
          <w:tcPr>
            <w:tcW w:w="1440" w:type="dxa"/>
            <w:vAlign w:val="center"/>
          </w:tcPr>
          <w:p>
            <w:pPr>
              <w:pStyle w:val="37"/>
            </w:pPr>
            <w:r>
              <w:t>0.2785</w:t>
            </w:r>
          </w:p>
        </w:tc>
        <w:tc>
          <w:tcPr>
            <w:tcW w:w="1610" w:type="dxa"/>
            <w:vAlign w:val="top"/>
          </w:tcPr>
          <w:p>
            <w:pPr>
              <w:pStyle w:val="37"/>
            </w:pPr>
            <w:r>
              <w:t>200</w:t>
            </w:r>
          </w:p>
        </w:tc>
        <w:tc>
          <w:tcPr>
            <w:tcW w:w="1608" w:type="dxa"/>
            <w:vAlign w:val="center"/>
          </w:tcPr>
          <w:p>
            <w:pPr>
              <w:pStyle w:val="37"/>
            </w:pPr>
            <w:r>
              <w:t>0</w:t>
            </w:r>
          </w:p>
        </w:tc>
        <w:tc>
          <w:tcPr>
            <w:tcW w:w="1608" w:type="dxa"/>
            <w:vAlign w:val="top"/>
          </w:tcPr>
          <w:p>
            <w:pPr>
              <w:pStyle w:val="37"/>
            </w:pPr>
            <w:r>
              <w:t>/</w:t>
            </w:r>
          </w:p>
        </w:tc>
      </w:tr>
    </w:tbl>
    <w:p>
      <w:pPr>
        <w:ind w:firstLine="480"/>
      </w:pPr>
      <w:r>
        <w:rPr>
          <w:rFonts w:hint="eastAsia"/>
        </w:rPr>
        <w:t>从评价结果可以看出，项目拟建地及周边农田污染物浓度未超标，土壤环境质量满足《土壤环境质量标准》（</w:t>
      </w:r>
      <w:r>
        <w:t>GB15618-1995</w:t>
      </w:r>
      <w:r>
        <w:rPr>
          <w:rFonts w:hint="eastAsia"/>
        </w:rPr>
        <w:t>）中二级标准要求，说明项目拟建地土壤环境质量较好。</w:t>
      </w:r>
    </w:p>
    <w:p>
      <w:pPr>
        <w:pStyle w:val="14"/>
        <w:jc w:val="both"/>
      </w:pPr>
    </w:p>
    <w:p>
      <w:pPr>
        <w:pStyle w:val="3"/>
        <w:rPr>
          <w:bCs/>
          <w:szCs w:val="28"/>
        </w:rPr>
      </w:pPr>
      <w:bookmarkStart w:id="111" w:name="_Toc5923"/>
      <w:bookmarkStart w:id="112" w:name="_Toc3621"/>
      <w:bookmarkStart w:id="113" w:name="_Toc643"/>
      <w:bookmarkStart w:id="114" w:name="_Toc401055668"/>
      <w:bookmarkStart w:id="115" w:name="_Toc462818430"/>
      <w:r>
        <w:rPr>
          <w:rFonts w:hint="eastAsia"/>
          <w:bCs/>
          <w:szCs w:val="28"/>
        </w:rPr>
        <w:t>生态环境质量现状调查与评价</w:t>
      </w:r>
      <w:bookmarkEnd w:id="111"/>
      <w:bookmarkEnd w:id="112"/>
      <w:bookmarkEnd w:id="113"/>
      <w:bookmarkEnd w:id="114"/>
      <w:bookmarkEnd w:id="115"/>
    </w:p>
    <w:p>
      <w:pPr>
        <w:pStyle w:val="4"/>
      </w:pPr>
      <w:r>
        <w:rPr>
          <w:rFonts w:hint="eastAsia"/>
        </w:rPr>
        <w:t>生态现状调查</w:t>
      </w:r>
    </w:p>
    <w:p>
      <w:pPr>
        <w:ind w:firstLine="480"/>
      </w:pPr>
      <w:r>
        <w:rPr>
          <w:rFonts w:hint="eastAsia"/>
        </w:rPr>
        <w:t>本评价主要调查内容见表</w:t>
      </w:r>
      <w:r>
        <w:t>4.7-1</w:t>
      </w:r>
      <w:r>
        <w:rPr>
          <w:rFonts w:hint="eastAsia"/>
        </w:rPr>
        <w:t>。</w:t>
      </w:r>
    </w:p>
    <w:p>
      <w:pPr>
        <w:pStyle w:val="14"/>
      </w:pPr>
      <w:r>
        <w:rPr>
          <w:rFonts w:hint="eastAsia"/>
        </w:rPr>
        <w:t>表</w:t>
      </w:r>
      <w:r>
        <w:fldChar w:fldCharType="begin"/>
      </w:r>
      <w:r>
        <w:instrText xml:space="preserve"> STYLEREF 2 \s </w:instrText>
      </w:r>
      <w:r>
        <w:fldChar w:fldCharType="separate"/>
      </w:r>
      <w:r>
        <w:t>4.6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生态环境现状调查的主要内容</w:t>
      </w:r>
    </w:p>
    <w:tbl>
      <w:tblPr>
        <w:tblStyle w:val="3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1260"/>
        <w:gridCol w:w="3562"/>
        <w:gridCol w:w="3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vAlign w:val="center"/>
          </w:tcPr>
          <w:p>
            <w:pPr>
              <w:pStyle w:val="37"/>
            </w:pPr>
            <w:r>
              <w:rPr>
                <w:rFonts w:hint="eastAsia"/>
              </w:rPr>
              <w:t>序号</w:t>
            </w:r>
          </w:p>
        </w:tc>
        <w:tc>
          <w:tcPr>
            <w:tcW w:w="1260" w:type="dxa"/>
            <w:vAlign w:val="center"/>
          </w:tcPr>
          <w:p>
            <w:pPr>
              <w:pStyle w:val="37"/>
            </w:pPr>
            <w:r>
              <w:rPr>
                <w:rFonts w:hint="eastAsia"/>
              </w:rPr>
              <w:t>调查内容</w:t>
            </w:r>
          </w:p>
        </w:tc>
        <w:tc>
          <w:tcPr>
            <w:tcW w:w="3562" w:type="dxa"/>
            <w:vAlign w:val="center"/>
          </w:tcPr>
          <w:p>
            <w:pPr>
              <w:pStyle w:val="37"/>
            </w:pPr>
            <w:r>
              <w:rPr>
                <w:rFonts w:hint="eastAsia"/>
              </w:rPr>
              <w:t>主要指标</w:t>
            </w:r>
          </w:p>
        </w:tc>
        <w:tc>
          <w:tcPr>
            <w:tcW w:w="3052" w:type="dxa"/>
            <w:vAlign w:val="center"/>
          </w:tcPr>
          <w:p>
            <w:pPr>
              <w:pStyle w:val="37"/>
            </w:pPr>
            <w:r>
              <w:rPr>
                <w:rFonts w:hint="eastAsia"/>
              </w:rPr>
              <w:t>评价作用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vAlign w:val="center"/>
          </w:tcPr>
          <w:p>
            <w:pPr>
              <w:pStyle w:val="37"/>
            </w:pPr>
            <w:r>
              <w:t>1</w:t>
            </w:r>
          </w:p>
        </w:tc>
        <w:tc>
          <w:tcPr>
            <w:tcW w:w="1260" w:type="dxa"/>
            <w:vAlign w:val="center"/>
          </w:tcPr>
          <w:p>
            <w:pPr>
              <w:pStyle w:val="37"/>
            </w:pPr>
            <w:r>
              <w:rPr>
                <w:rFonts w:hint="eastAsia"/>
              </w:rPr>
              <w:t>植物</w:t>
            </w:r>
          </w:p>
        </w:tc>
        <w:tc>
          <w:tcPr>
            <w:tcW w:w="3562" w:type="dxa"/>
            <w:vAlign w:val="center"/>
          </w:tcPr>
          <w:p>
            <w:pPr>
              <w:pStyle w:val="37"/>
            </w:pPr>
            <w:r>
              <w:rPr>
                <w:rFonts w:hint="eastAsia"/>
              </w:rPr>
              <w:t>植被类型、分布、植物种类、生物量、生长情况、入侵植物、古树名木</w:t>
            </w:r>
          </w:p>
        </w:tc>
        <w:tc>
          <w:tcPr>
            <w:tcW w:w="3052" w:type="dxa"/>
            <w:vMerge w:val="restart"/>
            <w:vAlign w:val="center"/>
          </w:tcPr>
          <w:p>
            <w:pPr>
              <w:pStyle w:val="37"/>
            </w:pPr>
            <w:r>
              <w:rPr>
                <w:rFonts w:hint="eastAsia"/>
              </w:rPr>
              <w:t>分析生态结构、类型；分析生态因子相互关系；分析生物多样性影响；明确主要生态问题和保护目标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vAlign w:val="center"/>
          </w:tcPr>
          <w:p>
            <w:pPr>
              <w:pStyle w:val="37"/>
            </w:pPr>
            <w:r>
              <w:t>2</w:t>
            </w:r>
          </w:p>
        </w:tc>
        <w:tc>
          <w:tcPr>
            <w:tcW w:w="1260" w:type="dxa"/>
            <w:vAlign w:val="center"/>
          </w:tcPr>
          <w:p>
            <w:pPr>
              <w:pStyle w:val="37"/>
            </w:pPr>
            <w:r>
              <w:rPr>
                <w:rFonts w:hint="eastAsia"/>
              </w:rPr>
              <w:t>动物</w:t>
            </w:r>
          </w:p>
        </w:tc>
        <w:tc>
          <w:tcPr>
            <w:tcW w:w="3562" w:type="dxa"/>
            <w:vAlign w:val="center"/>
          </w:tcPr>
          <w:p>
            <w:pPr>
              <w:pStyle w:val="37"/>
            </w:pPr>
            <w:r>
              <w:rPr>
                <w:rFonts w:hint="eastAsia"/>
              </w:rPr>
              <w:t>物种、分布、动态、生境与栖息地</w:t>
            </w:r>
          </w:p>
        </w:tc>
        <w:tc>
          <w:tcPr>
            <w:tcW w:w="3052"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vAlign w:val="center"/>
          </w:tcPr>
          <w:p>
            <w:pPr>
              <w:pStyle w:val="37"/>
            </w:pPr>
            <w:r>
              <w:t>3</w:t>
            </w:r>
          </w:p>
        </w:tc>
        <w:tc>
          <w:tcPr>
            <w:tcW w:w="1260" w:type="dxa"/>
            <w:vAlign w:val="center"/>
          </w:tcPr>
          <w:p>
            <w:pPr>
              <w:pStyle w:val="37"/>
            </w:pPr>
            <w:r>
              <w:rPr>
                <w:rFonts w:hint="eastAsia"/>
              </w:rPr>
              <w:t>水土流失</w:t>
            </w:r>
          </w:p>
        </w:tc>
        <w:tc>
          <w:tcPr>
            <w:tcW w:w="3562" w:type="dxa"/>
            <w:vAlign w:val="center"/>
          </w:tcPr>
          <w:p>
            <w:pPr>
              <w:pStyle w:val="37"/>
            </w:pPr>
            <w:r>
              <w:rPr>
                <w:rFonts w:hint="eastAsia"/>
              </w:rPr>
              <w:t>平均侵蚀模数</w:t>
            </w:r>
          </w:p>
        </w:tc>
        <w:tc>
          <w:tcPr>
            <w:tcW w:w="3052" w:type="dxa"/>
            <w:vAlign w:val="center"/>
          </w:tcPr>
          <w:p>
            <w:pPr>
              <w:pStyle w:val="37"/>
            </w:pPr>
            <w:r>
              <w:rPr>
                <w:rFonts w:hint="eastAsia"/>
              </w:rPr>
              <w:t>分析水土流失现状</w:t>
            </w:r>
          </w:p>
        </w:tc>
      </w:tr>
    </w:tbl>
    <w:p>
      <w:pPr>
        <w:ind w:firstLine="480"/>
      </w:pPr>
      <w:r>
        <w:rPr>
          <w:rFonts w:hint="eastAsia"/>
        </w:rPr>
        <w:t>（1）主要植被类型及其分布</w:t>
      </w:r>
    </w:p>
    <w:p>
      <w:pPr>
        <w:ind w:firstLine="480"/>
      </w:pPr>
      <w:r>
        <w:rPr>
          <w:rFonts w:hint="eastAsia"/>
        </w:rPr>
        <w:t>根据调查，项目区域内植被属亚热带常绿阔叶林地带，因受自然条件影响，植被群落比较复杂，种类繁多，层次较明显，但因采伐利用、烧毁的破坏，原生植被多遭破坏，目前演替为次生植被，原有植被类型主要为当地常见物种和园地植被，不涉及野生保护植物和珍稀物种农田植被主要有：水稻、蔬菜及其他一年或多年生经济作物。</w:t>
      </w:r>
    </w:p>
    <w:p>
      <w:pPr>
        <w:ind w:firstLine="480"/>
      </w:pPr>
      <w:r>
        <w:rPr>
          <w:rFonts w:hint="eastAsia"/>
        </w:rPr>
        <w:t>（2）古树名木调查</w:t>
      </w:r>
    </w:p>
    <w:p>
      <w:pPr>
        <w:ind w:firstLine="480"/>
      </w:pPr>
      <w:r>
        <w:rPr>
          <w:rFonts w:hint="eastAsia"/>
        </w:rPr>
        <w:t>古树名木，是重要的自然及人文资源，属特殊敏感保护对象。根据实地调查，本项目评价范围内，无名木古树资源。</w:t>
      </w:r>
    </w:p>
    <w:p>
      <w:pPr>
        <w:ind w:firstLine="480"/>
      </w:pPr>
      <w:r>
        <w:rPr>
          <w:rFonts w:hint="eastAsia"/>
        </w:rPr>
        <w:t>（3）动物现状调查</w:t>
      </w:r>
    </w:p>
    <w:p>
      <w:pPr>
        <w:spacing w:before="93" w:beforeLines="30"/>
        <w:ind w:firstLine="480"/>
        <w:rPr>
          <w:kern w:val="30"/>
        </w:rPr>
      </w:pPr>
      <w:r>
        <w:rPr>
          <w:rFonts w:hint="eastAsia"/>
        </w:rPr>
        <w:t>本次评价区动物调查主要采取现场调查，结合走访当地群众和查阅相关资料的方式进行。根据实地调查，本工程周边由于人类开垦和密集的生产生活活动的深刻影响，现状沿线区位生境中重要的野生动物资源主要为鸟类，而其它野动物资源及生态分布则相对较为贫乏。</w:t>
      </w:r>
      <w:r>
        <w:rPr>
          <w:rFonts w:hint="eastAsia"/>
          <w:kern w:val="30"/>
        </w:rPr>
        <w:t>经现场调查和资料分析，周边附近陆域除了鸟类外，未发现有其他受国家</w:t>
      </w:r>
      <w:r>
        <w:rPr>
          <w:rFonts w:hint="eastAsia" w:ascii="宋体" w:hAnsi="宋体" w:cs="宋体"/>
          <w:kern w:val="30"/>
        </w:rPr>
        <w:t>Ⅰ</w:t>
      </w:r>
      <w:r>
        <w:rPr>
          <w:rFonts w:hint="eastAsia"/>
          <w:kern w:val="30"/>
        </w:rPr>
        <w:t>、</w:t>
      </w:r>
      <w:r>
        <w:rPr>
          <w:rFonts w:hint="eastAsia" w:ascii="宋体" w:hAnsi="宋体" w:cs="宋体"/>
          <w:kern w:val="30"/>
        </w:rPr>
        <w:t>Ⅱ</w:t>
      </w:r>
      <w:r>
        <w:rPr>
          <w:rFonts w:hint="eastAsia"/>
          <w:kern w:val="30"/>
        </w:rPr>
        <w:t>级重点和省重点保护的陆生珍稀或濒危野生动物分布。</w:t>
      </w:r>
    </w:p>
    <w:p>
      <w:pPr>
        <w:spacing w:before="93" w:beforeLines="30"/>
        <w:ind w:firstLine="480"/>
        <w:rPr>
          <w:kern w:val="30"/>
        </w:rPr>
      </w:pPr>
      <w:r>
        <w:rPr>
          <w:rFonts w:hint="eastAsia"/>
          <w:kern w:val="30"/>
        </w:rPr>
        <w:t>（4）水土流失现状</w:t>
      </w:r>
    </w:p>
    <w:p>
      <w:pPr>
        <w:ind w:firstLine="480"/>
      </w:pPr>
      <w:r>
        <w:t>本项目不涉及迁移树木，</w:t>
      </w:r>
      <w:r>
        <w:rPr>
          <w:rFonts w:hint="eastAsia"/>
        </w:rPr>
        <w:t>项目选址在云溪区路口镇牌楼村九房组采石场废弃矿坑，</w:t>
      </w:r>
      <w:r>
        <w:t>占地面积</w:t>
      </w:r>
      <w:r>
        <w:rPr>
          <w:rFonts w:hint="eastAsia"/>
        </w:rPr>
        <w:t>类型为其他工矿用地，</w:t>
      </w:r>
      <w:r>
        <w:t>。根据现场查阅资料及现场调查，本项目区属平原微丘区，地势平坦、植被良好，水土流失比较轻微。</w:t>
      </w:r>
    </w:p>
    <w:p>
      <w:pPr>
        <w:pStyle w:val="4"/>
      </w:pPr>
      <w:r>
        <w:rPr>
          <w:rFonts w:hint="eastAsia"/>
        </w:rPr>
        <w:t>生态环境质量现状评价</w:t>
      </w:r>
    </w:p>
    <w:p>
      <w:pPr>
        <w:ind w:firstLine="600" w:firstLineChars="250"/>
      </w:pPr>
      <w:r>
        <w:rPr>
          <w:rFonts w:hint="eastAsia"/>
        </w:rPr>
        <w:t>本评价主要从珍稀濒危状况、资源生态属性等方面分析，并作以下评价：</w:t>
      </w:r>
    </w:p>
    <w:p>
      <w:pPr>
        <w:numPr>
          <w:ilvl w:val="0"/>
          <w:numId w:val="3"/>
        </w:numPr>
        <w:ind w:firstLine="480"/>
      </w:pPr>
      <w:r>
        <w:rPr>
          <w:rFonts w:hint="eastAsia"/>
        </w:rPr>
        <w:t>珍稀濒危状况。本工程评价区内，无古树名木，没有涉及自然保护区、风景名胜区、森林公园等敏感生态景观环境，未发现有珍稀及濒危野生植物资源；亦未发现有重要野生动物或鸟类的集中栖息或繁殖的特定植被生境。</w:t>
      </w:r>
    </w:p>
    <w:p>
      <w:pPr>
        <w:ind w:firstLine="480"/>
      </w:pPr>
      <w:r>
        <w:rPr>
          <w:rFonts w:hint="eastAsia"/>
        </w:rPr>
        <w:t>（</w:t>
      </w:r>
      <w:r>
        <w:t>2</w:t>
      </w:r>
      <w:r>
        <w:rPr>
          <w:rFonts w:hint="eastAsia"/>
        </w:rPr>
        <w:t>）资源生态属性。评价区内主要植物资源种类以及群落类型，大部分乃属亚热带地区丘陵山地、坡地、或平地广播性或广泛栽培的资源种类及次生性植被生态群落类型。由于人类活动频繁，植物种类多是个体小、容易传播、适宜在干扰强度大的生境中生存的种类。评价区内的植被是当地野生动物栖息和繁殖的重要场所，同时在维持区域生物多样性，保持水土、涵养水源和优化区域生态环境、生态景观具有重要价值。</w:t>
      </w:r>
    </w:p>
    <w:p>
      <w:pPr>
        <w:ind w:firstLine="480"/>
      </w:pPr>
      <w:r>
        <w:rPr>
          <w:rFonts w:hint="eastAsia"/>
        </w:rPr>
        <w:t>（</w:t>
      </w:r>
      <w:r>
        <w:t>3</w:t>
      </w:r>
      <w:r>
        <w:rPr>
          <w:rFonts w:hint="eastAsia"/>
        </w:rPr>
        <w:t>）评价区内无基本农田。由于人类活动频繁，植物种类多是个体小、容易传播、适宜在干扰强度大的生境中生存的种类，是区域村庄人群重要生存资源，属生态敏感保护目标。</w:t>
      </w:r>
    </w:p>
    <w:p>
      <w:pPr>
        <w:ind w:firstLine="480"/>
      </w:pPr>
      <w:r>
        <w:rPr>
          <w:rFonts w:hint="eastAsia"/>
        </w:rPr>
        <w:t>根据评价结果，本项目所在区域生态环境受到一定破坏，生态系统结构有变化，但尚可维持基本功能，受干扰后易恶化，生态问题显著，生态灾害时有发生。本项目在施工期和填埋期，要加强生态环境保护，采取积极有效的措施保护生态环境，避免本项目区域的生态环境质量恶化。</w:t>
      </w:r>
    </w:p>
    <w:p>
      <w:pPr>
        <w:pStyle w:val="4"/>
      </w:pPr>
      <w:r>
        <w:rPr>
          <w:rFonts w:hint="eastAsia"/>
        </w:rPr>
        <w:t>土地利用现状调查</w:t>
      </w:r>
    </w:p>
    <w:p>
      <w:pPr>
        <w:ind w:firstLine="480"/>
      </w:pPr>
      <w:r>
        <w:rPr>
          <w:rFonts w:hint="eastAsia"/>
        </w:rPr>
        <w:t>项目选址位置为路口镇采石场废弃矿坑，多为裸露岩石，</w:t>
      </w:r>
      <w:r>
        <w:rPr>
          <w:rFonts w:hint="eastAsia" w:cs="宋体"/>
        </w:rPr>
        <w:t>岩性为石灰岩，属弱透～微透水层，渗透系数低。无滑坡、崩塌等不良地质现象。</w:t>
      </w:r>
      <w:r>
        <w:rPr>
          <w:rFonts w:hint="eastAsia"/>
        </w:rPr>
        <w:t>土地利用现状分布及照片见图</w:t>
      </w:r>
      <w:r>
        <w:t>4.7-1</w:t>
      </w:r>
      <w:r>
        <w:rPr>
          <w:rFonts w:hint="eastAsia"/>
        </w:rPr>
        <w:t>、图</w:t>
      </w:r>
      <w:r>
        <w:t>4.7-2</w:t>
      </w:r>
      <w:r>
        <w:rPr>
          <w:rFonts w:hint="eastAsia"/>
        </w:rPr>
        <w:t>。</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6"/>
        <w:gridCol w:w="4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09" w:hRule="atLeast"/>
          <w:jc w:val="center"/>
        </w:trPr>
        <w:tc>
          <w:tcPr>
            <w:tcW w:w="4686" w:type="dxa"/>
            <w:vAlign w:val="top"/>
          </w:tcPr>
          <w:p>
            <w:pPr>
              <w:pStyle w:val="37"/>
            </w:pPr>
            <w:r>
              <w:rPr>
                <w:rFonts w:ascii="Times New Roman" w:hAnsi="Times New Roman" w:eastAsia="宋体" w:cs="Times New Roman"/>
                <w:kern w:val="2"/>
                <w:sz w:val="21"/>
                <w:szCs w:val="21"/>
                <w:lang w:val="en-US" w:eastAsia="zh-CN" w:bidi="ar-SA"/>
              </w:rPr>
              <w:pict>
                <v:shape id="图片 2" o:spid="_x0000_s1105" type="#_x0000_t75" style="position:absolute;left:0;margin-left:-3.65pt;margin-top:5.5pt;height:163.5pt;width:222pt;mso-position-horizontal-relative:margin;mso-position-vertical-relative:margin;mso-wrap-distance-bottom:0pt;mso-wrap-distance-left:9pt;mso-wrap-distance-right:9pt;mso-wrap-distance-top:0pt;rotation:0f;z-index:251661312;" o:ole="f" fillcolor="#FFFFFF" filled="f" o:preferrelative="t" stroked="f" coordorigin="0,0" coordsize="21600,21600">
                  <v:fill on="f" color2="#FFFFFF" focus="0%"/>
                  <v:imagedata gain="65536f" blacklevel="0f" gamma="0" o:title="" r:id="rId45"/>
                  <o:lock v:ext="edit" position="f" selection="f" grouping="f" rotation="f" cropping="f" text="f" aspectratio="t"/>
                  <w10:wrap type="square"/>
                </v:shape>
              </w:pict>
            </w:r>
            <w:r>
              <w:t>A.</w:t>
            </w:r>
            <w:r>
              <w:rPr>
                <w:rFonts w:hint="eastAsia"/>
              </w:rPr>
              <w:t>项目东侧</w:t>
            </w:r>
          </w:p>
        </w:tc>
        <w:tc>
          <w:tcPr>
            <w:tcW w:w="4460" w:type="dxa"/>
            <w:vAlign w:val="top"/>
          </w:tcPr>
          <w:p>
            <w:pPr>
              <w:pStyle w:val="37"/>
            </w:pPr>
            <w:r>
              <w:rPr>
                <w:rFonts w:ascii="Times New Roman" w:hAnsi="Times New Roman" w:eastAsia="宋体" w:cs="Times New Roman"/>
                <w:kern w:val="2"/>
                <w:sz w:val="21"/>
                <w:szCs w:val="21"/>
                <w:lang w:val="en-US" w:eastAsia="zh-CN" w:bidi="ar-SA"/>
              </w:rPr>
              <w:pict>
                <v:shape id="图片 3" o:spid="_x0000_s1106" type="#_x0000_t75" style="position:absolute;left:0;height:168.75pt;width:207pt;mso-position-horizontal:center;mso-position-horizontal-relative:margin;mso-position-vertical:center;mso-position-vertical-relative:margin;mso-wrap-distance-bottom:0pt;mso-wrap-distance-left:9pt;mso-wrap-distance-right:9pt;mso-wrap-distance-top:0pt;rotation:0f;z-index:251660288;" o:ole="f" fillcolor="#FFFFFF" filled="f" o:preferrelative="t" stroked="f" coordorigin="0,0" coordsize="21600,21600">
                  <v:fill on="f" color2="#FFFFFF" focus="0%"/>
                  <v:imagedata gain="65536f" blacklevel="0f" gamma="0" o:title="" r:id="rId46"/>
                  <o:lock v:ext="edit" position="f" selection="f" grouping="f" rotation="f" cropping="f" text="f" aspectratio="t"/>
                  <w10:wrap type="square"/>
                </v:shape>
              </w:pict>
            </w:r>
            <w:r>
              <w:t>B.</w:t>
            </w:r>
            <w:r>
              <w:rPr>
                <w:rFonts w:hint="eastAsia"/>
              </w:rPr>
              <w:t>项目南侧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6" w:hRule="atLeast"/>
          <w:jc w:val="center"/>
        </w:trPr>
        <w:tc>
          <w:tcPr>
            <w:tcW w:w="4686" w:type="dxa"/>
            <w:vAlign w:val="top"/>
          </w:tcPr>
          <w:p>
            <w:pPr>
              <w:pStyle w:val="37"/>
              <w:rPr>
                <w:rFonts w:eastAsia="仿宋_GB2312"/>
              </w:rPr>
            </w:pPr>
            <w:r>
              <w:rPr>
                <w:rFonts w:ascii="Times New Roman" w:hAnsi="Times New Roman" w:eastAsia="仿宋_GB2312" w:cs="Times New Roman"/>
                <w:kern w:val="2"/>
                <w:sz w:val="21"/>
                <w:szCs w:val="21"/>
                <w:lang w:val="en-US" w:eastAsia="zh-CN" w:bidi="ar-SA"/>
              </w:rPr>
              <w:pict>
                <v:shape id="图片 11" o:spid="_x0000_s1107" type="#_x0000_t75" style="height:165pt;width:216.75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p>
        </w:tc>
        <w:tc>
          <w:tcPr>
            <w:tcW w:w="4460" w:type="dxa"/>
            <w:vAlign w:val="top"/>
          </w:tcPr>
          <w:p>
            <w:pPr>
              <w:pStyle w:val="37"/>
              <w:rPr>
                <w:rFonts w:eastAsia="仿宋_GB2312"/>
              </w:rPr>
            </w:pPr>
            <w:r>
              <w:rPr>
                <w:rFonts w:ascii="Times New Roman" w:hAnsi="Times New Roman" w:eastAsia="仿宋_GB2312" w:cs="Times New Roman"/>
                <w:kern w:val="2"/>
                <w:sz w:val="21"/>
                <w:szCs w:val="21"/>
                <w:lang w:val="en-US" w:eastAsia="zh-CN" w:bidi="ar-SA"/>
              </w:rPr>
              <w:pict>
                <v:shape id="图片 12" o:spid="_x0000_s1108" type="#_x0000_t75" style="height:164.25pt;width:198.75pt;rotation:0f;" o:ole="f" fillcolor="#FFFFFF" filled="f" o:preferrelative="t" stroked="f" coordorigin="0,0" coordsize="21600,21600">
                  <v:fill on="f" color2="#FFFFFF" focus="0%"/>
                  <v:imagedata gain="65536f" blacklevel="0f" gamma="0" o:title="" r:id="rId48"/>
                  <o:lock v:ext="edit" position="f" selection="f" grouping="f" rotation="f" cropping="f" text="f"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686" w:type="dxa"/>
            <w:vAlign w:val="top"/>
          </w:tcPr>
          <w:p>
            <w:pPr>
              <w:pStyle w:val="37"/>
            </w:pPr>
            <w:r>
              <w:t>C.</w:t>
            </w:r>
            <w:r>
              <w:rPr>
                <w:rFonts w:hint="eastAsia"/>
              </w:rPr>
              <w:t>项目西侧</w:t>
            </w:r>
          </w:p>
        </w:tc>
        <w:tc>
          <w:tcPr>
            <w:tcW w:w="4460" w:type="dxa"/>
            <w:vAlign w:val="top"/>
          </w:tcPr>
          <w:p>
            <w:pPr>
              <w:pStyle w:val="37"/>
            </w:pPr>
            <w:r>
              <w:t>D</w:t>
            </w:r>
            <w:r>
              <w:rPr>
                <w:rFonts w:hint="eastAsia"/>
              </w:rPr>
              <w:t>项目北侧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45" w:hRule="atLeast"/>
          <w:jc w:val="center"/>
        </w:trPr>
        <w:tc>
          <w:tcPr>
            <w:tcW w:w="4686" w:type="dxa"/>
            <w:vAlign w:val="top"/>
          </w:tcPr>
          <w:p>
            <w:pPr>
              <w:pStyle w:val="37"/>
              <w:rPr>
                <w:rFonts w:eastAsia="仿宋_GB2312"/>
              </w:rPr>
            </w:pPr>
            <w:r>
              <w:rPr>
                <w:rFonts w:ascii="Times New Roman" w:hAnsi="Times New Roman" w:eastAsia="仿宋_GB2312" w:cs="Times New Roman"/>
                <w:kern w:val="2"/>
                <w:sz w:val="21"/>
                <w:szCs w:val="21"/>
                <w:lang w:val="en-US" w:eastAsia="zh-CN" w:bidi="ar-SA"/>
              </w:rPr>
              <w:pict>
                <v:shape id="图片 13" o:spid="_x0000_s1109" type="#_x0000_t75" style="height:178.5pt;width:200.25pt;rotation:0f;" o:ole="f" fillcolor="#FFFFFF" filled="f" o:preferrelative="t" stroked="f" coordorigin="0,0" coordsize="21600,21600">
                  <v:fill on="f" color2="#FFFFFF" focus="0%"/>
                  <v:imagedata gain="65536f" blacklevel="0f" gamma="0" o:title="" r:id="rId49"/>
                  <o:lock v:ext="edit" position="f" selection="f" grouping="f" rotation="f" cropping="f" text="f" aspectratio="t"/>
                  <w10:wrap type="none"/>
                  <w10:anchorlock/>
                </v:shape>
              </w:pict>
            </w:r>
          </w:p>
        </w:tc>
        <w:tc>
          <w:tcPr>
            <w:tcW w:w="4460" w:type="dxa"/>
            <w:vAlign w:val="top"/>
          </w:tcPr>
          <w:p>
            <w:pPr>
              <w:pStyle w:val="37"/>
              <w:rPr>
                <w:rFonts w:eastAsia="仿宋_GB2312"/>
                <w:kern w:val="0"/>
              </w:rPr>
            </w:pPr>
            <w:r>
              <w:rPr>
                <w:rFonts w:ascii="Times New Roman" w:hAnsi="Times New Roman" w:eastAsia="仿宋_GB2312" w:cs="Times New Roman"/>
                <w:kern w:val="0"/>
                <w:sz w:val="21"/>
                <w:szCs w:val="21"/>
                <w:lang w:val="en-US" w:eastAsia="zh-CN" w:bidi="ar-SA"/>
              </w:rPr>
              <w:pict>
                <v:shape id="图片 14" o:spid="_x0000_s1110" type="#_x0000_t75" style="height:175.5pt;width:209.25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4686" w:type="dxa"/>
            <w:vAlign w:val="top"/>
          </w:tcPr>
          <w:p>
            <w:pPr>
              <w:pStyle w:val="37"/>
            </w:pPr>
            <w:r>
              <w:t>E.</w:t>
            </w:r>
            <w:r>
              <w:rPr>
                <w:rFonts w:hint="eastAsia"/>
              </w:rPr>
              <w:t>植被现状</w:t>
            </w:r>
          </w:p>
        </w:tc>
        <w:tc>
          <w:tcPr>
            <w:tcW w:w="4460" w:type="dxa"/>
            <w:vAlign w:val="top"/>
          </w:tcPr>
          <w:p>
            <w:pPr>
              <w:pStyle w:val="37"/>
            </w:pPr>
            <w:r>
              <w:t>F.</w:t>
            </w:r>
            <w:r>
              <w:rPr>
                <w:rFonts w:hint="eastAsia"/>
              </w:rPr>
              <w:t>原采石场现状</w:t>
            </w:r>
          </w:p>
        </w:tc>
      </w:tr>
    </w:tbl>
    <w:p>
      <w:pPr>
        <w:pStyle w:val="14"/>
        <w:sectPr>
          <w:pgSz w:w="11906" w:h="16838"/>
          <w:pgMar w:top="1440" w:right="1298" w:bottom="1440" w:left="1678" w:header="851" w:footer="992" w:gutter="0"/>
          <w:cols w:space="720" w:num="1"/>
          <w:docGrid w:type="lines" w:linePitch="312" w:charSpace="0"/>
        </w:sectPr>
      </w:pPr>
      <w:r>
        <w:rPr>
          <w:rFonts w:hint="eastAsia"/>
        </w:rPr>
        <w:t>图</w:t>
      </w:r>
      <w:r>
        <w:fldChar w:fldCharType="begin"/>
      </w:r>
      <w:r>
        <w:instrText xml:space="preserve"> STYLEREF 2 \s </w:instrText>
      </w:r>
      <w:r>
        <w:fldChar w:fldCharType="separate"/>
      </w:r>
      <w:r>
        <w:t>4.7</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rPr>
        <w:t>土地利用现状照片</w:t>
      </w:r>
    </w:p>
    <w:p>
      <w:pPr>
        <w:pStyle w:val="14"/>
        <w:sectPr>
          <w:pgSz w:w="16838" w:h="11906" w:orient="landscape"/>
          <w:pgMar w:top="1678" w:right="1440" w:bottom="1298" w:left="1440" w:header="851" w:footer="992" w:gutter="0"/>
          <w:cols w:space="720" w:num="1"/>
          <w:docGrid w:type="lines" w:linePitch="326" w:charSpace="0"/>
        </w:sectPr>
      </w:pPr>
      <w:r>
        <w:rPr>
          <w:rFonts w:ascii="Times New Roman" w:hAnsi="Times New Roman" w:eastAsia="宋体" w:cs="Times New Roman"/>
          <w:b/>
          <w:kern w:val="2"/>
          <w:sz w:val="21"/>
          <w:szCs w:val="20"/>
          <w:lang w:val="en-US" w:eastAsia="zh-CN" w:bidi="ar-SA"/>
        </w:rPr>
        <w:pict>
          <v:shape id="Quad Arrow 145" o:spid="_x0000_s1111" type="#_x0000_t202" style="position:absolute;left:0;margin-left:303.75pt;margin-top:180.1pt;height:30pt;width:99pt;rotation:0f;z-index:251672576;" o:ole="f" fillcolor="#FFFFFF" filled="f" o:preferrelative="t" stroked="f" coordorigin="0,0" coordsize="21600,21600">
            <v:fill on="f" color2="#FFFFFF" focus="0%"/>
            <v:imagedata gain="65536f" blacklevel="0f" gamma="0"/>
            <o:lock v:ext="edit" position="f" selection="f" grouping="f" rotation="f" cropping="f" text="f" aspectratio="f"/>
            <v:textbox>
              <w:txbxContent>
                <w:p>
                  <w:pPr>
                    <w:ind w:firstLine="482" w:firstLineChars="0"/>
                    <w:jc w:val="left"/>
                    <w:rPr>
                      <w:b/>
                    </w:rPr>
                  </w:pPr>
                  <w:r>
                    <w:rPr>
                      <w:rFonts w:hint="eastAsia"/>
                      <w:b/>
                    </w:rPr>
                    <w:t>项目位置</w:t>
                  </w:r>
                </w:p>
              </w:txbxContent>
            </v:textbox>
          </v:shape>
        </w:pict>
      </w:r>
      <w:r>
        <w:rPr>
          <w:rFonts w:ascii="Times New Roman" w:hAnsi="Times New Roman" w:eastAsia="宋体" w:cs="Times New Roman"/>
          <w:b/>
          <w:kern w:val="2"/>
          <w:sz w:val="21"/>
          <w:szCs w:val="20"/>
          <w:lang w:val="en-US" w:eastAsia="zh-CN" w:bidi="ar-SA"/>
        </w:rPr>
        <w:pict>
          <v:rect id="Rectangle 146" o:spid="_x0000_s1112" style="position:absolute;left:0;margin-left:290.25pt;margin-top:174.1pt;height:41.25pt;width:39.75pt;rotation:0f;z-index:251671552;" o:ole="f" fillcolor="#FFFFFF" filled="f" o:preferrelative="t" stroked="t" coordsize="21600,21600">
            <v:fill on="f" color2="#FFFFFF" focus="0%"/>
            <v:stroke weight="1.5pt" color="#FF0000" color2="#FFFFFF" miterlimit="2"/>
            <v:imagedata gain="65536f" blacklevel="0f" gamma="0"/>
            <o:lock v:ext="edit" position="f" selection="f" grouping="f" rotation="f" cropping="f" text="f" aspectratio="f"/>
          </v:rect>
        </w:pict>
      </w:r>
      <w:r>
        <w:rPr>
          <w:rFonts w:ascii="Times New Roman" w:hAnsi="Times New Roman" w:eastAsia="宋体" w:cs="Times New Roman"/>
          <w:b/>
          <w:kern w:val="2"/>
          <w:sz w:val="21"/>
          <w:szCs w:val="20"/>
          <w:lang w:val="en-US" w:eastAsia="zh-CN" w:bidi="ar-SA"/>
        </w:rPr>
        <w:pict>
          <v:shape id="图片 9" o:spid="_x0000_s1113" type="#_x0000_t75" style="position:absolute;left:0;height:414pt;width:698.25pt;mso-position-horizontal:center;mso-position-horizontal-relative:margin;mso-position-vertical:top;mso-position-vertical-relative:margin;mso-wrap-distance-bottom:0pt;mso-wrap-distance-left:9pt;mso-wrap-distance-right:9pt;mso-wrap-distance-top:0pt;rotation:0f;z-index:251663360;" o:ole="f" fillcolor="#FFFFFF" filled="f" o:preferrelative="t" stroked="f" coordorigin="0,0" coordsize="21600,21600">
            <v:fill on="f" color2="#FFFFFF" focus="0%"/>
            <v:imagedata gain="65536f" blacklevel="0f" gamma="0" o:title="" r:id="rId51"/>
            <o:lock v:ext="edit" position="f" selection="f" grouping="f" rotation="f" cropping="f" text="f" aspectratio="t"/>
            <w10:wrap type="square"/>
          </v:shape>
        </w:pict>
      </w:r>
      <w:r>
        <w:rPr>
          <w:rFonts w:hint="eastAsia"/>
        </w:rPr>
        <w:t>图</w:t>
      </w:r>
      <w:r>
        <w:fldChar w:fldCharType="begin"/>
      </w:r>
      <w:r>
        <w:instrText xml:space="preserve"> STYLEREF 2 \s </w:instrText>
      </w:r>
      <w:r>
        <w:fldChar w:fldCharType="separate"/>
      </w:r>
      <w:r>
        <w:t>4.7</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2</w:t>
      </w:r>
      <w:r>
        <w:fldChar w:fldCharType="end"/>
      </w:r>
      <w:r>
        <w:rPr>
          <w:rFonts w:hint="eastAsia"/>
        </w:rPr>
        <w:t>土地利用现状分布图</w:t>
      </w:r>
    </w:p>
    <w:p>
      <w:pPr>
        <w:pStyle w:val="2"/>
      </w:pPr>
      <w:bookmarkStart w:id="116" w:name="_Toc462818431"/>
      <w:r>
        <w:rPr>
          <w:rFonts w:hint="eastAsia"/>
        </w:rPr>
        <w:t>环境影响预测与分析</w:t>
      </w:r>
      <w:bookmarkEnd w:id="116"/>
    </w:p>
    <w:p>
      <w:pPr>
        <w:pStyle w:val="3"/>
      </w:pPr>
      <w:bookmarkStart w:id="117" w:name="_Toc344647729"/>
      <w:bookmarkStart w:id="118" w:name="_Toc245044275"/>
      <w:bookmarkStart w:id="119" w:name="_Toc391370172"/>
      <w:bookmarkStart w:id="120" w:name="_Toc346092593"/>
      <w:bookmarkStart w:id="121" w:name="_Toc397322834"/>
      <w:bookmarkStart w:id="122" w:name="_Toc462818432"/>
      <w:r>
        <w:rPr>
          <w:rFonts w:hint="eastAsia"/>
        </w:rPr>
        <w:t>施工期环境影响分析</w:t>
      </w:r>
      <w:bookmarkEnd w:id="117"/>
      <w:bookmarkEnd w:id="118"/>
      <w:bookmarkEnd w:id="119"/>
      <w:bookmarkEnd w:id="120"/>
      <w:bookmarkEnd w:id="121"/>
      <w:bookmarkEnd w:id="122"/>
    </w:p>
    <w:p>
      <w:pPr>
        <w:pStyle w:val="4"/>
        <w:rPr>
          <w:lang w:val="zh-CN"/>
        </w:rPr>
      </w:pPr>
      <w:r>
        <w:rPr>
          <w:rFonts w:hint="eastAsia"/>
        </w:rPr>
        <w:t>水环境影响分析</w:t>
      </w:r>
    </w:p>
    <w:p>
      <w:pPr>
        <w:ind w:firstLine="480"/>
        <w:rPr>
          <w:lang w:val="zh-CN"/>
        </w:rPr>
      </w:pPr>
      <w:r>
        <w:rPr>
          <w:rFonts w:hint="eastAsia"/>
          <w:lang w:val="zh-CN"/>
        </w:rPr>
        <w:t>（</w:t>
      </w:r>
      <w:r>
        <w:rPr>
          <w:lang w:val="zh-CN"/>
        </w:rPr>
        <w:t>1</w:t>
      </w:r>
      <w:r>
        <w:rPr>
          <w:rFonts w:hint="eastAsia"/>
          <w:lang w:val="zh-CN"/>
        </w:rPr>
        <w:t>）施工生产废水</w:t>
      </w:r>
    </w:p>
    <w:p>
      <w:pPr>
        <w:adjustRightInd w:val="0"/>
        <w:snapToGrid w:val="0"/>
        <w:ind w:firstLine="480"/>
      </w:pPr>
      <w:r>
        <w:rPr>
          <w:rFonts w:hint="eastAsia"/>
        </w:rPr>
        <w:t>根据工程分析，施工期生产废水产生于机械设备清洗与维修、车辆清洗等工序，主要污染物为</w:t>
      </w:r>
      <w:r>
        <w:t>SS</w:t>
      </w:r>
      <w:r>
        <w:rPr>
          <w:rFonts w:hint="eastAsia"/>
        </w:rPr>
        <w:t>、石油类。建设单位拟在临时施工场地内建设隔油沉淀池，施工期生产废水经沉淀、隔油等预处理后回用于车辆与设备清洗，或用于施工道路等的洒水抑尘。施工期生产废水不对外排放，对周边水环境影响甚微。</w:t>
      </w:r>
    </w:p>
    <w:p>
      <w:pPr>
        <w:ind w:firstLine="480"/>
        <w:rPr>
          <w:lang w:val="zh-CN"/>
        </w:rPr>
      </w:pPr>
      <w:r>
        <w:rPr>
          <w:rFonts w:hint="eastAsia"/>
          <w:lang w:val="zh-CN"/>
        </w:rPr>
        <w:t>（</w:t>
      </w:r>
      <w:r>
        <w:rPr>
          <w:lang w:val="zh-CN"/>
        </w:rPr>
        <w:t>2</w:t>
      </w:r>
      <w:r>
        <w:rPr>
          <w:rFonts w:hint="eastAsia"/>
          <w:lang w:val="zh-CN"/>
        </w:rPr>
        <w:t>）生活污水</w:t>
      </w:r>
    </w:p>
    <w:p>
      <w:pPr>
        <w:ind w:firstLine="480"/>
      </w:pPr>
      <w:r>
        <w:rPr>
          <w:rFonts w:hint="eastAsia"/>
          <w:bCs/>
        </w:rPr>
        <w:t>本项目施工人员排放的生活污水和城市居民生活污水水质相似，污水中主要污染物为</w:t>
      </w:r>
      <w:r>
        <w:t>COD</w:t>
      </w:r>
      <w:r>
        <w:rPr>
          <w:rFonts w:hint="eastAsia"/>
        </w:rPr>
        <w:t>和</w:t>
      </w:r>
      <w:r>
        <w:t>NH</w:t>
      </w:r>
      <w:r>
        <w:rPr>
          <w:vertAlign w:val="subscript"/>
        </w:rPr>
        <w:t>3</w:t>
      </w:r>
      <w:r>
        <w:t>-N</w:t>
      </w:r>
      <w:r>
        <w:rPr>
          <w:rFonts w:hint="eastAsia"/>
        </w:rPr>
        <w:t>。根据建设单位提供的资料，本项目施工人数最高峰为</w:t>
      </w:r>
      <w:r>
        <w:t>15</w:t>
      </w:r>
      <w:r>
        <w:rPr>
          <w:rFonts w:hint="eastAsia"/>
        </w:rPr>
        <w:t>人，一线施工人员绝大多数为当地民工，早出晚归，不安排集中住宿。本项目施工期间施工人员排放的污水量为</w:t>
      </w:r>
      <w:r>
        <w:t>0.48m</w:t>
      </w:r>
      <w:r>
        <w:rPr>
          <w:vertAlign w:val="superscript"/>
        </w:rPr>
        <w:t>3</w:t>
      </w:r>
      <w:r>
        <w:t>/d</w:t>
      </w:r>
      <w:r>
        <w:rPr>
          <w:rFonts w:hint="eastAsia"/>
        </w:rPr>
        <w:t>。根据类比资料，</w:t>
      </w:r>
      <w:r>
        <w:t>COD</w:t>
      </w:r>
      <w:r>
        <w:rPr>
          <w:rFonts w:hint="eastAsia"/>
        </w:rPr>
        <w:t>浓度</w:t>
      </w:r>
      <w:r>
        <w:t xml:space="preserve"> 360mg/L</w:t>
      </w:r>
      <w:r>
        <w:rPr>
          <w:rFonts w:hint="eastAsia"/>
        </w:rPr>
        <w:t>，</w:t>
      </w:r>
      <w:r>
        <w:t>NH</w:t>
      </w:r>
      <w:r>
        <w:rPr>
          <w:vertAlign w:val="subscript"/>
        </w:rPr>
        <w:t>3</w:t>
      </w:r>
      <w:r>
        <w:t>-N</w:t>
      </w:r>
      <w:r>
        <w:rPr>
          <w:rFonts w:hint="eastAsia"/>
        </w:rPr>
        <w:t>浓度为</w:t>
      </w:r>
      <w:r>
        <w:t>25mg/L</w:t>
      </w:r>
      <w:r>
        <w:rPr>
          <w:rFonts w:hint="eastAsia"/>
        </w:rPr>
        <w:t>，则项目施工期排放的</w:t>
      </w:r>
      <w:r>
        <w:t>COD</w:t>
      </w:r>
      <w:r>
        <w:rPr>
          <w:rFonts w:hint="eastAsia"/>
        </w:rPr>
        <w:t>为</w:t>
      </w:r>
      <w:r>
        <w:t>0.1728kg/d</w:t>
      </w:r>
      <w:r>
        <w:rPr>
          <w:rFonts w:hint="eastAsia"/>
        </w:rPr>
        <w:t>，</w:t>
      </w:r>
      <w:r>
        <w:t>NH</w:t>
      </w:r>
      <w:r>
        <w:rPr>
          <w:vertAlign w:val="subscript"/>
        </w:rPr>
        <w:t>3</w:t>
      </w:r>
      <w:r>
        <w:t>-N</w:t>
      </w:r>
      <w:r>
        <w:rPr>
          <w:rFonts w:hint="eastAsia"/>
        </w:rPr>
        <w:t>约</w:t>
      </w:r>
      <w:r>
        <w:t>0.012kg/d</w:t>
      </w:r>
      <w:r>
        <w:rPr>
          <w:rFonts w:hint="eastAsia"/>
        </w:rPr>
        <w:t>。</w:t>
      </w:r>
    </w:p>
    <w:p>
      <w:pPr>
        <w:ind w:firstLine="480"/>
        <w:rPr>
          <w:rFonts w:eastAsia="仿宋_GB2312"/>
        </w:rPr>
      </w:pPr>
      <w:r>
        <w:rPr>
          <w:rFonts w:hint="eastAsia"/>
        </w:rPr>
        <w:t>生活污水利用当地民房现有化粪池等消解后清掏，对附近水体的影响基本无影响。</w:t>
      </w:r>
    </w:p>
    <w:p>
      <w:pPr>
        <w:pStyle w:val="4"/>
      </w:pPr>
      <w:bookmarkStart w:id="123" w:name="_Toc344647730"/>
      <w:bookmarkStart w:id="124" w:name="_Toc346092594"/>
      <w:bookmarkStart w:id="125" w:name="_Toc391370173"/>
      <w:r>
        <w:rPr>
          <w:rFonts w:hint="eastAsia"/>
        </w:rPr>
        <w:t>大气环境影响分析</w:t>
      </w:r>
      <w:bookmarkEnd w:id="123"/>
      <w:bookmarkEnd w:id="124"/>
      <w:bookmarkEnd w:id="125"/>
    </w:p>
    <w:p>
      <w:pPr>
        <w:ind w:firstLine="480"/>
        <w:rPr>
          <w:kern w:val="0"/>
        </w:rPr>
      </w:pPr>
      <w:r>
        <w:rPr>
          <w:rFonts w:hint="eastAsia"/>
          <w:kern w:val="0"/>
        </w:rPr>
        <w:t>通常情况下，由于工程施工而产生的大气污染源，主要有以下几个方面：</w:t>
      </w:r>
    </w:p>
    <w:p>
      <w:pPr>
        <w:ind w:firstLine="480"/>
        <w:rPr>
          <w:kern w:val="0"/>
        </w:rPr>
      </w:pPr>
      <w:r>
        <w:rPr>
          <w:rFonts w:hint="eastAsia"/>
          <w:kern w:val="0"/>
        </w:rPr>
        <w:t>（</w:t>
      </w:r>
      <w:r>
        <w:rPr>
          <w:kern w:val="0"/>
        </w:rPr>
        <w:t>1</w:t>
      </w:r>
      <w:r>
        <w:rPr>
          <w:rFonts w:hint="eastAsia"/>
          <w:kern w:val="0"/>
        </w:rPr>
        <w:t>）</w:t>
      </w:r>
      <w:r>
        <w:rPr>
          <w:rFonts w:hint="eastAsia"/>
        </w:rPr>
        <w:t>土方挖掘扬尘、建筑材料（水泥、白灰、沙子、石子等）装卸、搬运堆放扬尘、施工垃圾清理扬尘以及运输车辆造成的道路扬尘等</w:t>
      </w:r>
      <w:r>
        <w:rPr>
          <w:rFonts w:hint="eastAsia"/>
          <w:kern w:val="0"/>
        </w:rPr>
        <w:t>；</w:t>
      </w:r>
    </w:p>
    <w:p>
      <w:pPr>
        <w:ind w:firstLine="480"/>
        <w:rPr>
          <w:kern w:val="0"/>
        </w:rPr>
      </w:pPr>
      <w:r>
        <w:rPr>
          <w:rFonts w:hint="eastAsia"/>
          <w:kern w:val="0"/>
        </w:rPr>
        <w:t>（</w:t>
      </w:r>
      <w:r>
        <w:rPr>
          <w:kern w:val="0"/>
        </w:rPr>
        <w:t>2</w:t>
      </w:r>
      <w:r>
        <w:rPr>
          <w:rFonts w:hint="eastAsia"/>
          <w:kern w:val="0"/>
        </w:rPr>
        <w:t>）</w:t>
      </w:r>
      <w:r>
        <w:rPr>
          <w:rFonts w:hint="eastAsia"/>
        </w:rPr>
        <w:t>项目施工中施工机械和重型运输汽车尾气</w:t>
      </w:r>
      <w:r>
        <w:rPr>
          <w:rFonts w:hint="eastAsia"/>
          <w:kern w:val="0"/>
        </w:rPr>
        <w:t>；</w:t>
      </w:r>
    </w:p>
    <w:p>
      <w:pPr>
        <w:ind w:firstLine="480"/>
        <w:rPr>
          <w:kern w:val="0"/>
        </w:rPr>
      </w:pPr>
      <w:r>
        <w:rPr>
          <w:rFonts w:hint="eastAsia"/>
          <w:kern w:val="0"/>
        </w:rPr>
        <w:t>施工期对大气环境的扬尘污染，污染因子为</w:t>
      </w:r>
      <w:r>
        <w:rPr>
          <w:kern w:val="0"/>
        </w:rPr>
        <w:t>TSP</w:t>
      </w:r>
      <w:r>
        <w:rPr>
          <w:rFonts w:hint="eastAsia"/>
          <w:kern w:val="0"/>
        </w:rPr>
        <w:t>。这种污染影响是暂时的，可逆的，工程一结束，污染影响也就随之而停止。粉尘排放量随施工作业的活动水平、特定操作和主导天气而每天变化很大，而且很大一部分是由于在施工现场临时修筑的道路上，设备车辆往来行驶所引起的。</w:t>
      </w:r>
    </w:p>
    <w:p>
      <w:pPr>
        <w:ind w:firstLine="480"/>
        <w:rPr>
          <w:kern w:val="0"/>
        </w:rPr>
      </w:pPr>
      <w:r>
        <w:rPr>
          <w:rFonts w:hint="eastAsia"/>
          <w:kern w:val="0"/>
        </w:rPr>
        <w:t>建筑施工活动的粉尘排放数量是与施工面积和施工水平成比例的。但由于影响粉尘发生量的因素较多，目前还没有用于计算粉尘排放量的经验公式。根据相关工程的现场类比资料调查，施工现场的扬尘的日均浓度可达</w:t>
      </w:r>
      <w:r>
        <w:rPr>
          <w:kern w:val="0"/>
        </w:rPr>
        <w:t>2.7mg/m</w:t>
      </w:r>
      <w:r>
        <w:rPr>
          <w:kern w:val="0"/>
          <w:vertAlign w:val="superscript"/>
        </w:rPr>
        <w:t>3</w:t>
      </w:r>
      <w:r>
        <w:rPr>
          <w:rFonts w:hint="eastAsia"/>
          <w:kern w:val="0"/>
        </w:rPr>
        <w:t>，超过国家空气环境质量标准</w:t>
      </w:r>
      <w:r>
        <w:rPr>
          <w:kern w:val="0"/>
        </w:rPr>
        <w:t>8</w:t>
      </w:r>
      <w:r>
        <w:rPr>
          <w:rFonts w:hint="eastAsia"/>
          <w:kern w:val="0"/>
        </w:rPr>
        <w:t>倍，影响范围大约在距施工中心</w:t>
      </w:r>
      <w:r>
        <w:rPr>
          <w:kern w:val="0"/>
        </w:rPr>
        <w:t>50m</w:t>
      </w:r>
      <w:r>
        <w:rPr>
          <w:rFonts w:hint="eastAsia"/>
          <w:kern w:val="0"/>
        </w:rPr>
        <w:t>的范围内。在距场地</w:t>
      </w:r>
      <w:r>
        <w:rPr>
          <w:kern w:val="0"/>
        </w:rPr>
        <w:t xml:space="preserve">50m </w:t>
      </w:r>
      <w:r>
        <w:rPr>
          <w:rFonts w:hint="eastAsia"/>
          <w:kern w:val="0"/>
        </w:rPr>
        <w:t>处，产生的扬尘</w:t>
      </w:r>
      <w:r>
        <w:rPr>
          <w:kern w:val="0"/>
        </w:rPr>
        <w:t>TSP</w:t>
      </w:r>
      <w:r>
        <w:rPr>
          <w:rFonts w:hint="eastAsia"/>
          <w:kern w:val="0"/>
        </w:rPr>
        <w:t>可降至</w:t>
      </w:r>
      <w:r>
        <w:rPr>
          <w:kern w:val="0"/>
        </w:rPr>
        <w:t>1.0mg/m</w:t>
      </w:r>
      <w:r>
        <w:rPr>
          <w:kern w:val="0"/>
          <w:vertAlign w:val="superscript"/>
        </w:rPr>
        <w:t>3</w:t>
      </w:r>
      <w:r>
        <w:rPr>
          <w:rFonts w:hint="eastAsia"/>
          <w:kern w:val="0"/>
        </w:rPr>
        <w:t>，由于大部分施工现场周围空旷、没有居民，因此对周围环境影响较小。而且</w:t>
      </w:r>
      <w:r>
        <w:rPr>
          <w:rFonts w:hint="eastAsia"/>
        </w:rPr>
        <w:t>当有围栏时，同等条件下其影响距离可缩短</w:t>
      </w:r>
      <w:r>
        <w:t>40%</w:t>
      </w:r>
      <w:r>
        <w:rPr>
          <w:rFonts w:hint="eastAsia"/>
        </w:rPr>
        <w:t>。</w:t>
      </w:r>
    </w:p>
    <w:p>
      <w:pPr>
        <w:ind w:firstLine="480"/>
        <w:rPr>
          <w:kern w:val="0"/>
        </w:rPr>
      </w:pPr>
      <w:r>
        <w:rPr>
          <w:rFonts w:hint="eastAsia"/>
          <w:kern w:val="0"/>
        </w:rPr>
        <w:t>施工及运输车辆引起的扬尘对路边</w:t>
      </w:r>
      <w:r>
        <w:rPr>
          <w:kern w:val="0"/>
        </w:rPr>
        <w:t xml:space="preserve">30m </w:t>
      </w:r>
      <w:r>
        <w:rPr>
          <w:rFonts w:hint="eastAsia"/>
          <w:kern w:val="0"/>
        </w:rPr>
        <w:t>范围以内影响较大，而且成线形污染，路边的</w:t>
      </w:r>
      <w:r>
        <w:rPr>
          <w:kern w:val="0"/>
        </w:rPr>
        <w:t>TSP</w:t>
      </w:r>
      <w:r>
        <w:rPr>
          <w:rFonts w:hint="eastAsia"/>
          <w:kern w:val="0"/>
        </w:rPr>
        <w:t>浓度达</w:t>
      </w:r>
      <w:r>
        <w:rPr>
          <w:kern w:val="0"/>
        </w:rPr>
        <w:t>10mg/m</w:t>
      </w:r>
      <w:r>
        <w:rPr>
          <w:kern w:val="0"/>
          <w:vertAlign w:val="superscript"/>
        </w:rPr>
        <w:t>3</w:t>
      </w:r>
      <w:r>
        <w:rPr>
          <w:rFonts w:hint="eastAsia"/>
          <w:kern w:val="0"/>
        </w:rPr>
        <w:t>。</w:t>
      </w:r>
    </w:p>
    <w:p>
      <w:pPr>
        <w:ind w:firstLine="480"/>
        <w:rPr>
          <w:kern w:val="0"/>
        </w:rPr>
      </w:pPr>
      <w:r>
        <w:rPr>
          <w:rFonts w:hint="eastAsia"/>
          <w:kern w:val="0"/>
        </w:rPr>
        <w:t>另外施工期间大量的运输车辆所排放的汽车尾气也是引起施工现场局部环境空气质量变化的因素之一。车辆尾气</w:t>
      </w:r>
      <w:r>
        <w:rPr>
          <w:rFonts w:hint="eastAsia"/>
        </w:rPr>
        <w:t>中</w:t>
      </w:r>
      <w:r>
        <w:rPr>
          <w:rFonts w:hint="eastAsia"/>
          <w:kern w:val="0"/>
        </w:rPr>
        <w:t>主要污染物为</w:t>
      </w:r>
      <w:r>
        <w:t>CO</w:t>
      </w:r>
      <w:r>
        <w:rPr>
          <w:rFonts w:hint="eastAsia"/>
        </w:rPr>
        <w:t>、</w:t>
      </w:r>
      <w:r>
        <w:t>NO</w:t>
      </w:r>
      <w:r>
        <w:rPr>
          <w:vertAlign w:val="subscript"/>
        </w:rPr>
        <w:t>x</w:t>
      </w:r>
      <w:r>
        <w:rPr>
          <w:rFonts w:hint="eastAsia"/>
          <w:kern w:val="0"/>
        </w:rPr>
        <w:t>等，间断运行，工程在加强施工车辆运行管理与维护保养情况下，可减少</w:t>
      </w:r>
      <w:r>
        <w:rPr>
          <w:rFonts w:hint="eastAsia"/>
        </w:rPr>
        <w:t>尾气</w:t>
      </w:r>
      <w:r>
        <w:rPr>
          <w:rFonts w:hint="eastAsia"/>
          <w:kern w:val="0"/>
        </w:rPr>
        <w:t>排放</w:t>
      </w:r>
      <w:r>
        <w:rPr>
          <w:rFonts w:hint="eastAsia"/>
        </w:rPr>
        <w:t>对环境的污染，对环境影响小</w:t>
      </w:r>
      <w:r>
        <w:rPr>
          <w:rFonts w:hint="eastAsia"/>
          <w:kern w:val="0"/>
        </w:rPr>
        <w:t>。</w:t>
      </w:r>
    </w:p>
    <w:p>
      <w:pPr>
        <w:pStyle w:val="4"/>
      </w:pPr>
      <w:bookmarkStart w:id="126" w:name="_Toc391370175"/>
      <w:bookmarkStart w:id="127" w:name="_Toc346092596"/>
      <w:bookmarkStart w:id="128" w:name="_Toc344647732"/>
      <w:bookmarkStart w:id="129" w:name="_Toc175718746"/>
      <w:bookmarkStart w:id="130" w:name="_Toc169062619"/>
      <w:r>
        <w:rPr>
          <w:rFonts w:hint="eastAsia"/>
        </w:rPr>
        <w:t>声环境影响分析</w:t>
      </w:r>
      <w:bookmarkEnd w:id="126"/>
      <w:bookmarkEnd w:id="127"/>
      <w:bookmarkEnd w:id="128"/>
    </w:p>
    <w:p>
      <w:pPr>
        <w:ind w:firstLine="480"/>
        <w:rPr>
          <w:kern w:val="0"/>
        </w:rPr>
      </w:pPr>
      <w:r>
        <w:rPr>
          <w:rFonts w:hint="eastAsia"/>
          <w:kern w:val="0"/>
        </w:rPr>
        <w:t>固体废物处置场的施工期主要工程项目有地基平整、压实、边沟开挖、拦渣坝的建设等。</w:t>
      </w:r>
      <w:r>
        <w:rPr>
          <w:rFonts w:hint="eastAsia"/>
        </w:rPr>
        <w:t>根据类比调查可知，施工期施工机</w:t>
      </w:r>
      <w:r>
        <w:rPr>
          <w:rFonts w:hint="eastAsia"/>
          <w:kern w:val="0"/>
        </w:rPr>
        <w:t>械主要有挖掘机、压路机、搅拌机等。这些机械在施工过程中，产生的噪声可能对作业人员和周围环境造成一定的影响。</w:t>
      </w:r>
      <w:r>
        <w:rPr>
          <w:rFonts w:hint="eastAsia"/>
        </w:rPr>
        <w:t>根据有关资料，主要施工机械的噪声状况列于下表中。</w:t>
      </w:r>
    </w:p>
    <w:p>
      <w:pPr>
        <w:pStyle w:val="14"/>
      </w:pPr>
      <w:r>
        <w:rPr>
          <w:rFonts w:hint="eastAsia"/>
        </w:rPr>
        <w:t>表</w:t>
      </w:r>
      <w:r>
        <w:fldChar w:fldCharType="begin"/>
      </w:r>
      <w:r>
        <w:instrText xml:space="preserve"> STYLEREF 2 \s </w:instrText>
      </w:r>
      <w:r>
        <w:fldChar w:fldCharType="separate"/>
      </w:r>
      <w:r>
        <w:t>5.1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主要施工设备噪声单位：</w:t>
      </w:r>
      <w:r>
        <w:t>dB(A)</w:t>
      </w:r>
    </w:p>
    <w:tbl>
      <w:tblPr>
        <w:tblStyle w:val="35"/>
        <w:tblW w:w="8907" w:type="dxa"/>
        <w:tblInd w:w="1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2091"/>
        <w:gridCol w:w="1355"/>
        <w:gridCol w:w="1162"/>
        <w:gridCol w:w="2130"/>
        <w:gridCol w:w="1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atLeast"/>
        </w:trPr>
        <w:tc>
          <w:tcPr>
            <w:tcW w:w="1007" w:type="dxa"/>
            <w:vAlign w:val="center"/>
          </w:tcPr>
          <w:p>
            <w:pPr>
              <w:pStyle w:val="37"/>
            </w:pPr>
            <w:r>
              <w:rPr>
                <w:rFonts w:hint="eastAsia"/>
              </w:rPr>
              <w:t>序号</w:t>
            </w:r>
          </w:p>
        </w:tc>
        <w:tc>
          <w:tcPr>
            <w:tcW w:w="2091" w:type="dxa"/>
            <w:vAlign w:val="center"/>
          </w:tcPr>
          <w:p>
            <w:pPr>
              <w:pStyle w:val="37"/>
            </w:pPr>
            <w:r>
              <w:rPr>
                <w:rFonts w:hint="eastAsia"/>
              </w:rPr>
              <w:t>设备名称</w:t>
            </w:r>
          </w:p>
        </w:tc>
        <w:tc>
          <w:tcPr>
            <w:tcW w:w="1355" w:type="dxa"/>
            <w:vAlign w:val="center"/>
          </w:tcPr>
          <w:p>
            <w:pPr>
              <w:pStyle w:val="37"/>
            </w:pPr>
            <w:r>
              <w:rPr>
                <w:rFonts w:hint="eastAsia"/>
              </w:rPr>
              <w:t>噪声值</w:t>
            </w:r>
          </w:p>
        </w:tc>
        <w:tc>
          <w:tcPr>
            <w:tcW w:w="1162" w:type="dxa"/>
            <w:vAlign w:val="center"/>
          </w:tcPr>
          <w:p>
            <w:pPr>
              <w:pStyle w:val="37"/>
            </w:pPr>
            <w:r>
              <w:rPr>
                <w:rFonts w:hint="eastAsia"/>
              </w:rPr>
              <w:t>序号</w:t>
            </w:r>
          </w:p>
        </w:tc>
        <w:tc>
          <w:tcPr>
            <w:tcW w:w="2130" w:type="dxa"/>
            <w:vAlign w:val="center"/>
          </w:tcPr>
          <w:p>
            <w:pPr>
              <w:pStyle w:val="37"/>
            </w:pPr>
            <w:r>
              <w:rPr>
                <w:rFonts w:hint="eastAsia"/>
              </w:rPr>
              <w:t>设备名称</w:t>
            </w:r>
          </w:p>
        </w:tc>
        <w:tc>
          <w:tcPr>
            <w:tcW w:w="1162" w:type="dxa"/>
            <w:vAlign w:val="center"/>
          </w:tcPr>
          <w:p>
            <w:pPr>
              <w:pStyle w:val="37"/>
            </w:pPr>
            <w:r>
              <w:rPr>
                <w:rFonts w:hint="eastAsia"/>
              </w:rPr>
              <w:t>噪声值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007" w:type="dxa"/>
            <w:vAlign w:val="center"/>
          </w:tcPr>
          <w:p>
            <w:pPr>
              <w:pStyle w:val="37"/>
            </w:pPr>
            <w:r>
              <w:t>1</w:t>
            </w:r>
          </w:p>
        </w:tc>
        <w:tc>
          <w:tcPr>
            <w:tcW w:w="2091" w:type="dxa"/>
            <w:vAlign w:val="center"/>
          </w:tcPr>
          <w:p>
            <w:pPr>
              <w:pStyle w:val="37"/>
            </w:pPr>
            <w:r>
              <w:rPr>
                <w:rFonts w:hint="eastAsia"/>
              </w:rPr>
              <w:t>推土机</w:t>
            </w:r>
          </w:p>
        </w:tc>
        <w:tc>
          <w:tcPr>
            <w:tcW w:w="1355" w:type="dxa"/>
            <w:vAlign w:val="center"/>
          </w:tcPr>
          <w:p>
            <w:pPr>
              <w:pStyle w:val="37"/>
            </w:pPr>
            <w:r>
              <w:t>96</w:t>
            </w:r>
          </w:p>
        </w:tc>
        <w:tc>
          <w:tcPr>
            <w:tcW w:w="1162" w:type="dxa"/>
            <w:vAlign w:val="center"/>
          </w:tcPr>
          <w:p>
            <w:pPr>
              <w:pStyle w:val="37"/>
            </w:pPr>
            <w:r>
              <w:t>5</w:t>
            </w:r>
          </w:p>
        </w:tc>
        <w:tc>
          <w:tcPr>
            <w:tcW w:w="2130" w:type="dxa"/>
            <w:vAlign w:val="center"/>
          </w:tcPr>
          <w:p>
            <w:pPr>
              <w:pStyle w:val="37"/>
            </w:pPr>
            <w:r>
              <w:rPr>
                <w:rFonts w:hint="eastAsia"/>
              </w:rPr>
              <w:t>自卸卡车</w:t>
            </w:r>
          </w:p>
        </w:tc>
        <w:tc>
          <w:tcPr>
            <w:tcW w:w="1162" w:type="dxa"/>
            <w:vAlign w:val="center"/>
          </w:tcPr>
          <w:p>
            <w:pPr>
              <w:pStyle w:val="37"/>
            </w:pPr>
            <w:r>
              <w:t>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007" w:type="dxa"/>
            <w:vAlign w:val="center"/>
          </w:tcPr>
          <w:p>
            <w:pPr>
              <w:pStyle w:val="37"/>
            </w:pPr>
            <w:r>
              <w:t>2</w:t>
            </w:r>
          </w:p>
        </w:tc>
        <w:tc>
          <w:tcPr>
            <w:tcW w:w="2091" w:type="dxa"/>
            <w:vAlign w:val="center"/>
          </w:tcPr>
          <w:p>
            <w:pPr>
              <w:pStyle w:val="37"/>
            </w:pPr>
            <w:r>
              <w:rPr>
                <w:rFonts w:hint="eastAsia"/>
              </w:rPr>
              <w:t>装载机</w:t>
            </w:r>
          </w:p>
        </w:tc>
        <w:tc>
          <w:tcPr>
            <w:tcW w:w="1355" w:type="dxa"/>
            <w:vAlign w:val="center"/>
          </w:tcPr>
          <w:p>
            <w:pPr>
              <w:pStyle w:val="37"/>
            </w:pPr>
            <w:r>
              <w:t>92</w:t>
            </w:r>
          </w:p>
        </w:tc>
        <w:tc>
          <w:tcPr>
            <w:tcW w:w="1162" w:type="dxa"/>
            <w:vAlign w:val="center"/>
          </w:tcPr>
          <w:p>
            <w:pPr>
              <w:pStyle w:val="37"/>
            </w:pPr>
            <w:r>
              <w:t>6</w:t>
            </w:r>
          </w:p>
        </w:tc>
        <w:tc>
          <w:tcPr>
            <w:tcW w:w="2130" w:type="dxa"/>
            <w:vAlign w:val="center"/>
          </w:tcPr>
          <w:p>
            <w:pPr>
              <w:pStyle w:val="37"/>
            </w:pPr>
            <w:r>
              <w:rPr>
                <w:rFonts w:hint="eastAsia"/>
              </w:rPr>
              <w:t>振捣棒</w:t>
            </w:r>
          </w:p>
        </w:tc>
        <w:tc>
          <w:tcPr>
            <w:tcW w:w="1162" w:type="dxa"/>
            <w:vAlign w:val="center"/>
          </w:tcPr>
          <w:p>
            <w:pPr>
              <w:pStyle w:val="37"/>
            </w:pPr>
            <w:r>
              <w:t>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007" w:type="dxa"/>
            <w:vAlign w:val="center"/>
          </w:tcPr>
          <w:p>
            <w:pPr>
              <w:pStyle w:val="37"/>
            </w:pPr>
            <w:r>
              <w:t>3</w:t>
            </w:r>
          </w:p>
        </w:tc>
        <w:tc>
          <w:tcPr>
            <w:tcW w:w="2091" w:type="dxa"/>
            <w:vAlign w:val="center"/>
          </w:tcPr>
          <w:p>
            <w:pPr>
              <w:pStyle w:val="37"/>
            </w:pPr>
            <w:r>
              <w:rPr>
                <w:rFonts w:hint="eastAsia"/>
              </w:rPr>
              <w:t>挖掘机</w:t>
            </w:r>
          </w:p>
        </w:tc>
        <w:tc>
          <w:tcPr>
            <w:tcW w:w="1355" w:type="dxa"/>
            <w:vAlign w:val="center"/>
          </w:tcPr>
          <w:p>
            <w:pPr>
              <w:pStyle w:val="37"/>
            </w:pPr>
            <w:r>
              <w:t>83</w:t>
            </w:r>
          </w:p>
        </w:tc>
        <w:tc>
          <w:tcPr>
            <w:tcW w:w="1162" w:type="dxa"/>
            <w:vAlign w:val="center"/>
          </w:tcPr>
          <w:p>
            <w:pPr>
              <w:pStyle w:val="37"/>
            </w:pPr>
            <w:r>
              <w:t>7</w:t>
            </w:r>
          </w:p>
        </w:tc>
        <w:tc>
          <w:tcPr>
            <w:tcW w:w="2130" w:type="dxa"/>
            <w:vAlign w:val="center"/>
          </w:tcPr>
          <w:p>
            <w:pPr>
              <w:pStyle w:val="37"/>
            </w:pPr>
            <w:r>
              <w:rPr>
                <w:rFonts w:hint="eastAsia"/>
              </w:rPr>
              <w:t>电锯</w:t>
            </w:r>
          </w:p>
        </w:tc>
        <w:tc>
          <w:tcPr>
            <w:tcW w:w="1162" w:type="dxa"/>
            <w:vAlign w:val="center"/>
          </w:tcPr>
          <w:p>
            <w:pPr>
              <w:pStyle w:val="37"/>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007" w:type="dxa"/>
            <w:vAlign w:val="center"/>
          </w:tcPr>
          <w:p>
            <w:pPr>
              <w:pStyle w:val="37"/>
            </w:pPr>
            <w:r>
              <w:t>4</w:t>
            </w:r>
          </w:p>
        </w:tc>
        <w:tc>
          <w:tcPr>
            <w:tcW w:w="2091" w:type="dxa"/>
            <w:vAlign w:val="center"/>
          </w:tcPr>
          <w:p>
            <w:pPr>
              <w:pStyle w:val="37"/>
            </w:pPr>
            <w:r>
              <w:rPr>
                <w:rFonts w:hint="eastAsia"/>
              </w:rPr>
              <w:t>空压机</w:t>
            </w:r>
          </w:p>
        </w:tc>
        <w:tc>
          <w:tcPr>
            <w:tcW w:w="1355" w:type="dxa"/>
            <w:vAlign w:val="center"/>
          </w:tcPr>
          <w:p>
            <w:pPr>
              <w:pStyle w:val="37"/>
            </w:pPr>
            <w:r>
              <w:t>95</w:t>
            </w:r>
          </w:p>
        </w:tc>
        <w:tc>
          <w:tcPr>
            <w:tcW w:w="1162" w:type="dxa"/>
            <w:vAlign w:val="center"/>
          </w:tcPr>
          <w:p>
            <w:pPr>
              <w:pStyle w:val="37"/>
            </w:pPr>
            <w:r>
              <w:t>8</w:t>
            </w:r>
          </w:p>
        </w:tc>
        <w:tc>
          <w:tcPr>
            <w:tcW w:w="2130" w:type="dxa"/>
            <w:vAlign w:val="center"/>
          </w:tcPr>
          <w:p>
            <w:pPr>
              <w:pStyle w:val="37"/>
            </w:pPr>
            <w:r>
              <w:rPr>
                <w:rFonts w:hint="eastAsia"/>
              </w:rPr>
              <w:t>混凝土搅拌机</w:t>
            </w:r>
          </w:p>
        </w:tc>
        <w:tc>
          <w:tcPr>
            <w:tcW w:w="1162" w:type="dxa"/>
            <w:vAlign w:val="center"/>
          </w:tcPr>
          <w:p>
            <w:pPr>
              <w:pStyle w:val="37"/>
            </w:pPr>
            <w:r>
              <w:t>98</w:t>
            </w:r>
          </w:p>
        </w:tc>
      </w:tr>
    </w:tbl>
    <w:p>
      <w:pPr>
        <w:pStyle w:val="14"/>
        <w:jc w:val="left"/>
      </w:pPr>
      <w:r>
        <w:t>*</w:t>
      </w:r>
      <w:r>
        <w:rPr>
          <w:rFonts w:hint="eastAsia"/>
        </w:rPr>
        <w:t>施工机械噪声源强均在距施工机械</w:t>
      </w:r>
      <w:r>
        <w:t>5m</w:t>
      </w:r>
      <w:r>
        <w:rPr>
          <w:rFonts w:hint="eastAsia"/>
        </w:rPr>
        <w:t>处测定</w:t>
      </w:r>
    </w:p>
    <w:p>
      <w:pPr>
        <w:ind w:firstLine="480"/>
        <w:rPr>
          <w:kern w:val="0"/>
        </w:rPr>
      </w:pPr>
      <w:r>
        <w:rPr>
          <w:rFonts w:hint="eastAsia"/>
          <w:kern w:val="0"/>
        </w:rPr>
        <w:t>由表</w:t>
      </w:r>
      <w:r>
        <w:rPr>
          <w:kern w:val="0"/>
        </w:rPr>
        <w:t>5.1-1</w:t>
      </w:r>
      <w:r>
        <w:rPr>
          <w:rFonts w:hint="eastAsia"/>
          <w:kern w:val="0"/>
        </w:rPr>
        <w:t>可以看出，现场施工机械设备噪声较高，在实际施工过程中，各类机械同时工作，各类噪声源辐射的相互叠加，噪声级将会更高，辐射面也会更大。工程施工机械噪声主要属中低频噪声，因此只考虑扩散衰减。</w:t>
      </w:r>
    </w:p>
    <w:p>
      <w:pPr>
        <w:ind w:firstLine="480"/>
      </w:pPr>
      <w:r>
        <w:rPr>
          <w:rFonts w:hint="eastAsia"/>
        </w:rPr>
        <w:t>施工机械作业噪声的污染程度详见下表所示。</w:t>
      </w:r>
    </w:p>
    <w:p>
      <w:pPr>
        <w:pStyle w:val="14"/>
      </w:pPr>
      <w:r>
        <w:rPr>
          <w:rFonts w:hint="eastAsia"/>
        </w:rPr>
        <w:t>表</w:t>
      </w:r>
      <w:r>
        <w:fldChar w:fldCharType="begin"/>
      </w:r>
      <w:r>
        <w:instrText xml:space="preserve"> STYLEREF 2 \s </w:instrText>
      </w:r>
      <w:r>
        <w:fldChar w:fldCharType="separate"/>
      </w:r>
      <w:r>
        <w:t>5.1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主要施工机械作业噪声预测值单位：</w:t>
      </w:r>
      <w:r>
        <w:t>dB</w:t>
      </w:r>
      <w:r>
        <w:rPr>
          <w:rFonts w:hint="eastAsia"/>
        </w:rPr>
        <w:t>（</w:t>
      </w:r>
      <w:r>
        <w:t>A</w:t>
      </w:r>
      <w:r>
        <w:rPr>
          <w:rFonts w:hint="eastAsia"/>
        </w:rPr>
        <w:t>）</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6"/>
        <w:gridCol w:w="840"/>
        <w:gridCol w:w="816"/>
        <w:gridCol w:w="697"/>
        <w:gridCol w:w="657"/>
        <w:gridCol w:w="814"/>
        <w:gridCol w:w="768"/>
        <w:gridCol w:w="907"/>
        <w:gridCol w:w="993"/>
        <w:gridCol w:w="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50" w:hRule="atLeast"/>
          <w:jc w:val="center"/>
        </w:trPr>
        <w:tc>
          <w:tcPr>
            <w:tcW w:w="1716" w:type="dxa"/>
            <w:vMerge w:val="restart"/>
            <w:vAlign w:val="center"/>
          </w:tcPr>
          <w:p>
            <w:pPr>
              <w:pStyle w:val="37"/>
            </w:pPr>
            <w:r>
              <w:rPr>
                <w:rFonts w:hint="eastAsia"/>
              </w:rPr>
              <w:t>机械种类</w:t>
            </w:r>
          </w:p>
        </w:tc>
        <w:tc>
          <w:tcPr>
            <w:tcW w:w="7430" w:type="dxa"/>
            <w:gridSpan w:val="9"/>
            <w:vAlign w:val="center"/>
          </w:tcPr>
          <w:p>
            <w:pPr>
              <w:pStyle w:val="37"/>
            </w:pPr>
            <w:r>
              <w:rPr>
                <w:rFonts w:hint="eastAsia"/>
              </w:rPr>
              <w:t>距施工机械距离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Merge w:val="continue"/>
            <w:vAlign w:val="center"/>
          </w:tcPr>
          <w:p>
            <w:pPr>
              <w:pStyle w:val="37"/>
            </w:pPr>
          </w:p>
        </w:tc>
        <w:tc>
          <w:tcPr>
            <w:tcW w:w="840" w:type="dxa"/>
            <w:vAlign w:val="center"/>
          </w:tcPr>
          <w:p>
            <w:pPr>
              <w:pStyle w:val="37"/>
            </w:pPr>
            <w:r>
              <w:t>10m</w:t>
            </w:r>
          </w:p>
        </w:tc>
        <w:tc>
          <w:tcPr>
            <w:tcW w:w="816" w:type="dxa"/>
            <w:vAlign w:val="center"/>
          </w:tcPr>
          <w:p>
            <w:pPr>
              <w:pStyle w:val="37"/>
            </w:pPr>
            <w:r>
              <w:t>20m</w:t>
            </w:r>
          </w:p>
        </w:tc>
        <w:tc>
          <w:tcPr>
            <w:tcW w:w="697" w:type="dxa"/>
            <w:vAlign w:val="center"/>
          </w:tcPr>
          <w:p>
            <w:pPr>
              <w:pStyle w:val="37"/>
            </w:pPr>
            <w:r>
              <w:t>40m</w:t>
            </w:r>
          </w:p>
        </w:tc>
        <w:tc>
          <w:tcPr>
            <w:tcW w:w="657" w:type="dxa"/>
            <w:vAlign w:val="center"/>
          </w:tcPr>
          <w:p>
            <w:pPr>
              <w:pStyle w:val="37"/>
            </w:pPr>
            <w:r>
              <w:t>80m</w:t>
            </w:r>
          </w:p>
        </w:tc>
        <w:tc>
          <w:tcPr>
            <w:tcW w:w="814" w:type="dxa"/>
            <w:vAlign w:val="center"/>
          </w:tcPr>
          <w:p>
            <w:pPr>
              <w:pStyle w:val="37"/>
            </w:pPr>
            <w:r>
              <w:t>100m</w:t>
            </w:r>
          </w:p>
        </w:tc>
        <w:tc>
          <w:tcPr>
            <w:tcW w:w="768" w:type="dxa"/>
            <w:vAlign w:val="center"/>
          </w:tcPr>
          <w:p>
            <w:pPr>
              <w:pStyle w:val="37"/>
            </w:pPr>
            <w:r>
              <w:t>160m</w:t>
            </w:r>
          </w:p>
        </w:tc>
        <w:tc>
          <w:tcPr>
            <w:tcW w:w="907" w:type="dxa"/>
            <w:vAlign w:val="center"/>
          </w:tcPr>
          <w:p>
            <w:pPr>
              <w:pStyle w:val="37"/>
            </w:pPr>
            <w:r>
              <w:t>200m</w:t>
            </w:r>
          </w:p>
        </w:tc>
        <w:tc>
          <w:tcPr>
            <w:tcW w:w="993" w:type="dxa"/>
            <w:vAlign w:val="center"/>
          </w:tcPr>
          <w:p>
            <w:pPr>
              <w:pStyle w:val="37"/>
            </w:pPr>
            <w:r>
              <w:t>400m</w:t>
            </w:r>
          </w:p>
        </w:tc>
        <w:tc>
          <w:tcPr>
            <w:tcW w:w="938" w:type="dxa"/>
            <w:vAlign w:val="center"/>
          </w:tcPr>
          <w:p>
            <w:pPr>
              <w:pStyle w:val="37"/>
            </w:pPr>
            <w:r>
              <w:t>600m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推土机</w:t>
            </w:r>
          </w:p>
        </w:tc>
        <w:tc>
          <w:tcPr>
            <w:tcW w:w="840" w:type="dxa"/>
            <w:vAlign w:val="center"/>
          </w:tcPr>
          <w:p>
            <w:pPr>
              <w:pStyle w:val="37"/>
            </w:pPr>
            <w:r>
              <w:t>76</w:t>
            </w:r>
          </w:p>
        </w:tc>
        <w:tc>
          <w:tcPr>
            <w:tcW w:w="816" w:type="dxa"/>
            <w:vAlign w:val="center"/>
          </w:tcPr>
          <w:p>
            <w:pPr>
              <w:pStyle w:val="37"/>
            </w:pPr>
            <w:r>
              <w:t>70</w:t>
            </w:r>
          </w:p>
        </w:tc>
        <w:tc>
          <w:tcPr>
            <w:tcW w:w="697" w:type="dxa"/>
            <w:vAlign w:val="center"/>
          </w:tcPr>
          <w:p>
            <w:pPr>
              <w:pStyle w:val="37"/>
            </w:pPr>
            <w:r>
              <w:t>64</w:t>
            </w:r>
          </w:p>
        </w:tc>
        <w:tc>
          <w:tcPr>
            <w:tcW w:w="657" w:type="dxa"/>
            <w:vAlign w:val="center"/>
          </w:tcPr>
          <w:p>
            <w:pPr>
              <w:pStyle w:val="37"/>
            </w:pPr>
            <w:r>
              <w:t>58</w:t>
            </w:r>
          </w:p>
        </w:tc>
        <w:tc>
          <w:tcPr>
            <w:tcW w:w="814" w:type="dxa"/>
            <w:vAlign w:val="center"/>
          </w:tcPr>
          <w:p>
            <w:pPr>
              <w:pStyle w:val="37"/>
            </w:pPr>
            <w:r>
              <w:t>56</w:t>
            </w:r>
          </w:p>
        </w:tc>
        <w:tc>
          <w:tcPr>
            <w:tcW w:w="768" w:type="dxa"/>
            <w:vAlign w:val="center"/>
          </w:tcPr>
          <w:p>
            <w:pPr>
              <w:pStyle w:val="37"/>
            </w:pPr>
            <w:r>
              <w:t>52</w:t>
            </w:r>
          </w:p>
        </w:tc>
        <w:tc>
          <w:tcPr>
            <w:tcW w:w="907" w:type="dxa"/>
            <w:vAlign w:val="center"/>
          </w:tcPr>
          <w:p>
            <w:pPr>
              <w:pStyle w:val="37"/>
            </w:pPr>
            <w:r>
              <w:t>50</w:t>
            </w:r>
          </w:p>
        </w:tc>
        <w:tc>
          <w:tcPr>
            <w:tcW w:w="993" w:type="dxa"/>
            <w:vAlign w:val="center"/>
          </w:tcPr>
          <w:p>
            <w:pPr>
              <w:pStyle w:val="37"/>
            </w:pPr>
            <w:r>
              <w:t>44</w:t>
            </w:r>
          </w:p>
        </w:tc>
        <w:tc>
          <w:tcPr>
            <w:tcW w:w="938" w:type="dxa"/>
            <w:vAlign w:val="center"/>
          </w:tcPr>
          <w:p>
            <w:pPr>
              <w:pStyle w:val="37"/>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装载机</w:t>
            </w:r>
          </w:p>
        </w:tc>
        <w:tc>
          <w:tcPr>
            <w:tcW w:w="840" w:type="dxa"/>
            <w:vAlign w:val="center"/>
          </w:tcPr>
          <w:p>
            <w:pPr>
              <w:pStyle w:val="37"/>
            </w:pPr>
            <w:r>
              <w:t>72</w:t>
            </w:r>
          </w:p>
        </w:tc>
        <w:tc>
          <w:tcPr>
            <w:tcW w:w="816" w:type="dxa"/>
            <w:vAlign w:val="center"/>
          </w:tcPr>
          <w:p>
            <w:pPr>
              <w:pStyle w:val="37"/>
            </w:pPr>
            <w:r>
              <w:t>65</w:t>
            </w:r>
          </w:p>
        </w:tc>
        <w:tc>
          <w:tcPr>
            <w:tcW w:w="697" w:type="dxa"/>
            <w:vAlign w:val="center"/>
          </w:tcPr>
          <w:p>
            <w:pPr>
              <w:pStyle w:val="37"/>
            </w:pPr>
            <w:r>
              <w:t>60</w:t>
            </w:r>
          </w:p>
        </w:tc>
        <w:tc>
          <w:tcPr>
            <w:tcW w:w="657" w:type="dxa"/>
            <w:vAlign w:val="center"/>
          </w:tcPr>
          <w:p>
            <w:pPr>
              <w:pStyle w:val="37"/>
            </w:pPr>
            <w:r>
              <w:t>54</w:t>
            </w:r>
          </w:p>
        </w:tc>
        <w:tc>
          <w:tcPr>
            <w:tcW w:w="814" w:type="dxa"/>
            <w:vAlign w:val="center"/>
          </w:tcPr>
          <w:p>
            <w:pPr>
              <w:pStyle w:val="37"/>
            </w:pPr>
            <w:r>
              <w:t>52</w:t>
            </w:r>
          </w:p>
        </w:tc>
        <w:tc>
          <w:tcPr>
            <w:tcW w:w="768" w:type="dxa"/>
            <w:vAlign w:val="center"/>
          </w:tcPr>
          <w:p>
            <w:pPr>
              <w:pStyle w:val="37"/>
            </w:pPr>
            <w:r>
              <w:t>48</w:t>
            </w:r>
          </w:p>
        </w:tc>
        <w:tc>
          <w:tcPr>
            <w:tcW w:w="907" w:type="dxa"/>
            <w:vAlign w:val="center"/>
          </w:tcPr>
          <w:p>
            <w:pPr>
              <w:pStyle w:val="37"/>
            </w:pPr>
            <w:r>
              <w:t>46</w:t>
            </w:r>
          </w:p>
        </w:tc>
        <w:tc>
          <w:tcPr>
            <w:tcW w:w="993" w:type="dxa"/>
            <w:vAlign w:val="center"/>
          </w:tcPr>
          <w:p>
            <w:pPr>
              <w:pStyle w:val="37"/>
            </w:pPr>
            <w:r>
              <w:t>40</w:t>
            </w:r>
          </w:p>
        </w:tc>
        <w:tc>
          <w:tcPr>
            <w:tcW w:w="938" w:type="dxa"/>
            <w:vAlign w:val="center"/>
          </w:tcPr>
          <w:p>
            <w:pPr>
              <w:pStyle w:val="37"/>
            </w:pPr>
            <w: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挖掘机</w:t>
            </w:r>
          </w:p>
        </w:tc>
        <w:tc>
          <w:tcPr>
            <w:tcW w:w="840" w:type="dxa"/>
            <w:vAlign w:val="center"/>
          </w:tcPr>
          <w:p>
            <w:pPr>
              <w:pStyle w:val="37"/>
            </w:pPr>
            <w:r>
              <w:t>63</w:t>
            </w:r>
          </w:p>
        </w:tc>
        <w:tc>
          <w:tcPr>
            <w:tcW w:w="816" w:type="dxa"/>
            <w:vAlign w:val="center"/>
          </w:tcPr>
          <w:p>
            <w:pPr>
              <w:pStyle w:val="37"/>
            </w:pPr>
            <w:r>
              <w:t>57</w:t>
            </w:r>
          </w:p>
        </w:tc>
        <w:tc>
          <w:tcPr>
            <w:tcW w:w="697" w:type="dxa"/>
            <w:vAlign w:val="center"/>
          </w:tcPr>
          <w:p>
            <w:pPr>
              <w:pStyle w:val="37"/>
            </w:pPr>
            <w:r>
              <w:t>51</w:t>
            </w:r>
          </w:p>
        </w:tc>
        <w:tc>
          <w:tcPr>
            <w:tcW w:w="657" w:type="dxa"/>
            <w:vAlign w:val="center"/>
          </w:tcPr>
          <w:p>
            <w:pPr>
              <w:pStyle w:val="37"/>
            </w:pPr>
            <w:r>
              <w:t>45</w:t>
            </w:r>
          </w:p>
        </w:tc>
        <w:tc>
          <w:tcPr>
            <w:tcW w:w="814" w:type="dxa"/>
            <w:vAlign w:val="center"/>
          </w:tcPr>
          <w:p>
            <w:pPr>
              <w:pStyle w:val="37"/>
            </w:pPr>
            <w:r>
              <w:t>43</w:t>
            </w:r>
          </w:p>
        </w:tc>
        <w:tc>
          <w:tcPr>
            <w:tcW w:w="768" w:type="dxa"/>
            <w:vAlign w:val="center"/>
          </w:tcPr>
          <w:p>
            <w:pPr>
              <w:pStyle w:val="37"/>
            </w:pPr>
            <w:r>
              <w:t>39</w:t>
            </w:r>
          </w:p>
        </w:tc>
        <w:tc>
          <w:tcPr>
            <w:tcW w:w="907" w:type="dxa"/>
            <w:vAlign w:val="center"/>
          </w:tcPr>
          <w:p>
            <w:pPr>
              <w:pStyle w:val="37"/>
            </w:pPr>
            <w:r>
              <w:t>37</w:t>
            </w:r>
          </w:p>
        </w:tc>
        <w:tc>
          <w:tcPr>
            <w:tcW w:w="993" w:type="dxa"/>
            <w:vAlign w:val="center"/>
          </w:tcPr>
          <w:p>
            <w:pPr>
              <w:pStyle w:val="37"/>
            </w:pPr>
            <w:r>
              <w:t>31</w:t>
            </w:r>
          </w:p>
        </w:tc>
        <w:tc>
          <w:tcPr>
            <w:tcW w:w="938" w:type="dxa"/>
            <w:vAlign w:val="center"/>
          </w:tcPr>
          <w:p>
            <w:pPr>
              <w:pStyle w:val="37"/>
            </w:pPr>
            <w: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空压机</w:t>
            </w:r>
          </w:p>
        </w:tc>
        <w:tc>
          <w:tcPr>
            <w:tcW w:w="840" w:type="dxa"/>
            <w:vAlign w:val="center"/>
          </w:tcPr>
          <w:p>
            <w:pPr>
              <w:pStyle w:val="37"/>
            </w:pPr>
            <w:r>
              <w:t>75</w:t>
            </w:r>
          </w:p>
        </w:tc>
        <w:tc>
          <w:tcPr>
            <w:tcW w:w="816" w:type="dxa"/>
            <w:vAlign w:val="center"/>
          </w:tcPr>
          <w:p>
            <w:pPr>
              <w:pStyle w:val="37"/>
            </w:pPr>
            <w:r>
              <w:t>69</w:t>
            </w:r>
          </w:p>
        </w:tc>
        <w:tc>
          <w:tcPr>
            <w:tcW w:w="697" w:type="dxa"/>
            <w:vAlign w:val="center"/>
          </w:tcPr>
          <w:p>
            <w:pPr>
              <w:pStyle w:val="37"/>
            </w:pPr>
            <w:r>
              <w:t>63</w:t>
            </w:r>
          </w:p>
        </w:tc>
        <w:tc>
          <w:tcPr>
            <w:tcW w:w="657" w:type="dxa"/>
            <w:vAlign w:val="center"/>
          </w:tcPr>
          <w:p>
            <w:pPr>
              <w:pStyle w:val="37"/>
            </w:pPr>
            <w:r>
              <w:t>57</w:t>
            </w:r>
          </w:p>
        </w:tc>
        <w:tc>
          <w:tcPr>
            <w:tcW w:w="814" w:type="dxa"/>
            <w:vAlign w:val="center"/>
          </w:tcPr>
          <w:p>
            <w:pPr>
              <w:pStyle w:val="37"/>
            </w:pPr>
            <w:r>
              <w:t>55</w:t>
            </w:r>
          </w:p>
        </w:tc>
        <w:tc>
          <w:tcPr>
            <w:tcW w:w="768" w:type="dxa"/>
            <w:vAlign w:val="center"/>
          </w:tcPr>
          <w:p>
            <w:pPr>
              <w:pStyle w:val="37"/>
            </w:pPr>
            <w:r>
              <w:t>51</w:t>
            </w:r>
          </w:p>
        </w:tc>
        <w:tc>
          <w:tcPr>
            <w:tcW w:w="907" w:type="dxa"/>
            <w:vAlign w:val="center"/>
          </w:tcPr>
          <w:p>
            <w:pPr>
              <w:pStyle w:val="37"/>
            </w:pPr>
            <w:r>
              <w:t>49</w:t>
            </w:r>
          </w:p>
        </w:tc>
        <w:tc>
          <w:tcPr>
            <w:tcW w:w="993" w:type="dxa"/>
            <w:vAlign w:val="center"/>
          </w:tcPr>
          <w:p>
            <w:pPr>
              <w:pStyle w:val="37"/>
            </w:pPr>
            <w:r>
              <w:t>43</w:t>
            </w:r>
          </w:p>
        </w:tc>
        <w:tc>
          <w:tcPr>
            <w:tcW w:w="938" w:type="dxa"/>
            <w:vAlign w:val="center"/>
          </w:tcPr>
          <w:p>
            <w:pPr>
              <w:pStyle w:val="37"/>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自卸卡车</w:t>
            </w:r>
          </w:p>
        </w:tc>
        <w:tc>
          <w:tcPr>
            <w:tcW w:w="840" w:type="dxa"/>
            <w:vAlign w:val="center"/>
          </w:tcPr>
          <w:p>
            <w:pPr>
              <w:pStyle w:val="37"/>
            </w:pPr>
            <w:r>
              <w:t>63</w:t>
            </w:r>
          </w:p>
        </w:tc>
        <w:tc>
          <w:tcPr>
            <w:tcW w:w="816" w:type="dxa"/>
            <w:vAlign w:val="center"/>
          </w:tcPr>
          <w:p>
            <w:pPr>
              <w:pStyle w:val="37"/>
            </w:pPr>
            <w:r>
              <w:t>57</w:t>
            </w:r>
          </w:p>
        </w:tc>
        <w:tc>
          <w:tcPr>
            <w:tcW w:w="697" w:type="dxa"/>
            <w:vAlign w:val="center"/>
          </w:tcPr>
          <w:p>
            <w:pPr>
              <w:pStyle w:val="37"/>
            </w:pPr>
            <w:r>
              <w:t>51</w:t>
            </w:r>
          </w:p>
        </w:tc>
        <w:tc>
          <w:tcPr>
            <w:tcW w:w="657" w:type="dxa"/>
            <w:vAlign w:val="center"/>
          </w:tcPr>
          <w:p>
            <w:pPr>
              <w:pStyle w:val="37"/>
            </w:pPr>
            <w:r>
              <w:t>45</w:t>
            </w:r>
          </w:p>
        </w:tc>
        <w:tc>
          <w:tcPr>
            <w:tcW w:w="814" w:type="dxa"/>
            <w:vAlign w:val="center"/>
          </w:tcPr>
          <w:p>
            <w:pPr>
              <w:pStyle w:val="37"/>
            </w:pPr>
            <w:r>
              <w:t>43</w:t>
            </w:r>
          </w:p>
        </w:tc>
        <w:tc>
          <w:tcPr>
            <w:tcW w:w="768" w:type="dxa"/>
            <w:vAlign w:val="center"/>
          </w:tcPr>
          <w:p>
            <w:pPr>
              <w:pStyle w:val="37"/>
            </w:pPr>
            <w:r>
              <w:t>39</w:t>
            </w:r>
          </w:p>
        </w:tc>
        <w:tc>
          <w:tcPr>
            <w:tcW w:w="907" w:type="dxa"/>
            <w:vAlign w:val="center"/>
          </w:tcPr>
          <w:p>
            <w:pPr>
              <w:pStyle w:val="37"/>
            </w:pPr>
            <w:r>
              <w:t>37</w:t>
            </w:r>
          </w:p>
        </w:tc>
        <w:tc>
          <w:tcPr>
            <w:tcW w:w="993" w:type="dxa"/>
            <w:vAlign w:val="center"/>
          </w:tcPr>
          <w:p>
            <w:pPr>
              <w:pStyle w:val="37"/>
            </w:pPr>
            <w:r>
              <w:t>31</w:t>
            </w:r>
          </w:p>
        </w:tc>
        <w:tc>
          <w:tcPr>
            <w:tcW w:w="938" w:type="dxa"/>
            <w:vAlign w:val="center"/>
          </w:tcPr>
          <w:p>
            <w:pPr>
              <w:pStyle w:val="37"/>
            </w:pPr>
            <w: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振捣棒</w:t>
            </w:r>
          </w:p>
        </w:tc>
        <w:tc>
          <w:tcPr>
            <w:tcW w:w="840" w:type="dxa"/>
            <w:vAlign w:val="center"/>
          </w:tcPr>
          <w:p>
            <w:pPr>
              <w:pStyle w:val="37"/>
            </w:pPr>
            <w:r>
              <w:t>77</w:t>
            </w:r>
          </w:p>
        </w:tc>
        <w:tc>
          <w:tcPr>
            <w:tcW w:w="816" w:type="dxa"/>
            <w:vAlign w:val="center"/>
          </w:tcPr>
          <w:p>
            <w:pPr>
              <w:pStyle w:val="37"/>
            </w:pPr>
            <w:r>
              <w:t>71</w:t>
            </w:r>
          </w:p>
        </w:tc>
        <w:tc>
          <w:tcPr>
            <w:tcW w:w="697" w:type="dxa"/>
            <w:vAlign w:val="center"/>
          </w:tcPr>
          <w:p>
            <w:pPr>
              <w:pStyle w:val="37"/>
            </w:pPr>
            <w:r>
              <w:t>65</w:t>
            </w:r>
          </w:p>
        </w:tc>
        <w:tc>
          <w:tcPr>
            <w:tcW w:w="657" w:type="dxa"/>
            <w:vAlign w:val="center"/>
          </w:tcPr>
          <w:p>
            <w:pPr>
              <w:pStyle w:val="37"/>
            </w:pPr>
            <w:r>
              <w:t>59</w:t>
            </w:r>
          </w:p>
        </w:tc>
        <w:tc>
          <w:tcPr>
            <w:tcW w:w="814" w:type="dxa"/>
            <w:vAlign w:val="center"/>
          </w:tcPr>
          <w:p>
            <w:pPr>
              <w:pStyle w:val="37"/>
            </w:pPr>
            <w:r>
              <w:t>57</w:t>
            </w:r>
          </w:p>
        </w:tc>
        <w:tc>
          <w:tcPr>
            <w:tcW w:w="768" w:type="dxa"/>
            <w:vAlign w:val="center"/>
          </w:tcPr>
          <w:p>
            <w:pPr>
              <w:pStyle w:val="37"/>
            </w:pPr>
            <w:r>
              <w:t>53</w:t>
            </w:r>
          </w:p>
        </w:tc>
        <w:tc>
          <w:tcPr>
            <w:tcW w:w="907" w:type="dxa"/>
            <w:vAlign w:val="center"/>
          </w:tcPr>
          <w:p>
            <w:pPr>
              <w:pStyle w:val="37"/>
            </w:pPr>
            <w:r>
              <w:t>51</w:t>
            </w:r>
          </w:p>
        </w:tc>
        <w:tc>
          <w:tcPr>
            <w:tcW w:w="993" w:type="dxa"/>
            <w:vAlign w:val="center"/>
          </w:tcPr>
          <w:p>
            <w:pPr>
              <w:pStyle w:val="37"/>
            </w:pPr>
            <w:r>
              <w:t>45</w:t>
            </w:r>
          </w:p>
        </w:tc>
        <w:tc>
          <w:tcPr>
            <w:tcW w:w="938" w:type="dxa"/>
            <w:vAlign w:val="center"/>
          </w:tcPr>
          <w:p>
            <w:pPr>
              <w:pStyle w:val="37"/>
            </w:pPr>
            <w: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电锯</w:t>
            </w:r>
          </w:p>
        </w:tc>
        <w:tc>
          <w:tcPr>
            <w:tcW w:w="840" w:type="dxa"/>
            <w:vAlign w:val="center"/>
          </w:tcPr>
          <w:p>
            <w:pPr>
              <w:pStyle w:val="37"/>
            </w:pPr>
            <w:r>
              <w:t>80</w:t>
            </w:r>
          </w:p>
        </w:tc>
        <w:tc>
          <w:tcPr>
            <w:tcW w:w="816" w:type="dxa"/>
            <w:vAlign w:val="center"/>
          </w:tcPr>
          <w:p>
            <w:pPr>
              <w:pStyle w:val="37"/>
            </w:pPr>
            <w:r>
              <w:t>74</w:t>
            </w:r>
          </w:p>
        </w:tc>
        <w:tc>
          <w:tcPr>
            <w:tcW w:w="697" w:type="dxa"/>
            <w:vAlign w:val="center"/>
          </w:tcPr>
          <w:p>
            <w:pPr>
              <w:pStyle w:val="37"/>
            </w:pPr>
            <w:r>
              <w:t>68</w:t>
            </w:r>
          </w:p>
        </w:tc>
        <w:tc>
          <w:tcPr>
            <w:tcW w:w="657" w:type="dxa"/>
            <w:vAlign w:val="center"/>
          </w:tcPr>
          <w:p>
            <w:pPr>
              <w:pStyle w:val="37"/>
            </w:pPr>
            <w:r>
              <w:t>62</w:t>
            </w:r>
          </w:p>
        </w:tc>
        <w:tc>
          <w:tcPr>
            <w:tcW w:w="814" w:type="dxa"/>
            <w:vAlign w:val="center"/>
          </w:tcPr>
          <w:p>
            <w:pPr>
              <w:pStyle w:val="37"/>
            </w:pPr>
            <w:r>
              <w:t>60</w:t>
            </w:r>
          </w:p>
        </w:tc>
        <w:tc>
          <w:tcPr>
            <w:tcW w:w="768" w:type="dxa"/>
            <w:vAlign w:val="center"/>
          </w:tcPr>
          <w:p>
            <w:pPr>
              <w:pStyle w:val="37"/>
            </w:pPr>
            <w:r>
              <w:t>56</w:t>
            </w:r>
          </w:p>
        </w:tc>
        <w:tc>
          <w:tcPr>
            <w:tcW w:w="907" w:type="dxa"/>
            <w:vAlign w:val="center"/>
          </w:tcPr>
          <w:p>
            <w:pPr>
              <w:pStyle w:val="37"/>
            </w:pPr>
            <w:r>
              <w:t>54</w:t>
            </w:r>
          </w:p>
        </w:tc>
        <w:tc>
          <w:tcPr>
            <w:tcW w:w="993" w:type="dxa"/>
            <w:vAlign w:val="center"/>
          </w:tcPr>
          <w:p>
            <w:pPr>
              <w:pStyle w:val="37"/>
            </w:pPr>
            <w:r>
              <w:t>48</w:t>
            </w:r>
          </w:p>
        </w:tc>
        <w:tc>
          <w:tcPr>
            <w:tcW w:w="938" w:type="dxa"/>
            <w:vAlign w:val="center"/>
          </w:tcPr>
          <w:p>
            <w:pPr>
              <w:pStyle w:val="37"/>
            </w:pPr>
            <w: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1716" w:type="dxa"/>
            <w:vAlign w:val="center"/>
          </w:tcPr>
          <w:p>
            <w:pPr>
              <w:pStyle w:val="37"/>
            </w:pPr>
            <w:r>
              <w:rPr>
                <w:rFonts w:hint="eastAsia"/>
              </w:rPr>
              <w:t>混凝土搅拌机</w:t>
            </w:r>
          </w:p>
        </w:tc>
        <w:tc>
          <w:tcPr>
            <w:tcW w:w="840" w:type="dxa"/>
            <w:vAlign w:val="center"/>
          </w:tcPr>
          <w:p>
            <w:pPr>
              <w:pStyle w:val="37"/>
            </w:pPr>
            <w:r>
              <w:t>78</w:t>
            </w:r>
          </w:p>
        </w:tc>
        <w:tc>
          <w:tcPr>
            <w:tcW w:w="816" w:type="dxa"/>
            <w:vAlign w:val="center"/>
          </w:tcPr>
          <w:p>
            <w:pPr>
              <w:pStyle w:val="37"/>
            </w:pPr>
            <w:r>
              <w:t>72</w:t>
            </w:r>
          </w:p>
        </w:tc>
        <w:tc>
          <w:tcPr>
            <w:tcW w:w="697" w:type="dxa"/>
            <w:vAlign w:val="center"/>
          </w:tcPr>
          <w:p>
            <w:pPr>
              <w:pStyle w:val="37"/>
            </w:pPr>
            <w:r>
              <w:t>66</w:t>
            </w:r>
          </w:p>
        </w:tc>
        <w:tc>
          <w:tcPr>
            <w:tcW w:w="657" w:type="dxa"/>
            <w:vAlign w:val="center"/>
          </w:tcPr>
          <w:p>
            <w:pPr>
              <w:pStyle w:val="37"/>
            </w:pPr>
            <w:r>
              <w:t>60</w:t>
            </w:r>
          </w:p>
        </w:tc>
        <w:tc>
          <w:tcPr>
            <w:tcW w:w="814" w:type="dxa"/>
            <w:vAlign w:val="center"/>
          </w:tcPr>
          <w:p>
            <w:pPr>
              <w:pStyle w:val="37"/>
            </w:pPr>
            <w:r>
              <w:t>58</w:t>
            </w:r>
          </w:p>
        </w:tc>
        <w:tc>
          <w:tcPr>
            <w:tcW w:w="768" w:type="dxa"/>
            <w:vAlign w:val="center"/>
          </w:tcPr>
          <w:p>
            <w:pPr>
              <w:pStyle w:val="37"/>
            </w:pPr>
            <w:r>
              <w:t>54</w:t>
            </w:r>
          </w:p>
        </w:tc>
        <w:tc>
          <w:tcPr>
            <w:tcW w:w="907" w:type="dxa"/>
            <w:vAlign w:val="center"/>
          </w:tcPr>
          <w:p>
            <w:pPr>
              <w:pStyle w:val="37"/>
            </w:pPr>
            <w:r>
              <w:t>52</w:t>
            </w:r>
          </w:p>
        </w:tc>
        <w:tc>
          <w:tcPr>
            <w:tcW w:w="993" w:type="dxa"/>
            <w:vAlign w:val="center"/>
          </w:tcPr>
          <w:p>
            <w:pPr>
              <w:pStyle w:val="37"/>
            </w:pPr>
            <w:r>
              <w:t>46</w:t>
            </w:r>
          </w:p>
        </w:tc>
        <w:tc>
          <w:tcPr>
            <w:tcW w:w="938" w:type="dxa"/>
            <w:vAlign w:val="center"/>
          </w:tcPr>
          <w:p>
            <w:pPr>
              <w:pStyle w:val="37"/>
            </w:pPr>
            <w:r>
              <w:t>42</w:t>
            </w:r>
          </w:p>
        </w:tc>
      </w:tr>
    </w:tbl>
    <w:p>
      <w:pPr>
        <w:ind w:firstLine="480"/>
        <w:rPr>
          <w:kern w:val="0"/>
        </w:rPr>
      </w:pPr>
      <w:r>
        <w:rPr>
          <w:rFonts w:hint="eastAsia"/>
          <w:kern w:val="0"/>
        </w:rPr>
        <w:t>从上表中可知，白天施工机械噪声超标在</w:t>
      </w:r>
      <w:r>
        <w:rPr>
          <w:kern w:val="0"/>
        </w:rPr>
        <w:t>20m</w:t>
      </w:r>
      <w:r>
        <w:rPr>
          <w:rFonts w:hint="eastAsia"/>
          <w:kern w:val="0"/>
        </w:rPr>
        <w:t>范围内，夜间噪声超标在</w:t>
      </w:r>
      <w:r>
        <w:rPr>
          <w:kern w:val="0"/>
        </w:rPr>
        <w:t>100m</w:t>
      </w:r>
      <w:r>
        <w:rPr>
          <w:rFonts w:hint="eastAsia"/>
          <w:kern w:val="0"/>
        </w:rPr>
        <w:t>范围内。而本项目施工昼间、夜间超标范围内无居民居住点。因此施工期间的机械噪声主要影响作业人员，对周围环境影响不大。</w:t>
      </w:r>
    </w:p>
    <w:bookmarkEnd w:id="129"/>
    <w:bookmarkEnd w:id="130"/>
    <w:p>
      <w:pPr>
        <w:pStyle w:val="4"/>
      </w:pPr>
      <w:bookmarkStart w:id="131" w:name="_Toc346092597"/>
      <w:bookmarkStart w:id="132" w:name="_Toc391370176"/>
      <w:bookmarkStart w:id="133" w:name="_Toc344647733"/>
      <w:r>
        <w:rPr>
          <w:rFonts w:hint="eastAsia"/>
        </w:rPr>
        <w:t>固体废物环境影响分析</w:t>
      </w:r>
      <w:bookmarkEnd w:id="131"/>
      <w:bookmarkEnd w:id="132"/>
      <w:bookmarkEnd w:id="133"/>
    </w:p>
    <w:p>
      <w:pPr>
        <w:ind w:firstLine="480"/>
      </w:pPr>
      <w:r>
        <w:rPr>
          <w:rFonts w:hint="eastAsia"/>
        </w:rPr>
        <w:t>施工期产生的固体废物主要是施工人员生活垃圾以及少量的建筑垃圾。</w:t>
      </w:r>
    </w:p>
    <w:p>
      <w:pPr>
        <w:ind w:firstLine="480"/>
        <w:rPr>
          <w:kern w:val="28"/>
          <w:szCs w:val="20"/>
        </w:rPr>
      </w:pPr>
      <w:r>
        <w:rPr>
          <w:rFonts w:hint="eastAsia"/>
          <w:kern w:val="28"/>
          <w:szCs w:val="20"/>
        </w:rPr>
        <w:t>（</w:t>
      </w:r>
      <w:r>
        <w:rPr>
          <w:kern w:val="28"/>
          <w:szCs w:val="20"/>
        </w:rPr>
        <w:t>1</w:t>
      </w:r>
      <w:r>
        <w:rPr>
          <w:rFonts w:hint="eastAsia"/>
          <w:kern w:val="28"/>
          <w:szCs w:val="20"/>
        </w:rPr>
        <w:t>）固体废物的产生和处理</w:t>
      </w:r>
    </w:p>
    <w:p>
      <w:pPr>
        <w:ind w:firstLine="480"/>
        <w:rPr>
          <w:rStyle w:val="34"/>
          <w:sz w:val="24"/>
        </w:rPr>
      </w:pPr>
      <w:r>
        <w:rPr>
          <w:rFonts w:hint="eastAsia"/>
        </w:rPr>
        <w:t>施工期生活垃圾在施工场地划定区域定点分类收集，定期由当地环卫部门统一收集处置；对于施工过程中产生的建筑垃圾分类处置，建筑垃圾中的瓦砾碎砖、水泥残渣送至当地砖场、预制场重新使用或用于道路铺设垫方；废铁丝、钢筋、建材的包装箱、袋等可以再利用的固废送废品回收公司再利用。</w:t>
      </w:r>
      <w:r>
        <w:rPr>
          <w:rFonts w:hint="eastAsia"/>
          <w:kern w:val="28"/>
          <w:szCs w:val="24"/>
        </w:rPr>
        <w:t>对</w:t>
      </w:r>
      <w:r>
        <w:rPr>
          <w:rFonts w:hint="eastAsia"/>
          <w:kern w:val="28"/>
          <w:szCs w:val="20"/>
        </w:rPr>
        <w:t>周围环境产生的影响较小。</w:t>
      </w:r>
    </w:p>
    <w:p>
      <w:pPr>
        <w:ind w:firstLine="480"/>
        <w:rPr>
          <w:kern w:val="28"/>
          <w:szCs w:val="20"/>
        </w:rPr>
      </w:pPr>
      <w:r>
        <w:rPr>
          <w:rFonts w:hint="eastAsia"/>
          <w:kern w:val="28"/>
          <w:szCs w:val="20"/>
        </w:rPr>
        <w:t>（</w:t>
      </w:r>
      <w:r>
        <w:rPr>
          <w:kern w:val="28"/>
          <w:szCs w:val="20"/>
        </w:rPr>
        <w:t>2</w:t>
      </w:r>
      <w:r>
        <w:rPr>
          <w:rFonts w:hint="eastAsia"/>
          <w:kern w:val="28"/>
          <w:szCs w:val="20"/>
        </w:rPr>
        <w:t>）影响分析</w:t>
      </w:r>
    </w:p>
    <w:p>
      <w:pPr>
        <w:ind w:firstLine="480"/>
        <w:rPr>
          <w:kern w:val="28"/>
          <w:szCs w:val="20"/>
        </w:rPr>
      </w:pPr>
      <w:r>
        <w:rPr>
          <w:rFonts w:hint="eastAsia"/>
          <w:kern w:val="28"/>
          <w:szCs w:val="20"/>
        </w:rPr>
        <w:t>固体废物是污染物的最终形态，成分复杂，在其产生、贮存、处理、运输、处置全过程若处理不当，有可能产生二次污染。</w:t>
      </w:r>
    </w:p>
    <w:p>
      <w:pPr>
        <w:numPr>
          <w:ilvl w:val="0"/>
          <w:numId w:val="4"/>
        </w:numPr>
        <w:ind w:firstLineChars="0"/>
        <w:rPr>
          <w:kern w:val="28"/>
          <w:szCs w:val="20"/>
        </w:rPr>
      </w:pPr>
      <w:r>
        <w:rPr>
          <w:rFonts w:hint="eastAsia"/>
          <w:kern w:val="28"/>
          <w:szCs w:val="20"/>
        </w:rPr>
        <w:t>对水环境的影响</w:t>
      </w:r>
    </w:p>
    <w:p>
      <w:pPr>
        <w:ind w:firstLine="360" w:firstLineChars="150"/>
        <w:rPr>
          <w:kern w:val="28"/>
          <w:szCs w:val="20"/>
        </w:rPr>
      </w:pPr>
      <w:r>
        <w:rPr>
          <w:rFonts w:hint="eastAsia"/>
          <w:kern w:val="28"/>
          <w:szCs w:val="20"/>
        </w:rPr>
        <w:t>施工期废建筑材料贮存不当，工程施工过程洒落的泥沙未及时处理，于雨季泥沙被带入地表水体，污染地表水质，堵塞河道，堵塞市政雨水管网及河道。</w:t>
      </w:r>
    </w:p>
    <w:p>
      <w:pPr>
        <w:numPr>
          <w:ilvl w:val="0"/>
          <w:numId w:val="4"/>
        </w:numPr>
        <w:ind w:firstLineChars="0"/>
        <w:rPr>
          <w:kern w:val="28"/>
          <w:szCs w:val="20"/>
        </w:rPr>
      </w:pPr>
      <w:r>
        <w:rPr>
          <w:rFonts w:hint="eastAsia"/>
          <w:kern w:val="28"/>
          <w:szCs w:val="20"/>
        </w:rPr>
        <w:t>对大气环境的影响</w:t>
      </w:r>
    </w:p>
    <w:p>
      <w:pPr>
        <w:ind w:firstLine="480"/>
        <w:rPr>
          <w:kern w:val="28"/>
          <w:szCs w:val="20"/>
        </w:rPr>
      </w:pPr>
      <w:r>
        <w:rPr>
          <w:rFonts w:hint="eastAsia"/>
          <w:kern w:val="28"/>
          <w:szCs w:val="20"/>
        </w:rPr>
        <w:t>建筑物料、土料、沙石、废建筑垃圾等未及时清理，贮存不当，在风力的作用下可能产生扬尘；生活垃圾中的有机物腐化后，散发出异味，影响周边大气环境空气质量。</w:t>
      </w:r>
    </w:p>
    <w:p>
      <w:pPr>
        <w:numPr>
          <w:ilvl w:val="0"/>
          <w:numId w:val="4"/>
        </w:numPr>
        <w:ind w:firstLineChars="0"/>
        <w:rPr>
          <w:kern w:val="28"/>
          <w:szCs w:val="20"/>
        </w:rPr>
      </w:pPr>
      <w:r>
        <w:rPr>
          <w:rFonts w:hint="eastAsia"/>
          <w:kern w:val="28"/>
          <w:szCs w:val="20"/>
        </w:rPr>
        <w:t>对卫生景观的影响</w:t>
      </w:r>
    </w:p>
    <w:p>
      <w:pPr>
        <w:ind w:firstLine="480"/>
        <w:rPr>
          <w:kern w:val="28"/>
          <w:szCs w:val="20"/>
        </w:rPr>
      </w:pPr>
      <w:r>
        <w:rPr>
          <w:rFonts w:hint="eastAsia"/>
          <w:kern w:val="28"/>
          <w:szCs w:val="20"/>
        </w:rPr>
        <w:t>生活垃圾有机成分较高，易滋生蚊蝇，传播病菌，是流行病的发生源。生活垃圾、建筑废弃物的散乱堆放，影响区域的整洁性，景观效果不佳。</w:t>
      </w:r>
    </w:p>
    <w:p>
      <w:pPr>
        <w:pStyle w:val="4"/>
      </w:pPr>
      <w:bookmarkStart w:id="134" w:name="_Toc344647734"/>
      <w:bookmarkStart w:id="135" w:name="_Toc346092598"/>
      <w:bookmarkStart w:id="136" w:name="_Toc391370177"/>
      <w:r>
        <w:rPr>
          <w:rFonts w:hint="eastAsia"/>
        </w:rPr>
        <w:t>生态环境影响</w:t>
      </w:r>
      <w:bookmarkEnd w:id="134"/>
      <w:bookmarkEnd w:id="135"/>
      <w:bookmarkEnd w:id="136"/>
    </w:p>
    <w:p>
      <w:pPr>
        <w:ind w:firstLine="480"/>
        <w:rPr>
          <w:rFonts w:eastAsia="宋体"/>
        </w:rPr>
      </w:pPr>
      <w:r>
        <w:rPr>
          <w:rFonts w:hint="eastAsia" w:eastAsia="宋体"/>
        </w:rPr>
        <w:t>（1）</w:t>
      </w:r>
      <w:r>
        <w:rPr>
          <w:rFonts w:hAnsi="宋体" w:eastAsia="宋体"/>
        </w:rPr>
        <w:t>对植被的影响分析</w:t>
      </w:r>
    </w:p>
    <w:p>
      <w:pPr>
        <w:ind w:firstLine="480"/>
      </w:pPr>
      <w:r>
        <w:rPr>
          <w:rFonts w:hint="eastAsia"/>
        </w:rPr>
        <w:t>固体废物处置场的建设首先要进行场地清基、平整土地，同时要建设拦渣坝、截洪沟等。以上施工活动均要铲除植被、清除表土，造成施工场地的地表裸露和植被破坏。对植被的破坏，除了占地损失外，还包括施工机械和人员的碾压和践踏破坏。施工中应加强管理，文明施工，严格控制施工范围，减少对周围植物的干扰和破坏。</w:t>
      </w:r>
    </w:p>
    <w:p>
      <w:pPr>
        <w:ind w:firstLine="480"/>
        <w:rPr>
          <w:rFonts w:eastAsia="宋体"/>
        </w:rPr>
      </w:pPr>
      <w:r>
        <w:rPr>
          <w:rFonts w:hint="eastAsia" w:hAnsi="宋体" w:eastAsia="宋体"/>
        </w:rPr>
        <w:t>（2）</w:t>
      </w:r>
      <w:r>
        <w:rPr>
          <w:rFonts w:hAnsi="宋体" w:eastAsia="宋体"/>
        </w:rPr>
        <w:t>对动物的影响分析</w:t>
      </w:r>
    </w:p>
    <w:p>
      <w:pPr>
        <w:ind w:firstLine="480"/>
        <w:rPr>
          <w:rFonts w:eastAsia="宋体"/>
        </w:rPr>
      </w:pPr>
      <w:r>
        <w:rPr>
          <w:rFonts w:hAnsi="宋体" w:eastAsia="宋体"/>
        </w:rPr>
        <w:t>由于评价区内无珍稀和频危野生动物，野生动物的种类、数量和分布均较少，只有少量啮齿类和爬行类活动，偶有鸟类出没，因此，工程建设占地和施工噪声对评价区内野生动物的影响很少。</w:t>
      </w:r>
    </w:p>
    <w:p>
      <w:pPr>
        <w:ind w:firstLine="480"/>
        <w:rPr>
          <w:rFonts w:eastAsia="宋体"/>
        </w:rPr>
      </w:pPr>
      <w:r>
        <w:rPr>
          <w:rFonts w:hint="eastAsia" w:hAnsi="宋体" w:eastAsia="宋体"/>
        </w:rPr>
        <w:t>（3）</w:t>
      </w:r>
      <w:r>
        <w:rPr>
          <w:rFonts w:hAnsi="宋体" w:eastAsia="宋体"/>
        </w:rPr>
        <w:t>土地利用影响分析</w:t>
      </w:r>
    </w:p>
    <w:p>
      <w:pPr>
        <w:ind w:firstLine="480"/>
        <w:rPr>
          <w:rFonts w:eastAsia="宋体"/>
        </w:rPr>
      </w:pPr>
      <w:r>
        <w:rPr>
          <w:rFonts w:hAnsi="宋体" w:eastAsia="宋体"/>
        </w:rPr>
        <w:t>本项目拟占用为</w:t>
      </w:r>
      <w:r>
        <w:rPr>
          <w:rFonts w:hint="eastAsia" w:hAnsi="宋体" w:eastAsia="宋体"/>
        </w:rPr>
        <w:t>工矿用地</w:t>
      </w:r>
      <w:r>
        <w:rPr>
          <w:rFonts w:hAnsi="宋体" w:eastAsia="宋体"/>
        </w:rPr>
        <w:t>，其性质不属于基本农田保护范围。</w:t>
      </w:r>
    </w:p>
    <w:p>
      <w:pPr>
        <w:ind w:firstLine="480"/>
        <w:rPr>
          <w:rFonts w:eastAsia="宋体"/>
        </w:rPr>
      </w:pPr>
      <w:r>
        <w:rPr>
          <w:rFonts w:hint="eastAsia" w:eastAsia="宋体"/>
        </w:rPr>
        <w:t>（4）</w:t>
      </w:r>
      <w:r>
        <w:rPr>
          <w:rFonts w:hAnsi="宋体" w:eastAsia="宋体"/>
        </w:rPr>
        <w:t>水土流失影响分析</w:t>
      </w:r>
    </w:p>
    <w:p>
      <w:pPr>
        <w:ind w:firstLine="480"/>
        <w:rPr>
          <w:rFonts w:eastAsia="宋体"/>
          <w:szCs w:val="24"/>
        </w:rPr>
      </w:pPr>
      <w:r>
        <w:rPr>
          <w:rFonts w:hAnsi="宋体" w:eastAsia="宋体"/>
          <w:szCs w:val="24"/>
        </w:rPr>
        <w:t>由于水土流失量主要发生在项目建设时期，建设完成后，项目便可逐步恢复建设区周边的裸露地块的绿化，水土流失产生量较少。</w:t>
      </w:r>
    </w:p>
    <w:p>
      <w:pPr>
        <w:autoSpaceDE w:val="0"/>
        <w:autoSpaceDN w:val="0"/>
        <w:ind w:firstLine="480"/>
        <w:rPr>
          <w:rFonts w:eastAsia="宋体"/>
          <w:kern w:val="0"/>
        </w:rPr>
      </w:pPr>
      <w:r>
        <w:rPr>
          <w:rFonts w:hAnsi="宋体" w:eastAsia="宋体"/>
          <w:kern w:val="0"/>
        </w:rPr>
        <w:t>一般项目建设对水土流失的影响主要表现在以下两方面：地表开挖破坏植被、造成地面裸露，降雨时加深土壤侵蚀和水土流失；各类临时占地破坏原有植被，使当地水土流失加剧，容易发生片蚀、浅沟蚀等形式的水土流失。本项目可能发生水土流失的施工阶段主要是</w:t>
      </w:r>
      <w:r>
        <w:rPr>
          <w:rFonts w:hint="eastAsia" w:hAnsi="宋体" w:eastAsia="宋体"/>
          <w:kern w:val="0"/>
        </w:rPr>
        <w:t>处置场</w:t>
      </w:r>
      <w:r>
        <w:rPr>
          <w:rFonts w:hAnsi="宋体" w:eastAsia="宋体"/>
          <w:kern w:val="0"/>
        </w:rPr>
        <w:t>施工时</w:t>
      </w:r>
      <w:r>
        <w:rPr>
          <w:rFonts w:hint="eastAsia" w:hAnsi="宋体" w:eastAsia="宋体"/>
          <w:kern w:val="0"/>
        </w:rPr>
        <w:t>拦渣坝等建设</w:t>
      </w:r>
      <w:r>
        <w:rPr>
          <w:rFonts w:hAnsi="宋体" w:eastAsia="宋体"/>
          <w:kern w:val="0"/>
        </w:rPr>
        <w:t>阶段。</w:t>
      </w:r>
    </w:p>
    <w:p>
      <w:pPr>
        <w:pStyle w:val="4"/>
      </w:pPr>
      <w:bookmarkStart w:id="137" w:name="_Toc346092599"/>
      <w:bookmarkStart w:id="138" w:name="_Toc391370178"/>
      <w:bookmarkStart w:id="139" w:name="_Toc344647735"/>
      <w:r>
        <w:rPr>
          <w:rFonts w:hint="eastAsia"/>
        </w:rPr>
        <w:t>施工期环境管理</w:t>
      </w:r>
      <w:bookmarkEnd w:id="137"/>
      <w:bookmarkEnd w:id="138"/>
      <w:bookmarkEnd w:id="139"/>
    </w:p>
    <w:p>
      <w:pPr>
        <w:ind w:firstLine="480"/>
      </w:pPr>
      <w:r>
        <w:rPr>
          <w:rFonts w:hint="eastAsia"/>
        </w:rPr>
        <w:t>为了最大限度地减轻施工阶段对周围环境的影响和减缓对环境的破坏程度，要求新建项目单位在国家和地方的有关法律法规及区域环境管理的基础上制定施工期环境管理计划，施工方案中要落实扬尘管理措施、污水处理方案、渣土和施工垃圾处置措施、施工期噪声管理措施等，并对施工期环境保护措施落实的情况进行监管。</w:t>
      </w:r>
    </w:p>
    <w:p>
      <w:pPr>
        <w:ind w:firstLine="480"/>
      </w:pPr>
      <w:r>
        <w:rPr>
          <w:rFonts w:hint="eastAsia"/>
        </w:rPr>
        <w:t>为了加强施工期的环境管理力度，新建项目单位应同工程中标的承包商签订《建设工程施工期的保护环境协议》，协议内容要求承包商遵守国家和地方制定的环境法律、法规，主要内容有：</w:t>
      </w:r>
    </w:p>
    <w:p>
      <w:pPr>
        <w:ind w:firstLine="480"/>
      </w:pPr>
      <w:r>
        <w:rPr>
          <w:rFonts w:hint="eastAsia"/>
        </w:rPr>
        <w:t>①排水措施。施工产生的泥浆废水应先进行简易沉淀，除去水中的沉淀物，再回用于施工场地抑尘。</w:t>
      </w:r>
    </w:p>
    <w:p>
      <w:pPr>
        <w:ind w:firstLine="480"/>
      </w:pPr>
      <w:r>
        <w:rPr>
          <w:rFonts w:hint="eastAsia"/>
        </w:rPr>
        <w:t>②防尘措施。施工单位必须在工程开工前，将扬尘污染防治方案在建筑工地周围醒目位置予以公布。施工单位应制定防止尘土飞扬、防止渣土运输时的散落及车辆沾带泥土运行等具体措施，将工程施工中降尘措施的落实纳入文明施工管理范围。</w:t>
      </w:r>
    </w:p>
    <w:p>
      <w:pPr>
        <w:ind w:firstLine="480"/>
      </w:pPr>
      <w:r>
        <w:rPr>
          <w:rFonts w:hint="eastAsia"/>
        </w:rPr>
        <w:t>③防噪声措施。施工期产生的噪声污染应有防治措施，不得在</w:t>
      </w:r>
      <w:r>
        <w:t>22</w:t>
      </w:r>
      <w:r>
        <w:rPr>
          <w:rFonts w:hint="eastAsia"/>
        </w:rPr>
        <w:t>：</w:t>
      </w:r>
      <w:r>
        <w:t>00</w:t>
      </w:r>
      <w:r>
        <w:rPr>
          <w:rFonts w:hint="eastAsia"/>
        </w:rPr>
        <w:t>～</w:t>
      </w:r>
      <w:r>
        <w:t>6</w:t>
      </w:r>
      <w:r>
        <w:rPr>
          <w:rFonts w:hint="eastAsia"/>
        </w:rPr>
        <w:t>：</w:t>
      </w:r>
      <w:r>
        <w:t>00</w:t>
      </w:r>
      <w:r>
        <w:rPr>
          <w:rFonts w:hint="eastAsia"/>
        </w:rPr>
        <w:t>时从事高噪声的施工作业。</w:t>
      </w:r>
    </w:p>
    <w:p>
      <w:pPr>
        <w:ind w:firstLine="480"/>
      </w:pPr>
      <w:r>
        <w:rPr>
          <w:rFonts w:hint="eastAsia"/>
        </w:rPr>
        <w:t>④固体废物的污染防治。施工过程产生的建筑垃圾应集中堆放统一运输，施工人员的生活垃圾不可随意丢弃在土地中，要堆放在生活垃圾的集装容器中，由当地环境卫生部门统一处理。</w:t>
      </w:r>
    </w:p>
    <w:p>
      <w:pPr>
        <w:ind w:firstLine="480"/>
      </w:pPr>
      <w:r>
        <w:rPr>
          <w:rFonts w:hint="eastAsia"/>
        </w:rPr>
        <w:t>⑤施工现场环境保护。施工过程中应保护施工现场周围的环境，防止对周围绿化的破坏和其它公共设施的损坏，施工结束后要恢复受施工影响破坏的绿化、土地等环境。对施工中需迁移的树木，需向园林部门办理相关手续，不能发生砍树毁绿现象。</w:t>
      </w:r>
    </w:p>
    <w:p>
      <w:pPr>
        <w:ind w:firstLine="480"/>
      </w:pPr>
      <w:r>
        <w:rPr>
          <w:rFonts w:hint="eastAsia"/>
        </w:rPr>
        <w:t>综上所述，施工期的噪声、废气、废水和固体废物将会对环境产生一定影响，但施工期不太长、施工期污染是临时性的，在施工结束后此类污染源即可消除。只要施工单位认真搞好组织工作，文明施工，切实落实上述各项环保措施，施工期间不会对环境产生明显的不利影响。</w:t>
      </w:r>
    </w:p>
    <w:p>
      <w:pPr>
        <w:pStyle w:val="3"/>
      </w:pPr>
      <w:bookmarkStart w:id="140" w:name="_Toc462818433"/>
      <w:r>
        <w:rPr>
          <w:rFonts w:hint="eastAsia"/>
        </w:rPr>
        <w:t>填埋期环境影响分析</w:t>
      </w:r>
      <w:bookmarkEnd w:id="140"/>
    </w:p>
    <w:p>
      <w:pPr>
        <w:pStyle w:val="4"/>
      </w:pPr>
      <w:bookmarkStart w:id="141" w:name="_Toc397521578"/>
      <w:bookmarkStart w:id="142" w:name="_Toc377463367"/>
      <w:bookmarkStart w:id="143" w:name="_Toc375481966"/>
      <w:r>
        <w:rPr>
          <w:rFonts w:hint="eastAsia"/>
        </w:rPr>
        <w:t>地表水环境影响评价</w:t>
      </w:r>
      <w:bookmarkEnd w:id="141"/>
      <w:bookmarkEnd w:id="142"/>
      <w:bookmarkEnd w:id="143"/>
    </w:p>
    <w:p>
      <w:pPr>
        <w:ind w:firstLine="480"/>
      </w:pPr>
      <w:r>
        <w:rPr>
          <w:rFonts w:hint="eastAsia"/>
        </w:rPr>
        <w:t>（1）渗滤液</w:t>
      </w:r>
    </w:p>
    <w:p>
      <w:pPr>
        <w:ind w:firstLine="480"/>
        <w:rPr>
          <w:u w:val="single"/>
        </w:rPr>
      </w:pPr>
      <w:r>
        <w:rPr>
          <w:rFonts w:hint="eastAsia"/>
        </w:rPr>
        <w:t>渗滤液的产量及其变化规律很复杂，主要取决于</w:t>
      </w:r>
      <w:r>
        <w:t>6</w:t>
      </w:r>
      <w:r>
        <w:rPr>
          <w:rFonts w:hint="eastAsia"/>
        </w:rPr>
        <w:t>个因素：降雨量、蒸发量、地表径流、地下渗透量、固体废物含水率、填埋作业情况。本项目处置场由于采取了</w:t>
      </w:r>
      <w:r>
        <w:t>HDPE</w:t>
      </w:r>
      <w:r>
        <w:rPr>
          <w:rFonts w:hint="eastAsia"/>
        </w:rPr>
        <w:t>膜防渗和修建地表截洪沟等措施，则地表径流和地下渗透量可得到处理，另根据当地现场勘查可知，历史遗留的固体废物目前含水率较低，故场内渗滤液的产生量主要取决于降雨量和蒸发情况，以及处置场作业分区状况。</w:t>
      </w:r>
      <w:r>
        <w:rPr>
          <w:rFonts w:hint="eastAsia"/>
          <w:u w:val="single"/>
        </w:rPr>
        <w:t>由工程分析可知，本项目填埋期产生的渗滤液总量为331.2</w:t>
      </w:r>
      <w:r>
        <w:rPr>
          <w:u w:val="single"/>
        </w:rPr>
        <w:t>m</w:t>
      </w:r>
      <w:r>
        <w:rPr>
          <w:u w:val="single"/>
          <w:vertAlign w:val="superscript"/>
        </w:rPr>
        <w:t>3</w:t>
      </w:r>
      <w:r>
        <w:rPr>
          <w:rFonts w:hint="eastAsia"/>
          <w:u w:val="single"/>
        </w:rPr>
        <w:t>，渗滤液收集池为90m</w:t>
      </w:r>
      <w:r>
        <w:rPr>
          <w:rFonts w:hint="eastAsia"/>
          <w:u w:val="single"/>
          <w:vertAlign w:val="superscript"/>
        </w:rPr>
        <w:t>3</w:t>
      </w:r>
      <w:r>
        <w:rPr>
          <w:rFonts w:hint="eastAsia"/>
          <w:u w:val="single"/>
        </w:rPr>
        <w:t>，项目填埋期为2个月，为秋冬季，降雨量较少，且项目填埋期根据收集池收集情况，运送至有资质单位处理，因此项目收集池容量满足渗滤液收集要求。</w:t>
      </w:r>
    </w:p>
    <w:p>
      <w:pPr>
        <w:ind w:firstLine="480"/>
      </w:pPr>
      <w:r>
        <w:rPr>
          <w:rFonts w:hint="eastAsia"/>
        </w:rPr>
        <w:t>渗滤液含有的主要污染物为铅、砷等，不经处理随意排放将对项目区环境造成严重污染，使周围水生生态环境遭到破坏。因此，</w:t>
      </w:r>
      <w:r>
        <w:rPr>
          <w:rFonts w:hint="eastAsia"/>
          <w:kern w:val="0"/>
        </w:rPr>
        <w:t>处置场场址及渗滤液收集池经过防渗处理后，能够有效的防止收集池中的渗滤液渗入地下水，且</w:t>
      </w:r>
      <w:r>
        <w:rPr>
          <w:rFonts w:hint="eastAsia"/>
        </w:rPr>
        <w:t>本项目渗滤液经导流层、渗滤液收集池收集后，运送至有资质单位处理净化，对项目周边环境影响较小。</w:t>
      </w:r>
    </w:p>
    <w:p>
      <w:pPr>
        <w:ind w:firstLine="480"/>
        <w:jc w:val="left"/>
        <w:rPr>
          <w:szCs w:val="24"/>
          <w:u w:val="single"/>
        </w:rPr>
      </w:pPr>
      <w:r>
        <w:rPr>
          <w:rFonts w:hint="eastAsia"/>
          <w:u w:val="single"/>
        </w:rPr>
        <w:t>经建设单位介绍，本项目渗滤液运送至湖南神斧集团向红机械化工有限公司处理，根据调查，该公司建有</w:t>
      </w:r>
      <w:r>
        <w:rPr>
          <w:rFonts w:hint="eastAsia"/>
          <w:szCs w:val="24"/>
          <w:u w:val="single"/>
        </w:rPr>
        <w:t>含铅、镍污水处理站，其工艺流程为：</w:t>
      </w:r>
      <w:r>
        <w:rPr>
          <w:rFonts w:ascii="Times New Roman" w:hAnsi="Times New Roman" w:eastAsia="宋体" w:cs="Times New Roman"/>
          <w:kern w:val="2"/>
          <w:sz w:val="24"/>
          <w:szCs w:val="24"/>
          <w:u w:val="single"/>
          <w:lang w:val="en-US" w:eastAsia="zh-CN" w:bidi="ar-SA"/>
        </w:rPr>
        <w:pict>
          <v:shape id="图片 14" o:spid="_x0000_s1114" type="#_x0000_t75" style="height:114pt;width:415.3pt;rotation:0f;" o:ole="f" fillcolor="#FFFFFF" filled="f" o:preferrelative="t" stroked="f" coordorigin="0,0" coordsize="21600,21600">
            <v:fill on="f" color2="#FFFFFF" focus="0%"/>
            <v:imagedata gain="65536f" blacklevel="0f" gamma="0" o:title="" r:id="rId52"/>
            <o:lock v:ext="edit" position="f" selection="f" grouping="f" rotation="f" cropping="f" text="f" aspectratio="t"/>
            <w10:wrap type="none"/>
            <w10:anchorlock/>
          </v:shape>
        </w:pict>
      </w:r>
    </w:p>
    <w:p>
      <w:pPr>
        <w:ind w:firstLine="480"/>
        <w:rPr>
          <w:u w:val="single"/>
        </w:rPr>
      </w:pPr>
      <w:r>
        <w:rPr>
          <w:rFonts w:hint="eastAsia"/>
          <w:u w:val="single"/>
        </w:rPr>
        <w:t>在反应池内加入碱，在搅拌机的混合作用下，碱与污水中的铅发生反应生成碳酸铅沉淀物。在池内加入铁盐，水解产生氢氧化铁，进而混凝吸附砷。可保证铅、镍污水的达标排放。</w:t>
      </w:r>
    </w:p>
    <w:p>
      <w:pPr>
        <w:ind w:firstLine="480"/>
      </w:pPr>
      <w:r>
        <w:rPr>
          <w:rFonts w:hint="eastAsia"/>
        </w:rPr>
        <w:t>（2）生活污水</w:t>
      </w:r>
    </w:p>
    <w:p>
      <w:pPr>
        <w:ind w:firstLine="480"/>
      </w:pPr>
      <w:r>
        <w:rPr>
          <w:rFonts w:hint="eastAsia"/>
        </w:rPr>
        <w:t>本项目工作人员共计</w:t>
      </w:r>
      <w:r>
        <w:t>10</w:t>
      </w:r>
      <w:r>
        <w:rPr>
          <w:rFonts w:hint="eastAsia"/>
        </w:rPr>
        <w:t>人，均不在厂区食宿，早出晚归，不安排集中住宿。生活用水主要为饮用水，员工生活污水产生量为</w:t>
      </w:r>
      <w:r>
        <w:t>19.2m</w:t>
      </w:r>
      <w:r>
        <w:rPr>
          <w:vertAlign w:val="superscript"/>
        </w:rPr>
        <w:t>3</w:t>
      </w:r>
      <w:r>
        <w:rPr>
          <w:rFonts w:hint="eastAsia"/>
        </w:rPr>
        <w:t>，生活污水利用当地民房及采石场现有化粪池等消解，化粪池定期清掏处理，对周边环境影响较小。</w:t>
      </w:r>
    </w:p>
    <w:p>
      <w:pPr>
        <w:pStyle w:val="4"/>
      </w:pPr>
      <w:bookmarkStart w:id="144" w:name="_Toc391370182"/>
      <w:bookmarkStart w:id="145" w:name="_Toc346092603"/>
      <w:r>
        <w:rPr>
          <w:rFonts w:hint="eastAsia"/>
        </w:rPr>
        <w:t>地下水环境影响预测与评价</w:t>
      </w:r>
      <w:bookmarkEnd w:id="144"/>
      <w:bookmarkEnd w:id="145"/>
    </w:p>
    <w:p>
      <w:pPr>
        <w:ind w:firstLine="482"/>
        <w:rPr>
          <w:b/>
        </w:rPr>
      </w:pPr>
      <w:r>
        <w:rPr>
          <w:rFonts w:hint="eastAsia"/>
          <w:b/>
        </w:rPr>
        <w:t>（</w:t>
      </w:r>
      <w:r>
        <w:rPr>
          <w:b/>
        </w:rPr>
        <w:t>1</w:t>
      </w:r>
      <w:r>
        <w:rPr>
          <w:rFonts w:hint="eastAsia"/>
          <w:b/>
        </w:rPr>
        <w:t>）场地岩性渗透性分析</w:t>
      </w:r>
    </w:p>
    <w:p>
      <w:pPr>
        <w:ind w:firstLine="480"/>
        <w:rPr>
          <w:rFonts w:cs="宋体"/>
          <w:u w:val="single"/>
        </w:rPr>
      </w:pPr>
      <w:r>
        <w:rPr>
          <w:rFonts w:hint="eastAsia" w:cs="宋体"/>
          <w:u w:val="single"/>
        </w:rPr>
        <w:t>评价区地层</w:t>
      </w:r>
      <w:r>
        <w:rPr>
          <w:rFonts w:hint="eastAsia"/>
          <w:u w:val="single"/>
        </w:rPr>
        <w:t>为古生界奥陶系下统大湾组</w:t>
      </w:r>
      <w:r>
        <w:rPr>
          <w:rFonts w:hint="eastAsia" w:cs="宋体"/>
          <w:u w:val="single"/>
        </w:rPr>
        <w:t>，岩层厚度为94-134m左右，岩层上部为：黄绿、青灰色薄至中层泥灰岩，中、下部为紫红色薄层至中层瘤状泥灰岩，中夹灰色含白云质泥灰岩，底部为深灰色薄至中层生物碎屑灰岩与含泥质灰岩，黄绿色钙质页岩。区域内岩溶比较发育，故场区的岩石的岩性对防渗及防污染较差。</w:t>
      </w:r>
    </w:p>
    <w:p>
      <w:pPr>
        <w:ind w:firstLine="480"/>
        <w:rPr>
          <w:rFonts w:cs="宋体"/>
          <w:u w:val="single"/>
        </w:rPr>
      </w:pPr>
      <w:r>
        <w:rPr>
          <w:rFonts w:hint="eastAsia" w:cs="宋体"/>
          <w:u w:val="single"/>
        </w:rPr>
        <w:t>项目区域无导水性逆断层，项目填埋场远离区域大断裂带，且对场区及附近进行调查，未发现因近期新构造活动受到损坏的现象，且未发育有滑坡、崩塌等不良地质现象，故生产场地区域稳定性较好。</w:t>
      </w:r>
    </w:p>
    <w:p>
      <w:pPr>
        <w:ind w:firstLine="480"/>
        <w:rPr>
          <w:rFonts w:cs="宋体"/>
          <w:u w:val="single"/>
        </w:rPr>
      </w:pPr>
      <w:r>
        <w:rPr>
          <w:rFonts w:hint="eastAsia" w:cs="宋体"/>
          <w:u w:val="single"/>
        </w:rPr>
        <w:t>生产场区岩层为</w:t>
      </w:r>
      <w:r>
        <w:rPr>
          <w:rFonts w:hint="eastAsia"/>
          <w:u w:val="single"/>
        </w:rPr>
        <w:t>奥陶系下统大湾组，</w:t>
      </w:r>
      <w:r>
        <w:rPr>
          <w:rFonts w:hint="eastAsia" w:cs="宋体"/>
          <w:u w:val="single"/>
        </w:rPr>
        <w:t>岩性为灰岩，属弱透～微透水层，随着深度增加，岩体更完整，渗透系数较低。</w:t>
      </w:r>
    </w:p>
    <w:p>
      <w:pPr>
        <w:ind w:firstLine="482"/>
        <w:rPr>
          <w:b/>
        </w:rPr>
      </w:pPr>
      <w:r>
        <w:rPr>
          <w:rFonts w:hint="eastAsia"/>
          <w:b/>
        </w:rPr>
        <w:t>（</w:t>
      </w:r>
      <w:r>
        <w:rPr>
          <w:b/>
        </w:rPr>
        <w:t>2</w:t>
      </w:r>
      <w:r>
        <w:rPr>
          <w:rFonts w:hint="eastAsia"/>
          <w:b/>
        </w:rPr>
        <w:t>）地下水流场及边界</w:t>
      </w:r>
    </w:p>
    <w:p>
      <w:pPr>
        <w:ind w:firstLine="460"/>
        <w:rPr>
          <w:u w:val="single"/>
        </w:rPr>
      </w:pPr>
      <w:r>
        <w:rPr>
          <w:rFonts w:hint="eastAsia"/>
          <w:sz w:val="23"/>
          <w:szCs w:val="23"/>
          <w:u w:val="single"/>
          <w:shd w:val="clear" w:color="auto" w:fill="FFFFFF"/>
        </w:rPr>
        <w:t>项目填埋场所处的水文地质单元与废渣五个堆场、郭家冲水库不是同一水文地质单元。</w:t>
      </w:r>
    </w:p>
    <w:p>
      <w:pPr>
        <w:ind w:firstLine="480"/>
        <w:rPr>
          <w:rFonts w:cs="宋体"/>
          <w:u w:val="single"/>
        </w:rPr>
      </w:pPr>
      <w:r>
        <w:rPr>
          <w:rFonts w:hint="eastAsia" w:cs="宋体"/>
          <w:u w:val="single"/>
        </w:rPr>
        <w:t>项目所在水文地质单元地下水流向为自东南向西北，项目所在地北面</w:t>
      </w:r>
      <w:r>
        <w:rPr>
          <w:rFonts w:cs="宋体"/>
          <w:u w:val="single"/>
        </w:rPr>
        <w:t>1km</w:t>
      </w:r>
      <w:r>
        <w:rPr>
          <w:rFonts w:hint="eastAsia" w:cs="宋体"/>
          <w:u w:val="single"/>
        </w:rPr>
        <w:t>左右为该水文地质单元的北隔水边界，北面</w:t>
      </w:r>
      <w:r>
        <w:rPr>
          <w:rFonts w:cs="宋体"/>
          <w:u w:val="single"/>
        </w:rPr>
        <w:t>650m</w:t>
      </w:r>
      <w:r>
        <w:rPr>
          <w:rFonts w:hint="eastAsia" w:cs="宋体"/>
          <w:u w:val="single"/>
        </w:rPr>
        <w:t>左右为分水岭，为东北面补给边界，项目西北面白泥湖为该水文地质单元的泄流排泄区。</w:t>
      </w:r>
    </w:p>
    <w:p>
      <w:pPr>
        <w:ind w:firstLine="482"/>
        <w:rPr>
          <w:b/>
        </w:rPr>
      </w:pPr>
      <w:r>
        <w:rPr>
          <w:rFonts w:hint="eastAsia"/>
          <w:b/>
        </w:rPr>
        <w:t>（</w:t>
      </w:r>
      <w:r>
        <w:rPr>
          <w:b/>
        </w:rPr>
        <w:t>3</w:t>
      </w:r>
      <w:r>
        <w:rPr>
          <w:rFonts w:hint="eastAsia"/>
          <w:b/>
        </w:rPr>
        <w:t>）地下水环境影响分析</w:t>
      </w:r>
    </w:p>
    <w:p>
      <w:pPr>
        <w:ind w:firstLine="480"/>
        <w:rPr>
          <w:rFonts w:cs="宋体"/>
        </w:rPr>
      </w:pPr>
      <w:r>
        <w:rPr>
          <w:rFonts w:hint="eastAsia" w:cs="宋体"/>
        </w:rPr>
        <w:t>本项目对地下水污染主要污染源来自废水、废渣和废气。</w:t>
      </w:r>
    </w:p>
    <w:p>
      <w:pPr>
        <w:ind w:firstLine="482"/>
        <w:rPr>
          <w:rFonts w:cs="宋体"/>
          <w:b/>
        </w:rPr>
      </w:pPr>
      <w:r>
        <w:rPr>
          <w:rFonts w:cs="宋体"/>
          <w:b/>
        </w:rPr>
        <w:t>1</w:t>
      </w:r>
      <w:r>
        <w:rPr>
          <w:rFonts w:hint="eastAsia" w:cs="宋体"/>
          <w:b/>
        </w:rPr>
        <w:t>）废气对地下水的影响</w:t>
      </w:r>
    </w:p>
    <w:p>
      <w:pPr>
        <w:ind w:firstLine="480"/>
        <w:rPr>
          <w:rFonts w:cs="宋体"/>
        </w:rPr>
      </w:pPr>
      <w:r>
        <w:rPr>
          <w:rFonts w:hint="eastAsia" w:cs="宋体"/>
        </w:rPr>
        <w:t>①废气中的飘尘等污染物降落到地面，经水溶解把污染物带到地下水中。</w:t>
      </w:r>
    </w:p>
    <w:p>
      <w:pPr>
        <w:ind w:firstLine="480"/>
        <w:rPr>
          <w:rFonts w:cs="宋体"/>
        </w:rPr>
      </w:pPr>
      <w:r>
        <w:rPr>
          <w:rFonts w:hint="eastAsia" w:cs="宋体"/>
        </w:rPr>
        <w:t>②降雨把废气中的污染物质（包括气体）溶解于雨水中，然后雨水渗透到地下而污染地下水。本项目产生的大气污染物主要为粉尘，经处理后污染物均能达标排放，对地下水影响较小。</w:t>
      </w:r>
    </w:p>
    <w:p>
      <w:pPr>
        <w:ind w:firstLine="482"/>
        <w:rPr>
          <w:rFonts w:cs="宋体"/>
          <w:b/>
        </w:rPr>
      </w:pPr>
      <w:r>
        <w:rPr>
          <w:rFonts w:cs="宋体"/>
          <w:b/>
        </w:rPr>
        <w:t>2</w:t>
      </w:r>
      <w:r>
        <w:rPr>
          <w:rFonts w:hint="eastAsia" w:cs="宋体"/>
          <w:b/>
        </w:rPr>
        <w:t>）废渣对地下水的影响</w:t>
      </w:r>
    </w:p>
    <w:p>
      <w:pPr>
        <w:ind w:firstLine="480"/>
        <w:rPr>
          <w:rFonts w:cs="宋体"/>
        </w:rPr>
      </w:pPr>
      <w:r>
        <w:rPr>
          <w:rFonts w:hint="eastAsia" w:cs="宋体"/>
        </w:rPr>
        <w:t>①正常情况下</w:t>
      </w:r>
    </w:p>
    <w:p>
      <w:pPr>
        <w:ind w:firstLine="480"/>
        <w:rPr>
          <w:rFonts w:cs="宋体"/>
        </w:rPr>
      </w:pPr>
      <w:r>
        <w:rPr>
          <w:rFonts w:hint="eastAsia" w:cs="宋体"/>
        </w:rPr>
        <w:t>本项目主要固体废物为工业遗留固体废渣，</w:t>
      </w:r>
      <w:r>
        <w:rPr>
          <w:rFonts w:hint="eastAsia"/>
          <w:kern w:val="24"/>
        </w:rPr>
        <w:t>其浸出液中仍然还有砷、铅等重金属，为</w:t>
      </w:r>
      <w:r>
        <w:rPr>
          <w:kern w:val="24"/>
        </w:rPr>
        <w:fldChar w:fldCharType="begin"/>
      </w:r>
      <w:r>
        <w:rPr>
          <w:kern w:val="24"/>
        </w:rPr>
        <w:instrText xml:space="preserve"> = 2 \* ROMAN \* MERGEFORMAT </w:instrText>
      </w:r>
      <w:r>
        <w:rPr>
          <w:kern w:val="24"/>
        </w:rPr>
        <w:fldChar w:fldCharType="separate"/>
      </w:r>
      <w:r>
        <w:t>II</w:t>
      </w:r>
      <w:r>
        <w:rPr>
          <w:kern w:val="24"/>
        </w:rPr>
        <w:fldChar w:fldCharType="end"/>
      </w:r>
      <w:r>
        <w:rPr>
          <w:rFonts w:hint="eastAsia"/>
          <w:kern w:val="24"/>
        </w:rPr>
        <w:t>类一般工业废渣</w:t>
      </w:r>
      <w:r>
        <w:rPr>
          <w:rFonts w:hint="eastAsia" w:cs="宋体"/>
        </w:rPr>
        <w:t>。项目填埋场严格按照</w:t>
      </w:r>
      <w:r>
        <w:rPr>
          <w:rFonts w:cs="宋体"/>
        </w:rPr>
        <w:t>GB18599</w:t>
      </w:r>
      <w:r>
        <w:rPr>
          <w:rFonts w:hint="eastAsia" w:cs="宋体"/>
        </w:rPr>
        <w:t>－</w:t>
      </w:r>
      <w:r>
        <w:rPr>
          <w:rFonts w:cs="宋体"/>
        </w:rPr>
        <w:t>2001</w:t>
      </w:r>
      <w:r>
        <w:rPr>
          <w:rFonts w:hint="eastAsia" w:cs="宋体"/>
        </w:rPr>
        <w:t>《一般工业固体废物贮存、处置场污染控制标准》中</w:t>
      </w:r>
      <w:r>
        <w:rPr>
          <w:rFonts w:cs="宋体"/>
        </w:rPr>
        <w:t>II</w:t>
      </w:r>
      <w:r>
        <w:rPr>
          <w:rFonts w:hint="eastAsia" w:cs="宋体"/>
        </w:rPr>
        <w:t>类场的相关要求进行，能有效防止固废渗滤液渗漏，对地下水影响较小。</w:t>
      </w:r>
    </w:p>
    <w:p>
      <w:pPr>
        <w:pStyle w:val="43"/>
        <w:numPr>
          <w:ilvl w:val="0"/>
          <w:numId w:val="2"/>
        </w:numPr>
        <w:ind w:firstLineChars="0"/>
        <w:rPr>
          <w:rFonts w:cs="宋体"/>
        </w:rPr>
      </w:pPr>
      <w:r>
        <w:rPr>
          <w:rFonts w:hint="eastAsia" w:cs="宋体"/>
        </w:rPr>
        <w:t>事故情况下</w:t>
      </w:r>
    </w:p>
    <w:p>
      <w:pPr>
        <w:ind w:firstLine="480"/>
        <w:rPr>
          <w:rFonts w:cs="宋体"/>
        </w:rPr>
      </w:pPr>
      <w:r>
        <w:rPr>
          <w:rFonts w:hint="eastAsia" w:cs="宋体"/>
        </w:rPr>
        <w:t>由于废渣中含有砷、铅等重金属，若防渗膜等破损（以</w:t>
      </w:r>
      <w:r>
        <w:rPr>
          <w:rFonts w:cs="宋体"/>
        </w:rPr>
        <w:t>5%</w:t>
      </w:r>
      <w:r>
        <w:rPr>
          <w:rFonts w:hint="eastAsia" w:cs="宋体"/>
        </w:rPr>
        <w:t>的面积计）则其渗滤液会发生渗漏，污染地下水。本项目对废渣中含有浓度较高的砷、铅进行预测分析。</w:t>
      </w:r>
    </w:p>
    <w:p>
      <w:pPr>
        <w:ind w:firstLine="480"/>
        <w:rPr>
          <w:rFonts w:cs="宋体"/>
        </w:rPr>
      </w:pPr>
      <w:r>
        <w:rPr>
          <w:rFonts w:hint="eastAsia" w:cs="宋体"/>
        </w:rPr>
        <w:t>根据《环境影响评价技术导则地下水环境》（</w:t>
      </w:r>
      <w:r>
        <w:rPr>
          <w:rFonts w:cs="宋体"/>
        </w:rPr>
        <w:t>HJ610-201</w:t>
      </w:r>
      <w:r>
        <w:rPr>
          <w:rFonts w:hint="eastAsia" w:cs="宋体"/>
        </w:rPr>
        <w:t>6）附录中公式：</w:t>
      </w:r>
    </w:p>
    <w:p>
      <w:pPr>
        <w:ind w:firstLine="480"/>
        <w:jc w:val="center"/>
        <w:rPr>
          <w:rFonts w:cs="宋体"/>
        </w:rPr>
      </w:pPr>
      <w:r>
        <w:rPr>
          <w:rFonts w:ascii="Times New Roman" w:hAnsi="Times New Roman" w:eastAsia="宋体" w:cs="宋体"/>
          <w:kern w:val="2"/>
          <w:sz w:val="24"/>
          <w:szCs w:val="21"/>
          <w:lang w:val="en-US" w:eastAsia="zh-CN" w:bidi="ar-SA"/>
        </w:rPr>
        <w:pict>
          <v:shape id="图片 15" o:spid="_x0000_s1115" type="#_x0000_t75" style="height:57.75pt;width:228pt;rotation:0f;" o:ole="f"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w:pict>
      </w:r>
    </w:p>
    <w:p>
      <w:pPr>
        <w:ind w:firstLine="480"/>
        <w:rPr>
          <w:rFonts w:cs="宋体"/>
        </w:rPr>
      </w:pPr>
      <w:r>
        <w:rPr>
          <w:rFonts w:hint="eastAsia" w:cs="宋体"/>
        </w:rPr>
        <w:t>式中：</w:t>
      </w:r>
    </w:p>
    <w:p>
      <w:pPr>
        <w:ind w:firstLine="480"/>
        <w:rPr>
          <w:rFonts w:cs="宋体"/>
        </w:rPr>
      </w:pPr>
      <w:r>
        <w:rPr>
          <w:rFonts w:cs="宋体"/>
        </w:rPr>
        <w:t>x—</w:t>
      </w:r>
      <w:r>
        <w:rPr>
          <w:rFonts w:hint="eastAsia" w:cs="宋体"/>
        </w:rPr>
        <w:t>距排污点的距离；</w:t>
      </w:r>
      <w:r>
        <w:rPr>
          <w:rFonts w:cs="宋体"/>
        </w:rPr>
        <w:t>m</w:t>
      </w:r>
      <w:r>
        <w:rPr>
          <w:rFonts w:hint="eastAsia" w:cs="宋体"/>
        </w:rPr>
        <w:t>；</w:t>
      </w:r>
    </w:p>
    <w:p>
      <w:pPr>
        <w:ind w:firstLine="480"/>
        <w:rPr>
          <w:rFonts w:cs="宋体"/>
        </w:rPr>
      </w:pPr>
      <w:r>
        <w:rPr>
          <w:rFonts w:cs="宋体"/>
        </w:rPr>
        <w:t>t—</w:t>
      </w:r>
      <w:r>
        <w:rPr>
          <w:rFonts w:hint="eastAsia" w:cs="宋体"/>
        </w:rPr>
        <w:t>时间，</w:t>
      </w:r>
      <w:r>
        <w:rPr>
          <w:rFonts w:cs="宋体"/>
        </w:rPr>
        <w:t>d</w:t>
      </w:r>
      <w:r>
        <w:rPr>
          <w:rFonts w:hint="eastAsia" w:cs="宋体"/>
        </w:rPr>
        <w:t>；</w:t>
      </w:r>
    </w:p>
    <w:p>
      <w:pPr>
        <w:ind w:firstLine="480"/>
        <w:rPr>
          <w:rFonts w:cs="宋体"/>
        </w:rPr>
      </w:pPr>
      <w:r>
        <w:rPr>
          <w:rFonts w:cs="宋体"/>
        </w:rPr>
        <w:t>C—t</w:t>
      </w:r>
      <w:r>
        <w:rPr>
          <w:rFonts w:hint="eastAsia" w:cs="宋体"/>
        </w:rPr>
        <w:t>时刻</w:t>
      </w:r>
      <w:r>
        <w:rPr>
          <w:rFonts w:cs="宋体"/>
        </w:rPr>
        <w:t>x</w:t>
      </w:r>
      <w:r>
        <w:rPr>
          <w:rFonts w:hint="eastAsia" w:cs="宋体"/>
        </w:rPr>
        <w:t>处的污染物浓度，</w:t>
      </w:r>
      <w:r>
        <w:rPr>
          <w:rFonts w:cs="宋体"/>
        </w:rPr>
        <w:t>mg/L</w:t>
      </w:r>
      <w:r>
        <w:rPr>
          <w:rFonts w:hint="eastAsia" w:cs="宋体"/>
        </w:rPr>
        <w:t>；</w:t>
      </w:r>
    </w:p>
    <w:p>
      <w:pPr>
        <w:ind w:firstLine="480"/>
        <w:rPr>
          <w:rFonts w:cs="宋体"/>
        </w:rPr>
      </w:pPr>
      <w:r>
        <w:rPr>
          <w:rFonts w:cs="宋体"/>
        </w:rPr>
        <w:t>C</w:t>
      </w:r>
      <w:r>
        <w:rPr>
          <w:rFonts w:cs="宋体"/>
          <w:vertAlign w:val="subscript"/>
        </w:rPr>
        <w:t>0</w:t>
      </w:r>
      <w:r>
        <w:rPr>
          <w:rFonts w:cs="宋体"/>
        </w:rPr>
        <w:t>—</w:t>
      </w:r>
      <w:r>
        <w:rPr>
          <w:rFonts w:hint="eastAsia" w:cs="宋体"/>
        </w:rPr>
        <w:t>注入污染物浓度，</w:t>
      </w:r>
      <w:r>
        <w:rPr>
          <w:rFonts w:cs="宋体"/>
        </w:rPr>
        <w:t>mg/L</w:t>
      </w:r>
      <w:r>
        <w:rPr>
          <w:rFonts w:hint="eastAsia" w:cs="宋体"/>
        </w:rPr>
        <w:t>；</w:t>
      </w:r>
    </w:p>
    <w:p>
      <w:pPr>
        <w:ind w:firstLine="480"/>
        <w:rPr>
          <w:rFonts w:cs="宋体"/>
        </w:rPr>
      </w:pPr>
      <w:r>
        <w:rPr>
          <w:rFonts w:cs="宋体"/>
        </w:rPr>
        <w:t>u—</w:t>
      </w:r>
      <w:r>
        <w:rPr>
          <w:rFonts w:hint="eastAsia" w:cs="宋体"/>
        </w:rPr>
        <w:t>水流速度，</w:t>
      </w:r>
      <w:r>
        <w:rPr>
          <w:rFonts w:cs="宋体"/>
        </w:rPr>
        <w:t>m/d</w:t>
      </w:r>
      <w:r>
        <w:rPr>
          <w:rFonts w:hint="eastAsia" w:cs="宋体"/>
        </w:rPr>
        <w:t>；</w:t>
      </w:r>
    </w:p>
    <w:p>
      <w:pPr>
        <w:ind w:firstLine="480"/>
        <w:rPr>
          <w:rFonts w:cs="宋体"/>
        </w:rPr>
      </w:pPr>
      <w:r>
        <w:rPr>
          <w:rFonts w:cs="宋体"/>
        </w:rPr>
        <w:t>D</w:t>
      </w:r>
      <w:r>
        <w:rPr>
          <w:rFonts w:cs="宋体"/>
          <w:vertAlign w:val="subscript"/>
        </w:rPr>
        <w:t>L</w:t>
      </w:r>
      <w:r>
        <w:rPr>
          <w:rFonts w:cs="宋体"/>
        </w:rPr>
        <w:t>—</w:t>
      </w:r>
      <w:r>
        <w:rPr>
          <w:rFonts w:hint="eastAsia" w:cs="宋体"/>
        </w:rPr>
        <w:t>纵向弥散系数，</w:t>
      </w:r>
      <w:r>
        <w:rPr>
          <w:rFonts w:cs="宋体"/>
        </w:rPr>
        <w:t>m</w:t>
      </w:r>
      <w:r>
        <w:rPr>
          <w:rFonts w:cs="宋体"/>
          <w:vertAlign w:val="superscript"/>
        </w:rPr>
        <w:t>2</w:t>
      </w:r>
      <w:r>
        <w:rPr>
          <w:rFonts w:cs="宋体"/>
        </w:rPr>
        <w:t>/d</w:t>
      </w:r>
      <w:r>
        <w:rPr>
          <w:rFonts w:hint="eastAsia" w:cs="宋体"/>
        </w:rPr>
        <w:t>；</w:t>
      </w:r>
    </w:p>
    <w:p>
      <w:pPr>
        <w:ind w:firstLine="480"/>
        <w:rPr>
          <w:rFonts w:cs="宋体"/>
        </w:rPr>
      </w:pPr>
      <w:r>
        <w:rPr>
          <w:rFonts w:hint="eastAsia" w:cs="宋体"/>
        </w:rPr>
        <w:t>经现场调查，建设项目场地含水层为</w:t>
      </w:r>
      <w:r>
        <w:rPr>
          <w:rFonts w:hint="eastAsia"/>
        </w:rPr>
        <w:t>奥陶系下统大湾组</w:t>
      </w:r>
      <w:r>
        <w:rPr>
          <w:rFonts w:hint="eastAsia" w:cs="宋体"/>
        </w:rPr>
        <w:t>，岩性为钙质页岩和白云岩，类比有关试验数据：</w:t>
      </w:r>
    </w:p>
    <w:p>
      <w:pPr>
        <w:ind w:firstLine="480" w:firstLineChars="0"/>
        <w:jc w:val="left"/>
        <w:rPr>
          <w:rFonts w:cs="宋体"/>
        </w:rPr>
      </w:pPr>
      <w:r>
        <w:rPr>
          <w:rFonts w:cs="宋体"/>
        </w:rPr>
        <w:fldChar w:fldCharType="begin"/>
      </w:r>
      <w:r>
        <w:rPr>
          <w:rFonts w:cs="宋体"/>
        </w:rPr>
        <w:instrText xml:space="preserve"> </w:instrText>
      </w:r>
      <w:r>
        <w:rPr>
          <w:rFonts w:hint="eastAsia" w:cs="宋体"/>
        </w:rPr>
        <w:instrText xml:space="preserve">= 1 \* GB3</w:instrText>
      </w:r>
      <w:r>
        <w:rPr>
          <w:rFonts w:cs="宋体"/>
        </w:rPr>
        <w:instrText xml:space="preserve"> </w:instrText>
      </w:r>
      <w:r>
        <w:rPr>
          <w:rFonts w:cs="宋体"/>
        </w:rPr>
        <w:fldChar w:fldCharType="separate"/>
      </w:r>
      <w:r>
        <w:rPr>
          <w:rFonts w:hint="eastAsia" w:cs="宋体"/>
        </w:rPr>
        <w:t>①</w:t>
      </w:r>
      <w:r>
        <w:rPr>
          <w:rFonts w:cs="宋体"/>
        </w:rPr>
        <w:fldChar w:fldCharType="end"/>
      </w:r>
      <w:r>
        <w:rPr>
          <w:rFonts w:hint="eastAsia" w:cs="宋体"/>
        </w:rPr>
        <w:t>下水流动速度为</w:t>
      </w:r>
      <w:r>
        <w:rPr>
          <w:rFonts w:cs="宋体"/>
        </w:rPr>
        <w:t>u=</w:t>
      </w:r>
      <w:r>
        <w:rPr>
          <w:rFonts w:hint="eastAsia" w:cs="宋体"/>
        </w:rPr>
        <w:t>1.0</w:t>
      </w:r>
      <w:r>
        <w:rPr>
          <w:rFonts w:cs="宋体"/>
        </w:rPr>
        <w:t>m/h</w:t>
      </w:r>
      <w:r>
        <w:rPr>
          <w:rFonts w:hint="eastAsia" w:cs="宋体"/>
        </w:rPr>
        <w:t>（24</w:t>
      </w:r>
      <w:r>
        <w:rPr>
          <w:rFonts w:cs="宋体"/>
        </w:rPr>
        <w:t>m/d</w:t>
      </w:r>
      <w:r>
        <w:rPr>
          <w:rFonts w:hint="eastAsia" w:cs="宋体"/>
        </w:rPr>
        <w:t>）；</w:t>
      </w:r>
    </w:p>
    <w:p>
      <w:pPr>
        <w:ind w:firstLine="480"/>
        <w:rPr>
          <w:rFonts w:cs="宋体"/>
        </w:rPr>
      </w:pPr>
      <w:r>
        <w:rPr>
          <w:rFonts w:hint="eastAsia" w:cs="宋体"/>
        </w:rPr>
        <w:t>②纵向弥散系数</w:t>
      </w:r>
      <w:r>
        <w:rPr>
          <w:rFonts w:cs="宋体"/>
        </w:rPr>
        <w:t>D</w:t>
      </w:r>
      <w:r>
        <w:rPr>
          <w:rFonts w:cs="宋体"/>
          <w:vertAlign w:val="subscript"/>
        </w:rPr>
        <w:t>L</w:t>
      </w:r>
      <w:r>
        <w:rPr>
          <w:rFonts w:cs="宋体"/>
        </w:rPr>
        <w:t>=</w:t>
      </w:r>
      <w:r>
        <w:rPr>
          <w:rFonts w:hint="eastAsia" w:cs="宋体"/>
        </w:rPr>
        <w:t>2</w:t>
      </w:r>
      <w:r>
        <w:rPr>
          <w:rFonts w:cs="宋体"/>
        </w:rPr>
        <w:t>0(m</w:t>
      </w:r>
      <w:r>
        <w:rPr>
          <w:rFonts w:cs="宋体"/>
          <w:vertAlign w:val="superscript"/>
        </w:rPr>
        <w:t>2</w:t>
      </w:r>
      <w:r>
        <w:rPr>
          <w:rFonts w:cs="宋体"/>
        </w:rPr>
        <w:t>/d)</w:t>
      </w:r>
      <w:r>
        <w:rPr>
          <w:rFonts w:hint="eastAsia" w:cs="宋体"/>
        </w:rPr>
        <w:t>。</w:t>
      </w:r>
    </w:p>
    <w:p>
      <w:pPr>
        <w:ind w:firstLine="480"/>
        <w:rPr>
          <w:rFonts w:cs="宋体"/>
        </w:rPr>
      </w:pPr>
      <w:r>
        <w:rPr>
          <w:rFonts w:hint="eastAsia" w:cs="宋体"/>
        </w:rPr>
        <w:t>类比同类项目固废渗滤液水质浓度如表</w:t>
      </w:r>
      <w:r>
        <w:rPr>
          <w:rFonts w:cs="宋体"/>
        </w:rPr>
        <w:t>5.2-1</w:t>
      </w:r>
      <w:r>
        <w:rPr>
          <w:rFonts w:hint="eastAsia" w:cs="宋体"/>
        </w:rPr>
        <w:t>。</w:t>
      </w:r>
    </w:p>
    <w:p>
      <w:pPr>
        <w:pStyle w:val="14"/>
      </w:pPr>
      <w:bookmarkStart w:id="146" w:name="_Toc429308324"/>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固废淋溶液污染物浓度表</w:t>
      </w:r>
      <w:bookmarkEnd w:id="146"/>
    </w:p>
    <w:tbl>
      <w:tblPr>
        <w:tblStyle w:val="35"/>
        <w:tblW w:w="9146"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801"/>
        <w:gridCol w:w="2115"/>
        <w:gridCol w:w="2115"/>
        <w:gridCol w:w="211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340" w:hRule="atLeast"/>
        </w:trPr>
        <w:tc>
          <w:tcPr>
            <w:tcW w:w="2801" w:type="dxa"/>
            <w:vAlign w:val="center"/>
          </w:tcPr>
          <w:p>
            <w:pPr>
              <w:ind w:firstLine="480"/>
              <w:jc w:val="center"/>
              <w:rPr>
                <w:rFonts w:cs="宋体"/>
                <w:kern w:val="0"/>
              </w:rPr>
            </w:pPr>
            <w:r>
              <w:rPr>
                <w:rFonts w:hint="eastAsia" w:cs="宋体"/>
                <w:kern w:val="0"/>
              </w:rPr>
              <w:t>项目</w:t>
            </w:r>
          </w:p>
        </w:tc>
        <w:tc>
          <w:tcPr>
            <w:tcW w:w="2115" w:type="dxa"/>
            <w:vAlign w:val="center"/>
          </w:tcPr>
          <w:p>
            <w:pPr>
              <w:ind w:firstLine="480"/>
              <w:jc w:val="center"/>
              <w:rPr>
                <w:rFonts w:cs="宋体"/>
                <w:kern w:val="0"/>
              </w:rPr>
            </w:pPr>
            <w:r>
              <w:rPr>
                <w:rFonts w:cs="宋体"/>
                <w:kern w:val="0"/>
              </w:rPr>
              <w:t>As</w:t>
            </w:r>
          </w:p>
        </w:tc>
        <w:tc>
          <w:tcPr>
            <w:tcW w:w="2115" w:type="dxa"/>
            <w:vAlign w:val="top"/>
          </w:tcPr>
          <w:p>
            <w:pPr>
              <w:ind w:firstLine="480"/>
              <w:jc w:val="center"/>
              <w:rPr>
                <w:rFonts w:cs="宋体"/>
                <w:kern w:val="0"/>
              </w:rPr>
            </w:pPr>
            <w:r>
              <w:rPr>
                <w:rFonts w:hint="eastAsia" w:cs="宋体"/>
                <w:kern w:val="0"/>
              </w:rPr>
              <w:t>Pb</w:t>
            </w:r>
          </w:p>
        </w:tc>
        <w:tc>
          <w:tcPr>
            <w:tcW w:w="2115" w:type="dxa"/>
            <w:vAlign w:val="top"/>
          </w:tcPr>
          <w:p>
            <w:pPr>
              <w:ind w:firstLine="480"/>
              <w:jc w:val="center"/>
              <w:rPr>
                <w:rFonts w:cs="宋体"/>
                <w:kern w:val="0"/>
              </w:rPr>
            </w:pPr>
            <w:r>
              <w:rPr>
                <w:rFonts w:hint="eastAsia" w:cs="宋体"/>
                <w:kern w:val="0"/>
              </w:rPr>
              <w:t>Cr</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340" w:hRule="atLeast"/>
        </w:trPr>
        <w:tc>
          <w:tcPr>
            <w:tcW w:w="2801" w:type="dxa"/>
            <w:vAlign w:val="center"/>
          </w:tcPr>
          <w:p>
            <w:pPr>
              <w:ind w:firstLine="480"/>
              <w:jc w:val="center"/>
              <w:rPr>
                <w:rFonts w:cs="宋体"/>
                <w:kern w:val="0"/>
              </w:rPr>
            </w:pPr>
            <w:r>
              <w:rPr>
                <w:rFonts w:hint="eastAsia" w:cs="宋体"/>
                <w:kern w:val="0"/>
              </w:rPr>
              <w:t>浓度（</w:t>
            </w:r>
            <w:r>
              <w:rPr>
                <w:rFonts w:cs="宋体"/>
                <w:kern w:val="0"/>
              </w:rPr>
              <w:t>mg/L</w:t>
            </w:r>
            <w:r>
              <w:rPr>
                <w:rFonts w:hint="eastAsia" w:cs="宋体"/>
                <w:kern w:val="0"/>
              </w:rPr>
              <w:t>）</w:t>
            </w:r>
          </w:p>
        </w:tc>
        <w:tc>
          <w:tcPr>
            <w:tcW w:w="2115" w:type="dxa"/>
            <w:vAlign w:val="center"/>
          </w:tcPr>
          <w:p>
            <w:pPr>
              <w:ind w:firstLine="480"/>
              <w:jc w:val="center"/>
              <w:rPr>
                <w:rFonts w:cs="宋体"/>
                <w:kern w:val="0"/>
              </w:rPr>
            </w:pPr>
            <w:r>
              <w:rPr>
                <w:rFonts w:hint="eastAsia" w:cs="宋体"/>
                <w:kern w:val="0"/>
              </w:rPr>
              <w:t>0.925</w:t>
            </w:r>
          </w:p>
        </w:tc>
        <w:tc>
          <w:tcPr>
            <w:tcW w:w="2115" w:type="dxa"/>
            <w:vAlign w:val="top"/>
          </w:tcPr>
          <w:p>
            <w:pPr>
              <w:ind w:firstLine="480"/>
              <w:jc w:val="center"/>
              <w:rPr>
                <w:rFonts w:cs="宋体"/>
                <w:kern w:val="0"/>
              </w:rPr>
            </w:pPr>
            <w:r>
              <w:rPr>
                <w:rFonts w:hint="eastAsia" w:cs="宋体"/>
                <w:kern w:val="0"/>
              </w:rPr>
              <w:t>0.496</w:t>
            </w:r>
          </w:p>
        </w:tc>
        <w:tc>
          <w:tcPr>
            <w:tcW w:w="2115" w:type="dxa"/>
            <w:vAlign w:val="top"/>
          </w:tcPr>
          <w:p>
            <w:pPr>
              <w:ind w:firstLine="480"/>
              <w:jc w:val="center"/>
              <w:rPr>
                <w:rFonts w:cs="宋体"/>
                <w:kern w:val="0"/>
              </w:rPr>
            </w:pPr>
          </w:p>
        </w:tc>
      </w:tr>
    </w:tbl>
    <w:p>
      <w:pPr>
        <w:ind w:firstLine="480"/>
        <w:rPr>
          <w:rFonts w:cs="宋体"/>
        </w:rPr>
      </w:pPr>
      <w:r>
        <w:rPr>
          <w:rFonts w:hint="eastAsia" w:cs="宋体"/>
        </w:rPr>
        <w:t>根据上述公式的计算，若发生事故污染了地下水，以铅、砷为预测因子，污染物运移的时间和浓度关系如表</w:t>
      </w:r>
      <w:r>
        <w:rPr>
          <w:rFonts w:cs="宋体"/>
        </w:rPr>
        <w:t xml:space="preserve"> 5.2-2</w:t>
      </w:r>
      <w:r>
        <w:rPr>
          <w:rFonts w:hint="eastAsia" w:cs="宋体"/>
        </w:rPr>
        <w:t>。</w:t>
      </w:r>
    </w:p>
    <w:p>
      <w:pPr>
        <w:pStyle w:val="14"/>
        <w:rPr>
          <w:b w:val="0"/>
        </w:rPr>
      </w:pPr>
      <w:bookmarkStart w:id="147" w:name="_Toc429308326"/>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防渗结构破损（</w:t>
      </w:r>
      <w:r>
        <w:t>5%</w:t>
      </w:r>
      <w:r>
        <w:rPr>
          <w:rFonts w:hint="eastAsia"/>
        </w:rPr>
        <w:t>）地下水砷浓度时空分布表单位：</w:t>
      </w:r>
      <w:r>
        <w:t>mg/L</w:t>
      </w:r>
      <w:bookmarkEnd w:id="147"/>
    </w:p>
    <w:tbl>
      <w:tblPr>
        <w:tblStyle w:val="35"/>
        <w:tblW w:w="9497" w:type="dxa"/>
        <w:tblInd w:w="-17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34"/>
        <w:gridCol w:w="1419"/>
        <w:gridCol w:w="1419"/>
        <w:gridCol w:w="1415"/>
        <w:gridCol w:w="1221"/>
        <w:gridCol w:w="1474"/>
        <w:gridCol w:w="14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blHeader/>
        </w:trPr>
        <w:tc>
          <w:tcPr>
            <w:tcW w:w="1134" w:type="dxa"/>
            <w:tcBorders>
              <w:top w:val="single" w:color="auto" w:sz="2" w:space="0"/>
              <w:left w:val="single" w:color="auto" w:sz="2" w:space="0"/>
              <w:bottom w:val="single" w:color="auto" w:sz="2" w:space="0"/>
              <w:right w:val="single" w:color="auto" w:sz="2" w:space="0"/>
              <w:tl2br w:val="single" w:color="auto" w:sz="4" w:space="0"/>
            </w:tcBorders>
            <w:vAlign w:val="center"/>
          </w:tcPr>
          <w:p>
            <w:pPr>
              <w:pStyle w:val="37"/>
              <w:rPr>
                <w:kern w:val="0"/>
              </w:rPr>
            </w:pPr>
            <w:r>
              <w:rPr>
                <w:rFonts w:hint="eastAsia"/>
                <w:kern w:val="0"/>
              </w:rPr>
              <w:t>时间（</w:t>
            </w:r>
            <w:r>
              <w:rPr>
                <w:kern w:val="0"/>
              </w:rPr>
              <w:t>d</w:t>
            </w:r>
            <w:r>
              <w:rPr>
                <w:rFonts w:hint="eastAsia"/>
                <w:kern w:val="0"/>
              </w:rPr>
              <w:t>）</w:t>
            </w:r>
          </w:p>
          <w:p>
            <w:pPr>
              <w:pStyle w:val="37"/>
              <w:rPr>
                <w:kern w:val="0"/>
              </w:rPr>
            </w:pPr>
            <w:r>
              <w:rPr>
                <w:rFonts w:hint="eastAsia"/>
                <w:kern w:val="0"/>
              </w:rPr>
              <w:t>距离（</w:t>
            </w:r>
            <w:r>
              <w:rPr>
                <w:kern w:val="0"/>
              </w:rPr>
              <w:t>m</w:t>
            </w:r>
            <w:r>
              <w:rPr>
                <w:rFonts w:hint="eastAsia"/>
                <w:kern w:val="0"/>
              </w:rPr>
              <w:t>）</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30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50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0.9039562</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0.00124872</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6.161738E-16</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0.9228365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0.2217688</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1.022363E-05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0.9247539</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3.645695E-15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0.6642874</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0.009676093</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0.9249707</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9.427709E-08</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0.8632033</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3.080869E-16</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0.1467561</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0.9249964</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1100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0.0002152229</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0.9132769</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0.925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9.158628E-10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0.4625</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0.9249996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1300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0.0117231</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0.9230266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3.58489E-06</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0.7334251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9.16348E-12</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0.1020606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0.0005045673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5.15866E-08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1.001796E-13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3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2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7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r>
    </w:tbl>
    <w:p>
      <w:pPr>
        <w:pStyle w:val="14"/>
        <w:rPr>
          <w:b w:val="0"/>
        </w:rPr>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防渗结构破损（</w:t>
      </w:r>
      <w:r>
        <w:t>5%</w:t>
      </w:r>
      <w:r>
        <w:rPr>
          <w:rFonts w:hint="eastAsia"/>
        </w:rPr>
        <w:t>）地下水铅浓度时空分布表单位：</w:t>
      </w:r>
      <w:r>
        <w:t>mg/L</w:t>
      </w:r>
    </w:p>
    <w:tbl>
      <w:tblPr>
        <w:tblStyle w:val="35"/>
        <w:tblW w:w="946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1560"/>
        <w:gridCol w:w="1412"/>
        <w:gridCol w:w="1423"/>
        <w:gridCol w:w="1275"/>
        <w:gridCol w:w="1001"/>
        <w:gridCol w:w="15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blHeader/>
        </w:trPr>
        <w:tc>
          <w:tcPr>
            <w:tcW w:w="1242" w:type="dxa"/>
            <w:tcBorders>
              <w:top w:val="single" w:color="auto" w:sz="2" w:space="0"/>
              <w:left w:val="single" w:color="auto" w:sz="2" w:space="0"/>
              <w:bottom w:val="single" w:color="auto" w:sz="2" w:space="0"/>
              <w:right w:val="single" w:color="auto" w:sz="2" w:space="0"/>
              <w:tl2br w:val="single" w:color="auto" w:sz="4" w:space="0"/>
            </w:tcBorders>
            <w:vAlign w:val="center"/>
          </w:tcPr>
          <w:p>
            <w:pPr>
              <w:pStyle w:val="37"/>
              <w:rPr>
                <w:kern w:val="0"/>
              </w:rPr>
            </w:pPr>
            <w:r>
              <w:rPr>
                <w:rFonts w:hint="eastAsia"/>
                <w:kern w:val="0"/>
              </w:rPr>
              <w:t>时间（</w:t>
            </w:r>
            <w:r>
              <w:rPr>
                <w:kern w:val="0"/>
              </w:rPr>
              <w:t>d</w:t>
            </w:r>
            <w:r>
              <w:rPr>
                <w:rFonts w:hint="eastAsia"/>
                <w:kern w:val="0"/>
              </w:rPr>
              <w:t>）</w:t>
            </w:r>
          </w:p>
          <w:p>
            <w:pPr>
              <w:pStyle w:val="37"/>
              <w:rPr>
                <w:kern w:val="0"/>
              </w:rPr>
            </w:pPr>
            <w:r>
              <w:rPr>
                <w:rFonts w:hint="eastAsia"/>
                <w:kern w:val="0"/>
              </w:rPr>
              <w:t>距离（</w:t>
            </w:r>
            <w:r>
              <w:rPr>
                <w:kern w:val="0"/>
              </w:rPr>
              <w:t>m</w:t>
            </w:r>
            <w:r>
              <w:rPr>
                <w:rFonts w:hint="eastAsia"/>
                <w:kern w:val="0"/>
              </w:rPr>
              <w:t>）</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3</w:t>
            </w:r>
            <w:r>
              <w:rPr>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40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50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0.484716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0.0006695837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3.304024E-16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0.4948399</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0.118916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5.482077E-06</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0.495868</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1.954881E-15</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0.3562017</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0.005188478</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0.4959843</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5.05529E-08</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0.4628636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1.652012E-16</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0.07869301</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0.4959981</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1100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0.000115406</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0.4897139</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4.911005E-10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0.248</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0.4959998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1300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0.006286114</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0.4949418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1.922276E-06</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0.3932744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4.913606E-12</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0.05472653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0.0002705572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2.766157E-08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5.371792E-14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4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2000</w:t>
            </w:r>
          </w:p>
        </w:tc>
        <w:tc>
          <w:tcPr>
            <w:tcW w:w="156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3"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275"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00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551"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r>
    </w:tbl>
    <w:p>
      <w:pPr>
        <w:ind w:firstLine="482"/>
        <w:rPr>
          <w:b/>
        </w:rPr>
      </w:pPr>
      <w:r>
        <w:rPr>
          <w:rFonts w:hint="eastAsia"/>
          <w:b/>
        </w:rPr>
        <w:t>表</w:t>
      </w:r>
      <w:r>
        <w:rPr>
          <w:b/>
        </w:rPr>
        <w:fldChar w:fldCharType="begin"/>
      </w:r>
      <w:r>
        <w:rPr>
          <w:b/>
        </w:rPr>
        <w:instrText xml:space="preserve"> </w:instrText>
      </w:r>
      <w:r>
        <w:rPr>
          <w:rFonts w:hint="eastAsia"/>
          <w:b/>
        </w:rPr>
        <w:instrText xml:space="preserve">STYLEREF 2 \s</w:instrText>
      </w:r>
      <w:r>
        <w:rPr>
          <w:b/>
        </w:rPr>
        <w:instrText xml:space="preserve"> </w:instrText>
      </w:r>
      <w:r>
        <w:rPr>
          <w:b/>
        </w:rPr>
        <w:fldChar w:fldCharType="separate"/>
      </w:r>
      <w:r>
        <w:rPr>
          <w:b/>
        </w:rPr>
        <w:t>5.2</w:t>
      </w:r>
      <w:r>
        <w:rPr>
          <w:b/>
        </w:rPr>
        <w:fldChar w:fldCharType="end"/>
      </w:r>
      <w:r>
        <w:rPr>
          <w:b/>
        </w:rPr>
        <w:noBreakHyphen/>
      </w:r>
      <w:r>
        <w:rPr>
          <w:b/>
        </w:rPr>
        <w:fldChar w:fldCharType="begin"/>
      </w:r>
      <w:r>
        <w:rPr>
          <w:b/>
        </w:rPr>
        <w:instrText xml:space="preserve"> </w:instrText>
      </w:r>
      <w:r>
        <w:rPr>
          <w:rFonts w:hint="eastAsia"/>
          <w:b/>
        </w:rPr>
        <w:instrText xml:space="preserve">SEQ 表 \* ARABIC \s 2</w:instrText>
      </w:r>
      <w:r>
        <w:rPr>
          <w:b/>
        </w:rPr>
        <w:instrText xml:space="preserve"> </w:instrText>
      </w:r>
      <w:r>
        <w:rPr>
          <w:b/>
        </w:rPr>
        <w:fldChar w:fldCharType="separate"/>
      </w:r>
      <w:r>
        <w:rPr>
          <w:b/>
        </w:rPr>
        <w:t>4</w:t>
      </w:r>
      <w:r>
        <w:rPr>
          <w:b/>
        </w:rPr>
        <w:fldChar w:fldCharType="end"/>
      </w:r>
      <w:r>
        <w:rPr>
          <w:rFonts w:hint="eastAsia"/>
          <w:b/>
        </w:rPr>
        <w:t>防渗结构破损（</w:t>
      </w:r>
      <w:r>
        <w:rPr>
          <w:b/>
        </w:rPr>
        <w:t>5%</w:t>
      </w:r>
      <w:r>
        <w:rPr>
          <w:rFonts w:hint="eastAsia"/>
          <w:b/>
        </w:rPr>
        <w:t>）</w:t>
      </w:r>
      <w:r>
        <w:rPr>
          <w:rFonts w:hint="eastAsia" w:cs="宋体"/>
          <w:b/>
        </w:rPr>
        <w:t>380m处居民水井污染物浓度</w:t>
      </w:r>
      <w:r>
        <w:rPr>
          <w:rFonts w:hint="eastAsia"/>
          <w:b/>
        </w:rPr>
        <w:t>分布表   单位：</w:t>
      </w:r>
      <w:r>
        <w:rPr>
          <w:b/>
        </w:rPr>
        <w:t>mg/L</w:t>
      </w:r>
    </w:p>
    <w:tbl>
      <w:tblPr>
        <w:tblStyle w:val="36"/>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2"/>
        <w:gridCol w:w="2462"/>
        <w:gridCol w:w="24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tcBorders>
              <w:tl2br w:val="single" w:color="auto" w:sz="4" w:space="0"/>
            </w:tcBorders>
            <w:vAlign w:val="center"/>
          </w:tcPr>
          <w:p>
            <w:pPr>
              <w:spacing w:line="240" w:lineRule="auto"/>
              <w:ind w:firstLine="2040" w:firstLineChars="850"/>
              <w:jc w:val="center"/>
              <w:rPr>
                <w:rFonts w:ascii="Times New Roman" w:hAnsi="Times New Roman" w:cs="宋体"/>
              </w:rPr>
            </w:pPr>
            <w:r>
              <w:rPr>
                <w:rFonts w:hint="eastAsia" w:ascii="Times New Roman" w:hAnsi="Times New Roman" w:cs="宋体"/>
              </w:rPr>
              <w:t>污染物</w:t>
            </w:r>
          </w:p>
          <w:p>
            <w:pPr>
              <w:spacing w:line="240" w:lineRule="auto"/>
              <w:ind w:firstLine="120" w:firstLineChars="50"/>
              <w:jc w:val="center"/>
              <w:rPr>
                <w:rFonts w:ascii="Times New Roman" w:hAnsi="Times New Roman" w:cs="宋体"/>
              </w:rPr>
            </w:pPr>
            <w:r>
              <w:rPr>
                <w:rFonts w:hint="eastAsia" w:ascii="Times New Roman" w:hAnsi="Times New Roman" w:cs="宋体"/>
              </w:rPr>
              <w:t>时间（d）</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砷</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10</w:t>
            </w:r>
          </w:p>
        </w:tc>
        <w:tc>
          <w:tcPr>
            <w:tcW w:w="2462" w:type="dxa"/>
            <w:vAlign w:val="center"/>
          </w:tcPr>
          <w:p>
            <w:pPr>
              <w:spacing w:line="240" w:lineRule="auto"/>
              <w:ind w:firstLine="0" w:firstLineChars="0"/>
              <w:jc w:val="center"/>
              <w:rPr>
                <w:rFonts w:ascii="Times New Roman" w:hAnsi="Times New Roman" w:cs="宋体"/>
              </w:rPr>
            </w:pPr>
            <w:r>
              <w:rPr>
                <w:rFonts w:ascii="Times New Roman" w:hAnsi="Times New Roman" w:cs="宋体"/>
              </w:rPr>
              <w:t>1.191526E-12</w:t>
            </w:r>
          </w:p>
        </w:tc>
        <w:tc>
          <w:tcPr>
            <w:tcW w:w="2462" w:type="dxa"/>
            <w:vAlign w:val="center"/>
          </w:tcPr>
          <w:p>
            <w:pPr>
              <w:spacing w:line="240" w:lineRule="auto"/>
              <w:ind w:firstLine="0" w:firstLineChars="0"/>
              <w:jc w:val="center"/>
              <w:rPr>
                <w:rFonts w:ascii="Times New Roman" w:hAnsi="Times New Roman" w:cs="宋体"/>
              </w:rPr>
            </w:pPr>
            <w:r>
              <w:rPr>
                <w:rFonts w:ascii="Times New Roman" w:hAnsi="Times New Roman" w:cs="宋体"/>
              </w:rPr>
              <w:t>6.389156E-13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20</w:t>
            </w:r>
          </w:p>
        </w:tc>
        <w:tc>
          <w:tcPr>
            <w:tcW w:w="2462" w:type="dxa"/>
            <w:vAlign w:val="center"/>
          </w:tcPr>
          <w:p>
            <w:pPr>
              <w:spacing w:line="240" w:lineRule="auto"/>
              <w:ind w:firstLine="0" w:firstLineChars="0"/>
              <w:jc w:val="center"/>
              <w:rPr>
                <w:rFonts w:ascii="Times New Roman" w:hAnsi="Times New Roman" w:cs="宋体"/>
              </w:rPr>
            </w:pPr>
            <w:r>
              <w:rPr>
                <w:rFonts w:ascii="Times New Roman" w:hAnsi="Times New Roman" w:cs="宋体"/>
              </w:rPr>
              <w:t>0.9248118</w:t>
            </w:r>
          </w:p>
        </w:tc>
        <w:tc>
          <w:tcPr>
            <w:tcW w:w="2462" w:type="dxa"/>
            <w:vAlign w:val="center"/>
          </w:tcPr>
          <w:p>
            <w:pPr>
              <w:spacing w:line="240" w:lineRule="auto"/>
              <w:ind w:firstLine="0" w:firstLineChars="0"/>
              <w:jc w:val="center"/>
              <w:rPr>
                <w:rFonts w:ascii="Times New Roman" w:hAnsi="Times New Roman" w:cs="宋体"/>
              </w:rPr>
            </w:pPr>
            <w:r>
              <w:rPr>
                <w:rFonts w:ascii="Times New Roman" w:hAnsi="Times New Roman" w:cs="宋体"/>
              </w:rPr>
              <w:t>0.4958991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30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40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50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60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70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80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90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100</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0.925</w:t>
            </w:r>
          </w:p>
        </w:tc>
        <w:tc>
          <w:tcPr>
            <w:tcW w:w="2462" w:type="dxa"/>
            <w:vAlign w:val="center"/>
          </w:tcPr>
          <w:p>
            <w:pPr>
              <w:spacing w:line="240" w:lineRule="auto"/>
              <w:ind w:firstLine="0" w:firstLineChars="0"/>
              <w:jc w:val="center"/>
              <w:rPr>
                <w:rFonts w:ascii="Times New Roman" w:hAnsi="Times New Roman" w:cs="宋体"/>
              </w:rPr>
            </w:pPr>
            <w:r>
              <w:rPr>
                <w:rFonts w:hint="eastAsia" w:ascii="Times New Roman" w:hAnsi="Times New Roman" w:cs="宋体"/>
              </w:rPr>
              <w:t>0.496</w:t>
            </w:r>
          </w:p>
        </w:tc>
      </w:tr>
    </w:tbl>
    <w:p>
      <w:pPr>
        <w:ind w:firstLine="480"/>
        <w:rPr>
          <w:rFonts w:cs="宋体"/>
        </w:rPr>
      </w:pPr>
      <w:r>
        <w:rPr>
          <w:rFonts w:hint="eastAsia" w:cs="宋体"/>
        </w:rPr>
        <w:t>由以上预测结果可知，若发生固废淋滤液泄漏，可很快造成地下水的污染，导致铅、砷等污染物的污染</w:t>
      </w:r>
      <w:r>
        <w:rPr>
          <w:rFonts w:hint="eastAsia"/>
        </w:rPr>
        <w:t>，</w:t>
      </w:r>
      <w:r>
        <w:rPr>
          <w:rFonts w:hint="eastAsia" w:cs="宋体"/>
        </w:rPr>
        <w:t>随着时间的推移地下水下游其中砷的浓度将趋近0.925</w:t>
      </w:r>
      <w:r>
        <w:rPr>
          <w:rFonts w:cs="宋体"/>
        </w:rPr>
        <w:t>mg/L</w:t>
      </w:r>
      <w:r>
        <w:rPr>
          <w:rFonts w:hint="eastAsia" w:cs="宋体"/>
        </w:rPr>
        <w:t>，超出《地下水质量标准》（</w:t>
      </w:r>
      <w:r>
        <w:rPr>
          <w:rFonts w:cs="宋体"/>
        </w:rPr>
        <w:t>GB/T14848-93</w:t>
      </w:r>
      <w:r>
        <w:rPr>
          <w:rFonts w:hint="eastAsia" w:cs="宋体"/>
        </w:rPr>
        <w:t>）标准限值</w:t>
      </w:r>
      <w:r>
        <w:rPr>
          <w:rFonts w:cs="宋体"/>
        </w:rPr>
        <w:t>0.05mg/L</w:t>
      </w:r>
      <w:r>
        <w:rPr>
          <w:rFonts w:hint="eastAsia" w:cs="宋体"/>
        </w:rPr>
        <w:t>的18.5倍，铅的浓度将趋近0.496</w:t>
      </w:r>
      <w:r>
        <w:rPr>
          <w:rFonts w:cs="宋体"/>
        </w:rPr>
        <w:t>mg/L</w:t>
      </w:r>
      <w:r>
        <w:rPr>
          <w:rFonts w:hint="eastAsia" w:cs="宋体"/>
        </w:rPr>
        <w:t>，超出《地下水质量标准》（</w:t>
      </w:r>
      <w:r>
        <w:rPr>
          <w:rFonts w:cs="宋体"/>
        </w:rPr>
        <w:t>GB/T14848-93</w:t>
      </w:r>
      <w:r>
        <w:rPr>
          <w:rFonts w:hint="eastAsia" w:cs="宋体"/>
        </w:rPr>
        <w:t>）标准限值</w:t>
      </w:r>
      <w:r>
        <w:rPr>
          <w:rFonts w:cs="宋体"/>
        </w:rPr>
        <w:t>0.0</w:t>
      </w:r>
      <w:r>
        <w:rPr>
          <w:rFonts w:hint="eastAsia" w:cs="宋体"/>
        </w:rPr>
        <w:t>5</w:t>
      </w:r>
      <w:r>
        <w:rPr>
          <w:rFonts w:cs="宋体"/>
        </w:rPr>
        <w:t>mg/L</w:t>
      </w:r>
      <w:r>
        <w:rPr>
          <w:rFonts w:hint="eastAsia" w:cs="宋体"/>
        </w:rPr>
        <w:t>的9.92倍。且对项目地下水下游380m处居民水井产生较大污染，因此，建设单位应做好填埋场的防渗和发生事故的补救措施，防止项目对周边地下水环境的污染。</w:t>
      </w:r>
    </w:p>
    <w:p>
      <w:pPr>
        <w:ind w:firstLine="480"/>
        <w:rPr>
          <w:rFonts w:cs="宋体"/>
        </w:rPr>
      </w:pPr>
      <w:r>
        <w:rPr>
          <w:rFonts w:hint="eastAsia" w:cs="宋体"/>
        </w:rPr>
        <w:t>为最大程度的减少项目对地下水水质的影响，要求业主要严格按照环境保护的要求，要搭建遮雨棚，修建排水沟渠，硬化场地等措施，做好“防雨、防尘、防渗漏”工作，确保填埋的固体废物严格按照</w:t>
      </w:r>
      <w:r>
        <w:rPr>
          <w:rFonts w:cs="宋体"/>
        </w:rPr>
        <w:t>GB18599</w:t>
      </w:r>
      <w:r>
        <w:rPr>
          <w:rFonts w:hint="eastAsia" w:cs="宋体"/>
        </w:rPr>
        <w:t>－</w:t>
      </w:r>
      <w:r>
        <w:rPr>
          <w:rFonts w:cs="宋体"/>
        </w:rPr>
        <w:t>2001</w:t>
      </w:r>
      <w:r>
        <w:rPr>
          <w:rFonts w:hint="eastAsia" w:cs="宋体"/>
        </w:rPr>
        <w:t>《一般工业固体废物贮存、处置场污染控制标准》中</w:t>
      </w:r>
      <w:r>
        <w:rPr>
          <w:rFonts w:cs="宋体"/>
        </w:rPr>
        <w:t>II</w:t>
      </w:r>
      <w:r>
        <w:rPr>
          <w:rFonts w:hint="eastAsia" w:cs="宋体"/>
        </w:rPr>
        <w:t>类场的相关要求进行，避免一般固体废物及其渗滤液进入环境，对环境造成影响。</w:t>
      </w:r>
    </w:p>
    <w:p>
      <w:pPr>
        <w:ind w:firstLine="482"/>
        <w:rPr>
          <w:rFonts w:cs="宋体"/>
          <w:b/>
        </w:rPr>
      </w:pPr>
      <w:r>
        <w:rPr>
          <w:rFonts w:cs="宋体"/>
          <w:b/>
        </w:rPr>
        <w:t>3</w:t>
      </w:r>
      <w:r>
        <w:rPr>
          <w:rFonts w:hint="eastAsia" w:cs="宋体"/>
          <w:b/>
        </w:rPr>
        <w:t>）废水对地下水的影响</w:t>
      </w:r>
    </w:p>
    <w:p>
      <w:pPr>
        <w:ind w:firstLine="480"/>
        <w:rPr>
          <w:rFonts w:cs="宋体"/>
        </w:rPr>
      </w:pPr>
      <w:r>
        <w:rPr>
          <w:rFonts w:hint="eastAsia" w:cs="宋体"/>
        </w:rPr>
        <w:t>①正常情况下</w:t>
      </w:r>
    </w:p>
    <w:p>
      <w:pPr>
        <w:ind w:firstLine="480"/>
        <w:rPr>
          <w:rFonts w:cs="宋体"/>
        </w:rPr>
      </w:pPr>
      <w:r>
        <w:rPr>
          <w:rFonts w:hint="eastAsia" w:cs="宋体"/>
        </w:rPr>
        <w:t>本项目产生废水包括雨水和生活污水等。填埋场生活污水产生总量为</w:t>
      </w:r>
      <w:r>
        <w:rPr>
          <w:rFonts w:cs="宋体"/>
        </w:rPr>
        <w:t>19.2m</w:t>
      </w:r>
      <w:r>
        <w:rPr>
          <w:rFonts w:cs="宋体"/>
          <w:vertAlign w:val="superscript"/>
        </w:rPr>
        <w:t>3</w:t>
      </w:r>
      <w:r>
        <w:rPr>
          <w:rFonts w:hint="eastAsia" w:cs="宋体"/>
        </w:rPr>
        <w:t>，主要污染物为</w:t>
      </w:r>
      <w:r>
        <w:rPr>
          <w:rFonts w:cs="宋体"/>
        </w:rPr>
        <w:t>COD</w:t>
      </w:r>
      <w:r>
        <w:rPr>
          <w:rFonts w:hint="eastAsia" w:cs="宋体"/>
        </w:rPr>
        <w:t>、</w:t>
      </w:r>
      <w:r>
        <w:rPr>
          <w:rFonts w:cs="宋体"/>
        </w:rPr>
        <w:t>BOD</w:t>
      </w:r>
      <w:r>
        <w:rPr>
          <w:rFonts w:cs="宋体"/>
          <w:vertAlign w:val="subscript"/>
        </w:rPr>
        <w:t>5</w:t>
      </w:r>
      <w:r>
        <w:rPr>
          <w:rFonts w:hint="eastAsia" w:cs="宋体"/>
        </w:rPr>
        <w:t>、</w:t>
      </w:r>
      <w:r>
        <w:rPr>
          <w:rFonts w:cs="宋体"/>
        </w:rPr>
        <w:t>SS</w:t>
      </w:r>
      <w:r>
        <w:rPr>
          <w:rFonts w:hint="eastAsia" w:cs="宋体"/>
        </w:rPr>
        <w:t>、氨氮等，经当地民房及采石场原有化粪池消解处理后清掏。</w:t>
      </w:r>
    </w:p>
    <w:p>
      <w:pPr>
        <w:ind w:firstLine="480"/>
        <w:rPr>
          <w:rFonts w:cs="宋体"/>
        </w:rPr>
      </w:pPr>
      <w:r>
        <w:rPr>
          <w:rFonts w:hint="eastAsia" w:cs="宋体"/>
        </w:rPr>
        <w:t>对于由于降水产生的初期雨水，项目拟修建完善的雨水汇集及排雨水设施，将雨水收集直接排出厂区界外。另外，项目厂区采取二级防渗，渗透性能低，防污能力好，因渗透对的地下水影响很小。</w:t>
      </w:r>
    </w:p>
    <w:p>
      <w:pPr>
        <w:ind w:firstLine="480"/>
        <w:rPr>
          <w:rFonts w:cs="宋体"/>
        </w:rPr>
      </w:pPr>
      <w:r>
        <w:rPr>
          <w:rFonts w:hint="eastAsia" w:cs="宋体"/>
        </w:rPr>
        <w:t>综上所述，项目正常运行情况下，产生废水对地下水环境影响小。</w:t>
      </w:r>
    </w:p>
    <w:p>
      <w:pPr>
        <w:ind w:firstLine="480"/>
        <w:rPr>
          <w:rFonts w:cs="宋体"/>
        </w:rPr>
      </w:pPr>
      <w:r>
        <w:rPr>
          <w:rFonts w:hint="eastAsia" w:cs="宋体"/>
        </w:rPr>
        <w:t>②项目废水事故排放情况下</w:t>
      </w:r>
    </w:p>
    <w:p>
      <w:pPr>
        <w:ind w:firstLine="480"/>
        <w:rPr>
          <w:rFonts w:cs="宋体"/>
        </w:rPr>
      </w:pPr>
      <w:r>
        <w:rPr>
          <w:rFonts w:cs="宋体"/>
        </w:rPr>
        <w:t>A</w:t>
      </w:r>
      <w:r>
        <w:rPr>
          <w:rFonts w:hint="eastAsia" w:cs="宋体"/>
        </w:rPr>
        <w:t>污染源强</w:t>
      </w:r>
    </w:p>
    <w:p>
      <w:pPr>
        <w:ind w:firstLine="480"/>
        <w:rPr>
          <w:rFonts w:cs="宋体"/>
        </w:rPr>
      </w:pPr>
      <w:r>
        <w:rPr>
          <w:rFonts w:hint="eastAsia" w:cs="宋体"/>
        </w:rPr>
        <w:t>渗滤液：渗漏量按收集池容积</w:t>
      </w:r>
      <w:r>
        <w:rPr>
          <w:rFonts w:cs="宋体"/>
        </w:rPr>
        <w:t>90m</w:t>
      </w:r>
      <w:r>
        <w:rPr>
          <w:rFonts w:cs="宋体"/>
          <w:vertAlign w:val="superscript"/>
        </w:rPr>
        <w:t>3</w:t>
      </w:r>
      <w:r>
        <w:rPr>
          <w:rFonts w:hint="eastAsia" w:cs="宋体"/>
        </w:rPr>
        <w:t>计，主要污染物为铅、砷等。</w:t>
      </w:r>
    </w:p>
    <w:p>
      <w:pPr>
        <w:ind w:firstLine="480"/>
        <w:rPr>
          <w:rFonts w:cs="宋体"/>
        </w:rPr>
      </w:pPr>
      <w:r>
        <w:rPr>
          <w:rFonts w:hint="eastAsia" w:cs="宋体"/>
        </w:rPr>
        <w:t>当渗滤液出现渗漏时。根据工程分析，确定本项目非正常情况下废（污）水污染源源强如表</w:t>
      </w:r>
      <w:r>
        <w:rPr>
          <w:rFonts w:cs="宋体"/>
        </w:rPr>
        <w:t xml:space="preserve"> 5.2-</w:t>
      </w:r>
      <w:r>
        <w:rPr>
          <w:rFonts w:hint="eastAsia" w:cs="宋体"/>
        </w:rPr>
        <w:t>5。</w:t>
      </w:r>
    </w:p>
    <w:p>
      <w:pPr>
        <w:pStyle w:val="14"/>
        <w:rPr>
          <w:b w:val="0"/>
        </w:rPr>
      </w:pPr>
      <w:bookmarkStart w:id="148" w:name="_Toc429308328"/>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r>
        <w:rPr>
          <w:rFonts w:hint="eastAsia"/>
          <w:b w:val="0"/>
        </w:rPr>
        <w:t>项目废（污）水事故排放源强表</w:t>
      </w:r>
      <w:bookmarkEnd w:id="148"/>
    </w:p>
    <w:tbl>
      <w:tblPr>
        <w:tblStyle w:val="35"/>
        <w:tblW w:w="9146"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884"/>
        <w:gridCol w:w="2027"/>
        <w:gridCol w:w="1198"/>
        <w:gridCol w:w="1419"/>
        <w:gridCol w:w="1290"/>
        <w:gridCol w:w="1328"/>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340" w:hRule="atLeast"/>
        </w:trPr>
        <w:tc>
          <w:tcPr>
            <w:tcW w:w="1884" w:type="dxa"/>
            <w:vMerge w:val="restart"/>
            <w:vAlign w:val="center"/>
          </w:tcPr>
          <w:p>
            <w:pPr>
              <w:pStyle w:val="37"/>
              <w:rPr>
                <w:kern w:val="0"/>
              </w:rPr>
            </w:pPr>
            <w:r>
              <w:rPr>
                <w:rFonts w:hint="eastAsia"/>
                <w:kern w:val="0"/>
              </w:rPr>
              <w:t>项目</w:t>
            </w:r>
          </w:p>
        </w:tc>
        <w:tc>
          <w:tcPr>
            <w:tcW w:w="2027" w:type="dxa"/>
            <w:vMerge w:val="restart"/>
            <w:vAlign w:val="center"/>
          </w:tcPr>
          <w:p>
            <w:pPr>
              <w:pStyle w:val="37"/>
              <w:rPr>
                <w:rFonts w:eastAsia="Times New Roman"/>
                <w:kern w:val="0"/>
              </w:rPr>
            </w:pPr>
            <w:r>
              <w:rPr>
                <w:rFonts w:hint="eastAsia"/>
                <w:kern w:val="0"/>
              </w:rPr>
              <w:t>污水量</w:t>
            </w:r>
            <w:r>
              <w:rPr>
                <w:kern w:val="0"/>
              </w:rPr>
              <w:t>m</w:t>
            </w:r>
            <w:r>
              <w:rPr>
                <w:kern w:val="0"/>
                <w:vertAlign w:val="superscript"/>
              </w:rPr>
              <w:t>3</w:t>
            </w:r>
          </w:p>
        </w:tc>
        <w:tc>
          <w:tcPr>
            <w:tcW w:w="2617" w:type="dxa"/>
            <w:gridSpan w:val="2"/>
            <w:vAlign w:val="center"/>
          </w:tcPr>
          <w:p>
            <w:pPr>
              <w:pStyle w:val="37"/>
              <w:rPr>
                <w:kern w:val="0"/>
              </w:rPr>
            </w:pPr>
            <w:r>
              <w:rPr>
                <w:rFonts w:hint="eastAsia"/>
                <w:kern w:val="0"/>
              </w:rPr>
              <w:t>砷</w:t>
            </w:r>
          </w:p>
        </w:tc>
        <w:tc>
          <w:tcPr>
            <w:tcW w:w="2618" w:type="dxa"/>
            <w:gridSpan w:val="2"/>
            <w:vAlign w:val="top"/>
          </w:tcPr>
          <w:p>
            <w:pPr>
              <w:pStyle w:val="37"/>
              <w:rPr>
                <w:kern w:val="0"/>
              </w:rPr>
            </w:pPr>
            <w:r>
              <w:rPr>
                <w:rFonts w:hint="eastAsia"/>
                <w:kern w:val="0"/>
              </w:rPr>
              <w:t>铅</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340" w:hRule="atLeast"/>
        </w:trPr>
        <w:tc>
          <w:tcPr>
            <w:tcW w:w="1884" w:type="dxa"/>
            <w:vMerge w:val="continue"/>
            <w:vAlign w:val="center"/>
          </w:tcPr>
          <w:p>
            <w:pPr>
              <w:pStyle w:val="37"/>
              <w:rPr>
                <w:kern w:val="0"/>
              </w:rPr>
            </w:pPr>
          </w:p>
        </w:tc>
        <w:tc>
          <w:tcPr>
            <w:tcW w:w="2027" w:type="dxa"/>
            <w:vMerge w:val="continue"/>
            <w:vAlign w:val="center"/>
          </w:tcPr>
          <w:p>
            <w:pPr>
              <w:pStyle w:val="37"/>
              <w:rPr>
                <w:kern w:val="0"/>
              </w:rPr>
            </w:pPr>
          </w:p>
        </w:tc>
        <w:tc>
          <w:tcPr>
            <w:tcW w:w="1198" w:type="dxa"/>
            <w:vAlign w:val="center"/>
          </w:tcPr>
          <w:p>
            <w:pPr>
              <w:pStyle w:val="37"/>
              <w:rPr>
                <w:kern w:val="0"/>
              </w:rPr>
            </w:pPr>
            <w:r>
              <w:rPr>
                <w:kern w:val="0"/>
              </w:rPr>
              <w:t>mg/L</w:t>
            </w:r>
          </w:p>
        </w:tc>
        <w:tc>
          <w:tcPr>
            <w:tcW w:w="1419" w:type="dxa"/>
            <w:vAlign w:val="center"/>
          </w:tcPr>
          <w:p>
            <w:pPr>
              <w:pStyle w:val="37"/>
              <w:rPr>
                <w:kern w:val="0"/>
              </w:rPr>
            </w:pPr>
            <w:r>
              <w:rPr>
                <w:rFonts w:hint="eastAsia"/>
                <w:kern w:val="0"/>
              </w:rPr>
              <w:t>k</w:t>
            </w:r>
            <w:r>
              <w:rPr>
                <w:kern w:val="0"/>
              </w:rPr>
              <w:t>g</w:t>
            </w:r>
          </w:p>
        </w:tc>
        <w:tc>
          <w:tcPr>
            <w:tcW w:w="1290" w:type="dxa"/>
            <w:tcBorders>
              <w:right w:val="single" w:color="auto" w:sz="4" w:space="0"/>
            </w:tcBorders>
            <w:vAlign w:val="center"/>
          </w:tcPr>
          <w:p>
            <w:pPr>
              <w:pStyle w:val="37"/>
              <w:rPr>
                <w:kern w:val="0"/>
              </w:rPr>
            </w:pPr>
            <w:r>
              <w:rPr>
                <w:kern w:val="0"/>
              </w:rPr>
              <w:t>mg/L</w:t>
            </w:r>
          </w:p>
        </w:tc>
        <w:tc>
          <w:tcPr>
            <w:tcW w:w="1328" w:type="dxa"/>
            <w:tcBorders>
              <w:left w:val="single" w:color="auto" w:sz="4" w:space="0"/>
            </w:tcBorders>
            <w:vAlign w:val="center"/>
          </w:tcPr>
          <w:p>
            <w:pPr>
              <w:pStyle w:val="37"/>
              <w:rPr>
                <w:kern w:val="0"/>
              </w:rPr>
            </w:pPr>
            <w:r>
              <w:rPr>
                <w:rFonts w:hint="eastAsia"/>
                <w:kern w:val="0"/>
              </w:rPr>
              <w:t>k</w:t>
            </w:r>
            <w:r>
              <w:rPr>
                <w:kern w:val="0"/>
              </w:rPr>
              <w:t>g</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Ex>
        <w:trPr>
          <w:trHeight w:val="340" w:hRule="atLeast"/>
        </w:trPr>
        <w:tc>
          <w:tcPr>
            <w:tcW w:w="1884" w:type="dxa"/>
            <w:vAlign w:val="center"/>
          </w:tcPr>
          <w:p>
            <w:pPr>
              <w:pStyle w:val="37"/>
              <w:rPr>
                <w:kern w:val="0"/>
              </w:rPr>
            </w:pPr>
            <w:r>
              <w:rPr>
                <w:rFonts w:hint="eastAsia"/>
                <w:kern w:val="0"/>
              </w:rPr>
              <w:t>渗滤液</w:t>
            </w:r>
          </w:p>
        </w:tc>
        <w:tc>
          <w:tcPr>
            <w:tcW w:w="2027" w:type="dxa"/>
            <w:vAlign w:val="center"/>
          </w:tcPr>
          <w:p>
            <w:pPr>
              <w:pStyle w:val="37"/>
              <w:rPr>
                <w:kern w:val="0"/>
              </w:rPr>
            </w:pPr>
            <w:r>
              <w:rPr>
                <w:kern w:val="0"/>
              </w:rPr>
              <w:t>90</w:t>
            </w:r>
          </w:p>
        </w:tc>
        <w:tc>
          <w:tcPr>
            <w:tcW w:w="1198" w:type="dxa"/>
            <w:vAlign w:val="center"/>
          </w:tcPr>
          <w:p>
            <w:pPr>
              <w:pStyle w:val="37"/>
              <w:rPr>
                <w:kern w:val="0"/>
              </w:rPr>
            </w:pPr>
            <w:r>
              <w:rPr>
                <w:rFonts w:hint="eastAsia"/>
                <w:kern w:val="0"/>
              </w:rPr>
              <w:t>0.925</w:t>
            </w:r>
          </w:p>
        </w:tc>
        <w:tc>
          <w:tcPr>
            <w:tcW w:w="1419" w:type="dxa"/>
            <w:vAlign w:val="center"/>
          </w:tcPr>
          <w:p>
            <w:pPr>
              <w:pStyle w:val="37"/>
              <w:rPr>
                <w:kern w:val="0"/>
              </w:rPr>
            </w:pPr>
            <w:r>
              <w:rPr>
                <w:rFonts w:hint="eastAsia"/>
                <w:kern w:val="0"/>
              </w:rPr>
              <w:t>0.08325</w:t>
            </w:r>
          </w:p>
        </w:tc>
        <w:tc>
          <w:tcPr>
            <w:tcW w:w="1290" w:type="dxa"/>
            <w:tcBorders>
              <w:right w:val="single" w:color="auto" w:sz="4" w:space="0"/>
            </w:tcBorders>
            <w:vAlign w:val="center"/>
          </w:tcPr>
          <w:p>
            <w:pPr>
              <w:pStyle w:val="37"/>
              <w:rPr>
                <w:kern w:val="0"/>
              </w:rPr>
            </w:pPr>
            <w:r>
              <w:rPr>
                <w:rFonts w:hint="eastAsia"/>
                <w:kern w:val="0"/>
              </w:rPr>
              <w:t>0.496</w:t>
            </w:r>
          </w:p>
        </w:tc>
        <w:tc>
          <w:tcPr>
            <w:tcW w:w="1328" w:type="dxa"/>
            <w:tcBorders>
              <w:left w:val="single" w:color="auto" w:sz="4" w:space="0"/>
            </w:tcBorders>
            <w:vAlign w:val="center"/>
          </w:tcPr>
          <w:p>
            <w:pPr>
              <w:pStyle w:val="37"/>
              <w:rPr>
                <w:kern w:val="0"/>
              </w:rPr>
            </w:pPr>
            <w:r>
              <w:rPr>
                <w:rFonts w:hint="eastAsia"/>
                <w:kern w:val="0"/>
              </w:rPr>
              <w:t>0.04464</w:t>
            </w:r>
          </w:p>
        </w:tc>
      </w:tr>
    </w:tbl>
    <w:p>
      <w:pPr>
        <w:ind w:firstLine="480"/>
        <w:rPr>
          <w:rFonts w:cs="宋体"/>
        </w:rPr>
      </w:pPr>
      <w:r>
        <w:rPr>
          <w:rFonts w:hint="eastAsia" w:cs="宋体"/>
        </w:rPr>
        <w:t>当渗滤液收集池泄漏导致事故排放时，废水流入填埋场北面，而后向西北约</w:t>
      </w:r>
      <w:r>
        <w:rPr>
          <w:rFonts w:cs="宋体"/>
        </w:rPr>
        <w:t>3km</w:t>
      </w:r>
      <w:r>
        <w:rPr>
          <w:rFonts w:hint="eastAsia" w:cs="宋体"/>
        </w:rPr>
        <w:t>距离汇入白泥湖，流动过程中会渗入包气带和含水层而污染地下水，可能造成地下水铅、砷等浓度有所升高。</w:t>
      </w:r>
    </w:p>
    <w:p>
      <w:pPr>
        <w:ind w:firstLine="480"/>
        <w:rPr>
          <w:rFonts w:cs="宋体"/>
        </w:rPr>
      </w:pPr>
      <w:r>
        <w:rPr>
          <w:rFonts w:cs="宋体"/>
        </w:rPr>
        <w:t>B</w:t>
      </w:r>
      <w:r>
        <w:rPr>
          <w:rFonts w:hint="eastAsia" w:cs="宋体"/>
        </w:rPr>
        <w:t>预测模式</w:t>
      </w:r>
    </w:p>
    <w:p>
      <w:pPr>
        <w:ind w:firstLine="480"/>
        <w:rPr>
          <w:rFonts w:cs="宋体"/>
        </w:rPr>
      </w:pPr>
      <w:r>
        <w:rPr>
          <w:rFonts w:hint="eastAsia" w:cs="宋体"/>
        </w:rPr>
        <w:t>根据《环境影响评价技术导则地下水环境》（</w:t>
      </w:r>
      <w:r>
        <w:rPr>
          <w:rFonts w:cs="宋体"/>
        </w:rPr>
        <w:t>HJ610-2011</w:t>
      </w:r>
      <w:r>
        <w:rPr>
          <w:rFonts w:hint="eastAsia" w:cs="宋体"/>
        </w:rPr>
        <w:t>）附录中公式：（</w:t>
      </w:r>
      <w:r>
        <w:rPr>
          <w:rFonts w:cs="宋体"/>
        </w:rPr>
        <w:t>F13</w:t>
      </w:r>
      <w:r>
        <w:rPr>
          <w:rFonts w:hint="eastAsia" w:cs="宋体"/>
        </w:rPr>
        <w:t>）：</w:t>
      </w:r>
    </w:p>
    <w:p>
      <w:pPr>
        <w:ind w:firstLine="480"/>
        <w:jc w:val="center"/>
        <w:rPr>
          <w:rFonts w:cs="宋体"/>
        </w:rPr>
      </w:pPr>
      <w:r>
        <w:rPr>
          <w:rFonts w:ascii="Times New Roman" w:hAnsi="Times New Roman" w:eastAsia="宋体" w:cs="宋体"/>
          <w:kern w:val="2"/>
          <w:sz w:val="24"/>
          <w:szCs w:val="21"/>
          <w:lang w:val="en-US" w:eastAsia="zh-CN" w:bidi="ar-SA"/>
        </w:rPr>
        <w:pict>
          <v:shape id="图片 16" o:spid="_x0000_s1116" type="#_x0000_t75" style="height:47.25pt;width:156.75pt;rotation:0f;" o:ole="f" fillcolor="#FFFFFF" filled="f" o:preferrelative="t" stroked="f" coordorigin="0,0" coordsize="21600,21600">
            <v:fill on="f" color2="#FFFFFF" focus="0%"/>
            <v:imagedata gain="65536f" blacklevel="0f" gamma="0" o:title="" r:id="rId54"/>
            <o:lock v:ext="edit" position="f" selection="f" grouping="f" rotation="f" cropping="f" text="f" aspectratio="t"/>
            <w10:wrap type="none"/>
            <w10:anchorlock/>
          </v:shape>
        </w:pict>
      </w:r>
    </w:p>
    <w:p>
      <w:pPr>
        <w:ind w:firstLine="480"/>
        <w:rPr>
          <w:rFonts w:cs="宋体"/>
        </w:rPr>
      </w:pPr>
      <w:r>
        <w:rPr>
          <w:rFonts w:hint="eastAsia" w:cs="宋体"/>
        </w:rPr>
        <w:t>式中：</w:t>
      </w:r>
    </w:p>
    <w:p>
      <w:pPr>
        <w:ind w:firstLine="480"/>
        <w:rPr>
          <w:rFonts w:cs="宋体"/>
        </w:rPr>
      </w:pPr>
      <w:r>
        <w:rPr>
          <w:rFonts w:cs="宋体"/>
        </w:rPr>
        <w:t>x—</w:t>
      </w:r>
      <w:r>
        <w:rPr>
          <w:rFonts w:hint="eastAsia" w:cs="宋体"/>
        </w:rPr>
        <w:t>距排污点的距离；</w:t>
      </w:r>
      <w:r>
        <w:rPr>
          <w:rFonts w:cs="宋体"/>
        </w:rPr>
        <w:t>m</w:t>
      </w:r>
      <w:r>
        <w:rPr>
          <w:rFonts w:hint="eastAsia" w:cs="宋体"/>
        </w:rPr>
        <w:t>；</w:t>
      </w:r>
    </w:p>
    <w:p>
      <w:pPr>
        <w:ind w:firstLine="480"/>
        <w:rPr>
          <w:rFonts w:cs="宋体"/>
        </w:rPr>
      </w:pPr>
      <w:r>
        <w:rPr>
          <w:rFonts w:cs="宋体"/>
        </w:rPr>
        <w:t>t—</w:t>
      </w:r>
      <w:r>
        <w:rPr>
          <w:rFonts w:hint="eastAsia" w:cs="宋体"/>
        </w:rPr>
        <w:t>时间，</w:t>
      </w:r>
      <w:r>
        <w:rPr>
          <w:rFonts w:cs="宋体"/>
        </w:rPr>
        <w:t>d</w:t>
      </w:r>
      <w:r>
        <w:rPr>
          <w:rFonts w:hint="eastAsia" w:cs="宋体"/>
        </w:rPr>
        <w:t>；</w:t>
      </w:r>
    </w:p>
    <w:p>
      <w:pPr>
        <w:ind w:firstLine="480"/>
        <w:rPr>
          <w:rFonts w:cs="宋体"/>
        </w:rPr>
      </w:pPr>
      <w:r>
        <w:rPr>
          <w:rFonts w:cs="宋体"/>
        </w:rPr>
        <w:t>C</w:t>
      </w:r>
      <w:r>
        <w:rPr>
          <w:rFonts w:hint="eastAsia" w:cs="宋体"/>
        </w:rPr>
        <w:t>（</w:t>
      </w:r>
      <w:r>
        <w:rPr>
          <w:rFonts w:cs="宋体"/>
        </w:rPr>
        <w:t>x</w:t>
      </w:r>
      <w:r>
        <w:rPr>
          <w:rFonts w:hint="eastAsia" w:cs="宋体"/>
        </w:rPr>
        <w:t>，</w:t>
      </w:r>
      <w:r>
        <w:rPr>
          <w:rFonts w:cs="宋体"/>
        </w:rPr>
        <w:t>t</w:t>
      </w:r>
      <w:r>
        <w:rPr>
          <w:rFonts w:hint="eastAsia" w:cs="宋体"/>
        </w:rPr>
        <w:t>）</w:t>
      </w:r>
      <w:r>
        <w:rPr>
          <w:rFonts w:cs="宋体"/>
        </w:rPr>
        <w:t>—t</w:t>
      </w:r>
      <w:r>
        <w:rPr>
          <w:rFonts w:hint="eastAsia" w:cs="宋体"/>
        </w:rPr>
        <w:t>时刻</w:t>
      </w:r>
      <w:r>
        <w:rPr>
          <w:rFonts w:cs="宋体"/>
        </w:rPr>
        <w:t>x</w:t>
      </w:r>
      <w:r>
        <w:rPr>
          <w:rFonts w:hint="eastAsia" w:cs="宋体"/>
        </w:rPr>
        <w:t>处的污染物浓度，</w:t>
      </w:r>
      <w:r>
        <w:rPr>
          <w:rFonts w:cs="宋体"/>
        </w:rPr>
        <w:t>mg/L</w:t>
      </w:r>
      <w:r>
        <w:rPr>
          <w:rFonts w:hint="eastAsia" w:cs="宋体"/>
        </w:rPr>
        <w:t>；</w:t>
      </w:r>
    </w:p>
    <w:p>
      <w:pPr>
        <w:ind w:firstLine="480"/>
        <w:rPr>
          <w:rFonts w:cs="宋体"/>
        </w:rPr>
      </w:pPr>
      <w:r>
        <w:rPr>
          <w:rFonts w:cs="宋体"/>
        </w:rPr>
        <w:t>m—</w:t>
      </w:r>
      <w:r>
        <w:rPr>
          <w:rFonts w:hint="eastAsia" w:cs="宋体"/>
        </w:rPr>
        <w:t>注入污染物质量，</w:t>
      </w:r>
      <w:r>
        <w:rPr>
          <w:rFonts w:cs="宋体"/>
        </w:rPr>
        <w:t>g</w:t>
      </w:r>
      <w:r>
        <w:rPr>
          <w:rFonts w:hint="eastAsia" w:cs="宋体"/>
        </w:rPr>
        <w:t>；</w:t>
      </w:r>
    </w:p>
    <w:p>
      <w:pPr>
        <w:ind w:firstLine="480"/>
        <w:rPr>
          <w:rFonts w:cs="宋体"/>
        </w:rPr>
      </w:pPr>
      <w:r>
        <w:rPr>
          <w:rFonts w:cs="宋体"/>
        </w:rPr>
        <w:t>W—</w:t>
      </w:r>
      <w:r>
        <w:rPr>
          <w:rFonts w:hint="eastAsia" w:cs="宋体"/>
        </w:rPr>
        <w:t>横截面积，</w:t>
      </w:r>
      <w:r>
        <w:rPr>
          <w:rFonts w:cs="宋体"/>
        </w:rPr>
        <w:t>m</w:t>
      </w:r>
      <w:r>
        <w:rPr>
          <w:rFonts w:cs="宋体"/>
          <w:vertAlign w:val="superscript"/>
        </w:rPr>
        <w:t>2</w:t>
      </w:r>
      <w:r>
        <w:rPr>
          <w:rFonts w:hint="eastAsia" w:cs="宋体"/>
        </w:rPr>
        <w:t>，取</w:t>
      </w:r>
      <w:r>
        <w:rPr>
          <w:rFonts w:cs="宋体"/>
        </w:rPr>
        <w:t>10</w:t>
      </w:r>
      <w:r>
        <w:rPr>
          <w:rFonts w:hint="eastAsia" w:cs="宋体"/>
        </w:rPr>
        <w:t>；</w:t>
      </w:r>
    </w:p>
    <w:p>
      <w:pPr>
        <w:ind w:firstLine="480"/>
        <w:rPr>
          <w:rFonts w:cs="宋体"/>
        </w:rPr>
      </w:pPr>
      <w:r>
        <w:rPr>
          <w:rFonts w:cs="宋体"/>
        </w:rPr>
        <w:t>u—</w:t>
      </w:r>
      <w:r>
        <w:rPr>
          <w:rFonts w:hint="eastAsia" w:cs="宋体"/>
        </w:rPr>
        <w:t>水流速度，</w:t>
      </w:r>
      <w:r>
        <w:rPr>
          <w:rFonts w:cs="宋体"/>
        </w:rPr>
        <w:t>m/d</w:t>
      </w:r>
      <w:r>
        <w:rPr>
          <w:rFonts w:hint="eastAsia" w:cs="宋体"/>
        </w:rPr>
        <w:t>；</w:t>
      </w:r>
    </w:p>
    <w:p>
      <w:pPr>
        <w:ind w:firstLine="480"/>
        <w:rPr>
          <w:rFonts w:cs="宋体"/>
        </w:rPr>
      </w:pPr>
      <w:r>
        <w:rPr>
          <w:rFonts w:cs="宋体"/>
        </w:rPr>
        <w:t>n—</w:t>
      </w:r>
      <w:r>
        <w:rPr>
          <w:rFonts w:hint="eastAsia" w:cs="宋体"/>
        </w:rPr>
        <w:t>有效孔隙度，无量纲；</w:t>
      </w:r>
    </w:p>
    <w:p>
      <w:pPr>
        <w:ind w:firstLine="480"/>
        <w:rPr>
          <w:rFonts w:cs="宋体"/>
        </w:rPr>
      </w:pPr>
      <w:r>
        <w:rPr>
          <w:rFonts w:cs="宋体"/>
        </w:rPr>
        <w:t>D</w:t>
      </w:r>
      <w:r>
        <w:rPr>
          <w:rFonts w:cs="宋体"/>
          <w:vertAlign w:val="subscript"/>
        </w:rPr>
        <w:t>L</w:t>
      </w:r>
      <w:r>
        <w:rPr>
          <w:rFonts w:cs="宋体"/>
        </w:rPr>
        <w:t>—</w:t>
      </w:r>
      <w:r>
        <w:rPr>
          <w:rFonts w:hint="eastAsia" w:cs="宋体"/>
        </w:rPr>
        <w:t>纵向弥散系数，</w:t>
      </w:r>
      <w:r>
        <w:rPr>
          <w:rFonts w:cs="宋体"/>
        </w:rPr>
        <w:t>m</w:t>
      </w:r>
      <w:r>
        <w:rPr>
          <w:rFonts w:cs="宋体"/>
          <w:vertAlign w:val="superscript"/>
        </w:rPr>
        <w:t>2</w:t>
      </w:r>
      <w:r>
        <w:rPr>
          <w:rFonts w:cs="宋体"/>
        </w:rPr>
        <w:t>/d</w:t>
      </w:r>
      <w:r>
        <w:rPr>
          <w:rFonts w:hint="eastAsia" w:cs="宋体"/>
        </w:rPr>
        <w:t>；</w:t>
      </w:r>
    </w:p>
    <w:p>
      <w:pPr>
        <w:ind w:firstLine="480"/>
        <w:rPr>
          <w:rFonts w:cs="宋体"/>
        </w:rPr>
      </w:pPr>
      <w:r>
        <w:rPr>
          <w:rFonts w:hint="eastAsia" w:cs="宋体"/>
        </w:rPr>
        <w:t>π</w:t>
      </w:r>
      <w:r>
        <w:rPr>
          <w:rFonts w:cs="宋体"/>
        </w:rPr>
        <w:t>—</w:t>
      </w:r>
      <w:r>
        <w:rPr>
          <w:rFonts w:hint="eastAsia" w:cs="宋体"/>
        </w:rPr>
        <w:t>圆周率；</w:t>
      </w:r>
    </w:p>
    <w:p>
      <w:pPr>
        <w:ind w:firstLine="480"/>
        <w:rPr>
          <w:rFonts w:cs="宋体"/>
        </w:rPr>
      </w:pPr>
      <w:r>
        <w:rPr>
          <w:rFonts w:hint="eastAsia" w:cs="宋体"/>
        </w:rPr>
        <w:t>经现场调查，建设项目场地含水层为</w:t>
      </w:r>
      <w:r>
        <w:rPr>
          <w:rFonts w:hint="eastAsia"/>
        </w:rPr>
        <w:t>奥陶系下统大湾组，</w:t>
      </w:r>
      <w:r>
        <w:rPr>
          <w:rFonts w:hint="eastAsia" w:cs="宋体"/>
        </w:rPr>
        <w:t>岩性为灰岩，类比有关试验数据：</w:t>
      </w:r>
    </w:p>
    <w:p>
      <w:pPr>
        <w:ind w:firstLine="480"/>
        <w:rPr>
          <w:rFonts w:cs="宋体"/>
        </w:rPr>
      </w:pPr>
      <w:r>
        <w:rPr>
          <w:rFonts w:cs="宋体"/>
        </w:rPr>
        <w:t>1</w:t>
      </w:r>
      <w:r>
        <w:rPr>
          <w:rFonts w:hint="eastAsia" w:cs="宋体"/>
        </w:rPr>
        <w:t>、地下水流动速度为</w:t>
      </w:r>
      <w:r>
        <w:rPr>
          <w:rFonts w:cs="宋体"/>
        </w:rPr>
        <w:t>u=</w:t>
      </w:r>
      <w:r>
        <w:rPr>
          <w:rFonts w:hint="eastAsia" w:cs="宋体"/>
        </w:rPr>
        <w:t>1</w:t>
      </w:r>
      <w:r>
        <w:rPr>
          <w:rFonts w:cs="宋体"/>
        </w:rPr>
        <w:t>m/h</w:t>
      </w:r>
      <w:r>
        <w:rPr>
          <w:rFonts w:hint="eastAsia" w:cs="宋体"/>
        </w:rPr>
        <w:t>（24</w:t>
      </w:r>
      <w:r>
        <w:rPr>
          <w:rFonts w:cs="宋体"/>
        </w:rPr>
        <w:t>m/d</w:t>
      </w:r>
      <w:r>
        <w:rPr>
          <w:rFonts w:hint="eastAsia" w:cs="宋体"/>
        </w:rPr>
        <w:t>）；</w:t>
      </w:r>
    </w:p>
    <w:p>
      <w:pPr>
        <w:ind w:firstLine="480"/>
        <w:rPr>
          <w:rFonts w:cs="宋体"/>
        </w:rPr>
      </w:pPr>
      <w:r>
        <w:rPr>
          <w:rFonts w:cs="宋体"/>
        </w:rPr>
        <w:t>2</w:t>
      </w:r>
      <w:r>
        <w:rPr>
          <w:rFonts w:hint="eastAsia" w:cs="宋体"/>
        </w:rPr>
        <w:t>、纵向弥散系数</w:t>
      </w:r>
      <w:r>
        <w:rPr>
          <w:rFonts w:cs="宋体"/>
        </w:rPr>
        <w:t>D</w:t>
      </w:r>
      <w:r>
        <w:rPr>
          <w:rFonts w:cs="宋体"/>
          <w:vertAlign w:val="subscript"/>
        </w:rPr>
        <w:t>L</w:t>
      </w:r>
      <w:r>
        <w:rPr>
          <w:rFonts w:cs="宋体"/>
        </w:rPr>
        <w:t>=</w:t>
      </w:r>
      <w:r>
        <w:rPr>
          <w:rFonts w:hint="eastAsia" w:cs="宋体"/>
        </w:rPr>
        <w:t>20</w:t>
      </w:r>
      <w:r>
        <w:rPr>
          <w:rFonts w:cs="宋体"/>
        </w:rPr>
        <w:t>(m</w:t>
      </w:r>
      <w:r>
        <w:rPr>
          <w:rFonts w:cs="宋体"/>
          <w:vertAlign w:val="superscript"/>
        </w:rPr>
        <w:t>2</w:t>
      </w:r>
      <w:r>
        <w:rPr>
          <w:rFonts w:cs="宋体"/>
        </w:rPr>
        <w:t>/d)</w:t>
      </w:r>
      <w:r>
        <w:rPr>
          <w:rFonts w:hint="eastAsia" w:cs="宋体"/>
        </w:rPr>
        <w:t>；</w:t>
      </w:r>
    </w:p>
    <w:p>
      <w:pPr>
        <w:ind w:firstLine="480"/>
        <w:rPr>
          <w:rFonts w:cs="宋体"/>
        </w:rPr>
      </w:pPr>
      <w:r>
        <w:rPr>
          <w:rFonts w:cs="宋体"/>
        </w:rPr>
        <w:t>3</w:t>
      </w:r>
      <w:r>
        <w:rPr>
          <w:rFonts w:hint="eastAsia" w:cs="宋体"/>
        </w:rPr>
        <w:t>、有效孔隙度</w:t>
      </w:r>
      <w:r>
        <w:rPr>
          <w:rFonts w:cs="宋体"/>
        </w:rPr>
        <w:t>n=0.3</w:t>
      </w:r>
      <w:r>
        <w:rPr>
          <w:rFonts w:hint="eastAsia" w:cs="宋体"/>
        </w:rPr>
        <w:t>。</w:t>
      </w:r>
    </w:p>
    <w:p>
      <w:pPr>
        <w:ind w:firstLine="480"/>
        <w:rPr>
          <w:rFonts w:cs="宋体"/>
        </w:rPr>
      </w:pPr>
      <w:r>
        <w:rPr>
          <w:rFonts w:hint="eastAsia" w:cs="宋体"/>
        </w:rPr>
        <w:t>③预测情景</w:t>
      </w:r>
    </w:p>
    <w:p>
      <w:pPr>
        <w:ind w:firstLine="480"/>
        <w:rPr>
          <w:rFonts w:cs="宋体"/>
        </w:rPr>
      </w:pPr>
      <w:r>
        <w:rPr>
          <w:rFonts w:hint="eastAsia" w:cs="宋体"/>
        </w:rPr>
        <w:t>以渗滤液收集池垮塌破裂导致事故排放情况，渗滤液迅速流出并全部渗入地下的情景，预测污染物浓度。</w:t>
      </w:r>
    </w:p>
    <w:p>
      <w:pPr>
        <w:pStyle w:val="39"/>
        <w:numPr>
          <w:ilvl w:val="0"/>
          <w:numId w:val="4"/>
        </w:numPr>
        <w:ind w:firstLineChars="0"/>
        <w:rPr>
          <w:rFonts w:cs="宋体"/>
        </w:rPr>
      </w:pPr>
      <w:r>
        <w:rPr>
          <w:rFonts w:hint="eastAsia" w:cs="宋体"/>
        </w:rPr>
        <w:t>预测结果</w:t>
      </w:r>
    </w:p>
    <w:p>
      <w:pPr>
        <w:ind w:firstLine="480"/>
        <w:rPr>
          <w:rFonts w:cs="宋体"/>
        </w:rPr>
      </w:pPr>
      <w:r>
        <w:rPr>
          <w:rFonts w:hint="eastAsia" w:cs="宋体"/>
        </w:rPr>
        <w:t>根据上述公式的计算，若发生事故污染了地下水，污染物运移的浓度和时间、空间关系如表</w:t>
      </w:r>
      <w:r>
        <w:rPr>
          <w:rFonts w:cs="宋体"/>
        </w:rPr>
        <w:t xml:space="preserve"> 5.2-</w:t>
      </w:r>
      <w:r>
        <w:rPr>
          <w:rFonts w:hint="eastAsia" w:cs="宋体"/>
        </w:rPr>
        <w:t>6、5.2-7。</w:t>
      </w:r>
    </w:p>
    <w:p>
      <w:pPr>
        <w:pStyle w:val="14"/>
        <w:rPr>
          <w:b w:val="0"/>
        </w:rPr>
      </w:pPr>
      <w:bookmarkStart w:id="149" w:name="_Toc429308332"/>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6</w:t>
      </w:r>
      <w:r>
        <w:fldChar w:fldCharType="end"/>
      </w:r>
      <w:r>
        <w:rPr>
          <w:rFonts w:hint="eastAsia" w:cs="宋体"/>
        </w:rPr>
        <w:t>渗滤液收集池事故排放</w:t>
      </w:r>
      <w:r>
        <w:rPr>
          <w:rFonts w:hint="eastAsia"/>
        </w:rPr>
        <w:t>地下水砷浓度时空分布表单位</w:t>
      </w:r>
      <w:r>
        <w:t>:mg/L</w:t>
      </w:r>
      <w:bookmarkEnd w:id="149"/>
    </w:p>
    <w:tbl>
      <w:tblPr>
        <w:tblStyle w:val="35"/>
        <w:tblW w:w="914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99"/>
        <w:gridCol w:w="1424"/>
        <w:gridCol w:w="1424"/>
        <w:gridCol w:w="1424"/>
        <w:gridCol w:w="1424"/>
        <w:gridCol w:w="1412"/>
        <w:gridCol w:w="83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l2br w:val="single" w:color="auto" w:sz="4" w:space="0"/>
            </w:tcBorders>
            <w:vAlign w:val="center"/>
          </w:tcPr>
          <w:p>
            <w:pPr>
              <w:pStyle w:val="37"/>
              <w:rPr>
                <w:kern w:val="0"/>
              </w:rPr>
            </w:pPr>
            <w:r>
              <w:rPr>
                <w:rFonts w:hint="eastAsia"/>
                <w:kern w:val="0"/>
              </w:rPr>
              <w:t>时间（</w:t>
            </w:r>
            <w:r>
              <w:rPr>
                <w:kern w:val="0"/>
              </w:rPr>
              <w:t>d</w:t>
            </w:r>
            <w:r>
              <w:rPr>
                <w:rFonts w:hint="eastAsia"/>
                <w:kern w:val="0"/>
              </w:rPr>
              <w:t>）</w:t>
            </w:r>
          </w:p>
          <w:p>
            <w:pPr>
              <w:pStyle w:val="37"/>
              <w:rPr>
                <w:kern w:val="0"/>
              </w:rPr>
            </w:pPr>
            <w:r>
              <w:rPr>
                <w:rFonts w:hint="eastAsia"/>
                <w:kern w:val="0"/>
              </w:rPr>
              <w:t>距离（</w:t>
            </w:r>
            <w:r>
              <w:rPr>
                <w:kern w:val="0"/>
              </w:rPr>
              <w:t>m</w:t>
            </w:r>
            <w:r>
              <w:rPr>
                <w:rFonts w:hint="eastAsia"/>
                <w:kern w:val="0"/>
              </w:rPr>
              <w:t>）</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6</w:t>
            </w:r>
            <w:r>
              <w:rPr>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12</w:t>
            </w:r>
            <w:r>
              <w:rPr>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20</w:t>
            </w:r>
            <w:r>
              <w:rPr>
                <w:kern w:val="0"/>
              </w:rPr>
              <w:t>0</w:t>
            </w:r>
          </w:p>
        </w:tc>
        <w:tc>
          <w:tcPr>
            <w:tcW w:w="83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背景值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6.401264E-13</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4.054609E-22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restart"/>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&lt;0.0</w:t>
            </w:r>
            <w:r>
              <w:rPr>
                <w:rFonts w:hint="eastAsia"/>
                <w:kern w:val="0"/>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100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0.0007146072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1.512347E-08</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6.401264E-13</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0.0005053036</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4.601093E-40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1.512347E-08</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4.054609E-22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9.809089E-45</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2.340449E-41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1.482763E-31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2.916688E-23</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1.781317E-16</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3.377735E-11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1.988579E-07</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1100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3.634907E-05</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0.0002062893</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1300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3.634907E-05</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1.988579E-07</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2.916102E-42</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3.377735E-11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4.24259E-35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1.781317E-16</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1.087654E-28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2.916688E-23</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4.913225E-23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1.482763E-31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3.910743E-18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2.340449E-41</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5.484895E-14</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1.355483E-10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2100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5.902502E-08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2200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4.528922E-06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2300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6.123082E-05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2400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0.0001458686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2500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6.123082E-05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2600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4.528922E-06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2700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5.902502E-08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6.698207E-43</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2800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1.355483E-10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3.026574E-37</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5.484895E-14</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4.824333E-32</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199"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jc w:val="both"/>
              <w:rPr>
                <w:kern w:val="0"/>
              </w:rPr>
            </w:pPr>
            <w:r>
              <w:rPr>
                <w:kern w:val="0"/>
              </w:rPr>
              <w:t>3.910743E-18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2.713521E-27</w:t>
            </w:r>
          </w:p>
        </w:tc>
        <w:tc>
          <w:tcPr>
            <w:tcW w:w="839"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bl>
    <w:p>
      <w:pPr>
        <w:pStyle w:val="14"/>
        <w:rPr>
          <w:b w:val="0"/>
        </w:rPr>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7</w:t>
      </w:r>
      <w:r>
        <w:fldChar w:fldCharType="end"/>
      </w:r>
      <w:r>
        <w:rPr>
          <w:rFonts w:hint="eastAsia" w:cs="宋体"/>
        </w:rPr>
        <w:t>渗滤液收集池事故排放</w:t>
      </w:r>
      <w:r>
        <w:rPr>
          <w:rFonts w:hint="eastAsia"/>
        </w:rPr>
        <w:t>地下水铅浓度时空分布表   单位</w:t>
      </w:r>
      <w:r>
        <w:t>:mg/L</w:t>
      </w:r>
    </w:p>
    <w:tbl>
      <w:tblPr>
        <w:tblStyle w:val="35"/>
        <w:tblW w:w="913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20"/>
        <w:gridCol w:w="1412"/>
        <w:gridCol w:w="1412"/>
        <w:gridCol w:w="1424"/>
        <w:gridCol w:w="1412"/>
        <w:gridCol w:w="1412"/>
        <w:gridCol w:w="8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l2br w:val="single" w:color="auto" w:sz="4" w:space="0"/>
            </w:tcBorders>
            <w:vAlign w:val="center"/>
          </w:tcPr>
          <w:p>
            <w:pPr>
              <w:pStyle w:val="37"/>
              <w:rPr>
                <w:kern w:val="0"/>
              </w:rPr>
            </w:pPr>
            <w:r>
              <w:rPr>
                <w:rFonts w:hint="eastAsia"/>
                <w:kern w:val="0"/>
              </w:rPr>
              <w:t>时间（</w:t>
            </w:r>
            <w:r>
              <w:rPr>
                <w:kern w:val="0"/>
              </w:rPr>
              <w:t>d</w:t>
            </w:r>
            <w:r>
              <w:rPr>
                <w:rFonts w:hint="eastAsia"/>
                <w:kern w:val="0"/>
              </w:rPr>
              <w:t>）</w:t>
            </w:r>
          </w:p>
          <w:p>
            <w:pPr>
              <w:pStyle w:val="37"/>
              <w:rPr>
                <w:kern w:val="0"/>
              </w:rPr>
            </w:pPr>
            <w:r>
              <w:rPr>
                <w:rFonts w:hint="eastAsia"/>
                <w:kern w:val="0"/>
              </w:rPr>
              <w:t>距离（</w:t>
            </w:r>
            <w:r>
              <w:rPr>
                <w:kern w:val="0"/>
              </w:rPr>
              <w:t>m</w:t>
            </w:r>
            <w:r>
              <w:rPr>
                <w:rFonts w:hint="eastAsia"/>
                <w:kern w:val="0"/>
              </w:rPr>
              <w:t>）</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60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120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200</w:t>
            </w:r>
          </w:p>
        </w:tc>
        <w:tc>
          <w:tcPr>
            <w:tcW w:w="846"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背景值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3.432461E-13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2.174147E-22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restart"/>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&lt;0.0</w:t>
            </w:r>
            <w:r>
              <w:rPr>
                <w:rFonts w:hint="eastAsia"/>
                <w:kern w:val="0"/>
              </w:rPr>
              <w:t>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100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0.000383184</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8.109452E-09</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3.432461E-13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0.000270952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2.467182E-40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8.109452E-09</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400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2.174147E-22</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5.605194E-45</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1.255003E-41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600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7.950815E-32</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1.563975E-23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800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9.55171E-17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1.811196E-11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1.066308E-07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1100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1.949096E-05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0.0001106157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1300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1.949096E-05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1.066308E-07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1.563849E-42</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1.811196E-11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2.274945E-35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9.55171E-17</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5.832174E-29</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1700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1.563975E-23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2.634551E-23</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1800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7.950815E-32</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2.097004E-18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1900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1.255003E-41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2.94109E-14</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7.268319E-11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2100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3.165017E-08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2200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2.428482E-06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2300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3.283296E-05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2400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7.82171E-05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2500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3.283296E-05</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2600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2.428482E-06</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2700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3.165017E-08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3.587324E-43</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2800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7.268319E-11</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1.622898E-37</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2.94109E-14</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2.586885E-32</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40" w:hRule="atLeast"/>
        </w:trPr>
        <w:tc>
          <w:tcPr>
            <w:tcW w:w="1220"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3000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24"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rFonts w:hint="eastAsia"/>
                <w:kern w:val="0"/>
              </w:rPr>
              <w:t>0</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2.097004E-18</w:t>
            </w:r>
          </w:p>
        </w:tc>
        <w:tc>
          <w:tcPr>
            <w:tcW w:w="1412" w:type="dxa"/>
            <w:tcBorders>
              <w:top w:val="single" w:color="auto" w:sz="2" w:space="0"/>
              <w:left w:val="single" w:color="auto" w:sz="2" w:space="0"/>
              <w:bottom w:val="single" w:color="auto" w:sz="2" w:space="0"/>
              <w:right w:val="single" w:color="auto" w:sz="2" w:space="0"/>
            </w:tcBorders>
            <w:vAlign w:val="center"/>
          </w:tcPr>
          <w:p>
            <w:pPr>
              <w:pStyle w:val="37"/>
              <w:rPr>
                <w:kern w:val="0"/>
              </w:rPr>
            </w:pPr>
            <w:r>
              <w:rPr>
                <w:kern w:val="0"/>
              </w:rPr>
              <w:t>1.455034E-27</w:t>
            </w:r>
          </w:p>
        </w:tc>
        <w:tc>
          <w:tcPr>
            <w:tcW w:w="846" w:type="dxa"/>
            <w:vMerge w:val="continue"/>
            <w:tcBorders>
              <w:top w:val="single" w:color="auto" w:sz="2" w:space="0"/>
              <w:left w:val="single" w:color="auto" w:sz="2" w:space="0"/>
              <w:bottom w:val="single" w:color="auto" w:sz="2" w:space="0"/>
              <w:right w:val="single" w:color="auto" w:sz="2" w:space="0"/>
            </w:tcBorders>
            <w:vAlign w:val="center"/>
          </w:tcPr>
          <w:p>
            <w:pPr>
              <w:pStyle w:val="37"/>
              <w:rPr>
                <w:kern w:val="0"/>
              </w:rPr>
            </w:pPr>
          </w:p>
        </w:tc>
      </w:tr>
    </w:tbl>
    <w:p>
      <w:pPr>
        <w:ind w:firstLine="422"/>
        <w:jc w:val="center"/>
        <w:rPr>
          <w:b/>
          <w:sz w:val="21"/>
        </w:rPr>
      </w:pPr>
      <w:r>
        <w:rPr>
          <w:rFonts w:hint="eastAsia"/>
          <w:b/>
          <w:sz w:val="21"/>
        </w:rPr>
        <w:t>表</w:t>
      </w:r>
      <w:r>
        <w:rPr>
          <w:b/>
          <w:sz w:val="21"/>
        </w:rPr>
        <w:fldChar w:fldCharType="begin"/>
      </w:r>
      <w:r>
        <w:rPr>
          <w:b/>
          <w:sz w:val="21"/>
        </w:rPr>
        <w:instrText xml:space="preserve"> </w:instrText>
      </w:r>
      <w:r>
        <w:rPr>
          <w:rFonts w:hint="eastAsia"/>
          <w:b/>
          <w:sz w:val="21"/>
        </w:rPr>
        <w:instrText xml:space="preserve">STYLEREF 2 \s</w:instrText>
      </w:r>
      <w:r>
        <w:rPr>
          <w:b/>
          <w:sz w:val="21"/>
        </w:rPr>
        <w:instrText xml:space="preserve"> </w:instrText>
      </w:r>
      <w:r>
        <w:rPr>
          <w:b/>
          <w:sz w:val="21"/>
        </w:rPr>
        <w:fldChar w:fldCharType="separate"/>
      </w:r>
      <w:r>
        <w:rPr>
          <w:b/>
          <w:sz w:val="21"/>
        </w:rPr>
        <w:t>5.2</w:t>
      </w:r>
      <w:r>
        <w:rPr>
          <w:b/>
          <w:sz w:val="21"/>
        </w:rPr>
        <w:fldChar w:fldCharType="end"/>
      </w:r>
      <w:r>
        <w:rPr>
          <w:b/>
          <w:sz w:val="21"/>
        </w:rPr>
        <w:noBreakHyphen/>
      </w:r>
      <w:r>
        <w:rPr>
          <w:b/>
          <w:sz w:val="21"/>
        </w:rPr>
        <w:fldChar w:fldCharType="begin"/>
      </w:r>
      <w:r>
        <w:rPr>
          <w:b/>
          <w:sz w:val="21"/>
        </w:rPr>
        <w:instrText xml:space="preserve"> </w:instrText>
      </w:r>
      <w:r>
        <w:rPr>
          <w:rFonts w:hint="eastAsia"/>
          <w:b/>
          <w:sz w:val="21"/>
        </w:rPr>
        <w:instrText xml:space="preserve">SEQ 表 \* ARABIC \s 2</w:instrText>
      </w:r>
      <w:r>
        <w:rPr>
          <w:b/>
          <w:sz w:val="21"/>
        </w:rPr>
        <w:instrText xml:space="preserve"> </w:instrText>
      </w:r>
      <w:r>
        <w:rPr>
          <w:b/>
          <w:sz w:val="21"/>
        </w:rPr>
        <w:fldChar w:fldCharType="separate"/>
      </w:r>
      <w:r>
        <w:rPr>
          <w:b/>
          <w:sz w:val="21"/>
        </w:rPr>
        <w:t>8</w:t>
      </w:r>
      <w:r>
        <w:rPr>
          <w:b/>
          <w:sz w:val="21"/>
        </w:rPr>
        <w:fldChar w:fldCharType="end"/>
      </w:r>
      <w:r>
        <w:rPr>
          <w:rFonts w:hint="eastAsia" w:cs="宋体"/>
          <w:b/>
          <w:sz w:val="21"/>
        </w:rPr>
        <w:t>渗滤液收集池事故排放 380m处居民水井污染物浓度</w:t>
      </w:r>
      <w:r>
        <w:rPr>
          <w:rFonts w:hint="eastAsia"/>
          <w:b/>
          <w:sz w:val="21"/>
        </w:rPr>
        <w:t>分布表</w:t>
      </w:r>
    </w:p>
    <w:tbl>
      <w:tblPr>
        <w:tblStyle w:val="36"/>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22"/>
        <w:gridCol w:w="2462"/>
        <w:gridCol w:w="24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tcBorders>
              <w:tl2br w:val="single" w:color="auto" w:sz="4" w:space="0"/>
            </w:tcBorders>
            <w:vAlign w:val="center"/>
          </w:tcPr>
          <w:p>
            <w:pPr>
              <w:spacing w:line="240" w:lineRule="auto"/>
              <w:ind w:firstLine="1785" w:firstLineChars="850"/>
              <w:jc w:val="center"/>
              <w:rPr>
                <w:rFonts w:ascii="Times New Roman" w:hAnsi="Times New Roman" w:cs="宋体"/>
                <w:sz w:val="21"/>
              </w:rPr>
            </w:pPr>
            <w:r>
              <w:rPr>
                <w:rFonts w:hint="eastAsia" w:ascii="Times New Roman" w:hAnsi="Times New Roman" w:cs="宋体"/>
                <w:sz w:val="21"/>
              </w:rPr>
              <w:t>污染物（</w:t>
            </w:r>
            <w:r>
              <w:rPr>
                <w:rFonts w:ascii="Times New Roman" w:hAnsi="Times New Roman"/>
                <w:b/>
                <w:sz w:val="21"/>
              </w:rPr>
              <w:t>mg/L</w:t>
            </w:r>
            <w:r>
              <w:rPr>
                <w:rFonts w:hint="eastAsia" w:ascii="Times New Roman" w:hAnsi="Times New Roman"/>
                <w:b/>
                <w:sz w:val="21"/>
              </w:rPr>
              <w:t>）</w:t>
            </w:r>
          </w:p>
          <w:p>
            <w:pPr>
              <w:spacing w:line="240" w:lineRule="auto"/>
              <w:ind w:firstLine="105" w:firstLineChars="50"/>
              <w:jc w:val="center"/>
              <w:rPr>
                <w:rFonts w:ascii="Times New Roman" w:hAnsi="Times New Roman" w:cs="宋体"/>
                <w:sz w:val="21"/>
              </w:rPr>
            </w:pPr>
            <w:r>
              <w:rPr>
                <w:rFonts w:hint="eastAsia" w:ascii="Times New Roman" w:hAnsi="Times New Roman" w:cs="宋体"/>
                <w:sz w:val="21"/>
              </w:rPr>
              <w:t>时间（d）</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砷</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10</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1.112023E-18</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5.962846E-19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20</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0.0002901078</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0.0001555605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30</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1.467006E-11</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7.866321E-12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40</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2.832172E-24</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1.518657E-24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50</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3.752474E-39</w:t>
            </w:r>
          </w:p>
        </w:tc>
        <w:tc>
          <w:tcPr>
            <w:tcW w:w="2462" w:type="dxa"/>
            <w:vAlign w:val="center"/>
          </w:tcPr>
          <w:p>
            <w:pPr>
              <w:spacing w:line="240" w:lineRule="auto"/>
              <w:ind w:firstLine="0" w:firstLineChars="0"/>
              <w:jc w:val="center"/>
              <w:rPr>
                <w:rFonts w:ascii="Times New Roman" w:hAnsi="Times New Roman" w:cs="宋体"/>
                <w:sz w:val="21"/>
              </w:rPr>
            </w:pPr>
            <w:r>
              <w:rPr>
                <w:rFonts w:ascii="Times New Roman" w:hAnsi="Times New Roman" w:cs="宋体"/>
                <w:sz w:val="21"/>
              </w:rPr>
              <w:t>2.012137E-39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60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70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80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90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22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100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c>
          <w:tcPr>
            <w:tcW w:w="2462" w:type="dxa"/>
            <w:vAlign w:val="center"/>
          </w:tcPr>
          <w:p>
            <w:pPr>
              <w:spacing w:line="240" w:lineRule="auto"/>
              <w:ind w:firstLine="0" w:firstLineChars="0"/>
              <w:jc w:val="center"/>
              <w:rPr>
                <w:rFonts w:ascii="Times New Roman" w:hAnsi="Times New Roman" w:cs="宋体"/>
                <w:sz w:val="21"/>
              </w:rPr>
            </w:pPr>
            <w:r>
              <w:rPr>
                <w:rFonts w:hint="eastAsia" w:ascii="Times New Roman" w:hAnsi="Times New Roman" w:cs="宋体"/>
                <w:sz w:val="21"/>
              </w:rPr>
              <w:t>0</w:t>
            </w:r>
          </w:p>
        </w:tc>
      </w:tr>
    </w:tbl>
    <w:p>
      <w:pPr>
        <w:ind w:firstLine="480"/>
      </w:pPr>
      <w:r>
        <w:rPr>
          <w:rFonts w:hint="eastAsia"/>
        </w:rPr>
        <w:t>由以上预测结果可知，若发生事故排放废水时可很快造成地下水的污染，可能导致铅、砷等污染物的污染。</w:t>
      </w:r>
    </w:p>
    <w:p>
      <w:pPr>
        <w:ind w:firstLine="480"/>
        <w:rPr>
          <w:rFonts w:cs="宋体"/>
          <w:u w:val="single"/>
        </w:rPr>
      </w:pPr>
      <w:r>
        <w:rPr>
          <w:rFonts w:hint="eastAsia" w:cs="宋体"/>
          <w:u w:val="single"/>
        </w:rPr>
        <w:t>砷最高浓度可达</w:t>
      </w:r>
      <w:r>
        <w:rPr>
          <w:rFonts w:cs="宋体"/>
          <w:u w:val="single"/>
        </w:rPr>
        <w:t>0.</w:t>
      </w:r>
      <w:r>
        <w:rPr>
          <w:rFonts w:hint="eastAsia" w:cs="宋体"/>
          <w:u w:val="single"/>
        </w:rPr>
        <w:t>495</w:t>
      </w:r>
      <w:r>
        <w:rPr>
          <w:rFonts w:cs="宋体"/>
          <w:u w:val="single"/>
        </w:rPr>
        <w:t xml:space="preserve"> mg/L</w:t>
      </w:r>
      <w:r>
        <w:rPr>
          <w:rFonts w:hint="eastAsia" w:cs="宋体"/>
          <w:u w:val="single"/>
        </w:rPr>
        <w:t>，超出《地下水质量标准》（</w:t>
      </w:r>
      <w:r>
        <w:rPr>
          <w:rFonts w:cs="宋体"/>
          <w:u w:val="single"/>
        </w:rPr>
        <w:t>GB/T14848-93</w:t>
      </w:r>
      <w:r>
        <w:rPr>
          <w:rFonts w:hint="eastAsia" w:cs="宋体"/>
          <w:u w:val="single"/>
        </w:rPr>
        <w:t>）标准限值</w:t>
      </w:r>
      <w:r>
        <w:rPr>
          <w:rFonts w:cs="宋体"/>
          <w:u w:val="single"/>
        </w:rPr>
        <w:t>0.05mg/L</w:t>
      </w:r>
      <w:r>
        <w:rPr>
          <w:rFonts w:hint="eastAsia" w:cs="宋体"/>
          <w:u w:val="single"/>
        </w:rPr>
        <w:t>的9.9倍，砷最高浓度可达</w:t>
      </w:r>
      <w:r>
        <w:rPr>
          <w:rFonts w:cs="宋体"/>
          <w:u w:val="single"/>
        </w:rPr>
        <w:t>0.</w:t>
      </w:r>
      <w:r>
        <w:rPr>
          <w:rFonts w:hint="eastAsia" w:cs="宋体"/>
          <w:u w:val="single"/>
        </w:rPr>
        <w:t>028</w:t>
      </w:r>
      <w:r>
        <w:rPr>
          <w:rFonts w:cs="宋体"/>
          <w:u w:val="single"/>
        </w:rPr>
        <w:t xml:space="preserve"> mg/L</w:t>
      </w:r>
      <w:r>
        <w:rPr>
          <w:rFonts w:hint="eastAsia" w:cs="宋体"/>
          <w:u w:val="single"/>
        </w:rPr>
        <w:t>，超出《地下水质量标准》（</w:t>
      </w:r>
      <w:r>
        <w:rPr>
          <w:rFonts w:cs="宋体"/>
          <w:u w:val="single"/>
        </w:rPr>
        <w:t>GB/T14848-93</w:t>
      </w:r>
      <w:r>
        <w:rPr>
          <w:rFonts w:hint="eastAsia" w:cs="宋体"/>
          <w:u w:val="single"/>
        </w:rPr>
        <w:t>）标准限值</w:t>
      </w:r>
      <w:r>
        <w:rPr>
          <w:rFonts w:cs="宋体"/>
          <w:u w:val="single"/>
        </w:rPr>
        <w:t>0.0</w:t>
      </w:r>
      <w:r>
        <w:rPr>
          <w:rFonts w:hint="eastAsia" w:cs="宋体"/>
          <w:u w:val="single"/>
        </w:rPr>
        <w:t>01</w:t>
      </w:r>
      <w:r>
        <w:rPr>
          <w:rFonts w:cs="宋体"/>
          <w:u w:val="single"/>
        </w:rPr>
        <w:t>mg/L</w:t>
      </w:r>
      <w:r>
        <w:rPr>
          <w:rFonts w:hint="eastAsia" w:cs="宋体"/>
          <w:u w:val="single"/>
        </w:rPr>
        <w:t>的28倍。污水泄漏后大约经过200</w:t>
      </w:r>
      <w:r>
        <w:rPr>
          <w:rFonts w:cs="宋体"/>
          <w:u w:val="single"/>
        </w:rPr>
        <w:t>d</w:t>
      </w:r>
      <w:r>
        <w:rPr>
          <w:rFonts w:hint="eastAsia" w:cs="宋体"/>
          <w:u w:val="single"/>
        </w:rPr>
        <w:t>后从北面泄流排泄边界排出。</w:t>
      </w:r>
    </w:p>
    <w:p>
      <w:pPr>
        <w:ind w:firstLine="480"/>
        <w:rPr>
          <w:kern w:val="0"/>
          <w:u w:val="single"/>
        </w:rPr>
      </w:pPr>
      <w:r>
        <w:rPr>
          <w:rFonts w:hint="eastAsia"/>
          <w:kern w:val="0"/>
          <w:u w:val="single"/>
        </w:rPr>
        <w:t>由表5.2-8预测结果可知，项目地下水下游380m居民水井在第20天时铅、砷浓度达最高值但低于</w:t>
      </w:r>
      <w:r>
        <w:rPr>
          <w:rFonts w:hint="eastAsia" w:cs="宋体"/>
          <w:u w:val="single"/>
        </w:rPr>
        <w:t>《地下水质量标准》（</w:t>
      </w:r>
      <w:r>
        <w:rPr>
          <w:rFonts w:cs="宋体"/>
          <w:u w:val="single"/>
        </w:rPr>
        <w:t>GB/T14848-93</w:t>
      </w:r>
      <w:r>
        <w:rPr>
          <w:rFonts w:hint="eastAsia" w:cs="宋体"/>
          <w:u w:val="single"/>
        </w:rPr>
        <w:t>）标准限值</w:t>
      </w:r>
      <w:r>
        <w:rPr>
          <w:rFonts w:hint="eastAsia"/>
          <w:kern w:val="0"/>
          <w:u w:val="single"/>
        </w:rPr>
        <w:t>，经时间推移，污染物浓度降为0，因此，渗滤液收集池事故排放对居民水井影响较小。</w:t>
      </w:r>
    </w:p>
    <w:p>
      <w:pPr>
        <w:ind w:firstLine="480"/>
        <w:rPr>
          <w:kern w:val="0"/>
          <w:u w:val="single"/>
        </w:rPr>
      </w:pPr>
      <w:r>
        <w:rPr>
          <w:rFonts w:hint="eastAsia"/>
          <w:kern w:val="0"/>
          <w:u w:val="single"/>
        </w:rPr>
        <w:t>建设单位拟对处置场底部及边坡、渗滤液收集池均采用复合</w:t>
      </w:r>
      <w:r>
        <w:rPr>
          <w:kern w:val="0"/>
          <w:u w:val="single"/>
        </w:rPr>
        <w:t>HDPE</w:t>
      </w:r>
      <w:r>
        <w:rPr>
          <w:rFonts w:hint="eastAsia"/>
          <w:kern w:val="0"/>
          <w:u w:val="single"/>
        </w:rPr>
        <w:t>膜进行人工衬里防渗，复合</w:t>
      </w:r>
      <w:r>
        <w:rPr>
          <w:kern w:val="0"/>
          <w:u w:val="single"/>
        </w:rPr>
        <w:t>HDPE</w:t>
      </w:r>
      <w:r>
        <w:rPr>
          <w:rFonts w:hint="eastAsia"/>
          <w:kern w:val="0"/>
          <w:u w:val="single"/>
        </w:rPr>
        <w:t>膜防渗层渗透系数</w:t>
      </w:r>
      <w:r>
        <w:rPr>
          <w:kern w:val="0"/>
          <w:u w:val="single"/>
        </w:rPr>
        <w:t>K</w:t>
      </w:r>
      <w:r>
        <w:rPr>
          <w:rFonts w:hint="eastAsia"/>
          <w:kern w:val="0"/>
          <w:u w:val="single"/>
        </w:rPr>
        <w:t>＜</w:t>
      </w:r>
      <w:r>
        <w:rPr>
          <w:kern w:val="0"/>
          <w:u w:val="single"/>
        </w:rPr>
        <w:t>10</w:t>
      </w:r>
      <w:r>
        <w:rPr>
          <w:kern w:val="0"/>
          <w:u w:val="single"/>
          <w:vertAlign w:val="superscript"/>
        </w:rPr>
        <w:t>-7</w:t>
      </w:r>
      <w:r>
        <w:rPr>
          <w:kern w:val="0"/>
          <w:u w:val="single"/>
        </w:rPr>
        <w:t>cm/s</w:t>
      </w:r>
      <w:r>
        <w:rPr>
          <w:rFonts w:hint="eastAsia"/>
          <w:kern w:val="0"/>
          <w:u w:val="single"/>
        </w:rPr>
        <w:t>，抗压强度高，耐腐蚀性好，具有一定的抗穿刺能力。处置场场址及渗滤液收集池经过防渗处理后，能够有效的防止收集池中的渗滤液渗入地下水及土壤，且项目渗滤液运送至有资质单位处理，因而项目在填埋期对地下水影响较小。</w:t>
      </w:r>
    </w:p>
    <w:p>
      <w:pPr>
        <w:pStyle w:val="4"/>
      </w:pPr>
      <w:bookmarkStart w:id="150" w:name="_Toc346092601"/>
      <w:bookmarkStart w:id="151" w:name="_Toc391370180"/>
      <w:bookmarkStart w:id="152" w:name="_Toc344647737"/>
      <w:r>
        <w:rPr>
          <w:rFonts w:hint="eastAsia"/>
        </w:rPr>
        <w:t>大气环境影响预测评价</w:t>
      </w:r>
      <w:bookmarkEnd w:id="150"/>
      <w:bookmarkEnd w:id="151"/>
      <w:bookmarkEnd w:id="152"/>
    </w:p>
    <w:p>
      <w:pPr>
        <w:ind w:firstLine="480"/>
      </w:pPr>
      <w:r>
        <w:rPr>
          <w:rFonts w:hint="eastAsia"/>
        </w:rPr>
        <w:t>（</w:t>
      </w:r>
      <w:r>
        <w:t>1</w:t>
      </w:r>
      <w:r>
        <w:rPr>
          <w:rFonts w:hint="eastAsia"/>
        </w:rPr>
        <w:t>）处置场废气影响预测与评价</w:t>
      </w:r>
    </w:p>
    <w:p>
      <w:pPr>
        <w:ind w:firstLine="480"/>
      </w:pPr>
      <w:r>
        <w:rPr>
          <w:rFonts w:hint="eastAsia"/>
        </w:rPr>
        <w:t>根据工程分析，运行产生的大气环境影响主要是处置场粉尘。</w:t>
      </w:r>
    </w:p>
    <w:p>
      <w:pPr>
        <w:ind w:firstLine="480"/>
      </w:pPr>
      <w:r>
        <w:rPr>
          <w:rFonts w:hint="eastAsia"/>
        </w:rPr>
        <w:t>①预测模式</w:t>
      </w:r>
    </w:p>
    <w:p>
      <w:pPr>
        <w:ind w:firstLine="480"/>
      </w:pPr>
      <w:r>
        <w:rPr>
          <w:rFonts w:hint="eastAsia"/>
        </w:rPr>
        <w:t>根据大气环评技术导则（</w:t>
      </w:r>
      <w:r>
        <w:t>HJ/2.2-2008</w:t>
      </w:r>
      <w:r>
        <w:rPr>
          <w:rFonts w:hint="eastAsia"/>
        </w:rPr>
        <w:t>）的要求，本项目固体废物处置场点源的排放扩散预测采用估算模式。</w:t>
      </w:r>
    </w:p>
    <w:p>
      <w:pPr>
        <w:ind w:firstLine="480"/>
      </w:pPr>
      <w:r>
        <w:rPr>
          <w:rFonts w:hint="eastAsia"/>
        </w:rPr>
        <w:t>②预测评价因子</w:t>
      </w:r>
    </w:p>
    <w:p>
      <w:pPr>
        <w:ind w:firstLine="480"/>
      </w:pPr>
      <w:r>
        <w:rPr>
          <w:rFonts w:hint="eastAsia"/>
        </w:rPr>
        <w:t>从源强分析可知，本项目固体废物处置场废气主要污染物为</w:t>
      </w:r>
      <w:r>
        <w:t>TSP</w:t>
      </w:r>
      <w:r>
        <w:rPr>
          <w:rFonts w:hint="eastAsia"/>
        </w:rPr>
        <w:t>，为此选取</w:t>
      </w:r>
      <w:r>
        <w:t>TSP</w:t>
      </w:r>
      <w:r>
        <w:rPr>
          <w:rFonts w:hint="eastAsia"/>
        </w:rPr>
        <w:t>作预测评价因子。计算项目边界浓度达标情况。</w:t>
      </w:r>
    </w:p>
    <w:p>
      <w:pPr>
        <w:ind w:firstLine="480"/>
      </w:pPr>
      <w:r>
        <w:rPr>
          <w:rFonts w:hint="eastAsia"/>
        </w:rPr>
        <w:t>③工程污染源参数</w:t>
      </w:r>
    </w:p>
    <w:p>
      <w:pPr>
        <w:ind w:firstLine="480"/>
      </w:pPr>
      <w:r>
        <w:rPr>
          <w:rFonts w:hint="eastAsia"/>
        </w:rPr>
        <w:t>根据工程分析，本项目固体废物处置场废气预测源强分别见表</w:t>
      </w:r>
      <w:r>
        <w:t>5.2-</w:t>
      </w:r>
      <w:r>
        <w:rPr>
          <w:rFonts w:hint="eastAsia"/>
        </w:rPr>
        <w:t>9。</w:t>
      </w:r>
    </w:p>
    <w:p>
      <w:pPr>
        <w:pStyle w:val="14"/>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9</w:t>
      </w:r>
      <w:r>
        <w:fldChar w:fldCharType="end"/>
      </w:r>
      <w:r>
        <w:rPr>
          <w:rFonts w:hint="eastAsia"/>
        </w:rPr>
        <w:t>废气污染物源强一览表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1480"/>
        <w:gridCol w:w="1050"/>
        <w:gridCol w:w="995"/>
        <w:gridCol w:w="995"/>
        <w:gridCol w:w="995"/>
        <w:gridCol w:w="990"/>
        <w:gridCol w:w="1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0" w:hRule="atLeast"/>
        </w:trPr>
        <w:tc>
          <w:tcPr>
            <w:tcW w:w="1481" w:type="dxa"/>
            <w:vAlign w:val="center"/>
          </w:tcPr>
          <w:p>
            <w:pPr>
              <w:pStyle w:val="37"/>
            </w:pPr>
            <w:r>
              <w:rPr>
                <w:rFonts w:hint="eastAsia"/>
              </w:rPr>
              <w:t>污染物</w:t>
            </w:r>
          </w:p>
        </w:tc>
        <w:tc>
          <w:tcPr>
            <w:tcW w:w="1480" w:type="dxa"/>
            <w:vAlign w:val="center"/>
          </w:tcPr>
          <w:p>
            <w:pPr>
              <w:pStyle w:val="37"/>
            </w:pPr>
            <w:r>
              <w:rPr>
                <w:rFonts w:hint="eastAsia"/>
              </w:rPr>
              <w:t>污染源类型</w:t>
            </w:r>
          </w:p>
        </w:tc>
        <w:tc>
          <w:tcPr>
            <w:tcW w:w="1050" w:type="dxa"/>
            <w:vAlign w:val="center"/>
          </w:tcPr>
          <w:p>
            <w:pPr>
              <w:pStyle w:val="37"/>
            </w:pPr>
            <w:r>
              <w:rPr>
                <w:rFonts w:hint="eastAsia"/>
              </w:rPr>
              <w:t>源强</w:t>
            </w:r>
            <w:r>
              <w:t>t/a</w:t>
            </w:r>
          </w:p>
        </w:tc>
        <w:tc>
          <w:tcPr>
            <w:tcW w:w="995" w:type="dxa"/>
            <w:vAlign w:val="center"/>
          </w:tcPr>
          <w:p>
            <w:pPr>
              <w:pStyle w:val="37"/>
            </w:pPr>
            <w:r>
              <w:rPr>
                <w:rFonts w:hint="eastAsia"/>
              </w:rPr>
              <w:t>源高</w:t>
            </w:r>
            <w:r>
              <w:t>m</w:t>
            </w:r>
          </w:p>
        </w:tc>
        <w:tc>
          <w:tcPr>
            <w:tcW w:w="995" w:type="dxa"/>
            <w:vAlign w:val="top"/>
          </w:tcPr>
          <w:p>
            <w:pPr>
              <w:pStyle w:val="37"/>
            </w:pPr>
            <w:r>
              <w:rPr>
                <w:rFonts w:hint="eastAsia"/>
              </w:rPr>
              <w:t>源长</w:t>
            </w:r>
            <w:r>
              <w:t>m</w:t>
            </w:r>
          </w:p>
        </w:tc>
        <w:tc>
          <w:tcPr>
            <w:tcW w:w="995" w:type="dxa"/>
            <w:vAlign w:val="top"/>
          </w:tcPr>
          <w:p>
            <w:pPr>
              <w:pStyle w:val="37"/>
            </w:pPr>
            <w:r>
              <w:rPr>
                <w:rFonts w:hint="eastAsia"/>
              </w:rPr>
              <w:t>源宽</w:t>
            </w:r>
            <w:r>
              <w:t>m</w:t>
            </w:r>
          </w:p>
        </w:tc>
        <w:tc>
          <w:tcPr>
            <w:tcW w:w="990" w:type="dxa"/>
            <w:vAlign w:val="top"/>
          </w:tcPr>
          <w:p>
            <w:pPr>
              <w:pStyle w:val="37"/>
            </w:pPr>
            <w:r>
              <w:rPr>
                <w:rFonts w:hint="eastAsia"/>
              </w:rPr>
              <w:t>温度</w:t>
            </w:r>
            <w:r>
              <w:rPr>
                <w:rFonts w:hint="eastAsia" w:ascii="宋体" w:hAnsi="宋体"/>
              </w:rPr>
              <w:t>℃</w:t>
            </w:r>
          </w:p>
        </w:tc>
        <w:tc>
          <w:tcPr>
            <w:tcW w:w="1160" w:type="dxa"/>
            <w:vAlign w:val="top"/>
          </w:tcPr>
          <w:p>
            <w:pPr>
              <w:pStyle w:val="37"/>
            </w:pPr>
            <w:r>
              <w:rPr>
                <w:rFonts w:hint="eastAsia"/>
              </w:rPr>
              <w:t>风速</w:t>
            </w:r>
            <w:r>
              <w:t>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trPr>
        <w:tc>
          <w:tcPr>
            <w:tcW w:w="1481" w:type="dxa"/>
            <w:vAlign w:val="center"/>
          </w:tcPr>
          <w:p>
            <w:pPr>
              <w:pStyle w:val="37"/>
            </w:pPr>
            <w:r>
              <w:rPr>
                <w:rFonts w:hint="eastAsia"/>
              </w:rPr>
              <w:t>处置场面源</w:t>
            </w:r>
          </w:p>
        </w:tc>
        <w:tc>
          <w:tcPr>
            <w:tcW w:w="1480" w:type="dxa"/>
            <w:vAlign w:val="center"/>
          </w:tcPr>
          <w:p>
            <w:pPr>
              <w:pStyle w:val="37"/>
            </w:pPr>
            <w:r>
              <w:t>TSP</w:t>
            </w:r>
          </w:p>
        </w:tc>
        <w:tc>
          <w:tcPr>
            <w:tcW w:w="1050" w:type="dxa"/>
            <w:vAlign w:val="center"/>
          </w:tcPr>
          <w:p>
            <w:pPr>
              <w:pStyle w:val="37"/>
            </w:pPr>
            <w:r>
              <w:t>0.985</w:t>
            </w:r>
          </w:p>
        </w:tc>
        <w:tc>
          <w:tcPr>
            <w:tcW w:w="995" w:type="dxa"/>
            <w:vAlign w:val="center"/>
          </w:tcPr>
          <w:p>
            <w:pPr>
              <w:pStyle w:val="37"/>
            </w:pPr>
            <w:r>
              <w:t>0</w:t>
            </w:r>
          </w:p>
        </w:tc>
        <w:tc>
          <w:tcPr>
            <w:tcW w:w="995" w:type="dxa"/>
            <w:vAlign w:val="top"/>
          </w:tcPr>
          <w:p>
            <w:pPr>
              <w:pStyle w:val="37"/>
            </w:pPr>
            <w:r>
              <w:t>125</w:t>
            </w:r>
          </w:p>
        </w:tc>
        <w:tc>
          <w:tcPr>
            <w:tcW w:w="995" w:type="dxa"/>
            <w:vAlign w:val="top"/>
          </w:tcPr>
          <w:p>
            <w:pPr>
              <w:pStyle w:val="37"/>
            </w:pPr>
            <w:r>
              <w:t>110</w:t>
            </w:r>
          </w:p>
        </w:tc>
        <w:tc>
          <w:tcPr>
            <w:tcW w:w="990" w:type="dxa"/>
            <w:vAlign w:val="top"/>
          </w:tcPr>
          <w:p>
            <w:pPr>
              <w:pStyle w:val="37"/>
            </w:pPr>
            <w:r>
              <w:t>17.1</w:t>
            </w:r>
          </w:p>
        </w:tc>
        <w:tc>
          <w:tcPr>
            <w:tcW w:w="1160" w:type="dxa"/>
            <w:vAlign w:val="top"/>
          </w:tcPr>
          <w:p>
            <w:pPr>
              <w:pStyle w:val="37"/>
            </w:pPr>
            <w:r>
              <w:t>2.9</w:t>
            </w:r>
          </w:p>
        </w:tc>
      </w:tr>
    </w:tbl>
    <w:p>
      <w:pPr>
        <w:ind w:firstLine="480"/>
      </w:pPr>
      <w:r>
        <w:rPr>
          <w:rFonts w:hint="eastAsia"/>
        </w:rPr>
        <w:t>④估算模式预测污染物浓度扩散结果</w:t>
      </w:r>
    </w:p>
    <w:p>
      <w:pPr>
        <w:ind w:firstLine="480"/>
      </w:pPr>
      <w:r>
        <w:rPr>
          <w:rFonts w:hint="eastAsia"/>
        </w:rPr>
        <w:t>估算模式预测污染物浓度扩散结果见下表。</w:t>
      </w:r>
    </w:p>
    <w:p>
      <w:pPr>
        <w:pStyle w:val="14"/>
      </w:pPr>
      <w:bookmarkStart w:id="153" w:name="OLE_LINK1"/>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10</w:t>
      </w:r>
      <w:r>
        <w:fldChar w:fldCharType="end"/>
      </w:r>
      <w:r>
        <w:rPr>
          <w:rFonts w:hint="eastAsia"/>
        </w:rPr>
        <w:t>处置场面源无组织排放各污染物预测结果</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9"/>
        <w:gridCol w:w="3366"/>
        <w:gridCol w:w="2608"/>
        <w:gridCol w:w="1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restart"/>
            <w:vAlign w:val="center"/>
          </w:tcPr>
          <w:p>
            <w:pPr>
              <w:pStyle w:val="37"/>
            </w:pPr>
            <w:r>
              <w:rPr>
                <w:rFonts w:hint="eastAsia"/>
              </w:rPr>
              <w:t>预测内容</w:t>
            </w:r>
          </w:p>
        </w:tc>
        <w:tc>
          <w:tcPr>
            <w:tcW w:w="3366" w:type="dxa"/>
            <w:vMerge w:val="restart"/>
            <w:vAlign w:val="center"/>
          </w:tcPr>
          <w:p>
            <w:pPr>
              <w:pStyle w:val="37"/>
            </w:pPr>
            <w:r>
              <w:rPr>
                <w:rFonts w:hint="eastAsia"/>
              </w:rPr>
              <w:t>距源中心下风向距离</w:t>
            </w:r>
            <w:r>
              <w:t>D(m)</w:t>
            </w:r>
          </w:p>
        </w:tc>
        <w:tc>
          <w:tcPr>
            <w:tcW w:w="4421" w:type="dxa"/>
            <w:gridSpan w:val="2"/>
            <w:vAlign w:val="center"/>
          </w:tcPr>
          <w:p>
            <w:pPr>
              <w:pStyle w:val="37"/>
            </w:pPr>
            <w:r>
              <w:t>TSP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Merge w:val="continue"/>
            <w:vAlign w:val="center"/>
          </w:tcPr>
          <w:p>
            <w:pPr>
              <w:pStyle w:val="37"/>
            </w:pPr>
          </w:p>
        </w:tc>
        <w:tc>
          <w:tcPr>
            <w:tcW w:w="2608" w:type="dxa"/>
            <w:vAlign w:val="center"/>
          </w:tcPr>
          <w:p>
            <w:pPr>
              <w:pStyle w:val="37"/>
            </w:pPr>
            <w:r>
              <w:rPr>
                <w:rFonts w:hint="eastAsia"/>
              </w:rPr>
              <w:t>预测浓度</w:t>
            </w:r>
            <w:r>
              <w:t>C</w:t>
            </w:r>
            <w:r>
              <w:rPr>
                <w:vertAlign w:val="subscript"/>
              </w:rPr>
              <w:t>ij</w:t>
            </w:r>
            <w:r>
              <w:t>(mg/m</w:t>
            </w:r>
            <w:r>
              <w:rPr>
                <w:vertAlign w:val="superscript"/>
              </w:rPr>
              <w:t>3</w:t>
            </w:r>
            <w:r>
              <w:t>)</w:t>
            </w:r>
          </w:p>
        </w:tc>
        <w:tc>
          <w:tcPr>
            <w:tcW w:w="1813" w:type="dxa"/>
            <w:vAlign w:val="center"/>
          </w:tcPr>
          <w:p>
            <w:pPr>
              <w:pStyle w:val="37"/>
            </w:pPr>
            <w:r>
              <w:rPr>
                <w:rFonts w:hint="eastAsia"/>
              </w:rPr>
              <w:t>占标率</w:t>
            </w:r>
            <w:r>
              <w:t>P</w:t>
            </w:r>
            <w:r>
              <w:rPr>
                <w:vertAlign w:val="subscript"/>
              </w:rPr>
              <w:t>ij</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10</w:t>
            </w:r>
          </w:p>
        </w:tc>
        <w:tc>
          <w:tcPr>
            <w:tcW w:w="2608" w:type="dxa"/>
            <w:vAlign w:val="center"/>
          </w:tcPr>
          <w:p>
            <w:pPr>
              <w:pStyle w:val="37"/>
            </w:pPr>
            <w:r>
              <w:t>2.358x10</w:t>
            </w:r>
            <w:r>
              <w:rPr>
                <w:vertAlign w:val="superscript"/>
              </w:rPr>
              <w:t>-7</w:t>
            </w:r>
          </w:p>
        </w:tc>
        <w:tc>
          <w:tcPr>
            <w:tcW w:w="1813"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100</w:t>
            </w:r>
          </w:p>
        </w:tc>
        <w:tc>
          <w:tcPr>
            <w:tcW w:w="2608" w:type="dxa"/>
            <w:vAlign w:val="center"/>
          </w:tcPr>
          <w:p>
            <w:pPr>
              <w:pStyle w:val="37"/>
            </w:pPr>
            <w:r>
              <w:t>0.0003818</w:t>
            </w:r>
          </w:p>
        </w:tc>
        <w:tc>
          <w:tcPr>
            <w:tcW w:w="1813" w:type="dxa"/>
            <w:vAlign w:val="center"/>
          </w:tcPr>
          <w:p>
            <w:pPr>
              <w:pStyle w:val="37"/>
            </w:pPr>
            <w: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200</w:t>
            </w:r>
          </w:p>
        </w:tc>
        <w:tc>
          <w:tcPr>
            <w:tcW w:w="2608" w:type="dxa"/>
            <w:vAlign w:val="center"/>
          </w:tcPr>
          <w:p>
            <w:pPr>
              <w:pStyle w:val="37"/>
            </w:pPr>
            <w:r>
              <w:t>0.003456</w:t>
            </w:r>
          </w:p>
        </w:tc>
        <w:tc>
          <w:tcPr>
            <w:tcW w:w="1813" w:type="dxa"/>
            <w:vAlign w:val="center"/>
          </w:tcPr>
          <w:p>
            <w:pPr>
              <w:pStyle w:val="37"/>
            </w:pPr>
            <w: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300</w:t>
            </w:r>
          </w:p>
        </w:tc>
        <w:tc>
          <w:tcPr>
            <w:tcW w:w="2608" w:type="dxa"/>
            <w:vAlign w:val="center"/>
          </w:tcPr>
          <w:p>
            <w:pPr>
              <w:pStyle w:val="37"/>
            </w:pPr>
            <w:r>
              <w:t>0.007645</w:t>
            </w:r>
          </w:p>
        </w:tc>
        <w:tc>
          <w:tcPr>
            <w:tcW w:w="1813" w:type="dxa"/>
            <w:vAlign w:val="center"/>
          </w:tcPr>
          <w:p>
            <w:pPr>
              <w:pStyle w:val="37"/>
            </w:pPr>
            <w: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400</w:t>
            </w:r>
          </w:p>
        </w:tc>
        <w:tc>
          <w:tcPr>
            <w:tcW w:w="2608" w:type="dxa"/>
            <w:vAlign w:val="center"/>
          </w:tcPr>
          <w:p>
            <w:pPr>
              <w:pStyle w:val="37"/>
            </w:pPr>
            <w:r>
              <w:t>0.009426</w:t>
            </w:r>
          </w:p>
        </w:tc>
        <w:tc>
          <w:tcPr>
            <w:tcW w:w="1813" w:type="dxa"/>
            <w:vAlign w:val="center"/>
          </w:tcPr>
          <w:p>
            <w:pPr>
              <w:pStyle w:val="37"/>
            </w:pPr>
            <w: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500</w:t>
            </w:r>
          </w:p>
        </w:tc>
        <w:tc>
          <w:tcPr>
            <w:tcW w:w="2608" w:type="dxa"/>
            <w:vAlign w:val="center"/>
          </w:tcPr>
          <w:p>
            <w:pPr>
              <w:pStyle w:val="37"/>
            </w:pPr>
            <w:r>
              <w:t>0.009595</w:t>
            </w:r>
          </w:p>
        </w:tc>
        <w:tc>
          <w:tcPr>
            <w:tcW w:w="1813" w:type="dxa"/>
            <w:vAlign w:val="center"/>
          </w:tcPr>
          <w:p>
            <w:pPr>
              <w:pStyle w:val="37"/>
            </w:pPr>
            <w: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600</w:t>
            </w:r>
          </w:p>
        </w:tc>
        <w:tc>
          <w:tcPr>
            <w:tcW w:w="2608" w:type="dxa"/>
            <w:vAlign w:val="center"/>
          </w:tcPr>
          <w:p>
            <w:pPr>
              <w:pStyle w:val="37"/>
            </w:pPr>
            <w:r>
              <w:t>0.009085</w:t>
            </w:r>
          </w:p>
        </w:tc>
        <w:tc>
          <w:tcPr>
            <w:tcW w:w="1813" w:type="dxa"/>
            <w:vAlign w:val="center"/>
          </w:tcPr>
          <w:p>
            <w:pPr>
              <w:pStyle w:val="37"/>
            </w:pPr>
            <w: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700</w:t>
            </w:r>
          </w:p>
        </w:tc>
        <w:tc>
          <w:tcPr>
            <w:tcW w:w="2608" w:type="dxa"/>
            <w:vAlign w:val="center"/>
          </w:tcPr>
          <w:p>
            <w:pPr>
              <w:pStyle w:val="37"/>
            </w:pPr>
            <w:r>
              <w:t>0.009279</w:t>
            </w:r>
          </w:p>
        </w:tc>
        <w:tc>
          <w:tcPr>
            <w:tcW w:w="1813" w:type="dxa"/>
            <w:vAlign w:val="center"/>
          </w:tcPr>
          <w:p>
            <w:pPr>
              <w:pStyle w:val="37"/>
            </w:pPr>
            <w:r>
              <w:t>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800</w:t>
            </w:r>
          </w:p>
        </w:tc>
        <w:tc>
          <w:tcPr>
            <w:tcW w:w="2608" w:type="dxa"/>
            <w:vAlign w:val="center"/>
          </w:tcPr>
          <w:p>
            <w:pPr>
              <w:pStyle w:val="37"/>
            </w:pPr>
            <w:r>
              <w:t>0.009365</w:t>
            </w:r>
          </w:p>
        </w:tc>
        <w:tc>
          <w:tcPr>
            <w:tcW w:w="1813" w:type="dxa"/>
            <w:vAlign w:val="center"/>
          </w:tcPr>
          <w:p>
            <w:pPr>
              <w:pStyle w:val="37"/>
            </w:pPr>
            <w:r>
              <w:t>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900</w:t>
            </w:r>
          </w:p>
        </w:tc>
        <w:tc>
          <w:tcPr>
            <w:tcW w:w="2608" w:type="dxa"/>
            <w:vAlign w:val="center"/>
          </w:tcPr>
          <w:p>
            <w:pPr>
              <w:pStyle w:val="37"/>
            </w:pPr>
            <w:r>
              <w:t>0.00919</w:t>
            </w:r>
          </w:p>
        </w:tc>
        <w:tc>
          <w:tcPr>
            <w:tcW w:w="1813" w:type="dxa"/>
            <w:vAlign w:val="center"/>
          </w:tcPr>
          <w:p>
            <w:pPr>
              <w:pStyle w:val="37"/>
            </w:pPr>
            <w:r>
              <w:t>1.02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1000</w:t>
            </w:r>
          </w:p>
        </w:tc>
        <w:tc>
          <w:tcPr>
            <w:tcW w:w="2608" w:type="dxa"/>
            <w:vAlign w:val="center"/>
          </w:tcPr>
          <w:p>
            <w:pPr>
              <w:pStyle w:val="37"/>
            </w:pPr>
            <w:r>
              <w:t>0.008876</w:t>
            </w:r>
          </w:p>
        </w:tc>
        <w:tc>
          <w:tcPr>
            <w:tcW w:w="1813" w:type="dxa"/>
            <w:vAlign w:val="center"/>
          </w:tcPr>
          <w:p>
            <w:pPr>
              <w:pStyle w:val="37"/>
            </w:pPr>
            <w:r>
              <w:t>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1100</w:t>
            </w:r>
          </w:p>
        </w:tc>
        <w:tc>
          <w:tcPr>
            <w:tcW w:w="2608" w:type="dxa"/>
            <w:vAlign w:val="center"/>
          </w:tcPr>
          <w:p>
            <w:pPr>
              <w:pStyle w:val="37"/>
            </w:pPr>
            <w:r>
              <w:t>0.008492</w:t>
            </w:r>
          </w:p>
        </w:tc>
        <w:tc>
          <w:tcPr>
            <w:tcW w:w="1813" w:type="dxa"/>
            <w:vAlign w:val="center"/>
          </w:tcPr>
          <w:p>
            <w:pPr>
              <w:pStyle w:val="37"/>
            </w:pPr>
            <w: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1200</w:t>
            </w:r>
          </w:p>
        </w:tc>
        <w:tc>
          <w:tcPr>
            <w:tcW w:w="2608" w:type="dxa"/>
            <w:vAlign w:val="center"/>
          </w:tcPr>
          <w:p>
            <w:pPr>
              <w:pStyle w:val="37"/>
            </w:pPr>
            <w:r>
              <w:t>0.008078</w:t>
            </w:r>
          </w:p>
        </w:tc>
        <w:tc>
          <w:tcPr>
            <w:tcW w:w="1813" w:type="dxa"/>
            <w:vAlign w:val="center"/>
          </w:tcPr>
          <w:p>
            <w:pPr>
              <w:pStyle w:val="37"/>
            </w:pPr>
            <w:r>
              <w:t>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1300</w:t>
            </w:r>
          </w:p>
        </w:tc>
        <w:tc>
          <w:tcPr>
            <w:tcW w:w="2608" w:type="dxa"/>
            <w:vAlign w:val="center"/>
          </w:tcPr>
          <w:p>
            <w:pPr>
              <w:pStyle w:val="37"/>
            </w:pPr>
            <w:r>
              <w:t>0.007661</w:t>
            </w:r>
          </w:p>
        </w:tc>
        <w:tc>
          <w:tcPr>
            <w:tcW w:w="1813" w:type="dxa"/>
            <w:vAlign w:val="center"/>
          </w:tcPr>
          <w:p>
            <w:pPr>
              <w:pStyle w:val="37"/>
            </w:pPr>
            <w: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1400</w:t>
            </w:r>
          </w:p>
        </w:tc>
        <w:tc>
          <w:tcPr>
            <w:tcW w:w="2608" w:type="dxa"/>
            <w:vAlign w:val="center"/>
          </w:tcPr>
          <w:p>
            <w:pPr>
              <w:pStyle w:val="37"/>
            </w:pPr>
            <w:r>
              <w:t>0.007251</w:t>
            </w:r>
          </w:p>
        </w:tc>
        <w:tc>
          <w:tcPr>
            <w:tcW w:w="1813" w:type="dxa"/>
            <w:vAlign w:val="center"/>
          </w:tcPr>
          <w:p>
            <w:pPr>
              <w:pStyle w:val="37"/>
            </w:pPr>
            <w:r>
              <w:t>0.81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1500</w:t>
            </w:r>
          </w:p>
        </w:tc>
        <w:tc>
          <w:tcPr>
            <w:tcW w:w="2608" w:type="dxa"/>
            <w:vAlign w:val="center"/>
          </w:tcPr>
          <w:p>
            <w:pPr>
              <w:pStyle w:val="37"/>
            </w:pPr>
            <w:r>
              <w:t>0.006857</w:t>
            </w:r>
          </w:p>
        </w:tc>
        <w:tc>
          <w:tcPr>
            <w:tcW w:w="1813" w:type="dxa"/>
            <w:vAlign w:val="center"/>
          </w:tcPr>
          <w:p>
            <w:pPr>
              <w:pStyle w:val="37"/>
            </w:pPr>
            <w:r>
              <w:t>0.76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1600</w:t>
            </w:r>
          </w:p>
        </w:tc>
        <w:tc>
          <w:tcPr>
            <w:tcW w:w="2608" w:type="dxa"/>
            <w:vAlign w:val="center"/>
          </w:tcPr>
          <w:p>
            <w:pPr>
              <w:pStyle w:val="37"/>
            </w:pPr>
            <w:r>
              <w:t>0.006483</w:t>
            </w:r>
          </w:p>
        </w:tc>
        <w:tc>
          <w:tcPr>
            <w:tcW w:w="1813" w:type="dxa"/>
            <w:vAlign w:val="center"/>
          </w:tcPr>
          <w:p>
            <w:pPr>
              <w:pStyle w:val="37"/>
            </w:pPr>
            <w:r>
              <w:t>0.72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1700</w:t>
            </w:r>
          </w:p>
        </w:tc>
        <w:tc>
          <w:tcPr>
            <w:tcW w:w="2608" w:type="dxa"/>
            <w:vAlign w:val="center"/>
          </w:tcPr>
          <w:p>
            <w:pPr>
              <w:pStyle w:val="37"/>
            </w:pPr>
            <w:r>
              <w:t>0.00613</w:t>
            </w:r>
          </w:p>
        </w:tc>
        <w:tc>
          <w:tcPr>
            <w:tcW w:w="1813" w:type="dxa"/>
            <w:vAlign w:val="center"/>
          </w:tcPr>
          <w:p>
            <w:pPr>
              <w:pStyle w:val="37"/>
            </w:pPr>
            <w:r>
              <w:t>0.68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1800</w:t>
            </w:r>
          </w:p>
        </w:tc>
        <w:tc>
          <w:tcPr>
            <w:tcW w:w="2608" w:type="dxa"/>
            <w:vAlign w:val="center"/>
          </w:tcPr>
          <w:p>
            <w:pPr>
              <w:pStyle w:val="37"/>
            </w:pPr>
            <w:r>
              <w:t>0.005797</w:t>
            </w:r>
          </w:p>
        </w:tc>
        <w:tc>
          <w:tcPr>
            <w:tcW w:w="1813" w:type="dxa"/>
            <w:vAlign w:val="center"/>
          </w:tcPr>
          <w:p>
            <w:pPr>
              <w:pStyle w:val="37"/>
            </w:pPr>
            <w:r>
              <w:t>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1900</w:t>
            </w:r>
          </w:p>
        </w:tc>
        <w:tc>
          <w:tcPr>
            <w:tcW w:w="2608" w:type="dxa"/>
            <w:vAlign w:val="center"/>
          </w:tcPr>
          <w:p>
            <w:pPr>
              <w:pStyle w:val="37"/>
            </w:pPr>
            <w:r>
              <w:t>0.005489</w:t>
            </w:r>
          </w:p>
        </w:tc>
        <w:tc>
          <w:tcPr>
            <w:tcW w:w="1813" w:type="dxa"/>
            <w:vAlign w:val="center"/>
          </w:tcPr>
          <w:p>
            <w:pPr>
              <w:pStyle w:val="37"/>
            </w:pPr>
            <w:r>
              <w:t>0.61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359" w:type="dxa"/>
            <w:vMerge w:val="continue"/>
            <w:vAlign w:val="center"/>
          </w:tcPr>
          <w:p>
            <w:pPr>
              <w:pStyle w:val="37"/>
            </w:pPr>
          </w:p>
        </w:tc>
        <w:tc>
          <w:tcPr>
            <w:tcW w:w="3366" w:type="dxa"/>
            <w:vAlign w:val="center"/>
          </w:tcPr>
          <w:p>
            <w:pPr>
              <w:pStyle w:val="37"/>
            </w:pPr>
            <w:r>
              <w:t>2000</w:t>
            </w:r>
          </w:p>
        </w:tc>
        <w:tc>
          <w:tcPr>
            <w:tcW w:w="2608" w:type="dxa"/>
            <w:vAlign w:val="center"/>
          </w:tcPr>
          <w:p>
            <w:pPr>
              <w:pStyle w:val="37"/>
            </w:pPr>
            <w:r>
              <w:t>0.0052</w:t>
            </w:r>
          </w:p>
        </w:tc>
        <w:tc>
          <w:tcPr>
            <w:tcW w:w="1813" w:type="dxa"/>
            <w:vAlign w:val="center"/>
          </w:tcPr>
          <w:p>
            <w:pPr>
              <w:pStyle w:val="37"/>
            </w:pPr>
            <w:r>
              <w:t>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725" w:type="dxa"/>
            <w:gridSpan w:val="2"/>
            <w:vAlign w:val="center"/>
          </w:tcPr>
          <w:p>
            <w:pPr>
              <w:pStyle w:val="37"/>
              <w:rPr>
                <w:kern w:val="0"/>
              </w:rPr>
            </w:pPr>
            <w:r>
              <w:rPr>
                <w:kern w:val="0"/>
              </w:rPr>
              <w:t>C</w:t>
            </w:r>
            <w:r>
              <w:rPr>
                <w:kern w:val="0"/>
                <w:vertAlign w:val="subscript"/>
              </w:rPr>
              <w:t>max</w:t>
            </w:r>
            <w:r>
              <w:rPr>
                <w:kern w:val="0"/>
              </w:rPr>
              <w:t>/P</w:t>
            </w:r>
            <w:r>
              <w:rPr>
                <w:kern w:val="0"/>
                <w:vertAlign w:val="subscript"/>
              </w:rPr>
              <w:t>max</w:t>
            </w:r>
          </w:p>
        </w:tc>
        <w:tc>
          <w:tcPr>
            <w:tcW w:w="2608" w:type="dxa"/>
            <w:vAlign w:val="center"/>
          </w:tcPr>
          <w:p>
            <w:pPr>
              <w:pStyle w:val="37"/>
            </w:pPr>
            <w:r>
              <w:t>0.009647</w:t>
            </w:r>
          </w:p>
        </w:tc>
        <w:tc>
          <w:tcPr>
            <w:tcW w:w="1813" w:type="dxa"/>
            <w:vAlign w:val="bottom"/>
          </w:tcPr>
          <w:p>
            <w:pPr>
              <w:pStyle w:val="37"/>
            </w:pPr>
            <w: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725" w:type="dxa"/>
            <w:gridSpan w:val="2"/>
            <w:vAlign w:val="center"/>
          </w:tcPr>
          <w:p>
            <w:pPr>
              <w:pStyle w:val="37"/>
              <w:rPr>
                <w:b/>
              </w:rPr>
            </w:pPr>
            <w:r>
              <w:rPr>
                <w:rFonts w:hint="eastAsia"/>
                <w:kern w:val="0"/>
              </w:rPr>
              <w:t>出现距离（</w:t>
            </w:r>
            <w:r>
              <w:rPr>
                <w:kern w:val="0"/>
              </w:rPr>
              <w:t>m</w:t>
            </w:r>
            <w:r>
              <w:rPr>
                <w:rFonts w:hint="eastAsia"/>
                <w:kern w:val="0"/>
              </w:rPr>
              <w:t>）</w:t>
            </w:r>
          </w:p>
        </w:tc>
        <w:tc>
          <w:tcPr>
            <w:tcW w:w="2608" w:type="dxa"/>
            <w:vAlign w:val="center"/>
          </w:tcPr>
          <w:p>
            <w:pPr>
              <w:pStyle w:val="37"/>
            </w:pPr>
            <w:r>
              <w:t>465</w:t>
            </w:r>
          </w:p>
        </w:tc>
        <w:tc>
          <w:tcPr>
            <w:tcW w:w="1813" w:type="dxa"/>
            <w:vAlign w:val="center"/>
          </w:tcPr>
          <w:p>
            <w:pPr>
              <w:pStyle w:val="37"/>
            </w:pPr>
            <w:r>
              <w:t>465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4725" w:type="dxa"/>
            <w:gridSpan w:val="2"/>
            <w:vAlign w:val="center"/>
          </w:tcPr>
          <w:p>
            <w:pPr>
              <w:pStyle w:val="37"/>
            </w:pPr>
            <w:r>
              <w:rPr>
                <w:rFonts w:hint="eastAsia"/>
              </w:rPr>
              <w:t>浓度占标准</w:t>
            </w:r>
            <w:r>
              <w:t>10%</w:t>
            </w:r>
            <w:r>
              <w:rPr>
                <w:rFonts w:hint="eastAsia"/>
              </w:rPr>
              <w:t>距源最远距离</w:t>
            </w:r>
            <w:r>
              <w:t>D</w:t>
            </w:r>
            <w:r>
              <w:rPr>
                <w:vertAlign w:val="subscript"/>
              </w:rPr>
              <w:t>10%</w:t>
            </w:r>
          </w:p>
        </w:tc>
        <w:tc>
          <w:tcPr>
            <w:tcW w:w="2608" w:type="dxa"/>
            <w:vAlign w:val="center"/>
          </w:tcPr>
          <w:p>
            <w:pPr>
              <w:pStyle w:val="37"/>
            </w:pPr>
            <w:r>
              <w:rPr>
                <w:rFonts w:hint="eastAsia"/>
              </w:rPr>
              <w:t>不存在</w:t>
            </w:r>
          </w:p>
        </w:tc>
        <w:tc>
          <w:tcPr>
            <w:tcW w:w="1813" w:type="dxa"/>
            <w:vAlign w:val="center"/>
          </w:tcPr>
          <w:p>
            <w:pPr>
              <w:pStyle w:val="37"/>
            </w:pPr>
            <w:r>
              <w:rPr>
                <w:rFonts w:hint="eastAsia"/>
              </w:rPr>
              <w:t>不存在</w:t>
            </w:r>
          </w:p>
        </w:tc>
      </w:tr>
    </w:tbl>
    <w:p>
      <w:pPr>
        <w:pStyle w:val="14"/>
        <w:jc w:val="left"/>
      </w:pPr>
      <w:r>
        <w:rPr>
          <w:rFonts w:hint="eastAsia"/>
        </w:rPr>
        <w:t>注：</w:t>
      </w:r>
      <w:r>
        <w:t>Cmax</w:t>
      </w:r>
      <w:r>
        <w:rPr>
          <w:rFonts w:hint="eastAsia"/>
        </w:rPr>
        <w:t>：最大地面落地浓度；</w:t>
      </w:r>
      <w:r>
        <w:t>Dmax</w:t>
      </w:r>
      <w:r>
        <w:rPr>
          <w:rFonts w:hint="eastAsia"/>
        </w:rPr>
        <w:t>：最大落地浓度对应距离</w:t>
      </w:r>
      <w:bookmarkEnd w:id="153"/>
    </w:p>
    <w:p>
      <w:pPr>
        <w:ind w:firstLine="480"/>
      </w:pPr>
      <w:r>
        <w:rPr>
          <w:rFonts w:hint="eastAsia"/>
        </w:rPr>
        <w:t>由上表可知，本项目固体废物处置场无组织面源废气中</w:t>
      </w:r>
      <w:r>
        <w:t>TSP</w:t>
      </w:r>
      <w:r>
        <w:rPr>
          <w:rFonts w:hint="eastAsia"/>
        </w:rPr>
        <w:t>最大落地浓度为</w:t>
      </w:r>
      <w:r>
        <w:t>0.009647mg/m</w:t>
      </w:r>
      <w:r>
        <w:rPr>
          <w:vertAlign w:val="superscript"/>
        </w:rPr>
        <w:t>3</w:t>
      </w:r>
      <w:r>
        <w:rPr>
          <w:rFonts w:hint="eastAsia"/>
        </w:rPr>
        <w:t>，占标率为</w:t>
      </w:r>
      <w:r>
        <w:t>1.07%</w:t>
      </w:r>
      <w:r>
        <w:rPr>
          <w:kern w:val="0"/>
        </w:rPr>
        <w:t>&lt;10%</w:t>
      </w:r>
      <w:r>
        <w:rPr>
          <w:rFonts w:hint="eastAsia"/>
        </w:rPr>
        <w:t>，最大出现距离为</w:t>
      </w:r>
      <w:r>
        <w:t>465m</w:t>
      </w:r>
      <w:r>
        <w:rPr>
          <w:rFonts w:hint="eastAsia"/>
        </w:rPr>
        <w:t>。项目最近居民为南面</w:t>
      </w:r>
      <w:r>
        <w:t>500m</w:t>
      </w:r>
      <w:r>
        <w:rPr>
          <w:rFonts w:hint="eastAsia"/>
        </w:rPr>
        <w:t>陈家坡处，其</w:t>
      </w:r>
      <w:r>
        <w:t>TSP</w:t>
      </w:r>
      <w:r>
        <w:rPr>
          <w:rFonts w:hint="eastAsia"/>
        </w:rPr>
        <w:t>在南面陈家坡居民落地浓度为</w:t>
      </w:r>
      <w:r>
        <w:t>0.009595mg/m</w:t>
      </w:r>
      <w:r>
        <w:rPr>
          <w:vertAlign w:val="superscript"/>
        </w:rPr>
        <w:t>3</w:t>
      </w:r>
      <w:r>
        <w:rPr>
          <w:rFonts w:hint="eastAsia"/>
        </w:rPr>
        <w:t>，占标率为</w:t>
      </w:r>
      <w:r>
        <w:t xml:space="preserve">1.07%&lt;10% </w:t>
      </w:r>
      <w:r>
        <w:rPr>
          <w:rFonts w:hint="eastAsia"/>
        </w:rPr>
        <w:t>。</w:t>
      </w:r>
    </w:p>
    <w:p>
      <w:pPr>
        <w:adjustRightInd w:val="0"/>
        <w:snapToGrid w:val="0"/>
        <w:ind w:firstLine="480"/>
      </w:pPr>
      <w:r>
        <w:rPr>
          <w:rFonts w:hint="eastAsia"/>
        </w:rPr>
        <w:t>通过预测可知，项目处置场产生的</w:t>
      </w:r>
      <w:r>
        <w:t>TSP</w:t>
      </w:r>
      <w:r>
        <w:rPr>
          <w:rFonts w:hint="eastAsia"/>
        </w:rPr>
        <w:t>污染物满足</w:t>
      </w:r>
      <w:r>
        <w:rPr>
          <w:rFonts w:hint="eastAsia"/>
          <w:kern w:val="0"/>
        </w:rPr>
        <w:t>《大气污染物综合排放标准》（</w:t>
      </w:r>
      <w:r>
        <w:rPr>
          <w:kern w:val="0"/>
        </w:rPr>
        <w:t>GB16297-1996</w:t>
      </w:r>
      <w:r>
        <w:rPr>
          <w:rFonts w:hint="eastAsia"/>
          <w:kern w:val="0"/>
        </w:rPr>
        <w:t>）无组织排放监控浓度限值标准</w:t>
      </w:r>
      <w:r>
        <w:rPr>
          <w:rFonts w:hint="eastAsia"/>
        </w:rPr>
        <w:t>（</w:t>
      </w:r>
      <w:r>
        <w:t>GB14554-93</w:t>
      </w:r>
      <w:r>
        <w:rPr>
          <w:rFonts w:hint="eastAsia"/>
        </w:rPr>
        <w:t>），因此，项目建设对周围环境空气质量影响较小。本项目无组织废气污染物无超标点，无需设置大气环境防护距离。</w:t>
      </w:r>
    </w:p>
    <w:p>
      <w:pPr>
        <w:pStyle w:val="4"/>
      </w:pPr>
      <w:r>
        <w:rPr>
          <w:rFonts w:hint="eastAsia"/>
        </w:rPr>
        <w:t>声环境影响预测评价</w:t>
      </w:r>
    </w:p>
    <w:p>
      <w:pPr>
        <w:ind w:firstLine="482"/>
        <w:rPr>
          <w:b/>
        </w:rPr>
      </w:pPr>
      <w:r>
        <w:rPr>
          <w:rFonts w:hint="eastAsia"/>
          <w:b/>
        </w:rPr>
        <w:t>（</w:t>
      </w:r>
      <w:r>
        <w:rPr>
          <w:b/>
        </w:rPr>
        <w:t>1</w:t>
      </w:r>
      <w:r>
        <w:rPr>
          <w:rFonts w:hint="eastAsia"/>
          <w:b/>
        </w:rPr>
        <w:t>）项目声源分析</w:t>
      </w:r>
    </w:p>
    <w:p>
      <w:pPr>
        <w:ind w:firstLine="480"/>
      </w:pPr>
      <w:r>
        <w:rPr>
          <w:rFonts w:hint="eastAsia"/>
        </w:rPr>
        <w:t>填埋期对声环境的影响主要为卫生处置场作业区的作业机械运行噪声。根据对同类地面设施的类比调查，确定主要噪声源及噪声声级值见下表。</w:t>
      </w:r>
    </w:p>
    <w:p>
      <w:pPr>
        <w:pStyle w:val="14"/>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11</w:t>
      </w:r>
      <w:r>
        <w:fldChar w:fldCharType="end"/>
      </w:r>
      <w:r>
        <w:rPr>
          <w:rFonts w:hint="eastAsia"/>
        </w:rPr>
        <w:t>噪声源及声级值</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0"/>
        <w:gridCol w:w="864"/>
        <w:gridCol w:w="566"/>
        <w:gridCol w:w="1277"/>
        <w:gridCol w:w="1277"/>
        <w:gridCol w:w="1273"/>
        <w:gridCol w:w="1277"/>
        <w:gridCol w:w="993"/>
        <w:gridCol w:w="1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520" w:type="dxa"/>
            <w:vAlign w:val="center"/>
          </w:tcPr>
          <w:p>
            <w:pPr>
              <w:pStyle w:val="37"/>
            </w:pPr>
            <w:r>
              <w:rPr>
                <w:rFonts w:hint="eastAsia"/>
              </w:rPr>
              <w:t>序号</w:t>
            </w:r>
          </w:p>
        </w:tc>
        <w:tc>
          <w:tcPr>
            <w:tcW w:w="864" w:type="dxa"/>
            <w:vAlign w:val="center"/>
          </w:tcPr>
          <w:p>
            <w:pPr>
              <w:pStyle w:val="37"/>
            </w:pPr>
            <w:r>
              <w:rPr>
                <w:rFonts w:hint="eastAsia"/>
              </w:rPr>
              <w:t>噪声源</w:t>
            </w:r>
          </w:p>
        </w:tc>
        <w:tc>
          <w:tcPr>
            <w:tcW w:w="566" w:type="dxa"/>
            <w:vAlign w:val="center"/>
          </w:tcPr>
          <w:p>
            <w:pPr>
              <w:pStyle w:val="37"/>
            </w:pPr>
            <w:r>
              <w:rPr>
                <w:rFonts w:hint="eastAsia"/>
              </w:rPr>
              <w:t>数量</w:t>
            </w:r>
          </w:p>
        </w:tc>
        <w:tc>
          <w:tcPr>
            <w:tcW w:w="1277" w:type="dxa"/>
            <w:vAlign w:val="center"/>
          </w:tcPr>
          <w:p>
            <w:pPr>
              <w:pStyle w:val="37"/>
            </w:pPr>
            <w:r>
              <w:rPr>
                <w:rFonts w:hint="eastAsia"/>
              </w:rPr>
              <w:t>距厂界东侧最近距离</w:t>
            </w:r>
            <w:r>
              <w:t>m</w:t>
            </w:r>
          </w:p>
        </w:tc>
        <w:tc>
          <w:tcPr>
            <w:tcW w:w="1277" w:type="dxa"/>
            <w:vAlign w:val="center"/>
          </w:tcPr>
          <w:p>
            <w:pPr>
              <w:pStyle w:val="37"/>
            </w:pPr>
            <w:r>
              <w:rPr>
                <w:rFonts w:hint="eastAsia"/>
              </w:rPr>
              <w:t>距厂界南侧最近距离</w:t>
            </w:r>
            <w:r>
              <w:t>m</w:t>
            </w:r>
          </w:p>
        </w:tc>
        <w:tc>
          <w:tcPr>
            <w:tcW w:w="1273" w:type="dxa"/>
            <w:vAlign w:val="center"/>
          </w:tcPr>
          <w:p>
            <w:pPr>
              <w:pStyle w:val="37"/>
            </w:pPr>
            <w:r>
              <w:rPr>
                <w:rFonts w:hint="eastAsia"/>
              </w:rPr>
              <w:t>距厂界西侧最近距离</w:t>
            </w:r>
            <w:r>
              <w:t>m</w:t>
            </w:r>
          </w:p>
        </w:tc>
        <w:tc>
          <w:tcPr>
            <w:tcW w:w="1277" w:type="dxa"/>
            <w:vAlign w:val="center"/>
          </w:tcPr>
          <w:p>
            <w:pPr>
              <w:pStyle w:val="37"/>
            </w:pPr>
            <w:r>
              <w:rPr>
                <w:rFonts w:hint="eastAsia"/>
              </w:rPr>
              <w:t>距厂界北侧最近距离</w:t>
            </w:r>
            <w:r>
              <w:t>m</w:t>
            </w:r>
          </w:p>
        </w:tc>
        <w:tc>
          <w:tcPr>
            <w:tcW w:w="993" w:type="dxa"/>
            <w:vAlign w:val="center"/>
          </w:tcPr>
          <w:p>
            <w:pPr>
              <w:pStyle w:val="37"/>
            </w:pPr>
            <w:r>
              <w:rPr>
                <w:rFonts w:hint="eastAsia"/>
              </w:rPr>
              <w:t>噪声强度</w:t>
            </w:r>
            <w:r>
              <w:t>dB(A)</w:t>
            </w:r>
          </w:p>
        </w:tc>
        <w:tc>
          <w:tcPr>
            <w:tcW w:w="1099" w:type="dxa"/>
            <w:vAlign w:val="center"/>
          </w:tcPr>
          <w:p>
            <w:pPr>
              <w:pStyle w:val="37"/>
            </w:pPr>
            <w:r>
              <w:rPr>
                <w:rFonts w:hint="eastAsia"/>
              </w:rPr>
              <w:t>运行时间（</w:t>
            </w:r>
            <w:r>
              <w:t>h</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520" w:type="dxa"/>
            <w:vAlign w:val="center"/>
          </w:tcPr>
          <w:p>
            <w:pPr>
              <w:pStyle w:val="37"/>
            </w:pPr>
            <w:r>
              <w:t>1</w:t>
            </w:r>
          </w:p>
        </w:tc>
        <w:tc>
          <w:tcPr>
            <w:tcW w:w="864" w:type="dxa"/>
            <w:vAlign w:val="center"/>
          </w:tcPr>
          <w:p>
            <w:pPr>
              <w:pStyle w:val="37"/>
            </w:pPr>
            <w:r>
              <w:rPr>
                <w:rFonts w:hint="eastAsia"/>
              </w:rPr>
              <w:t>推土机</w:t>
            </w:r>
          </w:p>
        </w:tc>
        <w:tc>
          <w:tcPr>
            <w:tcW w:w="566" w:type="dxa"/>
            <w:vAlign w:val="center"/>
          </w:tcPr>
          <w:p>
            <w:pPr>
              <w:pStyle w:val="37"/>
            </w:pPr>
            <w:r>
              <w:t>1</w:t>
            </w:r>
          </w:p>
        </w:tc>
        <w:tc>
          <w:tcPr>
            <w:tcW w:w="1277" w:type="dxa"/>
            <w:vAlign w:val="center"/>
          </w:tcPr>
          <w:p>
            <w:pPr>
              <w:pStyle w:val="37"/>
            </w:pPr>
            <w:r>
              <w:t>10</w:t>
            </w:r>
          </w:p>
        </w:tc>
        <w:tc>
          <w:tcPr>
            <w:tcW w:w="1277" w:type="dxa"/>
            <w:vAlign w:val="center"/>
          </w:tcPr>
          <w:p>
            <w:pPr>
              <w:pStyle w:val="37"/>
            </w:pPr>
            <w:r>
              <w:t>10</w:t>
            </w:r>
          </w:p>
        </w:tc>
        <w:tc>
          <w:tcPr>
            <w:tcW w:w="1273" w:type="dxa"/>
            <w:vAlign w:val="center"/>
          </w:tcPr>
          <w:p>
            <w:pPr>
              <w:pStyle w:val="37"/>
            </w:pPr>
            <w:r>
              <w:t>10</w:t>
            </w:r>
          </w:p>
        </w:tc>
        <w:tc>
          <w:tcPr>
            <w:tcW w:w="1277" w:type="dxa"/>
            <w:vAlign w:val="center"/>
          </w:tcPr>
          <w:p>
            <w:pPr>
              <w:pStyle w:val="37"/>
            </w:pPr>
            <w:r>
              <w:t>10</w:t>
            </w:r>
          </w:p>
        </w:tc>
        <w:tc>
          <w:tcPr>
            <w:tcW w:w="993" w:type="dxa"/>
            <w:vAlign w:val="center"/>
          </w:tcPr>
          <w:p>
            <w:pPr>
              <w:pStyle w:val="37"/>
            </w:pPr>
            <w:r>
              <w:t>96</w:t>
            </w:r>
          </w:p>
        </w:tc>
        <w:tc>
          <w:tcPr>
            <w:tcW w:w="1099" w:type="dxa"/>
            <w:vAlign w:val="center"/>
          </w:tcPr>
          <w:p>
            <w:pPr>
              <w:pStyle w:val="37"/>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520" w:type="dxa"/>
            <w:vAlign w:val="center"/>
          </w:tcPr>
          <w:p>
            <w:pPr>
              <w:pStyle w:val="37"/>
            </w:pPr>
            <w:r>
              <w:t>2</w:t>
            </w:r>
          </w:p>
        </w:tc>
        <w:tc>
          <w:tcPr>
            <w:tcW w:w="864" w:type="dxa"/>
            <w:vAlign w:val="center"/>
          </w:tcPr>
          <w:p>
            <w:pPr>
              <w:pStyle w:val="37"/>
            </w:pPr>
            <w:r>
              <w:rPr>
                <w:rFonts w:hint="eastAsia"/>
              </w:rPr>
              <w:t>装载机</w:t>
            </w:r>
          </w:p>
        </w:tc>
        <w:tc>
          <w:tcPr>
            <w:tcW w:w="566" w:type="dxa"/>
            <w:vAlign w:val="center"/>
          </w:tcPr>
          <w:p>
            <w:pPr>
              <w:pStyle w:val="37"/>
            </w:pPr>
            <w:r>
              <w:t>1</w:t>
            </w:r>
          </w:p>
        </w:tc>
        <w:tc>
          <w:tcPr>
            <w:tcW w:w="1277" w:type="dxa"/>
            <w:vAlign w:val="center"/>
          </w:tcPr>
          <w:p>
            <w:pPr>
              <w:pStyle w:val="37"/>
            </w:pPr>
            <w:r>
              <w:t>30</w:t>
            </w:r>
          </w:p>
        </w:tc>
        <w:tc>
          <w:tcPr>
            <w:tcW w:w="1277" w:type="dxa"/>
            <w:vAlign w:val="center"/>
          </w:tcPr>
          <w:p>
            <w:pPr>
              <w:pStyle w:val="37"/>
            </w:pPr>
            <w:r>
              <w:t>30</w:t>
            </w:r>
          </w:p>
        </w:tc>
        <w:tc>
          <w:tcPr>
            <w:tcW w:w="1273" w:type="dxa"/>
            <w:vAlign w:val="center"/>
          </w:tcPr>
          <w:p>
            <w:pPr>
              <w:pStyle w:val="37"/>
            </w:pPr>
            <w:r>
              <w:t>25</w:t>
            </w:r>
          </w:p>
        </w:tc>
        <w:tc>
          <w:tcPr>
            <w:tcW w:w="1277" w:type="dxa"/>
            <w:vAlign w:val="center"/>
          </w:tcPr>
          <w:p>
            <w:pPr>
              <w:pStyle w:val="37"/>
            </w:pPr>
            <w:r>
              <w:t>28</w:t>
            </w:r>
          </w:p>
        </w:tc>
        <w:tc>
          <w:tcPr>
            <w:tcW w:w="993" w:type="dxa"/>
            <w:vAlign w:val="center"/>
          </w:tcPr>
          <w:p>
            <w:pPr>
              <w:pStyle w:val="37"/>
            </w:pPr>
            <w:r>
              <w:t>92</w:t>
            </w:r>
          </w:p>
        </w:tc>
        <w:tc>
          <w:tcPr>
            <w:tcW w:w="1099" w:type="dxa"/>
            <w:vAlign w:val="center"/>
          </w:tcPr>
          <w:p>
            <w:pPr>
              <w:pStyle w:val="37"/>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20" w:type="dxa"/>
            <w:vAlign w:val="center"/>
          </w:tcPr>
          <w:p>
            <w:pPr>
              <w:pStyle w:val="37"/>
            </w:pPr>
            <w:r>
              <w:t>3</w:t>
            </w:r>
          </w:p>
        </w:tc>
        <w:tc>
          <w:tcPr>
            <w:tcW w:w="864" w:type="dxa"/>
            <w:vAlign w:val="center"/>
          </w:tcPr>
          <w:p>
            <w:pPr>
              <w:pStyle w:val="37"/>
            </w:pPr>
            <w:r>
              <w:rPr>
                <w:rFonts w:hint="eastAsia"/>
              </w:rPr>
              <w:t>压实机</w:t>
            </w:r>
          </w:p>
        </w:tc>
        <w:tc>
          <w:tcPr>
            <w:tcW w:w="566" w:type="dxa"/>
            <w:vAlign w:val="center"/>
          </w:tcPr>
          <w:p>
            <w:pPr>
              <w:pStyle w:val="37"/>
            </w:pPr>
            <w:r>
              <w:t>1</w:t>
            </w:r>
          </w:p>
        </w:tc>
        <w:tc>
          <w:tcPr>
            <w:tcW w:w="1277" w:type="dxa"/>
            <w:vAlign w:val="center"/>
          </w:tcPr>
          <w:p>
            <w:pPr>
              <w:pStyle w:val="37"/>
            </w:pPr>
            <w:r>
              <w:t>40</w:t>
            </w:r>
          </w:p>
        </w:tc>
        <w:tc>
          <w:tcPr>
            <w:tcW w:w="1277" w:type="dxa"/>
            <w:vAlign w:val="center"/>
          </w:tcPr>
          <w:p>
            <w:pPr>
              <w:pStyle w:val="37"/>
            </w:pPr>
            <w:r>
              <w:t>85</w:t>
            </w:r>
          </w:p>
        </w:tc>
        <w:tc>
          <w:tcPr>
            <w:tcW w:w="1273" w:type="dxa"/>
            <w:vAlign w:val="center"/>
          </w:tcPr>
          <w:p>
            <w:pPr>
              <w:pStyle w:val="37"/>
            </w:pPr>
            <w:r>
              <w:t>60</w:t>
            </w:r>
          </w:p>
        </w:tc>
        <w:tc>
          <w:tcPr>
            <w:tcW w:w="1277" w:type="dxa"/>
            <w:vAlign w:val="center"/>
          </w:tcPr>
          <w:p>
            <w:pPr>
              <w:pStyle w:val="37"/>
            </w:pPr>
            <w:r>
              <w:t>50</w:t>
            </w:r>
          </w:p>
        </w:tc>
        <w:tc>
          <w:tcPr>
            <w:tcW w:w="993" w:type="dxa"/>
            <w:vAlign w:val="center"/>
          </w:tcPr>
          <w:p>
            <w:pPr>
              <w:pStyle w:val="37"/>
            </w:pPr>
            <w:r>
              <w:t>93</w:t>
            </w:r>
          </w:p>
        </w:tc>
        <w:tc>
          <w:tcPr>
            <w:tcW w:w="1099" w:type="dxa"/>
            <w:vAlign w:val="center"/>
          </w:tcPr>
          <w:p>
            <w:pPr>
              <w:pStyle w:val="37"/>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20" w:type="dxa"/>
            <w:vAlign w:val="center"/>
          </w:tcPr>
          <w:p>
            <w:pPr>
              <w:pStyle w:val="37"/>
            </w:pPr>
            <w:r>
              <w:t>4</w:t>
            </w:r>
          </w:p>
        </w:tc>
        <w:tc>
          <w:tcPr>
            <w:tcW w:w="864" w:type="dxa"/>
            <w:vAlign w:val="center"/>
          </w:tcPr>
          <w:p>
            <w:pPr>
              <w:pStyle w:val="37"/>
            </w:pPr>
            <w:r>
              <w:rPr>
                <w:rFonts w:hint="eastAsia"/>
              </w:rPr>
              <w:t>洒水车</w:t>
            </w:r>
          </w:p>
        </w:tc>
        <w:tc>
          <w:tcPr>
            <w:tcW w:w="566" w:type="dxa"/>
            <w:vAlign w:val="center"/>
          </w:tcPr>
          <w:p>
            <w:pPr>
              <w:pStyle w:val="37"/>
            </w:pPr>
            <w:r>
              <w:t>1</w:t>
            </w:r>
          </w:p>
        </w:tc>
        <w:tc>
          <w:tcPr>
            <w:tcW w:w="1277" w:type="dxa"/>
            <w:vAlign w:val="center"/>
          </w:tcPr>
          <w:p>
            <w:pPr>
              <w:pStyle w:val="37"/>
            </w:pPr>
            <w:r>
              <w:t>10</w:t>
            </w:r>
          </w:p>
        </w:tc>
        <w:tc>
          <w:tcPr>
            <w:tcW w:w="1277" w:type="dxa"/>
            <w:vAlign w:val="center"/>
          </w:tcPr>
          <w:p>
            <w:pPr>
              <w:pStyle w:val="37"/>
            </w:pPr>
            <w:r>
              <w:t>10</w:t>
            </w:r>
          </w:p>
        </w:tc>
        <w:tc>
          <w:tcPr>
            <w:tcW w:w="1273" w:type="dxa"/>
            <w:vAlign w:val="center"/>
          </w:tcPr>
          <w:p>
            <w:pPr>
              <w:pStyle w:val="37"/>
            </w:pPr>
            <w:r>
              <w:t>10</w:t>
            </w:r>
          </w:p>
        </w:tc>
        <w:tc>
          <w:tcPr>
            <w:tcW w:w="1277" w:type="dxa"/>
            <w:vAlign w:val="center"/>
          </w:tcPr>
          <w:p>
            <w:pPr>
              <w:pStyle w:val="37"/>
            </w:pPr>
            <w:r>
              <w:t>10</w:t>
            </w:r>
          </w:p>
        </w:tc>
        <w:tc>
          <w:tcPr>
            <w:tcW w:w="993" w:type="dxa"/>
            <w:vAlign w:val="center"/>
          </w:tcPr>
          <w:p>
            <w:pPr>
              <w:pStyle w:val="37"/>
            </w:pPr>
            <w:r>
              <w:t>88</w:t>
            </w:r>
          </w:p>
        </w:tc>
        <w:tc>
          <w:tcPr>
            <w:tcW w:w="1099" w:type="dxa"/>
            <w:vAlign w:val="center"/>
          </w:tcPr>
          <w:p>
            <w:pPr>
              <w:pStyle w:val="37"/>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20" w:type="dxa"/>
            <w:vAlign w:val="center"/>
          </w:tcPr>
          <w:p>
            <w:pPr>
              <w:pStyle w:val="37"/>
            </w:pPr>
            <w:r>
              <w:t>5</w:t>
            </w:r>
          </w:p>
        </w:tc>
        <w:tc>
          <w:tcPr>
            <w:tcW w:w="864" w:type="dxa"/>
            <w:vAlign w:val="center"/>
          </w:tcPr>
          <w:p>
            <w:pPr>
              <w:pStyle w:val="37"/>
            </w:pPr>
            <w:r>
              <w:rPr>
                <w:rFonts w:hint="eastAsia"/>
              </w:rPr>
              <w:t>夯土机</w:t>
            </w:r>
          </w:p>
        </w:tc>
        <w:tc>
          <w:tcPr>
            <w:tcW w:w="566" w:type="dxa"/>
            <w:vAlign w:val="center"/>
          </w:tcPr>
          <w:p>
            <w:pPr>
              <w:pStyle w:val="37"/>
            </w:pPr>
            <w:r>
              <w:t>1</w:t>
            </w:r>
          </w:p>
        </w:tc>
        <w:tc>
          <w:tcPr>
            <w:tcW w:w="1277" w:type="dxa"/>
            <w:vAlign w:val="center"/>
          </w:tcPr>
          <w:p>
            <w:pPr>
              <w:pStyle w:val="37"/>
            </w:pPr>
            <w:r>
              <w:t>10</w:t>
            </w:r>
          </w:p>
        </w:tc>
        <w:tc>
          <w:tcPr>
            <w:tcW w:w="1277" w:type="dxa"/>
            <w:vAlign w:val="center"/>
          </w:tcPr>
          <w:p>
            <w:pPr>
              <w:pStyle w:val="37"/>
            </w:pPr>
            <w:r>
              <w:t>10</w:t>
            </w:r>
          </w:p>
        </w:tc>
        <w:tc>
          <w:tcPr>
            <w:tcW w:w="1273" w:type="dxa"/>
            <w:vAlign w:val="center"/>
          </w:tcPr>
          <w:p>
            <w:pPr>
              <w:pStyle w:val="37"/>
            </w:pPr>
            <w:r>
              <w:t>70</w:t>
            </w:r>
          </w:p>
        </w:tc>
        <w:tc>
          <w:tcPr>
            <w:tcW w:w="1277" w:type="dxa"/>
            <w:vAlign w:val="center"/>
          </w:tcPr>
          <w:p>
            <w:pPr>
              <w:pStyle w:val="37"/>
            </w:pPr>
            <w:r>
              <w:t>40</w:t>
            </w:r>
          </w:p>
        </w:tc>
        <w:tc>
          <w:tcPr>
            <w:tcW w:w="993" w:type="dxa"/>
            <w:vAlign w:val="center"/>
          </w:tcPr>
          <w:p>
            <w:pPr>
              <w:pStyle w:val="37"/>
            </w:pPr>
            <w:r>
              <w:t>90</w:t>
            </w:r>
          </w:p>
        </w:tc>
        <w:tc>
          <w:tcPr>
            <w:tcW w:w="1099" w:type="dxa"/>
            <w:vAlign w:val="center"/>
          </w:tcPr>
          <w:p>
            <w:pPr>
              <w:pStyle w:val="37"/>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520" w:type="dxa"/>
            <w:vAlign w:val="center"/>
          </w:tcPr>
          <w:p>
            <w:pPr>
              <w:pStyle w:val="37"/>
            </w:pPr>
            <w:r>
              <w:t>6</w:t>
            </w:r>
          </w:p>
        </w:tc>
        <w:tc>
          <w:tcPr>
            <w:tcW w:w="864" w:type="dxa"/>
            <w:vAlign w:val="center"/>
          </w:tcPr>
          <w:p>
            <w:pPr>
              <w:pStyle w:val="37"/>
            </w:pPr>
            <w:r>
              <w:rPr>
                <w:rFonts w:hint="eastAsia"/>
              </w:rPr>
              <w:t>自卸车</w:t>
            </w:r>
          </w:p>
        </w:tc>
        <w:tc>
          <w:tcPr>
            <w:tcW w:w="566" w:type="dxa"/>
            <w:vAlign w:val="center"/>
          </w:tcPr>
          <w:p>
            <w:pPr>
              <w:pStyle w:val="37"/>
            </w:pPr>
            <w:r>
              <w:t>1</w:t>
            </w:r>
          </w:p>
        </w:tc>
        <w:tc>
          <w:tcPr>
            <w:tcW w:w="1277" w:type="dxa"/>
            <w:vAlign w:val="center"/>
          </w:tcPr>
          <w:p>
            <w:pPr>
              <w:pStyle w:val="37"/>
            </w:pPr>
            <w:r>
              <w:t>20</w:t>
            </w:r>
          </w:p>
        </w:tc>
        <w:tc>
          <w:tcPr>
            <w:tcW w:w="1277" w:type="dxa"/>
            <w:vAlign w:val="center"/>
          </w:tcPr>
          <w:p>
            <w:pPr>
              <w:pStyle w:val="37"/>
            </w:pPr>
            <w:r>
              <w:t>20</w:t>
            </w:r>
          </w:p>
        </w:tc>
        <w:tc>
          <w:tcPr>
            <w:tcW w:w="1273" w:type="dxa"/>
            <w:vAlign w:val="center"/>
          </w:tcPr>
          <w:p>
            <w:pPr>
              <w:pStyle w:val="37"/>
            </w:pPr>
            <w:r>
              <w:t>20</w:t>
            </w:r>
          </w:p>
        </w:tc>
        <w:tc>
          <w:tcPr>
            <w:tcW w:w="1277" w:type="dxa"/>
            <w:vAlign w:val="center"/>
          </w:tcPr>
          <w:p>
            <w:pPr>
              <w:pStyle w:val="37"/>
            </w:pPr>
            <w:r>
              <w:t>20</w:t>
            </w:r>
          </w:p>
        </w:tc>
        <w:tc>
          <w:tcPr>
            <w:tcW w:w="993" w:type="dxa"/>
            <w:vAlign w:val="center"/>
          </w:tcPr>
          <w:p>
            <w:pPr>
              <w:pStyle w:val="37"/>
            </w:pPr>
            <w:r>
              <w:t>92</w:t>
            </w:r>
          </w:p>
        </w:tc>
        <w:tc>
          <w:tcPr>
            <w:tcW w:w="1099" w:type="dxa"/>
            <w:vAlign w:val="center"/>
          </w:tcPr>
          <w:p>
            <w:pPr>
              <w:pStyle w:val="37"/>
            </w:pPr>
            <w:r>
              <w:t>8</w:t>
            </w:r>
          </w:p>
        </w:tc>
      </w:tr>
    </w:tbl>
    <w:p>
      <w:pPr>
        <w:ind w:firstLine="482"/>
        <w:rPr>
          <w:b/>
        </w:rPr>
      </w:pPr>
      <w:r>
        <w:rPr>
          <w:rFonts w:hint="eastAsia"/>
          <w:b/>
        </w:rPr>
        <w:t>（</w:t>
      </w:r>
      <w:r>
        <w:rPr>
          <w:b/>
        </w:rPr>
        <w:t>2</w:t>
      </w:r>
      <w:r>
        <w:rPr>
          <w:rFonts w:hint="eastAsia"/>
          <w:b/>
        </w:rPr>
        <w:t>）影响预测</w:t>
      </w:r>
    </w:p>
    <w:p>
      <w:pPr>
        <w:ind w:firstLine="482"/>
        <w:rPr>
          <w:b/>
        </w:rPr>
      </w:pPr>
      <w:r>
        <w:rPr>
          <w:b/>
        </w:rPr>
        <w:t>1</w:t>
      </w:r>
      <w:r>
        <w:rPr>
          <w:rFonts w:hint="eastAsia"/>
          <w:b/>
        </w:rPr>
        <w:t>）预测模式</w:t>
      </w:r>
    </w:p>
    <w:p>
      <w:pPr>
        <w:ind w:firstLine="480"/>
      </w:pPr>
      <w:r>
        <w:rPr>
          <w:rFonts w:hint="eastAsia"/>
        </w:rPr>
        <w:t>根据《环境影响评价技术导则</w:t>
      </w:r>
      <w:r>
        <w:t>-</w:t>
      </w:r>
      <w:r>
        <w:rPr>
          <w:rFonts w:hint="eastAsia"/>
        </w:rPr>
        <w:t>声环境》（</w:t>
      </w:r>
      <w:r>
        <w:t>HJ2.4-2009</w:t>
      </w:r>
      <w:r>
        <w:rPr>
          <w:rFonts w:hint="eastAsia"/>
        </w:rPr>
        <w:t>）中相关规定，本次评价采用点源预测模式对建设项目厂界噪声进行预测。</w:t>
      </w:r>
    </w:p>
    <w:p>
      <w:pPr>
        <w:ind w:firstLine="482"/>
      </w:pPr>
      <w:r>
        <w:rPr>
          <w:rFonts w:hint="eastAsia"/>
          <w:b/>
        </w:rPr>
        <w:t>①</w:t>
      </w:r>
      <w:r>
        <w:rPr>
          <w:rFonts w:hint="eastAsia"/>
        </w:rPr>
        <w:t>声级叠加计算公式：</w:t>
      </w:r>
    </w:p>
    <w:p>
      <w:pPr>
        <w:ind w:firstLine="480"/>
        <w:jc w:val="center"/>
      </w:pPr>
      <w:r>
        <w:rPr>
          <w:rFonts w:ascii="Times New Roman" w:hAnsi="Times New Roman" w:eastAsia="宋体" w:cs="Times New Roman"/>
          <w:kern w:val="2"/>
          <w:sz w:val="24"/>
          <w:szCs w:val="21"/>
          <w:lang w:val="en-US" w:eastAsia="zh-CN" w:bidi="ar-SA"/>
        </w:rPr>
        <w:pict>
          <v:shape id="图片 17" o:spid="_x0000_s1117" type="#_x0000_t75" style="height:33.75pt;width:140.25pt;rotation:0f;" o:ole="f" fillcolor="#FFFFFF" filled="f" o:preferrelative="t" stroked="f" coordorigin="0,0" coordsize="21600,21600">
            <v:fill on="f" color2="#FFFFFF" focus="0%"/>
            <v:imagedata gain="65536f" blacklevel="0f" gamma="0" o:title="" r:id="rId55"/>
            <o:lock v:ext="edit" position="f" selection="f" grouping="f" rotation="f" cropping="f" text="f" aspectratio="t"/>
            <w10:wrap type="none"/>
            <w10:anchorlock/>
          </v:shape>
        </w:pict>
      </w:r>
    </w:p>
    <w:p>
      <w:pPr>
        <w:ind w:firstLine="480"/>
      </w:pPr>
      <w:r>
        <w:rPr>
          <w:rFonts w:hint="eastAsia"/>
        </w:rPr>
        <w:t>式中：</w:t>
      </w:r>
      <w:r>
        <w:t>Leqg—</w:t>
      </w:r>
      <w:r>
        <w:rPr>
          <w:rFonts w:hint="eastAsia" w:cs="宋体"/>
        </w:rPr>
        <w:t>等效声级预测值，</w:t>
      </w:r>
      <w:r>
        <w:t xml:space="preserve"> dB(A)</w:t>
      </w:r>
      <w:r>
        <w:rPr>
          <w:rFonts w:hint="eastAsia"/>
        </w:rPr>
        <w:t>；</w:t>
      </w:r>
    </w:p>
    <w:p>
      <w:pPr>
        <w:ind w:firstLine="480"/>
      </w:pPr>
      <w:r>
        <w:t>L</w:t>
      </w:r>
      <w:r>
        <w:rPr>
          <w:vertAlign w:val="subscript"/>
        </w:rPr>
        <w:t>Ai</w:t>
      </w:r>
      <w:r>
        <w:t>—i</w:t>
      </w:r>
      <w:r>
        <w:rPr>
          <w:rFonts w:hint="eastAsia"/>
        </w:rPr>
        <w:t>声源在预测点产生的</w:t>
      </w:r>
      <w:r>
        <w:t>A</w:t>
      </w:r>
      <w:r>
        <w:rPr>
          <w:rFonts w:hint="eastAsia"/>
        </w:rPr>
        <w:t>声级，</w:t>
      </w:r>
      <w:r>
        <w:t>dB(A)</w:t>
      </w:r>
      <w:r>
        <w:rPr>
          <w:rFonts w:hint="eastAsia"/>
        </w:rPr>
        <w:t>；</w:t>
      </w:r>
    </w:p>
    <w:p>
      <w:pPr>
        <w:ind w:firstLine="480"/>
      </w:pPr>
      <w:r>
        <w:t>T—</w:t>
      </w:r>
      <w:r>
        <w:rPr>
          <w:rFonts w:hint="eastAsia"/>
        </w:rPr>
        <w:t>预测计算的时间段，</w:t>
      </w:r>
      <w:r>
        <w:t>s</w:t>
      </w:r>
      <w:r>
        <w:rPr>
          <w:rFonts w:hint="eastAsia"/>
        </w:rPr>
        <w:t>；</w:t>
      </w:r>
    </w:p>
    <w:p>
      <w:pPr>
        <w:ind w:firstLine="480"/>
      </w:pPr>
      <w:r>
        <w:t>t</w:t>
      </w:r>
      <w:r>
        <w:rPr>
          <w:vertAlign w:val="subscript"/>
        </w:rPr>
        <w:t>i</w:t>
      </w:r>
      <w:r>
        <w:t>—i</w:t>
      </w:r>
      <w:r>
        <w:rPr>
          <w:rFonts w:hint="eastAsia"/>
        </w:rPr>
        <w:t>声源在</w:t>
      </w:r>
      <w:r>
        <w:t>T</w:t>
      </w:r>
      <w:r>
        <w:rPr>
          <w:rFonts w:hint="eastAsia"/>
        </w:rPr>
        <w:t>时段内的运行时间，</w:t>
      </w:r>
      <w:r>
        <w:t>s</w:t>
      </w:r>
      <w:r>
        <w:rPr>
          <w:rFonts w:hint="eastAsia"/>
        </w:rPr>
        <w:t>；</w:t>
      </w:r>
    </w:p>
    <w:p>
      <w:pPr>
        <w:ind w:firstLine="482"/>
      </w:pPr>
      <w:r>
        <w:rPr>
          <w:rFonts w:hint="eastAsia"/>
          <w:b/>
        </w:rPr>
        <w:t>②</w:t>
      </w:r>
      <w:r>
        <w:rPr>
          <w:rFonts w:hint="eastAsia"/>
        </w:rPr>
        <w:t>背景值叠加计算公式：</w:t>
      </w:r>
    </w:p>
    <w:p>
      <w:pPr>
        <w:ind w:firstLine="480"/>
        <w:jc w:val="center"/>
      </w:pPr>
      <w:r>
        <w:t>Leq = 10lg(10</w:t>
      </w:r>
      <w:r>
        <w:rPr>
          <w:vertAlign w:val="superscript"/>
        </w:rPr>
        <w:t xml:space="preserve">0.1Leqg   </w:t>
      </w:r>
      <w:r>
        <w:t>+  10</w:t>
      </w:r>
      <w:r>
        <w:rPr>
          <w:vertAlign w:val="superscript"/>
        </w:rPr>
        <w:t>0.1Leqb</w:t>
      </w:r>
      <w:r>
        <w:t>)</w:t>
      </w:r>
    </w:p>
    <w:p>
      <w:pPr>
        <w:ind w:firstLine="480"/>
      </w:pPr>
      <w:r>
        <w:rPr>
          <w:rFonts w:hint="eastAsia"/>
        </w:rPr>
        <w:t>式中，</w:t>
      </w:r>
      <w:r>
        <w:t>L</w:t>
      </w:r>
      <w:r>
        <w:rPr>
          <w:vertAlign w:val="subscript"/>
        </w:rPr>
        <w:t>eqg</w:t>
      </w:r>
      <w:r>
        <w:t>——</w:t>
      </w:r>
      <w:r>
        <w:rPr>
          <w:rFonts w:hint="eastAsia"/>
        </w:rPr>
        <w:t>建设项目声源在预测点的等效声级贡献值，</w:t>
      </w:r>
      <w:r>
        <w:t>dB(A)</w:t>
      </w:r>
      <w:r>
        <w:rPr>
          <w:rFonts w:hint="eastAsia"/>
        </w:rPr>
        <w:t>；</w:t>
      </w:r>
    </w:p>
    <w:p>
      <w:pPr>
        <w:ind w:firstLine="480"/>
      </w:pPr>
      <w:r>
        <w:tab/>
      </w:r>
      <w:r>
        <w:t xml:space="preserve">   L</w:t>
      </w:r>
      <w:r>
        <w:rPr>
          <w:vertAlign w:val="subscript"/>
        </w:rPr>
        <w:t>eqb</w:t>
      </w:r>
      <w:r>
        <w:t>——</w:t>
      </w:r>
      <w:r>
        <w:rPr>
          <w:rFonts w:hint="eastAsia"/>
        </w:rPr>
        <w:t>预测点的背景值，</w:t>
      </w:r>
      <w:r>
        <w:t>dB(A)</w:t>
      </w:r>
      <w:r>
        <w:rPr>
          <w:rFonts w:hint="eastAsia"/>
        </w:rPr>
        <w:t>；</w:t>
      </w:r>
      <w:r>
        <w:tab/>
      </w:r>
    </w:p>
    <w:p>
      <w:pPr>
        <w:ind w:firstLine="482"/>
        <w:rPr>
          <w:b/>
        </w:rPr>
      </w:pPr>
      <w:r>
        <w:rPr>
          <w:b/>
        </w:rPr>
        <w:t>2</w:t>
      </w:r>
      <w:r>
        <w:rPr>
          <w:rFonts w:hint="eastAsia"/>
          <w:b/>
        </w:rPr>
        <w:t>）预测参数</w:t>
      </w:r>
    </w:p>
    <w:p>
      <w:pPr>
        <w:ind w:firstLine="480"/>
      </w:pPr>
      <w:r>
        <w:rPr>
          <w:rFonts w:hint="eastAsia"/>
        </w:rPr>
        <w:t>户外声传播衰减包括几何发散（</w:t>
      </w:r>
      <w:r>
        <w:t>A</w:t>
      </w:r>
      <w:r>
        <w:rPr>
          <w:vertAlign w:val="subscript"/>
        </w:rPr>
        <w:t>div</w:t>
      </w:r>
      <w:r>
        <w:rPr>
          <w:rFonts w:hint="eastAsia"/>
        </w:rPr>
        <w:t>）、大气吸收（</w:t>
      </w:r>
      <w:r>
        <w:t>A</w:t>
      </w:r>
      <w:r>
        <w:rPr>
          <w:vertAlign w:val="subscript"/>
        </w:rPr>
        <w:t>atm</w:t>
      </w:r>
      <w:r>
        <w:rPr>
          <w:rFonts w:hint="eastAsia"/>
        </w:rPr>
        <w:t>）、地面效应（</w:t>
      </w:r>
      <w:r>
        <w:t>A</w:t>
      </w:r>
      <w:r>
        <w:rPr>
          <w:vertAlign w:val="subscript"/>
        </w:rPr>
        <w:t>gr</w:t>
      </w:r>
      <w:r>
        <w:rPr>
          <w:rFonts w:hint="eastAsia"/>
        </w:rPr>
        <w:t>）、屏障屏蔽（</w:t>
      </w:r>
      <w:r>
        <w:t>A</w:t>
      </w:r>
      <w:r>
        <w:rPr>
          <w:vertAlign w:val="subscript"/>
        </w:rPr>
        <w:t>bar</w:t>
      </w:r>
      <w:r>
        <w:rPr>
          <w:rFonts w:hint="eastAsia"/>
        </w:rPr>
        <w:t>）、其他多方面效应（</w:t>
      </w:r>
      <w:r>
        <w:t>A</w:t>
      </w:r>
      <w:r>
        <w:rPr>
          <w:vertAlign w:val="subscript"/>
        </w:rPr>
        <w:t>misc</w:t>
      </w:r>
      <w:r>
        <w:rPr>
          <w:rFonts w:hint="eastAsia"/>
        </w:rPr>
        <w:t>）引起的衰减。</w:t>
      </w:r>
    </w:p>
    <w:p>
      <w:pPr>
        <w:ind w:firstLine="480"/>
      </w:pPr>
      <w:r>
        <w:rPr>
          <w:rFonts w:hint="eastAsia"/>
        </w:rPr>
        <w:t>基本公式：</w:t>
      </w:r>
    </w:p>
    <w:p>
      <w:pPr>
        <w:ind w:firstLine="480"/>
        <w:jc w:val="center"/>
      </w:pPr>
      <w:r>
        <w:t>Lp(r)= Lp(r</w:t>
      </w:r>
      <w:r>
        <w:rPr>
          <w:vertAlign w:val="subscript"/>
        </w:rPr>
        <w:t>0</w:t>
      </w:r>
      <w:r>
        <w:t>)-( A</w:t>
      </w:r>
      <w:r>
        <w:rPr>
          <w:vertAlign w:val="subscript"/>
        </w:rPr>
        <w:t>div</w:t>
      </w:r>
      <w:r>
        <w:t xml:space="preserve"> + A</w:t>
      </w:r>
      <w:r>
        <w:rPr>
          <w:vertAlign w:val="subscript"/>
        </w:rPr>
        <w:t>atm</w:t>
      </w:r>
      <w:r>
        <w:t xml:space="preserve"> + A</w:t>
      </w:r>
      <w:r>
        <w:rPr>
          <w:vertAlign w:val="subscript"/>
        </w:rPr>
        <w:t>gr</w:t>
      </w:r>
      <w:r>
        <w:t xml:space="preserve"> + A</w:t>
      </w:r>
      <w:r>
        <w:rPr>
          <w:vertAlign w:val="subscript"/>
        </w:rPr>
        <w:t>bar</w:t>
      </w:r>
      <w:r>
        <w:t xml:space="preserve"> + A</w:t>
      </w:r>
      <w:r>
        <w:rPr>
          <w:vertAlign w:val="subscript"/>
        </w:rPr>
        <w:t>misc</w:t>
      </w:r>
      <w:r>
        <w:t>)</w:t>
      </w:r>
    </w:p>
    <w:p>
      <w:pPr>
        <w:ind w:firstLine="482"/>
      </w:pPr>
      <w:r>
        <w:rPr>
          <w:rFonts w:hint="eastAsia"/>
          <w:b/>
        </w:rPr>
        <w:t>①无指向性点生源几何发散衰减</w:t>
      </w:r>
    </w:p>
    <w:p>
      <w:pPr>
        <w:ind w:firstLine="480"/>
        <w:jc w:val="center"/>
      </w:pPr>
      <w:r>
        <w:t>Lp(r)= Lp(r</w:t>
      </w:r>
      <w:r>
        <w:rPr>
          <w:vertAlign w:val="subscript"/>
        </w:rPr>
        <w:t>0</w:t>
      </w:r>
      <w:r>
        <w:t>)-20lg(r/r</w:t>
      </w:r>
      <w:r>
        <w:rPr>
          <w:vertAlign w:val="subscript"/>
        </w:rPr>
        <w:t>0</w:t>
      </w:r>
      <w:r>
        <w:t>)</w:t>
      </w:r>
    </w:p>
    <w:p>
      <w:pPr>
        <w:ind w:firstLine="480"/>
      </w:pPr>
      <w:r>
        <w:rPr>
          <w:rFonts w:hint="eastAsia"/>
        </w:rPr>
        <w:t>式中：</w:t>
      </w:r>
      <w:r>
        <w:rPr>
          <w:rFonts w:ascii="Times New Roman" w:hAnsi="Times New Roman" w:eastAsia="宋体" w:cs="Times New Roman"/>
          <w:kern w:val="2"/>
          <w:sz w:val="24"/>
          <w:szCs w:val="21"/>
          <w:lang w:val="en-US" w:eastAsia="zh-CN" w:bidi="ar-SA"/>
        </w:rPr>
        <w:object>
          <v:shape id="Picture 9" type="#_x0000_t75" style="height:15.9pt;width:10.9pt;rotation:0f;" o:ole="t" fillcolor="#FFFFFF" filled="f" o:preferrelative="t" stroked="f" coordorigin="0,0" coordsize="21600,21600">
            <v:fill on="f" color2="#FFFFFF" focus="0%"/>
            <v:imagedata gain="65536f" blacklevel="0f" gamma="0" o:title="" r:id="rId57"/>
            <o:lock v:ext="edit" position="f" selection="f" grouping="f" rotation="f" cropping="f" text="f" aspectratio="t"/>
            <w10:wrap type="none"/>
            <w10:anchorlock/>
          </v:shape>
          <o:OLEObject Type="Embed" ProgID="" ShapeID="Picture 9" DrawAspect="Content" ObjectID="_93" r:id="rId56"/>
        </w:object>
      </w:r>
      <w:r>
        <w:t xml:space="preserve">—— </w:t>
      </w:r>
      <w:r>
        <w:rPr>
          <w:rFonts w:hint="eastAsia"/>
        </w:rPr>
        <w:t>参考位置的距离，</w:t>
      </w:r>
      <w:r>
        <w:t>m</w:t>
      </w:r>
      <w:r>
        <w:rPr>
          <w:rFonts w:hint="eastAsia"/>
        </w:rPr>
        <w:t>；</w:t>
      </w:r>
    </w:p>
    <w:p>
      <w:pPr>
        <w:ind w:firstLine="480"/>
      </w:pPr>
      <w:bookmarkStart w:id="154" w:name="_Toc215833301"/>
      <w:r>
        <w:rPr>
          <w:rFonts w:ascii="Times New Roman" w:hAnsi="Times New Roman" w:eastAsia="宋体" w:cs="Times New Roman"/>
          <w:kern w:val="2"/>
          <w:sz w:val="24"/>
          <w:szCs w:val="21"/>
          <w:lang w:val="en-US" w:eastAsia="zh-CN" w:bidi="ar-SA"/>
        </w:rPr>
        <w:object>
          <v:shape id="Picture 10" type="#_x0000_t75" style="height:10.9pt;width:10.9pt;rotation:0f;" o:ole="t" fillcolor="#FFFFFF" filled="f" o:preferrelative="t" stroked="f" coordorigin="0,0" coordsize="21600,21600">
            <v:fill on="f" color2="#FFFFFF" focus="0%"/>
            <v:imagedata gain="65536f" blacklevel="0f" gamma="0" o:title="" r:id="rId59"/>
            <o:lock v:ext="edit" position="f" selection="f" grouping="f" rotation="f" cropping="f" text="f" aspectratio="t"/>
            <w10:wrap type="none"/>
            <w10:anchorlock/>
          </v:shape>
          <o:OLEObject Type="Embed" ProgID="" ShapeID="Picture 10" DrawAspect="Content" ObjectID="_94" r:id="rId58"/>
        </w:object>
      </w:r>
      <w:r>
        <w:t xml:space="preserve">—— </w:t>
      </w:r>
      <w:r>
        <w:rPr>
          <w:rFonts w:hint="eastAsia"/>
        </w:rPr>
        <w:t>预测点距声源的距离，</w:t>
      </w:r>
      <w:r>
        <w:t>m</w:t>
      </w:r>
      <w:bookmarkEnd w:id="154"/>
    </w:p>
    <w:p>
      <w:pPr>
        <w:ind w:firstLine="482"/>
      </w:pPr>
      <w:r>
        <w:rPr>
          <w:rFonts w:hint="eastAsia"/>
          <w:b/>
        </w:rPr>
        <w:t>②遮挡物衰减</w:t>
      </w:r>
    </w:p>
    <w:p>
      <w:pPr>
        <w:ind w:firstLine="480"/>
      </w:pPr>
      <w:r>
        <w:rPr>
          <w:rFonts w:ascii="Times New Roman" w:hAnsi="Times New Roman" w:eastAsia="宋体" w:cs="Times New Roman"/>
          <w:kern w:val="2"/>
          <w:sz w:val="24"/>
          <w:szCs w:val="21"/>
          <w:lang w:val="en-US" w:eastAsia="zh-CN" w:bidi="ar-SA"/>
        </w:rPr>
        <w:pict>
          <v:shape id="对象 165" o:spid="_x0000_s1120" type="#_x0000_t75" style="position:absolute;left:0;margin-top:2.65pt;height:31pt;width:112.2pt;mso-position-horizontal:center;mso-wrap-distance-bottom:0pt;mso-wrap-distance-left:9pt;mso-wrap-distance-right:9pt;mso-wrap-distance-top:0pt;rotation:0f;z-index:251662336;" o:ole="f" fillcolor="#FFFFFF" filled="f" o:preferrelative="t" stroked="f" coordorigin="0,0" coordsize="21600,21600">
            <v:fill on="f" color2="#FFFFFF" focus="0%"/>
            <v:imagedata gain="65536f" blacklevel="0f" gamma="0" o:title="" r:id="rId60"/>
            <o:lock v:ext="edit" position="f" selection="f" grouping="f" rotation="f" cropping="f" text="f" aspectratio="t"/>
            <w10:wrap type="square" side="right"/>
          </v:shape>
        </w:pict>
      </w:r>
    </w:p>
    <w:p>
      <w:pPr>
        <w:ind w:firstLine="480"/>
      </w:pPr>
    </w:p>
    <w:p>
      <w:pPr>
        <w:ind w:firstLine="480"/>
      </w:pPr>
      <w:r>
        <w:rPr>
          <w:rFonts w:hint="eastAsia"/>
        </w:rPr>
        <w:t>式中：</w:t>
      </w:r>
      <w:r>
        <w:rPr>
          <w:rFonts w:ascii="Times New Roman" w:hAnsi="Times New Roman" w:eastAsia="宋体" w:cs="Times New Roman"/>
          <w:kern w:val="2"/>
          <w:sz w:val="24"/>
          <w:szCs w:val="21"/>
          <w:lang w:val="en-US" w:eastAsia="zh-CN" w:bidi="ar-SA"/>
        </w:rPr>
        <w:object>
          <v:shape id="Picture 11" type="#_x0000_t75" style="height:15.9pt;width:15.9pt;rotation:0f;" o:ole="t" fillcolor="#FFFFFF" filled="f" o:preferrelative="t" stroked="f" coordorigin="0,0" coordsize="21600,21600">
            <v:fill on="f" color2="#FFFFFF" focus="0%"/>
            <v:imagedata gain="65536f" blacklevel="0f" gamma="0" o:title="" r:id="rId62"/>
            <o:lock v:ext="edit" position="f" selection="f" grouping="f" rotation="f" cropping="f" text="f" aspectratio="t"/>
            <w10:wrap type="none"/>
            <w10:anchorlock/>
          </v:shape>
          <o:OLEObject Type="Embed" ProgID="" ShapeID="Picture 11" DrawAspect="Content" ObjectID="_96" r:id="rId61"/>
        </w:object>
      </w:r>
      <w:r>
        <w:t xml:space="preserve">—— </w:t>
      </w:r>
      <w:r>
        <w:rPr>
          <w:rFonts w:hint="eastAsia"/>
        </w:rPr>
        <w:t>菲涅尔数。</w:t>
      </w:r>
    </w:p>
    <w:p>
      <w:pPr>
        <w:ind w:firstLine="480"/>
      </w:pPr>
      <w:r>
        <w:rPr>
          <w:rFonts w:hint="eastAsia"/>
        </w:rPr>
        <w:t>拟建厂区建有绿化带，由于屏障的作用，引起噪声级的衰减。当计算出的衰减量超过</w:t>
      </w:r>
      <w:r>
        <w:t>25 dB</w:t>
      </w:r>
      <w:r>
        <w:rPr>
          <w:rFonts w:hint="eastAsia"/>
        </w:rPr>
        <w:t>，实际所用的衰减量应取其上限衰减量</w:t>
      </w:r>
      <w:r>
        <w:t>25 dB</w:t>
      </w:r>
      <w:r>
        <w:rPr>
          <w:rFonts w:hint="eastAsia"/>
        </w:rPr>
        <w:t>。</w:t>
      </w:r>
    </w:p>
    <w:p>
      <w:pPr>
        <w:ind w:firstLine="482"/>
      </w:pPr>
      <w:r>
        <w:rPr>
          <w:b/>
        </w:rPr>
        <w:fldChar w:fldCharType="begin"/>
      </w:r>
      <w:r>
        <w:rPr>
          <w:b/>
        </w:rPr>
        <w:instrText xml:space="preserve">= 3 \* GB3</w:instrText>
      </w:r>
      <w:r>
        <w:rPr>
          <w:b/>
        </w:rPr>
        <w:fldChar w:fldCharType="separate"/>
      </w:r>
      <w:r>
        <w:rPr>
          <w:rFonts w:hint="eastAsia"/>
          <w:b/>
        </w:rPr>
        <w:t>③</w:t>
      </w:r>
      <w:r>
        <w:rPr>
          <w:b/>
        </w:rPr>
        <w:fldChar w:fldCharType="end"/>
      </w:r>
      <w:r>
        <w:rPr>
          <w:rFonts w:hint="eastAsia"/>
          <w:b/>
        </w:rPr>
        <w:t>空气吸收引起的衰减</w:t>
      </w:r>
    </w:p>
    <w:p>
      <w:pPr>
        <w:ind w:firstLine="480"/>
        <w:jc w:val="center"/>
      </w:pPr>
      <w:r>
        <w:t>A</w:t>
      </w:r>
      <w:r>
        <w:rPr>
          <w:vertAlign w:val="subscript"/>
        </w:rPr>
        <w:t>atm</w:t>
      </w:r>
      <w:r>
        <w:t>=a(r-r</w:t>
      </w:r>
      <w:r>
        <w:rPr>
          <w:vertAlign w:val="subscript"/>
        </w:rPr>
        <w:t>0</w:t>
      </w:r>
      <w:r>
        <w:t>)/1000</w:t>
      </w:r>
    </w:p>
    <w:p>
      <w:pPr>
        <w:ind w:firstLine="480"/>
      </w:pPr>
      <w:r>
        <w:rPr>
          <w:rFonts w:hint="eastAsia"/>
        </w:rPr>
        <w:t>式中：</w:t>
      </w:r>
      <w:r>
        <w:rPr>
          <w:rFonts w:ascii="Times New Roman" w:hAnsi="Times New Roman" w:eastAsia="宋体" w:cs="Times New Roman"/>
          <w:kern w:val="2"/>
          <w:sz w:val="24"/>
          <w:szCs w:val="21"/>
          <w:lang w:val="en-US" w:eastAsia="zh-CN" w:bidi="ar-SA"/>
        </w:rPr>
        <w:object>
          <v:shape id="Picture 12" type="#_x0000_t75" style="height:10.9pt;width:10.9pt;rotation:0f;" o:ole="t" fillcolor="#FFFFFF" filled="f" o:preferrelative="t" stroked="f" coordorigin="0,0" coordsize="21600,21600">
            <v:fill on="f" color2="#FFFFFF" focus="0%"/>
            <v:imagedata gain="65536f" blacklevel="0f" gamma="0" o:title="" r:id="rId64"/>
            <o:lock v:ext="edit" position="f" selection="f" grouping="f" rotation="f" cropping="f" text="f" aspectratio="t"/>
            <w10:wrap type="none"/>
            <w10:anchorlock/>
          </v:shape>
          <o:OLEObject Type="Embed" ProgID="" ShapeID="Picture 12" DrawAspect="Content" ObjectID="_97" r:id="rId63"/>
        </w:object>
      </w:r>
      <w:r>
        <w:t xml:space="preserve">—— </w:t>
      </w:r>
      <w:r>
        <w:rPr>
          <w:rFonts w:hint="eastAsia"/>
        </w:rPr>
        <w:t>温度、湿度和声波频率的函数。</w:t>
      </w:r>
    </w:p>
    <w:p>
      <w:pPr>
        <w:ind w:firstLine="482"/>
        <w:rPr>
          <w:b/>
        </w:rPr>
      </w:pPr>
      <w:r>
        <w:rPr>
          <w:b/>
        </w:rPr>
        <w:fldChar w:fldCharType="begin"/>
      </w:r>
      <w:r>
        <w:rPr>
          <w:b/>
        </w:rPr>
        <w:instrText xml:space="preserve">= 4 \* GB3</w:instrText>
      </w:r>
      <w:r>
        <w:rPr>
          <w:b/>
        </w:rPr>
        <w:fldChar w:fldCharType="separate"/>
      </w:r>
      <w:r>
        <w:rPr>
          <w:rFonts w:hint="eastAsia"/>
          <w:b/>
        </w:rPr>
        <w:t>④</w:t>
      </w:r>
      <w:r>
        <w:rPr>
          <w:b/>
        </w:rPr>
        <w:fldChar w:fldCharType="end"/>
      </w:r>
      <w:r>
        <w:rPr>
          <w:rFonts w:hint="eastAsia"/>
          <w:b/>
        </w:rPr>
        <w:t>地面效应衰减</w:t>
      </w:r>
    </w:p>
    <w:p>
      <w:pPr>
        <w:ind w:firstLine="480"/>
        <w:jc w:val="center"/>
      </w:pPr>
      <w:r>
        <w:t>A</w:t>
      </w:r>
      <w:r>
        <w:rPr>
          <w:vertAlign w:val="subscript"/>
        </w:rPr>
        <w:t>gr</w:t>
      </w:r>
      <w:r>
        <w:t>=4.8-(2h</w:t>
      </w:r>
      <w:r>
        <w:rPr>
          <w:vertAlign w:val="subscript"/>
        </w:rPr>
        <w:t>m</w:t>
      </w:r>
      <w:r>
        <w:t>/r)</w:t>
      </w:r>
      <w:r>
        <w:rPr>
          <w:rFonts w:hint="eastAsia"/>
        </w:rPr>
        <w:t>﹝</w:t>
      </w:r>
      <w:r>
        <w:t>17+(300/r)</w:t>
      </w:r>
      <w:r>
        <w:rPr>
          <w:rFonts w:hint="eastAsia"/>
        </w:rPr>
        <w:t>﹞</w:t>
      </w:r>
    </w:p>
    <w:p>
      <w:pPr>
        <w:ind w:firstLine="480"/>
      </w:pPr>
      <w:r>
        <w:rPr>
          <w:rFonts w:hint="eastAsia"/>
        </w:rPr>
        <w:t>式中：</w:t>
      </w:r>
      <w:r>
        <w:t>r—</w:t>
      </w:r>
      <w:r>
        <w:rPr>
          <w:rFonts w:hint="eastAsia"/>
        </w:rPr>
        <w:t>声源到预测点的距离，</w:t>
      </w:r>
      <w:r>
        <w:t>m</w:t>
      </w:r>
      <w:r>
        <w:rPr>
          <w:rFonts w:hint="eastAsia"/>
        </w:rPr>
        <w:t>；</w:t>
      </w:r>
    </w:p>
    <w:p>
      <w:pPr>
        <w:ind w:firstLine="480"/>
      </w:pPr>
      <w:r>
        <w:t xml:space="preserve">      h</w:t>
      </w:r>
      <w:r>
        <w:rPr>
          <w:vertAlign w:val="subscript"/>
        </w:rPr>
        <w:t>m</w:t>
      </w:r>
      <w:r>
        <w:t>—</w:t>
      </w:r>
      <w:r>
        <w:rPr>
          <w:rFonts w:hint="eastAsia"/>
        </w:rPr>
        <w:t>传播路径的平均离地高度，</w:t>
      </w:r>
      <w:r>
        <w:t>m</w:t>
      </w:r>
      <w:r>
        <w:rPr>
          <w:rFonts w:hint="eastAsia"/>
        </w:rPr>
        <w:t>；</w:t>
      </w:r>
    </w:p>
    <w:p>
      <w:pPr>
        <w:ind w:firstLine="480"/>
      </w:pPr>
      <w:r>
        <w:rPr>
          <w:rFonts w:hint="eastAsia"/>
        </w:rPr>
        <w:t>根据上述分析和计算公式，在项目夜间不营运情况下，各类设备的厂界噪声预测结果见下表。</w:t>
      </w:r>
    </w:p>
    <w:p>
      <w:pPr>
        <w:pStyle w:val="14"/>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12</w:t>
      </w:r>
      <w:r>
        <w:fldChar w:fldCharType="end"/>
      </w:r>
      <w:r>
        <w:rPr>
          <w:rFonts w:hint="eastAsia"/>
        </w:rPr>
        <w:t>各类机械设备的噪声影响计算结果单位：</w:t>
      </w:r>
      <w:r>
        <w:t>dB(A)</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6"/>
        <w:gridCol w:w="2180"/>
        <w:gridCol w:w="1090"/>
        <w:gridCol w:w="1092"/>
        <w:gridCol w:w="1162"/>
        <w:gridCol w:w="909"/>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restart"/>
            <w:vAlign w:val="center"/>
          </w:tcPr>
          <w:p>
            <w:pPr>
              <w:pStyle w:val="37"/>
            </w:pPr>
            <w:r>
              <w:rPr>
                <w:rFonts w:hint="eastAsia"/>
              </w:rPr>
              <w:t>监测点位</w:t>
            </w:r>
          </w:p>
        </w:tc>
        <w:tc>
          <w:tcPr>
            <w:tcW w:w="2180" w:type="dxa"/>
            <w:vMerge w:val="restart"/>
            <w:vAlign w:val="center"/>
          </w:tcPr>
          <w:p>
            <w:pPr>
              <w:pStyle w:val="37"/>
            </w:pPr>
            <w:r>
              <w:rPr>
                <w:rFonts w:hint="eastAsia"/>
              </w:rPr>
              <w:t>设备</w:t>
            </w:r>
          </w:p>
        </w:tc>
        <w:tc>
          <w:tcPr>
            <w:tcW w:w="2182" w:type="dxa"/>
            <w:gridSpan w:val="2"/>
            <w:vAlign w:val="center"/>
          </w:tcPr>
          <w:p>
            <w:pPr>
              <w:pStyle w:val="37"/>
            </w:pPr>
            <w:r>
              <w:rPr>
                <w:rFonts w:hint="eastAsia"/>
              </w:rPr>
              <w:t>背景值</w:t>
            </w:r>
          </w:p>
        </w:tc>
        <w:tc>
          <w:tcPr>
            <w:tcW w:w="1162" w:type="dxa"/>
            <w:vMerge w:val="restart"/>
            <w:vAlign w:val="center"/>
          </w:tcPr>
          <w:p>
            <w:pPr>
              <w:pStyle w:val="37"/>
            </w:pPr>
            <w:r>
              <w:rPr>
                <w:rFonts w:hint="eastAsia"/>
              </w:rPr>
              <w:t>总贡献值</w:t>
            </w:r>
          </w:p>
        </w:tc>
        <w:tc>
          <w:tcPr>
            <w:tcW w:w="1816" w:type="dxa"/>
            <w:gridSpan w:val="2"/>
            <w:vAlign w:val="center"/>
          </w:tcPr>
          <w:p>
            <w:pPr>
              <w:pStyle w:val="37"/>
            </w:pPr>
            <w:r>
              <w:rPr>
                <w:rFonts w:hint="eastAsia"/>
              </w:rPr>
              <w:t>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Merge w:val="continue"/>
            <w:vAlign w:val="center"/>
          </w:tcPr>
          <w:p>
            <w:pPr>
              <w:pStyle w:val="37"/>
            </w:pPr>
          </w:p>
        </w:tc>
        <w:tc>
          <w:tcPr>
            <w:tcW w:w="1090" w:type="dxa"/>
            <w:vAlign w:val="center"/>
          </w:tcPr>
          <w:p>
            <w:pPr>
              <w:pStyle w:val="37"/>
            </w:pPr>
            <w:r>
              <w:rPr>
                <w:rFonts w:hint="eastAsia"/>
              </w:rPr>
              <w:t>昼</w:t>
            </w:r>
          </w:p>
        </w:tc>
        <w:tc>
          <w:tcPr>
            <w:tcW w:w="1092" w:type="dxa"/>
            <w:vAlign w:val="center"/>
          </w:tcPr>
          <w:p>
            <w:pPr>
              <w:pStyle w:val="37"/>
            </w:pPr>
            <w:r>
              <w:rPr>
                <w:rFonts w:hint="eastAsia"/>
              </w:rPr>
              <w:t>夜</w:t>
            </w:r>
          </w:p>
        </w:tc>
        <w:tc>
          <w:tcPr>
            <w:tcW w:w="1162" w:type="dxa"/>
            <w:vMerge w:val="continue"/>
            <w:vAlign w:val="center"/>
          </w:tcPr>
          <w:p>
            <w:pPr>
              <w:pStyle w:val="37"/>
            </w:pPr>
          </w:p>
        </w:tc>
        <w:tc>
          <w:tcPr>
            <w:tcW w:w="909" w:type="dxa"/>
            <w:vAlign w:val="center"/>
          </w:tcPr>
          <w:p>
            <w:pPr>
              <w:pStyle w:val="37"/>
            </w:pPr>
            <w:r>
              <w:rPr>
                <w:rFonts w:hint="eastAsia"/>
              </w:rPr>
              <w:t>昼</w:t>
            </w:r>
          </w:p>
        </w:tc>
        <w:tc>
          <w:tcPr>
            <w:tcW w:w="907" w:type="dxa"/>
            <w:vAlign w:val="center"/>
          </w:tcPr>
          <w:p>
            <w:pPr>
              <w:pStyle w:val="37"/>
            </w:pPr>
            <w:r>
              <w:rPr>
                <w:rFonts w:hint="eastAsia"/>
              </w:rPr>
              <w:t>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restart"/>
            <w:vAlign w:val="center"/>
          </w:tcPr>
          <w:p>
            <w:pPr>
              <w:pStyle w:val="37"/>
            </w:pPr>
            <w:r>
              <w:t>1#</w:t>
            </w:r>
            <w:r>
              <w:rPr>
                <w:rFonts w:hint="eastAsia"/>
              </w:rPr>
              <w:t>场界北</w:t>
            </w:r>
          </w:p>
        </w:tc>
        <w:tc>
          <w:tcPr>
            <w:tcW w:w="2180" w:type="dxa"/>
            <w:vAlign w:val="center"/>
          </w:tcPr>
          <w:p>
            <w:pPr>
              <w:pStyle w:val="37"/>
            </w:pPr>
            <w:r>
              <w:rPr>
                <w:rFonts w:hint="eastAsia"/>
              </w:rPr>
              <w:t>推土机</w:t>
            </w:r>
          </w:p>
        </w:tc>
        <w:tc>
          <w:tcPr>
            <w:tcW w:w="1090" w:type="dxa"/>
            <w:vMerge w:val="restart"/>
            <w:vAlign w:val="center"/>
          </w:tcPr>
          <w:p>
            <w:pPr>
              <w:pStyle w:val="37"/>
            </w:pPr>
            <w:r>
              <w:t>57.8</w:t>
            </w:r>
          </w:p>
        </w:tc>
        <w:tc>
          <w:tcPr>
            <w:tcW w:w="1092" w:type="dxa"/>
            <w:vMerge w:val="restart"/>
            <w:vAlign w:val="center"/>
          </w:tcPr>
          <w:p>
            <w:pPr>
              <w:pStyle w:val="37"/>
            </w:pPr>
            <w:r>
              <w:t>52.4</w:t>
            </w:r>
          </w:p>
        </w:tc>
        <w:tc>
          <w:tcPr>
            <w:tcW w:w="1162" w:type="dxa"/>
            <w:vMerge w:val="restart"/>
            <w:vAlign w:val="center"/>
          </w:tcPr>
          <w:p>
            <w:pPr>
              <w:pStyle w:val="37"/>
            </w:pPr>
            <w:r>
              <w:t>64.7</w:t>
            </w:r>
          </w:p>
        </w:tc>
        <w:tc>
          <w:tcPr>
            <w:tcW w:w="909" w:type="dxa"/>
            <w:vMerge w:val="restart"/>
            <w:vAlign w:val="center"/>
          </w:tcPr>
          <w:p>
            <w:pPr>
              <w:pStyle w:val="37"/>
            </w:pPr>
            <w:r>
              <w:t>65.5</w:t>
            </w:r>
          </w:p>
        </w:tc>
        <w:tc>
          <w:tcPr>
            <w:tcW w:w="907" w:type="dxa"/>
            <w:vMerge w:val="restart"/>
            <w:vAlign w:val="center"/>
          </w:tcPr>
          <w:p>
            <w:pPr>
              <w:pStyle w:val="37"/>
            </w:pPr>
            <w:r>
              <w:t>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装载机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压实机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洒水车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夯土机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自卸车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restart"/>
            <w:vAlign w:val="center"/>
          </w:tcPr>
          <w:p>
            <w:pPr>
              <w:pStyle w:val="37"/>
            </w:pPr>
            <w:r>
              <w:t>2#</w:t>
            </w:r>
            <w:r>
              <w:rPr>
                <w:rFonts w:hint="eastAsia"/>
              </w:rPr>
              <w:t>场界东</w:t>
            </w:r>
          </w:p>
        </w:tc>
        <w:tc>
          <w:tcPr>
            <w:tcW w:w="2180" w:type="dxa"/>
            <w:vAlign w:val="center"/>
          </w:tcPr>
          <w:p>
            <w:pPr>
              <w:pStyle w:val="37"/>
            </w:pPr>
            <w:r>
              <w:rPr>
                <w:rFonts w:hint="eastAsia"/>
              </w:rPr>
              <w:t>推土机</w:t>
            </w:r>
          </w:p>
        </w:tc>
        <w:tc>
          <w:tcPr>
            <w:tcW w:w="1090" w:type="dxa"/>
            <w:vMerge w:val="restart"/>
            <w:vAlign w:val="center"/>
          </w:tcPr>
          <w:p>
            <w:pPr>
              <w:pStyle w:val="37"/>
            </w:pPr>
            <w:r>
              <w:t>53.2</w:t>
            </w:r>
          </w:p>
        </w:tc>
        <w:tc>
          <w:tcPr>
            <w:tcW w:w="1092" w:type="dxa"/>
            <w:vMerge w:val="restart"/>
            <w:vAlign w:val="center"/>
          </w:tcPr>
          <w:p>
            <w:pPr>
              <w:pStyle w:val="37"/>
            </w:pPr>
            <w:r>
              <w:t>50.2</w:t>
            </w:r>
          </w:p>
        </w:tc>
        <w:tc>
          <w:tcPr>
            <w:tcW w:w="1162" w:type="dxa"/>
            <w:vMerge w:val="restart"/>
            <w:vAlign w:val="center"/>
          </w:tcPr>
          <w:p>
            <w:pPr>
              <w:pStyle w:val="37"/>
            </w:pPr>
            <w:r>
              <w:t>65.5</w:t>
            </w:r>
          </w:p>
        </w:tc>
        <w:tc>
          <w:tcPr>
            <w:tcW w:w="909" w:type="dxa"/>
            <w:vMerge w:val="restart"/>
            <w:vAlign w:val="center"/>
          </w:tcPr>
          <w:p>
            <w:pPr>
              <w:pStyle w:val="37"/>
            </w:pPr>
            <w:r>
              <w:t>65.7</w:t>
            </w:r>
          </w:p>
        </w:tc>
        <w:tc>
          <w:tcPr>
            <w:tcW w:w="907" w:type="dxa"/>
            <w:vMerge w:val="restart"/>
            <w:vAlign w:val="center"/>
          </w:tcPr>
          <w:p>
            <w:pPr>
              <w:pStyle w:val="37"/>
            </w:pPr>
            <w:r>
              <w:t>50.2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装载机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压实机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洒水车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夯土机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自卸车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restart"/>
            <w:vAlign w:val="center"/>
          </w:tcPr>
          <w:p>
            <w:pPr>
              <w:pStyle w:val="37"/>
            </w:pPr>
            <w:r>
              <w:t>3#</w:t>
            </w:r>
            <w:r>
              <w:rPr>
                <w:rFonts w:hint="eastAsia"/>
              </w:rPr>
              <w:t>场界南</w:t>
            </w:r>
          </w:p>
        </w:tc>
        <w:tc>
          <w:tcPr>
            <w:tcW w:w="2180" w:type="dxa"/>
            <w:vAlign w:val="center"/>
          </w:tcPr>
          <w:p>
            <w:pPr>
              <w:pStyle w:val="37"/>
            </w:pPr>
            <w:r>
              <w:rPr>
                <w:rFonts w:hint="eastAsia"/>
              </w:rPr>
              <w:t>推土机</w:t>
            </w:r>
          </w:p>
        </w:tc>
        <w:tc>
          <w:tcPr>
            <w:tcW w:w="1090" w:type="dxa"/>
            <w:vMerge w:val="restart"/>
            <w:vAlign w:val="center"/>
          </w:tcPr>
          <w:p>
            <w:pPr>
              <w:pStyle w:val="37"/>
            </w:pPr>
            <w:r>
              <w:t>52.8</w:t>
            </w:r>
          </w:p>
        </w:tc>
        <w:tc>
          <w:tcPr>
            <w:tcW w:w="1092" w:type="dxa"/>
            <w:vMerge w:val="restart"/>
            <w:vAlign w:val="center"/>
          </w:tcPr>
          <w:p>
            <w:pPr>
              <w:pStyle w:val="37"/>
            </w:pPr>
            <w:r>
              <w:t>50.1</w:t>
            </w:r>
          </w:p>
        </w:tc>
        <w:tc>
          <w:tcPr>
            <w:tcW w:w="1162" w:type="dxa"/>
            <w:vMerge w:val="restart"/>
            <w:vAlign w:val="center"/>
          </w:tcPr>
          <w:p>
            <w:pPr>
              <w:pStyle w:val="37"/>
            </w:pPr>
            <w:r>
              <w:t>65.4</w:t>
            </w:r>
          </w:p>
        </w:tc>
        <w:tc>
          <w:tcPr>
            <w:tcW w:w="909" w:type="dxa"/>
            <w:vMerge w:val="restart"/>
            <w:vAlign w:val="center"/>
          </w:tcPr>
          <w:p>
            <w:pPr>
              <w:pStyle w:val="37"/>
            </w:pPr>
            <w:r>
              <w:t>65.6</w:t>
            </w:r>
          </w:p>
        </w:tc>
        <w:tc>
          <w:tcPr>
            <w:tcW w:w="907" w:type="dxa"/>
            <w:vMerge w:val="restart"/>
            <w:vAlign w:val="center"/>
          </w:tcPr>
          <w:p>
            <w:pPr>
              <w:pStyle w:val="37"/>
            </w:pPr>
            <w:r>
              <w:t>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装载机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压实机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洒水车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夯土机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自卸车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restart"/>
            <w:vAlign w:val="center"/>
          </w:tcPr>
          <w:p>
            <w:pPr>
              <w:pStyle w:val="37"/>
            </w:pPr>
            <w:r>
              <w:t>4#</w:t>
            </w:r>
            <w:r>
              <w:rPr>
                <w:rFonts w:hint="eastAsia"/>
              </w:rPr>
              <w:t>场界西</w:t>
            </w:r>
          </w:p>
        </w:tc>
        <w:tc>
          <w:tcPr>
            <w:tcW w:w="2180" w:type="dxa"/>
            <w:vAlign w:val="center"/>
          </w:tcPr>
          <w:p>
            <w:pPr>
              <w:pStyle w:val="37"/>
            </w:pPr>
            <w:r>
              <w:rPr>
                <w:rFonts w:hint="eastAsia"/>
              </w:rPr>
              <w:t>推土机</w:t>
            </w:r>
          </w:p>
        </w:tc>
        <w:tc>
          <w:tcPr>
            <w:tcW w:w="1090" w:type="dxa"/>
            <w:vMerge w:val="restart"/>
            <w:vAlign w:val="center"/>
          </w:tcPr>
          <w:p>
            <w:pPr>
              <w:pStyle w:val="37"/>
            </w:pPr>
            <w:r>
              <w:t>56.4</w:t>
            </w:r>
          </w:p>
        </w:tc>
        <w:tc>
          <w:tcPr>
            <w:tcW w:w="1092" w:type="dxa"/>
            <w:vMerge w:val="restart"/>
            <w:vAlign w:val="center"/>
          </w:tcPr>
          <w:p>
            <w:pPr>
              <w:pStyle w:val="37"/>
            </w:pPr>
            <w:r>
              <w:t>52.6</w:t>
            </w:r>
          </w:p>
        </w:tc>
        <w:tc>
          <w:tcPr>
            <w:tcW w:w="1162" w:type="dxa"/>
            <w:vMerge w:val="restart"/>
            <w:vAlign w:val="center"/>
          </w:tcPr>
          <w:p>
            <w:pPr>
              <w:pStyle w:val="37"/>
            </w:pPr>
            <w:r>
              <w:t>64.7</w:t>
            </w:r>
          </w:p>
        </w:tc>
        <w:tc>
          <w:tcPr>
            <w:tcW w:w="909" w:type="dxa"/>
            <w:vMerge w:val="restart"/>
            <w:vAlign w:val="center"/>
          </w:tcPr>
          <w:p>
            <w:pPr>
              <w:pStyle w:val="37"/>
            </w:pPr>
            <w:r>
              <w:t>65.3</w:t>
            </w:r>
          </w:p>
        </w:tc>
        <w:tc>
          <w:tcPr>
            <w:tcW w:w="907" w:type="dxa"/>
            <w:vMerge w:val="restart"/>
            <w:vAlign w:val="center"/>
          </w:tcPr>
          <w:p>
            <w:pPr>
              <w:pStyle w:val="37"/>
            </w:pPr>
            <w:r>
              <w:t>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装载机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压实机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洒水车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夯土机</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806" w:type="dxa"/>
            <w:vMerge w:val="continue"/>
            <w:vAlign w:val="center"/>
          </w:tcPr>
          <w:p>
            <w:pPr>
              <w:pStyle w:val="37"/>
            </w:pPr>
          </w:p>
        </w:tc>
        <w:tc>
          <w:tcPr>
            <w:tcW w:w="2180" w:type="dxa"/>
            <w:vAlign w:val="center"/>
          </w:tcPr>
          <w:p>
            <w:pPr>
              <w:pStyle w:val="37"/>
            </w:pPr>
            <w:r>
              <w:rPr>
                <w:rFonts w:hint="eastAsia"/>
              </w:rPr>
              <w:t>自卸车</w:t>
            </w:r>
          </w:p>
        </w:tc>
        <w:tc>
          <w:tcPr>
            <w:tcW w:w="1090" w:type="dxa"/>
            <w:vMerge w:val="continue"/>
            <w:vAlign w:val="center"/>
          </w:tcPr>
          <w:p>
            <w:pPr>
              <w:pStyle w:val="37"/>
            </w:pPr>
          </w:p>
        </w:tc>
        <w:tc>
          <w:tcPr>
            <w:tcW w:w="1092" w:type="dxa"/>
            <w:vMerge w:val="continue"/>
            <w:vAlign w:val="center"/>
          </w:tcPr>
          <w:p>
            <w:pPr>
              <w:pStyle w:val="37"/>
            </w:pPr>
          </w:p>
        </w:tc>
        <w:tc>
          <w:tcPr>
            <w:tcW w:w="1162" w:type="dxa"/>
            <w:vMerge w:val="continue"/>
            <w:vAlign w:val="center"/>
          </w:tcPr>
          <w:p>
            <w:pPr>
              <w:pStyle w:val="37"/>
            </w:pPr>
          </w:p>
        </w:tc>
        <w:tc>
          <w:tcPr>
            <w:tcW w:w="909" w:type="dxa"/>
            <w:vMerge w:val="continue"/>
            <w:vAlign w:val="center"/>
          </w:tcPr>
          <w:p>
            <w:pPr>
              <w:pStyle w:val="37"/>
            </w:pPr>
          </w:p>
        </w:tc>
        <w:tc>
          <w:tcPr>
            <w:tcW w:w="907" w:type="dxa"/>
            <w:vMerge w:val="continue"/>
            <w:vAlign w:val="center"/>
          </w:tcPr>
          <w:p>
            <w:pPr>
              <w:pStyle w:val="37"/>
            </w:pPr>
          </w:p>
        </w:tc>
      </w:tr>
    </w:tbl>
    <w:p>
      <w:pPr>
        <w:ind w:firstLine="480"/>
      </w:pPr>
      <w:r>
        <w:rPr>
          <w:rFonts w:hint="eastAsia"/>
        </w:rPr>
        <w:t>由上表预测结果可知，项目建成运行后，场界昼间、夜间噪声预测结果均超过《工业企业厂界环境噪声排放标准》（</w:t>
      </w:r>
      <w:r>
        <w:t>GB 12348-2008</w:t>
      </w:r>
      <w:r>
        <w:rPr>
          <w:rFonts w:hint="eastAsia"/>
        </w:rPr>
        <w:t>）</w:t>
      </w:r>
      <w:r>
        <w:t>2</w:t>
      </w:r>
      <w:r>
        <w:rPr>
          <w:rFonts w:hint="eastAsia"/>
        </w:rPr>
        <w:t>类区标准要求，经项目现场调查，项目采石场夜间仍有采石作业，造成项目厂界昼、夜间噪声超标</w:t>
      </w:r>
      <w:r>
        <w:rPr>
          <w:rFonts w:hint="eastAsia"/>
          <w:u w:val="single"/>
        </w:rPr>
        <w:t>。</w:t>
      </w:r>
      <w:r>
        <w:rPr>
          <w:rFonts w:hint="eastAsia" w:cs="宋体"/>
          <w:u w:val="single"/>
        </w:rPr>
        <w:t>因</w:t>
      </w:r>
      <w:r>
        <w:rPr>
          <w:rFonts w:cs="宋体"/>
          <w:u w:val="single"/>
        </w:rPr>
        <w:t>此，环评</w:t>
      </w:r>
      <w:r>
        <w:rPr>
          <w:rFonts w:hint="eastAsia" w:cs="宋体"/>
          <w:u w:val="single"/>
        </w:rPr>
        <w:t>建议</w:t>
      </w:r>
      <w:r>
        <w:rPr>
          <w:rFonts w:cs="宋体"/>
          <w:u w:val="single"/>
        </w:rPr>
        <w:t>建设</w:t>
      </w:r>
      <w:r>
        <w:rPr>
          <w:rFonts w:hint="eastAsia" w:cs="宋体"/>
          <w:u w:val="single"/>
        </w:rPr>
        <w:t>方修</w:t>
      </w:r>
      <w:r>
        <w:rPr>
          <w:rFonts w:cs="宋体"/>
          <w:u w:val="single"/>
        </w:rPr>
        <w:t>建</w:t>
      </w:r>
      <w:r>
        <w:rPr>
          <w:rFonts w:hint="eastAsia" w:cs="宋体"/>
          <w:u w:val="single"/>
        </w:rPr>
        <w:t>隔声屏障，以降低项目噪声影响。</w:t>
      </w:r>
    </w:p>
    <w:p>
      <w:pPr>
        <w:ind w:firstLine="480"/>
        <w:rPr>
          <w:rFonts w:cs="宋体"/>
        </w:rPr>
      </w:pPr>
      <w:r>
        <w:rPr>
          <w:rFonts w:hint="eastAsia" w:cs="宋体"/>
        </w:rPr>
        <w:t>根据项目实施后噪声源在的分布，以及周边声环境敏感点的分布，预测设备噪声源对项目北面</w:t>
      </w:r>
      <w:r>
        <w:rPr>
          <w:rFonts w:cs="宋体"/>
        </w:rPr>
        <w:t>380m</w:t>
      </w:r>
      <w:r>
        <w:rPr>
          <w:rFonts w:hint="eastAsia" w:cs="宋体"/>
        </w:rPr>
        <w:t>处敏感点居民的预测值，预测结果详见</w:t>
      </w:r>
      <w:r>
        <w:rPr>
          <w:rFonts w:hint="eastAsia"/>
        </w:rPr>
        <w:t>下表</w:t>
      </w:r>
      <w:r>
        <w:rPr>
          <w:rFonts w:hint="eastAsia" w:cs="宋体"/>
        </w:rPr>
        <w:t>。</w:t>
      </w:r>
    </w:p>
    <w:p>
      <w:pPr>
        <w:pStyle w:val="14"/>
      </w:pPr>
      <w:r>
        <w:rPr>
          <w:rFonts w:hint="eastAsia"/>
        </w:rPr>
        <w:t>表</w:t>
      </w:r>
      <w:r>
        <w:fldChar w:fldCharType="begin"/>
      </w:r>
      <w:r>
        <w:instrText xml:space="preserve"> STYLEREF 2 \s </w:instrText>
      </w:r>
      <w:r>
        <w:fldChar w:fldCharType="separate"/>
      </w:r>
      <w: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13</w:t>
      </w:r>
      <w:r>
        <w:fldChar w:fldCharType="end"/>
      </w:r>
      <w:r>
        <w:rPr>
          <w:rFonts w:hint="eastAsia"/>
        </w:rPr>
        <w:t>项目北面</w:t>
      </w:r>
      <w:r>
        <w:t>380m</w:t>
      </w:r>
      <w:r>
        <w:rPr>
          <w:rFonts w:hint="eastAsia"/>
        </w:rPr>
        <w:t>处敏感点噪声预测结果表</w:t>
      </w:r>
    </w:p>
    <w:tbl>
      <w:tblPr>
        <w:tblStyle w:val="35"/>
        <w:tblW w:w="91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0"/>
        <w:gridCol w:w="1514"/>
        <w:gridCol w:w="1014"/>
        <w:gridCol w:w="1360"/>
        <w:gridCol w:w="1377"/>
        <w:gridCol w:w="1377"/>
        <w:gridCol w:w="1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声源</w:t>
            </w:r>
          </w:p>
        </w:tc>
        <w:tc>
          <w:tcPr>
            <w:tcW w:w="1514" w:type="dxa"/>
            <w:vAlign w:val="center"/>
          </w:tcPr>
          <w:p>
            <w:pPr>
              <w:pStyle w:val="37"/>
            </w:pPr>
            <w:r>
              <w:rPr>
                <w:rFonts w:hint="eastAsia"/>
              </w:rPr>
              <w:t>室外源强</w:t>
            </w:r>
          </w:p>
          <w:p>
            <w:pPr>
              <w:pStyle w:val="37"/>
            </w:pPr>
            <w:r>
              <w:rPr>
                <w:rFonts w:hint="eastAsia"/>
              </w:rPr>
              <w:t>［</w:t>
            </w:r>
            <w:r>
              <w:t>dB(A)</w:t>
            </w:r>
            <w:r>
              <w:rPr>
                <w:rFonts w:hint="eastAsia"/>
              </w:rPr>
              <w:t>］</w:t>
            </w:r>
          </w:p>
        </w:tc>
        <w:tc>
          <w:tcPr>
            <w:tcW w:w="1014" w:type="dxa"/>
            <w:vAlign w:val="center"/>
          </w:tcPr>
          <w:p>
            <w:pPr>
              <w:pStyle w:val="37"/>
            </w:pPr>
            <w:r>
              <w:rPr>
                <w:rFonts w:hint="eastAsia"/>
              </w:rPr>
              <w:t>距离</w:t>
            </w:r>
          </w:p>
          <w:p>
            <w:pPr>
              <w:pStyle w:val="37"/>
            </w:pPr>
            <w:r>
              <w:rPr>
                <w:rFonts w:hint="eastAsia"/>
              </w:rPr>
              <w:t>（</w:t>
            </w:r>
            <w:r>
              <w:t>m</w:t>
            </w:r>
            <w:r>
              <w:rPr>
                <w:rFonts w:hint="eastAsia"/>
              </w:rPr>
              <w:t>）</w:t>
            </w:r>
          </w:p>
        </w:tc>
        <w:tc>
          <w:tcPr>
            <w:tcW w:w="1360" w:type="dxa"/>
            <w:vAlign w:val="center"/>
          </w:tcPr>
          <w:p>
            <w:pPr>
              <w:pStyle w:val="37"/>
            </w:pPr>
            <w:r>
              <w:rPr>
                <w:rFonts w:hint="eastAsia"/>
              </w:rPr>
              <w:t>运行时间</w:t>
            </w:r>
          </w:p>
          <w:p>
            <w:pPr>
              <w:pStyle w:val="37"/>
            </w:pPr>
            <w:r>
              <w:rPr>
                <w:rFonts w:hint="eastAsia"/>
              </w:rPr>
              <w:t>（</w:t>
            </w:r>
            <w:r>
              <w:t>h</w:t>
            </w:r>
            <w:r>
              <w:rPr>
                <w:rFonts w:hint="eastAsia"/>
              </w:rPr>
              <w:t>）</w:t>
            </w:r>
          </w:p>
        </w:tc>
        <w:tc>
          <w:tcPr>
            <w:tcW w:w="1377" w:type="dxa"/>
            <w:vAlign w:val="center"/>
          </w:tcPr>
          <w:p>
            <w:pPr>
              <w:pStyle w:val="37"/>
            </w:pPr>
            <w:r>
              <w:rPr>
                <w:rFonts w:hint="eastAsia"/>
              </w:rPr>
              <w:t>总贡献值</w:t>
            </w:r>
          </w:p>
          <w:p>
            <w:pPr>
              <w:pStyle w:val="37"/>
            </w:pPr>
            <w:r>
              <w:t>dB(A)</w:t>
            </w:r>
          </w:p>
        </w:tc>
        <w:tc>
          <w:tcPr>
            <w:tcW w:w="1377" w:type="dxa"/>
            <w:vAlign w:val="center"/>
          </w:tcPr>
          <w:p>
            <w:pPr>
              <w:pStyle w:val="37"/>
            </w:pPr>
            <w:r>
              <w:rPr>
                <w:rFonts w:hint="eastAsia"/>
              </w:rPr>
              <w:t>背景值</w:t>
            </w:r>
          </w:p>
          <w:p>
            <w:pPr>
              <w:pStyle w:val="37"/>
            </w:pPr>
            <w:r>
              <w:t>dB(A)</w:t>
            </w:r>
          </w:p>
        </w:tc>
        <w:tc>
          <w:tcPr>
            <w:tcW w:w="1214" w:type="dxa"/>
            <w:vAlign w:val="center"/>
          </w:tcPr>
          <w:p>
            <w:pPr>
              <w:pStyle w:val="37"/>
            </w:pPr>
            <w:r>
              <w:rPr>
                <w:rFonts w:hint="eastAsia"/>
              </w:rPr>
              <w:t>叠加值</w:t>
            </w:r>
          </w:p>
          <w:p>
            <w:pPr>
              <w:pStyle w:val="37"/>
            </w:pPr>
            <w: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推土机</w:t>
            </w:r>
          </w:p>
        </w:tc>
        <w:tc>
          <w:tcPr>
            <w:tcW w:w="1514" w:type="dxa"/>
            <w:vAlign w:val="center"/>
          </w:tcPr>
          <w:p>
            <w:pPr>
              <w:pStyle w:val="37"/>
            </w:pPr>
            <w:r>
              <w:t>96</w:t>
            </w:r>
          </w:p>
        </w:tc>
        <w:tc>
          <w:tcPr>
            <w:tcW w:w="1014" w:type="dxa"/>
            <w:vAlign w:val="center"/>
          </w:tcPr>
          <w:p>
            <w:pPr>
              <w:pStyle w:val="37"/>
            </w:pPr>
            <w:r>
              <w:t>390</w:t>
            </w:r>
          </w:p>
        </w:tc>
        <w:tc>
          <w:tcPr>
            <w:tcW w:w="1360" w:type="dxa"/>
            <w:vAlign w:val="center"/>
          </w:tcPr>
          <w:p>
            <w:pPr>
              <w:pStyle w:val="37"/>
            </w:pPr>
            <w:r>
              <w:t>8</w:t>
            </w:r>
          </w:p>
        </w:tc>
        <w:tc>
          <w:tcPr>
            <w:tcW w:w="1377" w:type="dxa"/>
            <w:vMerge w:val="restart"/>
            <w:vAlign w:val="center"/>
          </w:tcPr>
          <w:p>
            <w:pPr>
              <w:pStyle w:val="37"/>
            </w:pPr>
            <w:r>
              <w:rPr>
                <w:rFonts w:hint="eastAsia"/>
              </w:rPr>
              <w:t>昼间：</w:t>
            </w:r>
            <w:r>
              <w:t>43.7</w:t>
            </w:r>
          </w:p>
          <w:p>
            <w:pPr>
              <w:pStyle w:val="37"/>
            </w:pPr>
            <w:r>
              <w:rPr>
                <w:rFonts w:hint="eastAsia"/>
              </w:rPr>
              <w:t>夜间：</w:t>
            </w:r>
          </w:p>
          <w:p>
            <w:pPr>
              <w:pStyle w:val="37"/>
            </w:pPr>
            <w:r>
              <w:rPr>
                <w:rFonts w:hint="eastAsia"/>
              </w:rPr>
              <w:t>不生产</w:t>
            </w:r>
          </w:p>
        </w:tc>
        <w:tc>
          <w:tcPr>
            <w:tcW w:w="1377" w:type="dxa"/>
            <w:vMerge w:val="restart"/>
            <w:vAlign w:val="center"/>
          </w:tcPr>
          <w:p>
            <w:pPr>
              <w:pStyle w:val="37"/>
            </w:pPr>
            <w:r>
              <w:rPr>
                <w:rFonts w:hint="eastAsia"/>
              </w:rPr>
              <w:t>昼间：</w:t>
            </w:r>
            <w:r>
              <w:t>50.4</w:t>
            </w:r>
          </w:p>
          <w:p>
            <w:pPr>
              <w:pStyle w:val="37"/>
            </w:pPr>
            <w:r>
              <w:rPr>
                <w:rFonts w:hint="eastAsia"/>
              </w:rPr>
              <w:t>夜间：</w:t>
            </w:r>
            <w:r>
              <w:t>45.9</w:t>
            </w:r>
          </w:p>
          <w:p>
            <w:pPr>
              <w:pStyle w:val="37"/>
            </w:pPr>
          </w:p>
        </w:tc>
        <w:tc>
          <w:tcPr>
            <w:tcW w:w="1214" w:type="dxa"/>
            <w:vMerge w:val="restart"/>
            <w:vAlign w:val="center"/>
          </w:tcPr>
          <w:p>
            <w:pPr>
              <w:pStyle w:val="37"/>
              <w:jc w:val="both"/>
            </w:pPr>
            <w:r>
              <w:rPr>
                <w:rFonts w:hint="eastAsia"/>
              </w:rPr>
              <w:t>昼间：</w:t>
            </w:r>
            <w:r>
              <w:t>51.2</w:t>
            </w:r>
          </w:p>
          <w:p>
            <w:pPr>
              <w:pStyle w:val="37"/>
              <w:jc w:val="both"/>
            </w:pPr>
            <w:r>
              <w:rPr>
                <w:rFonts w:hint="eastAsia"/>
              </w:rPr>
              <w:t>夜间：</w:t>
            </w:r>
            <w:r>
              <w:t>45.9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装载机</w:t>
            </w:r>
          </w:p>
        </w:tc>
        <w:tc>
          <w:tcPr>
            <w:tcW w:w="1514" w:type="dxa"/>
            <w:vAlign w:val="center"/>
          </w:tcPr>
          <w:p>
            <w:pPr>
              <w:pStyle w:val="37"/>
            </w:pPr>
            <w:r>
              <w:t>92</w:t>
            </w:r>
          </w:p>
        </w:tc>
        <w:tc>
          <w:tcPr>
            <w:tcW w:w="1014" w:type="dxa"/>
            <w:vAlign w:val="center"/>
          </w:tcPr>
          <w:p>
            <w:pPr>
              <w:pStyle w:val="37"/>
            </w:pPr>
            <w:r>
              <w:t>408</w:t>
            </w:r>
          </w:p>
        </w:tc>
        <w:tc>
          <w:tcPr>
            <w:tcW w:w="1360" w:type="dxa"/>
            <w:vAlign w:val="center"/>
          </w:tcPr>
          <w:p>
            <w:pPr>
              <w:pStyle w:val="37"/>
            </w:pPr>
            <w:r>
              <w:t>8</w:t>
            </w:r>
          </w:p>
        </w:tc>
        <w:tc>
          <w:tcPr>
            <w:tcW w:w="1377" w:type="dxa"/>
            <w:vMerge w:val="continue"/>
            <w:vAlign w:val="center"/>
          </w:tcPr>
          <w:p>
            <w:pPr>
              <w:pStyle w:val="37"/>
              <w:rPr>
                <w:sz w:val="22"/>
                <w:szCs w:val="22"/>
              </w:rPr>
            </w:pPr>
          </w:p>
        </w:tc>
        <w:tc>
          <w:tcPr>
            <w:tcW w:w="1377" w:type="dxa"/>
            <w:vMerge w:val="continue"/>
            <w:vAlign w:val="center"/>
          </w:tcPr>
          <w:p>
            <w:pPr>
              <w:pStyle w:val="37"/>
              <w:rPr>
                <w:sz w:val="22"/>
                <w:szCs w:val="22"/>
              </w:rPr>
            </w:pPr>
          </w:p>
        </w:tc>
        <w:tc>
          <w:tcPr>
            <w:tcW w:w="1214" w:type="dxa"/>
            <w:vMerge w:val="continue"/>
            <w:vAlign w:val="center"/>
          </w:tcPr>
          <w:p>
            <w:pPr>
              <w:pStyle w:val="37"/>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压实机</w:t>
            </w:r>
          </w:p>
        </w:tc>
        <w:tc>
          <w:tcPr>
            <w:tcW w:w="1514" w:type="dxa"/>
            <w:vAlign w:val="center"/>
          </w:tcPr>
          <w:p>
            <w:pPr>
              <w:pStyle w:val="37"/>
            </w:pPr>
            <w:r>
              <w:t>93</w:t>
            </w:r>
          </w:p>
        </w:tc>
        <w:tc>
          <w:tcPr>
            <w:tcW w:w="1014" w:type="dxa"/>
            <w:vAlign w:val="center"/>
          </w:tcPr>
          <w:p>
            <w:pPr>
              <w:pStyle w:val="37"/>
            </w:pPr>
            <w:r>
              <w:t>430</w:t>
            </w:r>
          </w:p>
        </w:tc>
        <w:tc>
          <w:tcPr>
            <w:tcW w:w="1360" w:type="dxa"/>
            <w:vAlign w:val="center"/>
          </w:tcPr>
          <w:p>
            <w:pPr>
              <w:pStyle w:val="37"/>
            </w:pPr>
            <w:r>
              <w:t>8</w:t>
            </w:r>
          </w:p>
        </w:tc>
        <w:tc>
          <w:tcPr>
            <w:tcW w:w="1377" w:type="dxa"/>
            <w:vMerge w:val="continue"/>
            <w:vAlign w:val="center"/>
          </w:tcPr>
          <w:p>
            <w:pPr>
              <w:pStyle w:val="37"/>
              <w:rPr>
                <w:sz w:val="22"/>
                <w:szCs w:val="22"/>
              </w:rPr>
            </w:pPr>
          </w:p>
        </w:tc>
        <w:tc>
          <w:tcPr>
            <w:tcW w:w="1377" w:type="dxa"/>
            <w:vMerge w:val="continue"/>
            <w:vAlign w:val="center"/>
          </w:tcPr>
          <w:p>
            <w:pPr>
              <w:pStyle w:val="37"/>
              <w:rPr>
                <w:sz w:val="22"/>
                <w:szCs w:val="22"/>
              </w:rPr>
            </w:pPr>
          </w:p>
        </w:tc>
        <w:tc>
          <w:tcPr>
            <w:tcW w:w="1214" w:type="dxa"/>
            <w:vMerge w:val="continue"/>
            <w:vAlign w:val="center"/>
          </w:tcPr>
          <w:p>
            <w:pPr>
              <w:pStyle w:val="37"/>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洒水车</w:t>
            </w:r>
          </w:p>
        </w:tc>
        <w:tc>
          <w:tcPr>
            <w:tcW w:w="1514" w:type="dxa"/>
            <w:vAlign w:val="center"/>
          </w:tcPr>
          <w:p>
            <w:pPr>
              <w:pStyle w:val="37"/>
            </w:pPr>
            <w:r>
              <w:t>88</w:t>
            </w:r>
          </w:p>
        </w:tc>
        <w:tc>
          <w:tcPr>
            <w:tcW w:w="1014" w:type="dxa"/>
            <w:vAlign w:val="center"/>
          </w:tcPr>
          <w:p>
            <w:pPr>
              <w:pStyle w:val="37"/>
            </w:pPr>
            <w:r>
              <w:t>390</w:t>
            </w:r>
          </w:p>
        </w:tc>
        <w:tc>
          <w:tcPr>
            <w:tcW w:w="1360" w:type="dxa"/>
            <w:vAlign w:val="center"/>
          </w:tcPr>
          <w:p>
            <w:pPr>
              <w:pStyle w:val="37"/>
            </w:pPr>
            <w:r>
              <w:t>1</w:t>
            </w:r>
          </w:p>
        </w:tc>
        <w:tc>
          <w:tcPr>
            <w:tcW w:w="1377" w:type="dxa"/>
            <w:vMerge w:val="continue"/>
            <w:vAlign w:val="center"/>
          </w:tcPr>
          <w:p>
            <w:pPr>
              <w:pStyle w:val="37"/>
              <w:rPr>
                <w:sz w:val="22"/>
                <w:szCs w:val="22"/>
              </w:rPr>
            </w:pPr>
          </w:p>
        </w:tc>
        <w:tc>
          <w:tcPr>
            <w:tcW w:w="1377" w:type="dxa"/>
            <w:vMerge w:val="continue"/>
            <w:vAlign w:val="center"/>
          </w:tcPr>
          <w:p>
            <w:pPr>
              <w:pStyle w:val="37"/>
              <w:rPr>
                <w:sz w:val="22"/>
                <w:szCs w:val="22"/>
              </w:rPr>
            </w:pPr>
          </w:p>
        </w:tc>
        <w:tc>
          <w:tcPr>
            <w:tcW w:w="1214" w:type="dxa"/>
            <w:vMerge w:val="continue"/>
            <w:vAlign w:val="center"/>
          </w:tcPr>
          <w:p>
            <w:pPr>
              <w:pStyle w:val="37"/>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夯土机</w:t>
            </w:r>
          </w:p>
        </w:tc>
        <w:tc>
          <w:tcPr>
            <w:tcW w:w="1514" w:type="dxa"/>
            <w:vAlign w:val="center"/>
          </w:tcPr>
          <w:p>
            <w:pPr>
              <w:pStyle w:val="37"/>
            </w:pPr>
            <w:r>
              <w:t>90</w:t>
            </w:r>
          </w:p>
        </w:tc>
        <w:tc>
          <w:tcPr>
            <w:tcW w:w="1014" w:type="dxa"/>
            <w:vAlign w:val="center"/>
          </w:tcPr>
          <w:p>
            <w:pPr>
              <w:pStyle w:val="37"/>
            </w:pPr>
            <w:r>
              <w:t>420</w:t>
            </w:r>
          </w:p>
        </w:tc>
        <w:tc>
          <w:tcPr>
            <w:tcW w:w="1360" w:type="dxa"/>
            <w:vAlign w:val="center"/>
          </w:tcPr>
          <w:p>
            <w:pPr>
              <w:pStyle w:val="37"/>
            </w:pPr>
            <w:r>
              <w:t>8</w:t>
            </w:r>
          </w:p>
        </w:tc>
        <w:tc>
          <w:tcPr>
            <w:tcW w:w="1377" w:type="dxa"/>
            <w:vMerge w:val="continue"/>
            <w:vAlign w:val="center"/>
          </w:tcPr>
          <w:p>
            <w:pPr>
              <w:pStyle w:val="37"/>
              <w:rPr>
                <w:sz w:val="22"/>
                <w:szCs w:val="22"/>
              </w:rPr>
            </w:pPr>
          </w:p>
        </w:tc>
        <w:tc>
          <w:tcPr>
            <w:tcW w:w="1377" w:type="dxa"/>
            <w:vMerge w:val="continue"/>
            <w:vAlign w:val="center"/>
          </w:tcPr>
          <w:p>
            <w:pPr>
              <w:pStyle w:val="37"/>
              <w:rPr>
                <w:sz w:val="22"/>
                <w:szCs w:val="22"/>
              </w:rPr>
            </w:pPr>
          </w:p>
        </w:tc>
        <w:tc>
          <w:tcPr>
            <w:tcW w:w="1214" w:type="dxa"/>
            <w:vMerge w:val="continue"/>
            <w:vAlign w:val="center"/>
          </w:tcPr>
          <w:p>
            <w:pPr>
              <w:pStyle w:val="37"/>
              <w:rPr>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290" w:type="dxa"/>
            <w:vAlign w:val="center"/>
          </w:tcPr>
          <w:p>
            <w:pPr>
              <w:pStyle w:val="37"/>
            </w:pPr>
            <w:r>
              <w:rPr>
                <w:rFonts w:hint="eastAsia"/>
              </w:rPr>
              <w:t>自卸车</w:t>
            </w:r>
          </w:p>
        </w:tc>
        <w:tc>
          <w:tcPr>
            <w:tcW w:w="1514" w:type="dxa"/>
            <w:vAlign w:val="center"/>
          </w:tcPr>
          <w:p>
            <w:pPr>
              <w:pStyle w:val="37"/>
            </w:pPr>
            <w:r>
              <w:t>92</w:t>
            </w:r>
          </w:p>
        </w:tc>
        <w:tc>
          <w:tcPr>
            <w:tcW w:w="1014" w:type="dxa"/>
            <w:vAlign w:val="center"/>
          </w:tcPr>
          <w:p>
            <w:pPr>
              <w:pStyle w:val="37"/>
            </w:pPr>
            <w:r>
              <w:t>400</w:t>
            </w:r>
          </w:p>
        </w:tc>
        <w:tc>
          <w:tcPr>
            <w:tcW w:w="1360" w:type="dxa"/>
            <w:vAlign w:val="center"/>
          </w:tcPr>
          <w:p>
            <w:pPr>
              <w:pStyle w:val="37"/>
            </w:pPr>
            <w:r>
              <w:t>8</w:t>
            </w:r>
          </w:p>
        </w:tc>
        <w:tc>
          <w:tcPr>
            <w:tcW w:w="1377" w:type="dxa"/>
            <w:vMerge w:val="continue"/>
            <w:vAlign w:val="center"/>
          </w:tcPr>
          <w:p>
            <w:pPr>
              <w:pStyle w:val="37"/>
              <w:rPr>
                <w:sz w:val="22"/>
                <w:szCs w:val="22"/>
              </w:rPr>
            </w:pPr>
          </w:p>
        </w:tc>
        <w:tc>
          <w:tcPr>
            <w:tcW w:w="1377" w:type="dxa"/>
            <w:vMerge w:val="continue"/>
            <w:vAlign w:val="center"/>
          </w:tcPr>
          <w:p>
            <w:pPr>
              <w:pStyle w:val="37"/>
              <w:rPr>
                <w:sz w:val="22"/>
                <w:szCs w:val="22"/>
              </w:rPr>
            </w:pPr>
          </w:p>
        </w:tc>
        <w:tc>
          <w:tcPr>
            <w:tcW w:w="1214" w:type="dxa"/>
            <w:vMerge w:val="continue"/>
            <w:vAlign w:val="center"/>
          </w:tcPr>
          <w:p>
            <w:pPr>
              <w:pStyle w:val="37"/>
              <w:rPr>
                <w:sz w:val="22"/>
                <w:szCs w:val="22"/>
              </w:rPr>
            </w:pPr>
          </w:p>
        </w:tc>
      </w:tr>
    </w:tbl>
    <w:p>
      <w:pPr>
        <w:ind w:firstLine="480"/>
        <w:rPr>
          <w:rFonts w:cs="宋体"/>
        </w:rPr>
      </w:pPr>
      <w:r>
        <w:rPr>
          <w:rFonts w:hint="eastAsia" w:cs="宋体"/>
        </w:rPr>
        <w:t>由预测结果分析可知，项目周边声环境敏感点昼间、夜间噪声均满足《声环境质量标准》（</w:t>
      </w:r>
      <w:r>
        <w:rPr>
          <w:rFonts w:cs="宋体"/>
        </w:rPr>
        <w:t>GB3096-2008</w:t>
      </w:r>
      <w:r>
        <w:rPr>
          <w:rFonts w:hint="eastAsia" w:cs="宋体"/>
        </w:rPr>
        <w:t>）中</w:t>
      </w:r>
      <w:r>
        <w:rPr>
          <w:rFonts w:cs="宋体"/>
        </w:rPr>
        <w:t>2</w:t>
      </w:r>
      <w:r>
        <w:rPr>
          <w:rFonts w:hint="eastAsia" w:cs="宋体"/>
        </w:rPr>
        <w:t>类标准要求。</w:t>
      </w:r>
    </w:p>
    <w:p>
      <w:pPr>
        <w:ind w:firstLine="480"/>
        <w:rPr>
          <w:rFonts w:cs="宋体"/>
        </w:rPr>
      </w:pPr>
      <w:r>
        <w:rPr>
          <w:rFonts w:hint="eastAsia" w:cs="宋体"/>
        </w:rPr>
        <w:t>因此，本项目的建设对项目周边各敏感点声环境影响较小。</w:t>
      </w:r>
    </w:p>
    <w:p>
      <w:pPr>
        <w:pStyle w:val="4"/>
      </w:pPr>
      <w:bookmarkStart w:id="155" w:name="_Toc397521596"/>
      <w:bookmarkStart w:id="156" w:name="_Toc377463387"/>
      <w:bookmarkStart w:id="157" w:name="_Toc375481987"/>
      <w:r>
        <w:rPr>
          <w:rFonts w:hint="eastAsia"/>
        </w:rPr>
        <w:t>固废环境影响评价</w:t>
      </w:r>
      <w:bookmarkEnd w:id="155"/>
      <w:bookmarkEnd w:id="156"/>
      <w:bookmarkEnd w:id="157"/>
    </w:p>
    <w:p>
      <w:pPr>
        <w:ind w:firstLine="480"/>
      </w:pPr>
      <w:r>
        <w:rPr>
          <w:rFonts w:hint="eastAsia"/>
        </w:rPr>
        <w:t>工程建成运营后，产生的固体废物主要为作业人员的生活垃圾。经计算，员工生活垃圾产生量为</w:t>
      </w:r>
      <w:r>
        <w:t>3.23t/a</w:t>
      </w:r>
      <w:r>
        <w:rPr>
          <w:rFonts w:hint="eastAsia"/>
        </w:rPr>
        <w:t>。</w:t>
      </w:r>
    </w:p>
    <w:p>
      <w:pPr>
        <w:tabs>
          <w:tab w:val="left" w:pos="1440"/>
        </w:tabs>
        <w:ind w:firstLine="480"/>
        <w:rPr>
          <w:kern w:val="28"/>
          <w:szCs w:val="20"/>
        </w:rPr>
      </w:pPr>
      <w:r>
        <w:rPr>
          <w:rFonts w:hint="eastAsia"/>
        </w:rPr>
        <w:t>生活垃圾由当地环卫部门统一收集处理后直接运往生活垃圾填埋场处置，故项目运营产生的固体废物对周围环境影响较小。</w:t>
      </w:r>
      <w:r>
        <w:rPr>
          <w:rFonts w:hint="eastAsia"/>
          <w:kern w:val="28"/>
          <w:szCs w:val="20"/>
        </w:rPr>
        <w:t>环卫部门定期清运垃圾并应分类管理，可以回收的进行回收利用，不能回收的统一收集后清运到生活垃圾处理场进行无害化处理；道路养护、维修产生的土头或其它废旧材料应及时运往指定地点收集处理。</w:t>
      </w:r>
    </w:p>
    <w:p>
      <w:pPr>
        <w:ind w:firstLine="480"/>
        <w:rPr>
          <w:kern w:val="28"/>
          <w:szCs w:val="20"/>
        </w:rPr>
      </w:pPr>
      <w:r>
        <w:rPr>
          <w:rFonts w:hint="eastAsia"/>
          <w:kern w:val="28"/>
          <w:szCs w:val="20"/>
        </w:rPr>
        <w:t>综上，填埋期固体废物对周围环境的影响可以接受。</w:t>
      </w:r>
    </w:p>
    <w:p>
      <w:pPr>
        <w:pStyle w:val="4"/>
      </w:pPr>
      <w:bookmarkStart w:id="158" w:name="_Toc391370185"/>
      <w:bookmarkStart w:id="159" w:name="_Toc346092606"/>
      <w:bookmarkStart w:id="160" w:name="_Toc344647741"/>
      <w:r>
        <w:rPr>
          <w:rFonts w:hint="eastAsia"/>
        </w:rPr>
        <w:t>生态环境影响分析</w:t>
      </w:r>
      <w:bookmarkEnd w:id="158"/>
      <w:bookmarkEnd w:id="159"/>
      <w:bookmarkEnd w:id="160"/>
    </w:p>
    <w:p>
      <w:pPr>
        <w:ind w:firstLine="480"/>
      </w:pPr>
      <w:r>
        <w:rPr>
          <w:rFonts w:hint="eastAsia"/>
        </w:rPr>
        <w:t>本项目固体废物处置场建成后，在填埋期对周围生态环境的影响主要表现在：</w:t>
      </w:r>
    </w:p>
    <w:p>
      <w:pPr>
        <w:ind w:firstLine="480"/>
      </w:pPr>
      <w:r>
        <w:rPr>
          <w:rFonts w:hint="eastAsia"/>
        </w:rPr>
        <w:t>（</w:t>
      </w:r>
      <w:r>
        <w:t>1</w:t>
      </w:r>
      <w:r>
        <w:rPr>
          <w:rFonts w:hint="eastAsia"/>
        </w:rPr>
        <w:t>）对植被的影响分析</w:t>
      </w:r>
    </w:p>
    <w:p>
      <w:pPr>
        <w:ind w:firstLine="480"/>
      </w:pPr>
      <w:r>
        <w:rPr>
          <w:rFonts w:hint="eastAsia"/>
        </w:rPr>
        <w:t>本项目固体废物处置场利用采石场废弃矿坑，主要影响在固体废物处置场的建设和运营过程中，对生态环境造成不利影响。场址范围内植物以荒草、灌木丛及乔木为主，无基本保护农田；经调查进场道路沿途植被为灌木草丛，无成片树林，对植被的破坏较小。</w:t>
      </w:r>
    </w:p>
    <w:p>
      <w:pPr>
        <w:ind w:firstLine="480"/>
      </w:pPr>
      <w:r>
        <w:rPr>
          <w:rFonts w:hint="eastAsia"/>
        </w:rPr>
        <w:t>另一方面，从植物演替来看，处置场的建立，由于土壤有机物的增加，会带来一些伴生植物，如灰藜、狗尾草等，会对局部植物景观格局产生变化。处置场最终封顶复垦后，将种植人工植被，也会改善项目区及附近的植被环境与景观。这将使项目区及附近生存环境得到不断的改善。</w:t>
      </w:r>
    </w:p>
    <w:p>
      <w:pPr>
        <w:ind w:firstLine="480"/>
      </w:pPr>
      <w:r>
        <w:rPr>
          <w:rFonts w:hint="eastAsia"/>
        </w:rPr>
        <w:t>（2）土地利用影响分析</w:t>
      </w:r>
    </w:p>
    <w:p>
      <w:pPr>
        <w:ind w:firstLine="480"/>
      </w:pPr>
      <w:r>
        <w:rPr>
          <w:rFonts w:hint="eastAsia"/>
        </w:rPr>
        <w:t>本项目固体废物处置场工程拟占用的采石场废弃矿坑，其性质不属于基本农田保护范围。</w:t>
      </w:r>
    </w:p>
    <w:p>
      <w:pPr>
        <w:ind w:firstLine="480"/>
      </w:pPr>
      <w:r>
        <w:rPr>
          <w:rFonts w:hint="eastAsia"/>
        </w:rPr>
        <w:t>从处置场工程内容分析，工程建成后将在一段时间内改变土地利用性质，即改变为建设用地。且可以对荒山沟进行绿化，对生态环境有利。其他占地在处置场区内只能作为建设用地，只在处置场封场后才能恢复为农用或林业用地，因此工程将对土地利用产生一定影响，但在封场后可以得到恢复。同时，在固体废物处置过程中，需定期覆土压实。</w:t>
      </w:r>
    </w:p>
    <w:p>
      <w:pPr>
        <w:ind w:firstLine="480"/>
      </w:pPr>
      <w:r>
        <w:rPr>
          <w:rFonts w:hint="eastAsia"/>
        </w:rPr>
        <w:t>建设单位拟对取土场地采取保护措施，首先在设计过程中应充分利用拟建场址自身的资源状况，其次选用处置场北侧，修建</w:t>
      </w:r>
      <w:r>
        <w:t>107</w:t>
      </w:r>
      <w:r>
        <w:rPr>
          <w:rFonts w:hint="eastAsia"/>
        </w:rPr>
        <w:t>国道多余弃土作为覆土源，避免对草木的砍伐破坏，减轻对生态环境的影响。运行期取土造成的裸露斜坡面用塑料膜等覆盖，取土完毕后的场地立即植树造林等。采取这些措施后，可将取土对环境造成的影响降到最小程度。</w:t>
      </w:r>
    </w:p>
    <w:p>
      <w:pPr>
        <w:ind w:firstLine="480"/>
      </w:pPr>
      <w:r>
        <w:rPr>
          <w:rFonts w:hint="eastAsia"/>
        </w:rPr>
        <w:t>（3）景观环境影响分析</w:t>
      </w:r>
    </w:p>
    <w:p>
      <w:pPr>
        <w:ind w:firstLine="480"/>
        <w:rPr>
          <w:kern w:val="0"/>
        </w:rPr>
      </w:pPr>
      <w:r>
        <w:rPr>
          <w:rFonts w:hint="eastAsia"/>
          <w:kern w:val="0"/>
        </w:rPr>
        <w:t>固体废物处置场在填埋期将原有地貌等被改变，区域原有的自然和人为荒地等植被将被彻底的改变。拦渣坝等使原有的生态景观被人工建筑所取代，将会有大面积的裸露，随着固体废物处置场的增加和部分区域的封场，裸露的粘土土地将被覆盖固体废物，进而在场区绿化后区域景观得到改善和恢复。对原废渣堆存区东风嘴和抓埠市回填和绿化，采用播种草籽、种植灌木等方式进行生态恢复，有利于改善堆存区生态景观。</w:t>
      </w:r>
    </w:p>
    <w:p>
      <w:pPr>
        <w:pStyle w:val="3"/>
      </w:pPr>
      <w:bookmarkStart w:id="161" w:name="_Toc462818434"/>
      <w:bookmarkStart w:id="162" w:name="_Toc377463390"/>
      <w:bookmarkStart w:id="163" w:name="_Toc375481990"/>
      <w:bookmarkStart w:id="164" w:name="_Toc397521598"/>
      <w:r>
        <w:rPr>
          <w:rFonts w:hint="eastAsia"/>
        </w:rPr>
        <w:t>封场期环境影响分析</w:t>
      </w:r>
      <w:bookmarkEnd w:id="161"/>
    </w:p>
    <w:p>
      <w:pPr>
        <w:ind w:firstLine="480"/>
      </w:pPr>
      <w:r>
        <w:rPr>
          <w:rFonts w:hint="eastAsia"/>
        </w:rPr>
        <w:t>根据本项目工业固废渣浸出液检测数据，渗滤液主要污染物含重金属铅、砷等。项目封场覆盖由上向下依次为：</w:t>
      </w:r>
      <w:r>
        <w:t>300mm</w:t>
      </w:r>
      <w:r>
        <w:rPr>
          <w:rFonts w:hint="eastAsia"/>
        </w:rPr>
        <w:t>厚营养植被层；</w:t>
      </w:r>
      <w:r>
        <w:t>450mm</w:t>
      </w:r>
      <w:r>
        <w:rPr>
          <w:rFonts w:hint="eastAsia"/>
        </w:rPr>
        <w:t>厚覆盖支持土层；</w:t>
      </w:r>
      <w:r>
        <w:t xml:space="preserve"> 300g/m</w:t>
      </w:r>
      <w:r>
        <w:rPr>
          <w:vertAlign w:val="superscript"/>
        </w:rPr>
        <w:t>2</w:t>
      </w:r>
      <w:r>
        <w:rPr>
          <w:rFonts w:hint="eastAsia"/>
        </w:rPr>
        <w:t>无纺布保护层；</w:t>
      </w:r>
      <w:r>
        <w:t>HDPE</w:t>
      </w:r>
      <w:r>
        <w:rPr>
          <w:rFonts w:hint="eastAsia"/>
        </w:rPr>
        <w:t>复合土工网格（</w:t>
      </w:r>
      <w:r>
        <w:t>5mm</w:t>
      </w:r>
      <w:r>
        <w:rPr>
          <w:rFonts w:hint="eastAsia"/>
        </w:rPr>
        <w:t>）；</w:t>
      </w:r>
      <w:r>
        <w:t>300g/m</w:t>
      </w:r>
      <w:r>
        <w:rPr>
          <w:vertAlign w:val="superscript"/>
        </w:rPr>
        <w:t>2</w:t>
      </w:r>
      <w:r>
        <w:rPr>
          <w:rFonts w:hint="eastAsia"/>
        </w:rPr>
        <w:t>无纺布保护层；</w:t>
      </w:r>
      <w:r>
        <w:t>HDPE</w:t>
      </w:r>
      <w:r>
        <w:rPr>
          <w:rFonts w:hint="eastAsia"/>
        </w:rPr>
        <w:t>复合土工网格（</w:t>
      </w:r>
      <w:r>
        <w:t>1.5mm</w:t>
      </w:r>
      <w:r>
        <w:rPr>
          <w:rFonts w:hint="eastAsia"/>
        </w:rPr>
        <w:t>）；</w:t>
      </w:r>
      <w:r>
        <w:t>350mm</w:t>
      </w:r>
      <w:r>
        <w:rPr>
          <w:rFonts w:hint="eastAsia"/>
        </w:rPr>
        <w:t>厚粘土层。封场后渗滤液的产生量、产生浓度将迅速减少。但根据渗流情况，渗滤液收集处理等工作在封场后仍要继续运行，以保证渗滤液收集彻底，直至渗滤液对项目区域内土壤、地表水、地下水环境无影响。</w:t>
      </w:r>
    </w:p>
    <w:p>
      <w:pPr>
        <w:ind w:firstLine="480"/>
      </w:pPr>
      <w:r>
        <w:rPr>
          <w:rFonts w:hint="eastAsia"/>
        </w:rPr>
        <w:t>处置场封场场后继续对场内相关设施进行维护、跟踪监测场内环境空气质量、浸出液、地下水水质，监测频率可从每季一次至每年一次，视监测结果确定，当监测结果表明处置场稳定无害后，经专家论证后再结束维护。</w:t>
      </w:r>
    </w:p>
    <w:p>
      <w:pPr>
        <w:pStyle w:val="2"/>
        <w:sectPr>
          <w:pgSz w:w="11906" w:h="16838"/>
          <w:pgMar w:top="1440" w:right="1298" w:bottom="1440" w:left="1678" w:header="851" w:footer="992" w:gutter="0"/>
          <w:cols w:space="720" w:num="1"/>
          <w:docGrid w:type="lines" w:linePitch="312" w:charSpace="0"/>
        </w:sectPr>
      </w:pPr>
      <w:bookmarkStart w:id="165" w:name="_Toc397322841"/>
    </w:p>
    <w:p>
      <w:pPr>
        <w:pStyle w:val="2"/>
      </w:pPr>
      <w:bookmarkStart w:id="166" w:name="_Toc462818435"/>
      <w:r>
        <w:rPr>
          <w:rFonts w:hint="eastAsia"/>
        </w:rPr>
        <w:t>环境风险</w:t>
      </w:r>
      <w:bookmarkEnd w:id="165"/>
      <w:bookmarkEnd w:id="166"/>
    </w:p>
    <w:p>
      <w:pPr>
        <w:pStyle w:val="3"/>
      </w:pPr>
      <w:bookmarkStart w:id="167" w:name="_Toc397322842"/>
      <w:bookmarkStart w:id="168" w:name="_Toc462818436"/>
      <w:r>
        <w:rPr>
          <w:rFonts w:hint="eastAsia"/>
        </w:rPr>
        <w:t>环境风险识别分析</w:t>
      </w:r>
      <w:bookmarkEnd w:id="167"/>
      <w:bookmarkEnd w:id="168"/>
    </w:p>
    <w:p>
      <w:pPr>
        <w:pStyle w:val="4"/>
      </w:pPr>
      <w:r>
        <w:rPr>
          <w:rFonts w:hint="eastAsia"/>
        </w:rPr>
        <w:t>物质危险性识别</w:t>
      </w:r>
    </w:p>
    <w:p>
      <w:pPr>
        <w:ind w:firstLine="480"/>
      </w:pPr>
      <w:r>
        <w:rPr>
          <w:rFonts w:hint="eastAsia"/>
        </w:rPr>
        <w:t>本项目处置的工业固体废物为岳阳市云溪区历史遗留工业固废。</w:t>
      </w:r>
    </w:p>
    <w:p>
      <w:pPr>
        <w:pStyle w:val="4"/>
      </w:pPr>
      <w:bookmarkStart w:id="169" w:name="_Toc391370211"/>
      <w:r>
        <w:rPr>
          <w:rFonts w:hint="eastAsia"/>
        </w:rPr>
        <w:t>区域危险性识别</w:t>
      </w:r>
      <w:bookmarkEnd w:id="169"/>
    </w:p>
    <w:p>
      <w:pPr>
        <w:ind w:firstLine="480"/>
      </w:pPr>
      <w:r>
        <w:rPr>
          <w:rFonts w:hint="eastAsia"/>
        </w:rPr>
        <w:t>本项目主要的环境风险为渗滤液下渗对地下水的污染问题；坝体发生溃坝引发的问题。</w:t>
      </w:r>
    </w:p>
    <w:p>
      <w:pPr>
        <w:pStyle w:val="4"/>
      </w:pPr>
      <w:bookmarkStart w:id="170" w:name="_Toc391370212"/>
      <w:r>
        <w:rPr>
          <w:rFonts w:hint="eastAsia"/>
        </w:rPr>
        <w:t>重大危险源识别</w:t>
      </w:r>
      <w:bookmarkEnd w:id="170"/>
    </w:p>
    <w:p>
      <w:pPr>
        <w:ind w:firstLine="480"/>
      </w:pPr>
      <w:r>
        <w:rPr>
          <w:rFonts w:hint="eastAsia"/>
        </w:rPr>
        <w:t>重大危险源是指长期的或者临时的生产、加工、搬运、使用或者贮存危险物质，且危险物质的数量等于或超过临界量的单元。重大危险源的辨识依据是物质的危险特性及数量。</w:t>
      </w:r>
    </w:p>
    <w:p>
      <w:pPr>
        <w:ind w:firstLine="480"/>
      </w:pPr>
      <w:r>
        <w:rPr>
          <w:rFonts w:hint="eastAsia"/>
        </w:rPr>
        <w:t>单元内存在危险物质的数量根据物质种类的多少区分为以下两种情况：</w:t>
      </w:r>
    </w:p>
    <w:p>
      <w:pPr>
        <w:ind w:firstLine="480"/>
      </w:pPr>
      <w:r>
        <w:rPr>
          <w:rFonts w:hint="eastAsia"/>
        </w:rPr>
        <w:fldChar w:fldCharType="begin"/>
      </w:r>
      <w:r>
        <w:instrText xml:space="preserve"> = 1 \* GB3 </w:instrText>
      </w:r>
      <w:r>
        <w:rPr>
          <w:rFonts w:hint="eastAsia"/>
        </w:rPr>
        <w:fldChar w:fldCharType="separate"/>
      </w:r>
      <w:r>
        <w:rPr>
          <w:rFonts w:hint="eastAsia"/>
        </w:rPr>
        <w:t>①</w:t>
      </w:r>
      <w:r>
        <w:rPr>
          <w:rFonts w:hint="eastAsia"/>
        </w:rPr>
        <w:fldChar w:fldCharType="end"/>
      </w:r>
      <w:r>
        <w:rPr>
          <w:rFonts w:hint="eastAsia"/>
        </w:rPr>
        <w:t>单元内存在的危险物质为单一品种，则该物质的数量即为单元内危险物质的总量，若等于或超过相应的临界量，则定为重大危险源。</w:t>
      </w:r>
    </w:p>
    <w:p>
      <w:pPr>
        <w:ind w:firstLine="480"/>
      </w:pP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r>
        <w:rPr>
          <w:rFonts w:hint="eastAsia"/>
        </w:rPr>
        <w:t>单元内存在的危险物质为多个品种时，则按下式计算：</w:t>
      </w:r>
    </w:p>
    <w:p>
      <w:pPr>
        <w:ind w:firstLine="480"/>
        <w:jc w:val="center"/>
      </w:pPr>
      <w:r>
        <w:t>q</w:t>
      </w:r>
      <w:r>
        <w:rPr>
          <w:vertAlign w:val="subscript"/>
        </w:rPr>
        <w:t>1</w:t>
      </w:r>
      <w:r>
        <w:t>/Q</w:t>
      </w:r>
      <w:r>
        <w:rPr>
          <w:vertAlign w:val="subscript"/>
        </w:rPr>
        <w:t>1</w:t>
      </w:r>
      <w:r>
        <w:rPr>
          <w:rFonts w:hint="eastAsia"/>
        </w:rPr>
        <w:t>＋</w:t>
      </w:r>
      <w:r>
        <w:t>q</w:t>
      </w:r>
      <w:r>
        <w:rPr>
          <w:vertAlign w:val="subscript"/>
        </w:rPr>
        <w:t>2</w:t>
      </w:r>
      <w:r>
        <w:t>/Q</w:t>
      </w:r>
      <w:r>
        <w:rPr>
          <w:vertAlign w:val="subscript"/>
        </w:rPr>
        <w:t>2</w:t>
      </w:r>
      <w:r>
        <w:rPr>
          <w:rFonts w:hint="eastAsia"/>
        </w:rPr>
        <w:t>＋</w:t>
      </w:r>
      <w:r>
        <w:t>……</w:t>
      </w:r>
      <w:r>
        <w:rPr>
          <w:rFonts w:hint="eastAsia"/>
        </w:rPr>
        <w:t>＋</w:t>
      </w:r>
      <w:r>
        <w:t>q</w:t>
      </w:r>
      <w:r>
        <w:rPr>
          <w:vertAlign w:val="subscript"/>
        </w:rPr>
        <w:t>n</w:t>
      </w:r>
      <w:r>
        <w:t>/Q</w:t>
      </w:r>
      <w:r>
        <w:rPr>
          <w:vertAlign w:val="subscript"/>
        </w:rPr>
        <w:t>n</w:t>
      </w:r>
      <w:r>
        <w:t>≥1</w:t>
      </w:r>
      <w:r>
        <w:rPr>
          <w:rFonts w:hint="eastAsia"/>
        </w:rPr>
        <w:t>，则定为重大危险源。</w:t>
      </w:r>
    </w:p>
    <w:p>
      <w:pPr>
        <w:ind w:firstLine="480"/>
      </w:pPr>
      <w:r>
        <w:rPr>
          <w:rFonts w:hint="eastAsia"/>
        </w:rPr>
        <w:t>式中：</w:t>
      </w:r>
      <w:r>
        <w:t>q</w:t>
      </w:r>
      <w:r>
        <w:rPr>
          <w:vertAlign w:val="subscript"/>
        </w:rPr>
        <w:t>1</w:t>
      </w:r>
      <w:r>
        <w:rPr>
          <w:rFonts w:hint="eastAsia"/>
        </w:rPr>
        <w:t>、</w:t>
      </w:r>
      <w:r>
        <w:t>q</w:t>
      </w:r>
      <w:r>
        <w:rPr>
          <w:vertAlign w:val="subscript"/>
        </w:rPr>
        <w:t>2</w:t>
      </w:r>
      <w:r>
        <w:rPr>
          <w:rFonts w:hint="eastAsia"/>
        </w:rPr>
        <w:t>、</w:t>
      </w:r>
      <w:r>
        <w:t>q</w:t>
      </w:r>
      <w:r>
        <w:rPr>
          <w:vertAlign w:val="subscript"/>
        </w:rPr>
        <w:t>n</w:t>
      </w:r>
      <w:r>
        <w:t>—</w:t>
      </w:r>
      <w:r>
        <w:rPr>
          <w:rFonts w:hint="eastAsia"/>
        </w:rPr>
        <w:t>每种危险物质实际存在的量，单位为</w:t>
      </w:r>
      <w:r>
        <w:t>t</w:t>
      </w:r>
      <w:r>
        <w:rPr>
          <w:rFonts w:hint="eastAsia"/>
        </w:rPr>
        <w:t>。</w:t>
      </w:r>
    </w:p>
    <w:p>
      <w:pPr>
        <w:ind w:firstLine="480"/>
      </w:pPr>
      <w:r>
        <w:t>Q</w:t>
      </w:r>
      <w:r>
        <w:rPr>
          <w:vertAlign w:val="subscript"/>
        </w:rPr>
        <w:t>1</w:t>
      </w:r>
      <w:r>
        <w:rPr>
          <w:rFonts w:hint="eastAsia"/>
        </w:rPr>
        <w:t>、</w:t>
      </w:r>
      <w:r>
        <w:t>Q</w:t>
      </w:r>
      <w:r>
        <w:rPr>
          <w:vertAlign w:val="subscript"/>
        </w:rPr>
        <w:t>2</w:t>
      </w:r>
      <w:r>
        <w:rPr>
          <w:rFonts w:hint="eastAsia"/>
        </w:rPr>
        <w:t>、</w:t>
      </w:r>
      <w:r>
        <w:t>Q</w:t>
      </w:r>
      <w:r>
        <w:rPr>
          <w:vertAlign w:val="subscript"/>
        </w:rPr>
        <w:t>n</w:t>
      </w:r>
      <w:r>
        <w:t>—</w:t>
      </w:r>
      <w:r>
        <w:rPr>
          <w:rFonts w:hint="eastAsia"/>
        </w:rPr>
        <w:t>与各危险物质相对应的生产场所或贮存区的临界量，单位为</w:t>
      </w:r>
      <w:r>
        <w:t>t</w:t>
      </w:r>
      <w:r>
        <w:rPr>
          <w:rFonts w:hint="eastAsia"/>
        </w:rPr>
        <w:t>。</w:t>
      </w:r>
    </w:p>
    <w:p>
      <w:pPr>
        <w:ind w:firstLine="480"/>
      </w:pPr>
      <w:r>
        <w:rPr>
          <w:rFonts w:hint="eastAsia"/>
        </w:rPr>
        <w:t>《建设项目环境风险评价技术导则》规定，依据建设项目的工程分析，选择其生产、加工、运输、使用或贮存中所涉及的</w:t>
      </w:r>
      <w:r>
        <w:t>1-3</w:t>
      </w:r>
      <w:r>
        <w:rPr>
          <w:rFonts w:hint="eastAsia"/>
        </w:rPr>
        <w:t>个主要化学品，根据《建设项目环境风险评价技术导则》附录</w:t>
      </w:r>
      <w:r>
        <w:t>A.1</w:t>
      </w:r>
      <w:r>
        <w:rPr>
          <w:rFonts w:hint="eastAsia"/>
        </w:rPr>
        <w:t>表</w:t>
      </w:r>
      <w:r>
        <w:t>2</w:t>
      </w:r>
      <w:r>
        <w:rPr>
          <w:rFonts w:hint="eastAsia"/>
        </w:rPr>
        <w:t>－有毒物质名称及临界量和表</w:t>
      </w:r>
      <w:r>
        <w:t>3</w:t>
      </w:r>
      <w:r>
        <w:rPr>
          <w:rFonts w:hint="eastAsia"/>
        </w:rPr>
        <w:t>－易燃物质名称及临界量以及</w:t>
      </w:r>
      <w:r>
        <w:t>GB18218-2000</w:t>
      </w:r>
      <w:r>
        <w:rPr>
          <w:rFonts w:hint="eastAsia"/>
        </w:rPr>
        <w:t>《重大危险源辨识》等相关依据，结合建设项目重大危险物质及具体储存量，确定该项目是否存在重大危险源。凡符合《建设项目环境风险评价技术导则》附录</w:t>
      </w:r>
      <w:r>
        <w:t>A.1</w:t>
      </w:r>
      <w:r>
        <w:rPr>
          <w:rFonts w:hint="eastAsia"/>
        </w:rPr>
        <w:t>有毒物质判定标准序号为</w:t>
      </w:r>
      <w:r>
        <w:t>1</w:t>
      </w:r>
      <w:r>
        <w:rPr>
          <w:rFonts w:hint="eastAsia"/>
        </w:rPr>
        <w:t>、</w:t>
      </w:r>
      <w:r>
        <w:t>2</w:t>
      </w:r>
      <w:r>
        <w:rPr>
          <w:rFonts w:hint="eastAsia"/>
        </w:rPr>
        <w:t>的物质，属于剧毒物质；符合有毒物质判定标准序号</w:t>
      </w:r>
      <w:r>
        <w:t>3</w:t>
      </w:r>
      <w:r>
        <w:rPr>
          <w:rFonts w:hint="eastAsia"/>
        </w:rPr>
        <w:t>的物质属于一般毒物。凡符合《建设项目环境风险评价技术导则》附录</w:t>
      </w:r>
      <w:r>
        <w:t>A.1</w:t>
      </w:r>
      <w:r>
        <w:rPr>
          <w:rFonts w:hint="eastAsia"/>
        </w:rPr>
        <w:t>易燃物质和爆炸性物质标准的物质，均视为火灾、爆炸危险物质。</w:t>
      </w:r>
    </w:p>
    <w:p>
      <w:pPr>
        <w:ind w:firstLine="480"/>
      </w:pPr>
      <w:r>
        <w:rPr>
          <w:rFonts w:hint="eastAsia"/>
        </w:rPr>
        <w:t>按照《建设项目环境风险评价技术导则》附录中物质危险性标准以及</w:t>
      </w:r>
      <w:r>
        <w:t>GB18218-2000</w:t>
      </w:r>
      <w:r>
        <w:rPr>
          <w:rFonts w:hint="eastAsia"/>
        </w:rPr>
        <w:t>《重大危险源辨识》判断，本项目没有列入《建设项目环境风险评价技术导则》附录表格和</w:t>
      </w:r>
      <w:r>
        <w:t>GB18218-2000</w:t>
      </w:r>
      <w:r>
        <w:rPr>
          <w:rFonts w:hint="eastAsia"/>
        </w:rPr>
        <w:t>《重大危险源辨识》的物质，建设项目不存在重大危险源。</w:t>
      </w:r>
    </w:p>
    <w:p>
      <w:pPr>
        <w:pStyle w:val="4"/>
      </w:pPr>
      <w:bookmarkStart w:id="171" w:name="_Toc391370213"/>
      <w:r>
        <w:rPr>
          <w:rFonts w:hint="eastAsia"/>
        </w:rPr>
        <w:t>项目选址和周边环境危险性识别</w:t>
      </w:r>
      <w:bookmarkEnd w:id="171"/>
    </w:p>
    <w:p>
      <w:pPr>
        <w:ind w:firstLine="480"/>
      </w:pPr>
      <w:r>
        <w:rPr>
          <w:rFonts w:hint="eastAsia"/>
        </w:rPr>
        <w:t>建设项目位于岳阳市云溪区路口镇牌楼村，距离岳阳市城市中心</w:t>
      </w:r>
      <w:r>
        <w:t>25km</w:t>
      </w:r>
      <w:r>
        <w:rPr>
          <w:rFonts w:hint="eastAsia"/>
        </w:rPr>
        <w:t>。场址不属于云溪区工农业发展规划区、农业保护区、自然保护区、风景名胜区、文物</w:t>
      </w:r>
      <w:r>
        <w:t>(</w:t>
      </w:r>
      <w:r>
        <w:rPr>
          <w:rFonts w:hint="eastAsia"/>
        </w:rPr>
        <w:t>考古</w:t>
      </w:r>
      <w:r>
        <w:t>)</w:t>
      </w:r>
      <w:r>
        <w:rPr>
          <w:rFonts w:hint="eastAsia"/>
        </w:rPr>
        <w:t>保护区、生活饮用水水源保护区、供水远景规划区、矿产资源储备区、军事要地、国家保密地区和其它需要特别保护的区域内。</w:t>
      </w:r>
    </w:p>
    <w:p>
      <w:pPr>
        <w:pStyle w:val="3"/>
      </w:pPr>
      <w:bookmarkStart w:id="172" w:name="_Toc391370214"/>
      <w:bookmarkStart w:id="173" w:name="_Toc397322843"/>
      <w:bookmarkStart w:id="174" w:name="_Toc462818437"/>
      <w:r>
        <w:rPr>
          <w:rFonts w:hint="eastAsia"/>
        </w:rPr>
        <w:t>环境风险评价等级</w:t>
      </w:r>
      <w:bookmarkEnd w:id="172"/>
      <w:bookmarkEnd w:id="173"/>
      <w:bookmarkEnd w:id="174"/>
    </w:p>
    <w:p>
      <w:pPr>
        <w:pStyle w:val="4"/>
      </w:pPr>
      <w:bookmarkStart w:id="175" w:name="_Toc391370215"/>
      <w:r>
        <w:rPr>
          <w:rFonts w:hint="eastAsia"/>
        </w:rPr>
        <w:t>评价等级划分依据</w:t>
      </w:r>
      <w:bookmarkEnd w:id="175"/>
    </w:p>
    <w:p>
      <w:pPr>
        <w:ind w:firstLine="480"/>
      </w:pPr>
      <w:r>
        <w:rPr>
          <w:rFonts w:hint="eastAsia"/>
        </w:rPr>
        <w:t>《建设项目环境风险评价技术导则》规定，根据评价项目所涉及到的物质危险性和功能单元重大危险源判定结果，以及环境敏感程度等因素，将环境风险评价工作划分为一、二级。</w:t>
      </w:r>
    </w:p>
    <w:p>
      <w:pPr>
        <w:ind w:firstLine="480"/>
      </w:pPr>
      <w:r>
        <w:rPr>
          <w:rFonts w:hint="eastAsia"/>
        </w:rPr>
        <w:t>一级评价按导则要求应对事故影响进行定量预测，说明影响范围和程度，提出防范、减缓和应急措施。二级评价可参照导则进行风险识别、源项分析和对事故影响进行简要分析，提出防范、减缓和应急措施。</w:t>
      </w:r>
    </w:p>
    <w:p>
      <w:pPr>
        <w:ind w:firstLine="480"/>
      </w:pPr>
      <w:r>
        <w:rPr>
          <w:rFonts w:hint="eastAsia"/>
        </w:rPr>
        <w:t>判定评价级别中所规定的敏感区系指《建设项目管理名录》中规定的需特殊保护地区、生态敏感与脆弱区及社会关注区，具体敏感区应根据建设项目和危险物质涉及的环境确定。依据《建设项目环境风险评价技术导则》（</w:t>
      </w:r>
      <w:r>
        <w:t>HJ/T169-2004</w:t>
      </w:r>
      <w:r>
        <w:rPr>
          <w:rFonts w:hint="eastAsia"/>
        </w:rPr>
        <w:t>）附录</w:t>
      </w:r>
      <w:r>
        <w:t xml:space="preserve"> A.1</w:t>
      </w:r>
      <w:r>
        <w:rPr>
          <w:rFonts w:hint="eastAsia"/>
        </w:rPr>
        <w:t>规定的物质危险性判定标准如表</w:t>
      </w:r>
      <w:r>
        <w:t>6.2-1</w:t>
      </w:r>
      <w:r>
        <w:rPr>
          <w:rFonts w:hint="eastAsia"/>
        </w:rPr>
        <w:t>所示。</w:t>
      </w:r>
    </w:p>
    <w:p>
      <w:pPr>
        <w:pStyle w:val="14"/>
        <w:rPr>
          <w:kern w:val="0"/>
        </w:rPr>
      </w:pPr>
      <w:r>
        <w:rPr>
          <w:rFonts w:hint="eastAsia"/>
        </w:rPr>
        <w:t>表</w:t>
      </w:r>
      <w:r>
        <w:fldChar w:fldCharType="begin"/>
      </w:r>
      <w:r>
        <w:instrText xml:space="preserve"> STYLEREF 2 \s </w:instrText>
      </w:r>
      <w:r>
        <w:fldChar w:fldCharType="separate"/>
      </w:r>
      <w:r>
        <w:t>6.2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kern w:val="0"/>
        </w:rPr>
        <w:t>环境风险评价评价工作级别判定</w:t>
      </w:r>
    </w:p>
    <w:tbl>
      <w:tblPr>
        <w:tblStyle w:val="35"/>
        <w:tblW w:w="90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1"/>
        <w:gridCol w:w="1719"/>
        <w:gridCol w:w="1719"/>
        <w:gridCol w:w="1719"/>
        <w:gridCol w:w="1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1" w:hRule="atLeast"/>
        </w:trPr>
        <w:tc>
          <w:tcPr>
            <w:tcW w:w="2161" w:type="dxa"/>
            <w:vAlign w:val="center"/>
          </w:tcPr>
          <w:p>
            <w:pPr>
              <w:pStyle w:val="37"/>
              <w:rPr>
                <w:kern w:val="0"/>
              </w:rPr>
            </w:pPr>
          </w:p>
        </w:tc>
        <w:tc>
          <w:tcPr>
            <w:tcW w:w="1719" w:type="dxa"/>
            <w:vAlign w:val="center"/>
          </w:tcPr>
          <w:p>
            <w:pPr>
              <w:pStyle w:val="37"/>
              <w:rPr>
                <w:kern w:val="0"/>
              </w:rPr>
            </w:pPr>
            <w:r>
              <w:rPr>
                <w:rFonts w:hint="eastAsia"/>
                <w:kern w:val="0"/>
              </w:rPr>
              <w:t>剧毒危险性</w:t>
            </w:r>
          </w:p>
          <w:p>
            <w:pPr>
              <w:pStyle w:val="37"/>
              <w:rPr>
                <w:kern w:val="0"/>
              </w:rPr>
            </w:pPr>
            <w:r>
              <w:rPr>
                <w:rFonts w:hint="eastAsia"/>
                <w:kern w:val="0"/>
              </w:rPr>
              <w:t>物质</w:t>
            </w:r>
          </w:p>
        </w:tc>
        <w:tc>
          <w:tcPr>
            <w:tcW w:w="1719" w:type="dxa"/>
            <w:vAlign w:val="center"/>
          </w:tcPr>
          <w:p>
            <w:pPr>
              <w:pStyle w:val="37"/>
              <w:rPr>
                <w:kern w:val="0"/>
              </w:rPr>
            </w:pPr>
            <w:r>
              <w:rPr>
                <w:rFonts w:hint="eastAsia"/>
                <w:kern w:val="0"/>
              </w:rPr>
              <w:t>一般毒性危险物质</w:t>
            </w:r>
          </w:p>
        </w:tc>
        <w:tc>
          <w:tcPr>
            <w:tcW w:w="1719" w:type="dxa"/>
            <w:vAlign w:val="center"/>
          </w:tcPr>
          <w:p>
            <w:pPr>
              <w:pStyle w:val="37"/>
              <w:rPr>
                <w:kern w:val="0"/>
              </w:rPr>
            </w:pPr>
            <w:r>
              <w:rPr>
                <w:rFonts w:hint="eastAsia"/>
                <w:kern w:val="0"/>
              </w:rPr>
              <w:t>可燃、易燃</w:t>
            </w:r>
          </w:p>
          <w:p>
            <w:pPr>
              <w:pStyle w:val="37"/>
              <w:rPr>
                <w:kern w:val="0"/>
              </w:rPr>
            </w:pPr>
            <w:r>
              <w:rPr>
                <w:rFonts w:hint="eastAsia"/>
                <w:kern w:val="0"/>
              </w:rPr>
              <w:t>危险性物质</w:t>
            </w:r>
          </w:p>
        </w:tc>
        <w:tc>
          <w:tcPr>
            <w:tcW w:w="1719" w:type="dxa"/>
            <w:vAlign w:val="center"/>
          </w:tcPr>
          <w:p>
            <w:pPr>
              <w:pStyle w:val="37"/>
              <w:rPr>
                <w:kern w:val="0"/>
              </w:rPr>
            </w:pPr>
            <w:r>
              <w:rPr>
                <w:rFonts w:hint="eastAsia"/>
                <w:kern w:val="0"/>
              </w:rPr>
              <w:t>爆炸危险性</w:t>
            </w:r>
          </w:p>
          <w:p>
            <w:pPr>
              <w:pStyle w:val="37"/>
              <w:rPr>
                <w:kern w:val="0"/>
              </w:rPr>
            </w:pPr>
            <w:r>
              <w:rPr>
                <w:rFonts w:hint="eastAsia"/>
                <w:kern w:val="0"/>
              </w:rPr>
              <w:t>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trPr>
        <w:tc>
          <w:tcPr>
            <w:tcW w:w="2161" w:type="dxa"/>
            <w:vAlign w:val="center"/>
          </w:tcPr>
          <w:p>
            <w:pPr>
              <w:pStyle w:val="37"/>
              <w:rPr>
                <w:kern w:val="0"/>
              </w:rPr>
            </w:pPr>
            <w:r>
              <w:rPr>
                <w:rFonts w:hint="eastAsia"/>
                <w:kern w:val="0"/>
              </w:rPr>
              <w:t>重大危险源</w:t>
            </w:r>
          </w:p>
        </w:tc>
        <w:tc>
          <w:tcPr>
            <w:tcW w:w="1719" w:type="dxa"/>
            <w:vAlign w:val="center"/>
          </w:tcPr>
          <w:p>
            <w:pPr>
              <w:pStyle w:val="37"/>
              <w:rPr>
                <w:kern w:val="0"/>
              </w:rPr>
            </w:pPr>
            <w:r>
              <w:rPr>
                <w:rFonts w:hint="eastAsia"/>
                <w:kern w:val="0"/>
              </w:rPr>
              <w:t>一</w:t>
            </w:r>
          </w:p>
        </w:tc>
        <w:tc>
          <w:tcPr>
            <w:tcW w:w="1719" w:type="dxa"/>
            <w:vAlign w:val="center"/>
          </w:tcPr>
          <w:p>
            <w:pPr>
              <w:pStyle w:val="37"/>
              <w:rPr>
                <w:kern w:val="0"/>
              </w:rPr>
            </w:pPr>
            <w:r>
              <w:rPr>
                <w:rFonts w:hint="eastAsia"/>
                <w:kern w:val="0"/>
              </w:rPr>
              <w:t>二</w:t>
            </w:r>
          </w:p>
        </w:tc>
        <w:tc>
          <w:tcPr>
            <w:tcW w:w="1719" w:type="dxa"/>
            <w:vAlign w:val="center"/>
          </w:tcPr>
          <w:p>
            <w:pPr>
              <w:pStyle w:val="37"/>
              <w:rPr>
                <w:kern w:val="0"/>
              </w:rPr>
            </w:pPr>
            <w:r>
              <w:rPr>
                <w:rFonts w:hint="eastAsia"/>
                <w:kern w:val="0"/>
              </w:rPr>
              <w:t>一</w:t>
            </w:r>
          </w:p>
        </w:tc>
        <w:tc>
          <w:tcPr>
            <w:tcW w:w="1719" w:type="dxa"/>
            <w:vAlign w:val="center"/>
          </w:tcPr>
          <w:p>
            <w:pPr>
              <w:pStyle w:val="37"/>
              <w:rPr>
                <w:kern w:val="0"/>
              </w:rPr>
            </w:pPr>
            <w:r>
              <w:rPr>
                <w:rFonts w:hint="eastAsia"/>
                <w:kern w:val="0"/>
              </w:rPr>
              <w:t>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trPr>
        <w:tc>
          <w:tcPr>
            <w:tcW w:w="2161" w:type="dxa"/>
            <w:vAlign w:val="center"/>
          </w:tcPr>
          <w:p>
            <w:pPr>
              <w:pStyle w:val="37"/>
              <w:rPr>
                <w:kern w:val="0"/>
              </w:rPr>
            </w:pPr>
            <w:r>
              <w:rPr>
                <w:rFonts w:hint="eastAsia"/>
                <w:kern w:val="0"/>
              </w:rPr>
              <w:t>非重大危险源</w:t>
            </w:r>
          </w:p>
        </w:tc>
        <w:tc>
          <w:tcPr>
            <w:tcW w:w="1719" w:type="dxa"/>
            <w:vAlign w:val="center"/>
          </w:tcPr>
          <w:p>
            <w:pPr>
              <w:pStyle w:val="37"/>
              <w:rPr>
                <w:kern w:val="0"/>
              </w:rPr>
            </w:pPr>
            <w:r>
              <w:rPr>
                <w:rFonts w:hint="eastAsia"/>
                <w:kern w:val="0"/>
              </w:rPr>
              <w:t>二</w:t>
            </w:r>
          </w:p>
        </w:tc>
        <w:tc>
          <w:tcPr>
            <w:tcW w:w="1719" w:type="dxa"/>
            <w:vAlign w:val="center"/>
          </w:tcPr>
          <w:p>
            <w:pPr>
              <w:pStyle w:val="37"/>
              <w:rPr>
                <w:kern w:val="0"/>
              </w:rPr>
            </w:pPr>
            <w:r>
              <w:rPr>
                <w:rFonts w:hint="eastAsia"/>
                <w:kern w:val="0"/>
              </w:rPr>
              <w:t>二</w:t>
            </w:r>
          </w:p>
        </w:tc>
        <w:tc>
          <w:tcPr>
            <w:tcW w:w="1719" w:type="dxa"/>
            <w:vAlign w:val="center"/>
          </w:tcPr>
          <w:p>
            <w:pPr>
              <w:pStyle w:val="37"/>
              <w:rPr>
                <w:kern w:val="0"/>
              </w:rPr>
            </w:pPr>
            <w:r>
              <w:rPr>
                <w:rFonts w:hint="eastAsia"/>
                <w:kern w:val="0"/>
              </w:rPr>
              <w:t>二</w:t>
            </w:r>
          </w:p>
        </w:tc>
        <w:tc>
          <w:tcPr>
            <w:tcW w:w="1719" w:type="dxa"/>
            <w:vAlign w:val="center"/>
          </w:tcPr>
          <w:p>
            <w:pPr>
              <w:pStyle w:val="37"/>
              <w:rPr>
                <w:kern w:val="0"/>
              </w:rPr>
            </w:pPr>
            <w:r>
              <w:rPr>
                <w:rFonts w:hint="eastAsia"/>
                <w:kern w:val="0"/>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trPr>
        <w:tc>
          <w:tcPr>
            <w:tcW w:w="2161" w:type="dxa"/>
            <w:vAlign w:val="center"/>
          </w:tcPr>
          <w:p>
            <w:pPr>
              <w:pStyle w:val="37"/>
              <w:rPr>
                <w:kern w:val="0"/>
              </w:rPr>
            </w:pPr>
            <w:r>
              <w:rPr>
                <w:rFonts w:hint="eastAsia"/>
                <w:kern w:val="0"/>
              </w:rPr>
              <w:t>环境敏感地区</w:t>
            </w:r>
          </w:p>
        </w:tc>
        <w:tc>
          <w:tcPr>
            <w:tcW w:w="1719" w:type="dxa"/>
            <w:vAlign w:val="center"/>
          </w:tcPr>
          <w:p>
            <w:pPr>
              <w:pStyle w:val="37"/>
              <w:rPr>
                <w:kern w:val="0"/>
              </w:rPr>
            </w:pPr>
            <w:r>
              <w:rPr>
                <w:rFonts w:hint="eastAsia"/>
                <w:kern w:val="0"/>
              </w:rPr>
              <w:t>一</w:t>
            </w:r>
          </w:p>
        </w:tc>
        <w:tc>
          <w:tcPr>
            <w:tcW w:w="1719" w:type="dxa"/>
            <w:vAlign w:val="center"/>
          </w:tcPr>
          <w:p>
            <w:pPr>
              <w:pStyle w:val="37"/>
              <w:rPr>
                <w:kern w:val="0"/>
              </w:rPr>
            </w:pPr>
            <w:r>
              <w:rPr>
                <w:rFonts w:hint="eastAsia"/>
                <w:kern w:val="0"/>
              </w:rPr>
              <w:t>一</w:t>
            </w:r>
          </w:p>
        </w:tc>
        <w:tc>
          <w:tcPr>
            <w:tcW w:w="1719" w:type="dxa"/>
            <w:vAlign w:val="center"/>
          </w:tcPr>
          <w:p>
            <w:pPr>
              <w:pStyle w:val="37"/>
              <w:rPr>
                <w:kern w:val="0"/>
              </w:rPr>
            </w:pPr>
            <w:r>
              <w:rPr>
                <w:rFonts w:hint="eastAsia"/>
                <w:kern w:val="0"/>
              </w:rPr>
              <w:t>一</w:t>
            </w:r>
          </w:p>
        </w:tc>
        <w:tc>
          <w:tcPr>
            <w:tcW w:w="1719" w:type="dxa"/>
            <w:vAlign w:val="center"/>
          </w:tcPr>
          <w:p>
            <w:pPr>
              <w:pStyle w:val="37"/>
              <w:rPr>
                <w:kern w:val="0"/>
              </w:rPr>
            </w:pPr>
            <w:r>
              <w:rPr>
                <w:rFonts w:hint="eastAsia"/>
                <w:kern w:val="0"/>
              </w:rPr>
              <w:t>一</w:t>
            </w:r>
          </w:p>
        </w:tc>
      </w:tr>
    </w:tbl>
    <w:p>
      <w:pPr>
        <w:pStyle w:val="4"/>
      </w:pPr>
      <w:bookmarkStart w:id="176" w:name="_Toc391370216"/>
      <w:r>
        <w:rPr>
          <w:rFonts w:hint="eastAsia"/>
        </w:rPr>
        <w:t>项目环境风险评价等级</w:t>
      </w:r>
      <w:bookmarkEnd w:id="176"/>
    </w:p>
    <w:p>
      <w:pPr>
        <w:ind w:firstLine="480"/>
      </w:pPr>
      <w:r>
        <w:rPr>
          <w:rFonts w:hint="eastAsia"/>
        </w:rPr>
        <w:t>根据项目按照重大危险源辨识，本项目不存在重大危险源。</w:t>
      </w:r>
    </w:p>
    <w:p>
      <w:pPr>
        <w:ind w:firstLine="480"/>
      </w:pPr>
      <w:r>
        <w:rPr>
          <w:rFonts w:hint="eastAsia"/>
        </w:rPr>
        <w:t>建设项目位于岳阳市云溪区路口镇牌楼村，距离岳阳市城市中心</w:t>
      </w:r>
      <w:r>
        <w:t>25km</w:t>
      </w:r>
      <w:r>
        <w:rPr>
          <w:rFonts w:hint="eastAsia"/>
        </w:rPr>
        <w:t>。场址不属于云溪区工农业发展规划区、农业保护区、自然保护区、风景名胜区、文物</w:t>
      </w:r>
      <w:r>
        <w:t>(</w:t>
      </w:r>
      <w:r>
        <w:rPr>
          <w:rFonts w:hint="eastAsia"/>
        </w:rPr>
        <w:t>考古</w:t>
      </w:r>
      <w:r>
        <w:t>)</w:t>
      </w:r>
      <w:r>
        <w:rPr>
          <w:rFonts w:hint="eastAsia"/>
        </w:rPr>
        <w:t>保护区、生活饮用水水源保护区、供水远景规划区、矿产资源储备区、军事要地、国家保密地区和其它需要特别保护的区域内。</w:t>
      </w:r>
    </w:p>
    <w:p>
      <w:pPr>
        <w:ind w:firstLine="480"/>
        <w:rPr>
          <w:kern w:val="0"/>
        </w:rPr>
      </w:pPr>
      <w:r>
        <w:rPr>
          <w:rFonts w:hint="eastAsia"/>
        </w:rPr>
        <w:t>该建设项目环境风险评价工作级别为二级，需要</w:t>
      </w:r>
      <w:r>
        <w:rPr>
          <w:rFonts w:hint="eastAsia"/>
          <w:kern w:val="0"/>
        </w:rPr>
        <w:t>参照导则进行风险识别、源项分析和对事故影响进行简要分析，提出防范、减缓和应急措施。</w:t>
      </w:r>
    </w:p>
    <w:p>
      <w:pPr>
        <w:pStyle w:val="3"/>
      </w:pPr>
      <w:bookmarkStart w:id="177" w:name="_Toc397322844"/>
      <w:bookmarkStart w:id="178" w:name="_Toc462818438"/>
      <w:bookmarkStart w:id="179" w:name="_Toc391370217"/>
      <w:r>
        <w:rPr>
          <w:rFonts w:hint="eastAsia"/>
        </w:rPr>
        <w:t>源项和事故影响分析</w:t>
      </w:r>
      <w:bookmarkEnd w:id="177"/>
      <w:bookmarkEnd w:id="178"/>
      <w:bookmarkEnd w:id="179"/>
    </w:p>
    <w:p>
      <w:pPr>
        <w:pStyle w:val="4"/>
      </w:pPr>
      <w:bookmarkStart w:id="180" w:name="_Toc391370218"/>
      <w:r>
        <w:rPr>
          <w:rFonts w:hint="eastAsia"/>
        </w:rPr>
        <w:t>可信事故</w:t>
      </w:r>
      <w:bookmarkEnd w:id="180"/>
    </w:p>
    <w:p>
      <w:pPr>
        <w:ind w:firstLine="480"/>
      </w:pPr>
      <w:r>
        <w:rPr>
          <w:rFonts w:hint="eastAsia"/>
        </w:rPr>
        <w:t>根据以上分析，参考相关导则，与同类项目类比，本项目的主要的环境风险可信事故列于表</w:t>
      </w:r>
      <w:r>
        <w:t>6.3-1</w:t>
      </w:r>
      <w:r>
        <w:rPr>
          <w:rFonts w:hint="eastAsia"/>
        </w:rPr>
        <w:t>。</w:t>
      </w:r>
    </w:p>
    <w:p>
      <w:pPr>
        <w:pStyle w:val="14"/>
        <w:rPr>
          <w:kern w:val="0"/>
        </w:rPr>
      </w:pPr>
      <w:r>
        <w:rPr>
          <w:rFonts w:hint="eastAsia"/>
        </w:rPr>
        <w:t>表</w:t>
      </w:r>
      <w:r>
        <w:fldChar w:fldCharType="begin"/>
      </w:r>
      <w:r>
        <w:instrText xml:space="preserve"> STYLEREF 2 \s </w:instrText>
      </w:r>
      <w:r>
        <w:fldChar w:fldCharType="separate"/>
      </w:r>
      <w:r>
        <w:t>6.3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kern w:val="0"/>
        </w:rPr>
        <w:t>主要环境风险事故</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5486"/>
        <w:gridCol w:w="1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9" w:hRule="atLeast"/>
          <w:jc w:val="center"/>
        </w:trPr>
        <w:tc>
          <w:tcPr>
            <w:tcW w:w="2059" w:type="dxa"/>
            <w:vAlign w:val="center"/>
          </w:tcPr>
          <w:p>
            <w:pPr>
              <w:pStyle w:val="37"/>
            </w:pPr>
            <w:r>
              <w:rPr>
                <w:rFonts w:hint="eastAsia"/>
              </w:rPr>
              <w:t>可信事故</w:t>
            </w:r>
          </w:p>
        </w:tc>
        <w:tc>
          <w:tcPr>
            <w:tcW w:w="5486" w:type="dxa"/>
            <w:vAlign w:val="center"/>
          </w:tcPr>
          <w:p>
            <w:pPr>
              <w:pStyle w:val="37"/>
            </w:pPr>
            <w:r>
              <w:rPr>
                <w:rFonts w:hint="eastAsia"/>
              </w:rPr>
              <w:t>产生原因</w:t>
            </w:r>
          </w:p>
        </w:tc>
        <w:tc>
          <w:tcPr>
            <w:tcW w:w="1601" w:type="dxa"/>
            <w:vAlign w:val="center"/>
          </w:tcPr>
          <w:p>
            <w:pPr>
              <w:pStyle w:val="37"/>
            </w:pPr>
            <w:r>
              <w:rPr>
                <w:rFonts w:hint="eastAsia"/>
              </w:rPr>
              <w:t>环境危害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8" w:hRule="atLeast"/>
          <w:jc w:val="center"/>
        </w:trPr>
        <w:tc>
          <w:tcPr>
            <w:tcW w:w="2059" w:type="dxa"/>
            <w:vAlign w:val="center"/>
          </w:tcPr>
          <w:p>
            <w:pPr>
              <w:pStyle w:val="37"/>
            </w:pPr>
            <w:r>
              <w:rPr>
                <w:rFonts w:hint="eastAsia"/>
              </w:rPr>
              <w:t>渗滤液下渗或渗滤液剧增</w:t>
            </w:r>
          </w:p>
        </w:tc>
        <w:tc>
          <w:tcPr>
            <w:tcW w:w="5486" w:type="dxa"/>
            <w:vAlign w:val="center"/>
          </w:tcPr>
          <w:p>
            <w:pPr>
              <w:pStyle w:val="37"/>
            </w:pPr>
            <w:r>
              <w:rPr>
                <w:rFonts w:hint="eastAsia"/>
              </w:rPr>
              <w:t>防渗层没有严格按要求标准施工或发生地质灾害导致防渗层破坏</w:t>
            </w:r>
          </w:p>
        </w:tc>
        <w:tc>
          <w:tcPr>
            <w:tcW w:w="1601" w:type="dxa"/>
            <w:vAlign w:val="center"/>
          </w:tcPr>
          <w:p>
            <w:pPr>
              <w:pStyle w:val="37"/>
            </w:pPr>
            <w:r>
              <w:rPr>
                <w:rFonts w:hint="eastAsia"/>
              </w:rPr>
              <w:t>地下水污染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6" w:hRule="atLeast"/>
          <w:jc w:val="center"/>
        </w:trPr>
        <w:tc>
          <w:tcPr>
            <w:tcW w:w="2059" w:type="dxa"/>
            <w:vAlign w:val="center"/>
          </w:tcPr>
          <w:p>
            <w:pPr>
              <w:pStyle w:val="37"/>
            </w:pPr>
            <w:r>
              <w:rPr>
                <w:rFonts w:hint="eastAsia"/>
              </w:rPr>
              <w:t>坝体发生溃坝</w:t>
            </w:r>
          </w:p>
        </w:tc>
        <w:tc>
          <w:tcPr>
            <w:tcW w:w="5486" w:type="dxa"/>
            <w:vAlign w:val="center"/>
          </w:tcPr>
          <w:p>
            <w:pPr>
              <w:pStyle w:val="37"/>
            </w:pPr>
            <w:r>
              <w:rPr>
                <w:rFonts w:hint="eastAsia"/>
              </w:rPr>
              <w:t>遇到特大暴雨或发生地震等严重地质灾害时</w:t>
            </w:r>
          </w:p>
        </w:tc>
        <w:tc>
          <w:tcPr>
            <w:tcW w:w="1601" w:type="dxa"/>
            <w:vAlign w:val="center"/>
          </w:tcPr>
          <w:p>
            <w:pPr>
              <w:pStyle w:val="37"/>
            </w:pPr>
            <w:r>
              <w:rPr>
                <w:rFonts w:hint="eastAsia"/>
              </w:rPr>
              <w:t>地表水、地下水、土壤污染、生态破坏</w:t>
            </w:r>
          </w:p>
        </w:tc>
      </w:tr>
    </w:tbl>
    <w:p>
      <w:pPr>
        <w:pStyle w:val="4"/>
      </w:pPr>
      <w:bookmarkStart w:id="181" w:name="_Toc391370219"/>
      <w:r>
        <w:rPr>
          <w:rFonts w:hint="eastAsia"/>
        </w:rPr>
        <w:t>可信事故后果预测分析</w:t>
      </w:r>
      <w:bookmarkEnd w:id="181"/>
    </w:p>
    <w:p>
      <w:pPr>
        <w:ind w:firstLine="480"/>
      </w:pPr>
      <w:r>
        <w:rPr>
          <w:rFonts w:hint="eastAsia"/>
        </w:rPr>
        <w:t>（</w:t>
      </w:r>
      <w:r>
        <w:t>1</w:t>
      </w:r>
      <w:r>
        <w:rPr>
          <w:rFonts w:hint="eastAsia"/>
        </w:rPr>
        <w:t>）渗滤液下渗</w:t>
      </w:r>
    </w:p>
    <w:p>
      <w:pPr>
        <w:ind w:firstLine="480"/>
      </w:pPr>
      <w:r>
        <w:rPr>
          <w:rFonts w:hint="eastAsia"/>
        </w:rPr>
        <w:t>渗滤液下渗现象的发生可能是防渗层没有严格按要求标准施工或发生地质灾害导致防渗层破坏。如果发生这种现象，将会使处置场处置区域一定范围内的地下水水质恶化，受到污染的地下水渗入地下水径流，就有可能对当地的地下水水质形成污染，导致该区域水质下降。而且一旦发生渗滤液下渗，将很难采取补救措施。</w:t>
      </w:r>
    </w:p>
    <w:p>
      <w:pPr>
        <w:ind w:firstLine="480"/>
      </w:pPr>
      <w:r>
        <w:rPr>
          <w:rFonts w:hint="eastAsia"/>
        </w:rPr>
        <w:t>因此，为杜绝渗滤液下渗现象的发生，必须确保防渗层的防渗功能。建设单位和施工单位必须严把质量关，选择有资质的正规单位设计、专业施工队伍，严格按设计施工，加强施工期监理，确保工程质量，渗滤液事故泄漏防范措施：</w:t>
      </w:r>
    </w:p>
    <w:p>
      <w:pPr>
        <w:ind w:firstLine="480"/>
      </w:pPr>
      <w:r>
        <w:rPr>
          <w:rFonts w:hint="eastAsia"/>
        </w:rPr>
        <w:t>①防渗层施工属专业性很强的工程，是固体废物处置场建设的关键工程，必须由有资质专业队伍按规范施工；铺设、焊接、质量检查工序应严格按照有关规程或标准进行，要加强施工环境监理，确保铺设质量；</w:t>
      </w:r>
    </w:p>
    <w:p>
      <w:pPr>
        <w:ind w:firstLine="480"/>
      </w:pPr>
      <w:r>
        <w:rPr>
          <w:rFonts w:hint="eastAsia"/>
        </w:rPr>
        <w:t>②防渗层施工过程一定要按照规范操作规程，防渗材料铺设前，需对沟底、边坡进行开挖，以清除树根、杂草、杂物等，要求最小开挖深度不得小于</w:t>
      </w:r>
      <w:r>
        <w:t>0.3m</w:t>
      </w:r>
      <w:r>
        <w:rPr>
          <w:rFonts w:hint="eastAsia"/>
        </w:rPr>
        <w:t>；</w:t>
      </w:r>
    </w:p>
    <w:p>
      <w:pPr>
        <w:ind w:firstLine="480"/>
      </w:pPr>
      <w:r>
        <w:rPr>
          <w:rFonts w:hint="eastAsia"/>
        </w:rPr>
        <w:t>③膜铺设必须平坦，无褶皱，边坡与底面交界处不能设焊缝，焊缝应在跨过交界处</w:t>
      </w:r>
      <w:r>
        <w:t>1m</w:t>
      </w:r>
      <w:r>
        <w:rPr>
          <w:rFonts w:hint="eastAsia"/>
        </w:rPr>
        <w:t>以上，要最大可能的利用膜的宽度来减少接缝数量（至少应在</w:t>
      </w:r>
      <w:r>
        <w:t>6m</w:t>
      </w:r>
      <w:r>
        <w:rPr>
          <w:rFonts w:hint="eastAsia"/>
        </w:rPr>
        <w:t>～</w:t>
      </w:r>
      <w:r>
        <w:t>10m</w:t>
      </w:r>
      <w:r>
        <w:rPr>
          <w:rFonts w:hint="eastAsia"/>
        </w:rPr>
        <w:t>）；</w:t>
      </w:r>
    </w:p>
    <w:p>
      <w:pPr>
        <w:ind w:firstLine="480"/>
      </w:pPr>
      <w:r>
        <w:rPr>
          <w:rFonts w:hint="eastAsia"/>
        </w:rPr>
        <w:t>④设置防渗衬层渗漏检测系统，定期检测防渗衬层系统完整性，发现防渗衬层系统发生渗漏时，应及时采取补救措施，将破坏区域隔离，进行防渗膜修补；</w:t>
      </w:r>
    </w:p>
    <w:p>
      <w:pPr>
        <w:ind w:firstLine="480"/>
      </w:pPr>
      <w:r>
        <w:rPr>
          <w:rFonts w:hint="eastAsia"/>
        </w:rPr>
        <w:t>⑤为检测渗滤液深度，</w:t>
      </w:r>
      <w:r>
        <w:rPr>
          <w:rFonts w:hint="eastAsia"/>
          <w:kern w:val="0"/>
        </w:rPr>
        <w:t>固体废物处置场</w:t>
      </w:r>
      <w:r>
        <w:rPr>
          <w:rFonts w:hint="eastAsia"/>
        </w:rPr>
        <w:t>内应设置渗滤液监测井；</w:t>
      </w:r>
    </w:p>
    <w:p>
      <w:pPr>
        <w:ind w:firstLine="480"/>
      </w:pPr>
      <w:r>
        <w:rPr>
          <w:rFonts w:hint="eastAsia"/>
        </w:rPr>
        <w:t>⑥定期检测地下水水质，当发现地下水质有被污染迹象时，应及时查找原因，发现渗漏位置并采取补救措施，防止污染进一步扩散。</w:t>
      </w:r>
    </w:p>
    <w:p>
      <w:pPr>
        <w:ind w:firstLine="480"/>
      </w:pPr>
      <w:r>
        <w:rPr>
          <w:rFonts w:hint="eastAsia"/>
        </w:rPr>
        <w:t>渗滤液收集池事故排放防范措施：</w:t>
      </w:r>
    </w:p>
    <w:p>
      <w:pPr>
        <w:ind w:firstLine="480"/>
      </w:pPr>
      <w:r>
        <w:rPr>
          <w:rFonts w:hint="eastAsia"/>
        </w:rPr>
        <w:t>①有关管理部门应制订包括监测、报警以及对固体废物处置场截洪沟的询查制度等措施在内的应急预案。</w:t>
      </w:r>
    </w:p>
    <w:p>
      <w:pPr>
        <w:ind w:firstLine="480"/>
      </w:pPr>
      <w:r>
        <w:rPr>
          <w:rFonts w:hint="eastAsia"/>
        </w:rPr>
        <w:t>②确保雨水和渗滤液分流。</w:t>
      </w:r>
    </w:p>
    <w:p>
      <w:pPr>
        <w:ind w:firstLine="480"/>
      </w:pPr>
      <w:r>
        <w:rPr>
          <w:rFonts w:hint="eastAsia"/>
        </w:rPr>
        <w:t>③加强雨水外排能力，每年汛期之前，完成截洪沟的整修，确保畅通无阻。</w:t>
      </w:r>
    </w:p>
    <w:p>
      <w:pPr>
        <w:ind w:firstLine="480"/>
      </w:pPr>
      <w:r>
        <w:rPr>
          <w:rFonts w:hint="eastAsia"/>
        </w:rPr>
        <w:t>④建立渗滤液收集和监测系统，在有大雨、暴雨预报时，抽干排空收集系统内的积液并将固体废物处置场作业面用薄膜覆盖。</w:t>
      </w:r>
    </w:p>
    <w:p>
      <w:pPr>
        <w:ind w:firstLine="480"/>
      </w:pPr>
      <w:r>
        <w:rPr>
          <w:rFonts w:hint="eastAsia"/>
        </w:rPr>
        <w:t>⑤尽早实施绿化，充分利用植被对雨水的滞留作用和蒸腾作用。</w:t>
      </w:r>
    </w:p>
    <w:p>
      <w:pPr>
        <w:ind w:firstLine="480"/>
        <w:rPr>
          <w:color w:val="FF0000"/>
        </w:rPr>
      </w:pPr>
      <w:r>
        <w:rPr>
          <w:rFonts w:hint="eastAsia"/>
        </w:rPr>
        <w:t>⑥</w:t>
      </w:r>
      <w:r>
        <w:rPr>
          <w:rFonts w:hint="eastAsia"/>
          <w:color w:val="FF0000"/>
        </w:rPr>
        <w:t>事故发生后要及时抽提，进行回灌，利用植物根系的吸收过滤作用以及蒸腾，延缓渗滤液产率和减少产生量，削减一次暴雨产生的渗滤液骤增对污水处理系统的冲击负荷。</w:t>
      </w:r>
    </w:p>
    <w:p>
      <w:pPr>
        <w:ind w:firstLine="480"/>
      </w:pPr>
      <w:r>
        <w:rPr>
          <w:rFonts w:hint="eastAsia"/>
        </w:rPr>
        <w:t>⑦建议应在固体废物处置场渗滤液收集池下方建设拦渣坝，防止渗滤液外渗，保护地下水和地表水水质安全；</w:t>
      </w:r>
    </w:p>
    <w:p>
      <w:pPr>
        <w:ind w:firstLine="480"/>
      </w:pPr>
      <w:r>
        <w:rPr>
          <w:rFonts w:hint="eastAsia"/>
        </w:rPr>
        <w:t>⑧编制渗滤液事故防范措施应急预案，定期开展演练，防患于未然。</w:t>
      </w:r>
    </w:p>
    <w:p>
      <w:pPr>
        <w:ind w:firstLine="480"/>
      </w:pPr>
      <w:r>
        <w:rPr>
          <w:rFonts w:hint="eastAsia"/>
        </w:rPr>
        <w:t>根据勘察设计单位对固体废物处置场初步勘察，固体废物处置场地基基本稳定，要求建设单位严格按照固体废物处置场的防渗要求，进行设计、科学施工，合理保养，做好固体废物处置场底部和侧面的防渗，发生渗滤液污染地下水的几率很小。</w:t>
      </w:r>
    </w:p>
    <w:p>
      <w:pPr>
        <w:ind w:firstLine="480"/>
      </w:pPr>
      <w:r>
        <w:rPr>
          <w:rFonts w:hint="eastAsia"/>
        </w:rPr>
        <w:t>（</w:t>
      </w:r>
      <w:r>
        <w:t>2</w:t>
      </w:r>
      <w:r>
        <w:rPr>
          <w:rFonts w:hint="eastAsia"/>
        </w:rPr>
        <w:t>）渗滤液突然增加</w:t>
      </w:r>
    </w:p>
    <w:p>
      <w:pPr>
        <w:ind w:firstLine="480"/>
      </w:pPr>
      <w:r>
        <w:rPr>
          <w:rFonts w:hint="eastAsia"/>
        </w:rPr>
        <w:t>渗滤液突然增加主要源于三方面可能：①雨水渗入</w:t>
      </w:r>
      <w:r>
        <w:rPr>
          <w:rFonts w:hint="eastAsia"/>
          <w:kern w:val="0"/>
        </w:rPr>
        <w:t>固体废物</w:t>
      </w:r>
      <w:r>
        <w:rPr>
          <w:rFonts w:hint="eastAsia"/>
        </w:rPr>
        <w:t>堆体；②压实的固体废物含水分挤压滤出；③固体废物中的有机物分解产生水分。</w:t>
      </w:r>
    </w:p>
    <w:p>
      <w:pPr>
        <w:ind w:firstLine="480"/>
      </w:pPr>
      <w:r>
        <w:rPr>
          <w:rFonts w:hint="eastAsia"/>
        </w:rPr>
        <w:t>渗滤液突然增加主要由于上述三个因子短期发生突然变化，其中降水的骤然增加影响最大。项目填埋期为秋冬季，降雨量较少，填埋完成后立即封场，渗滤液根据收集情况运送至有资质单位处理，影响较小。</w:t>
      </w:r>
    </w:p>
    <w:p>
      <w:pPr>
        <w:ind w:firstLine="480"/>
        <w:rPr>
          <w:color w:val="FF0000"/>
        </w:rPr>
      </w:pPr>
      <w:r>
        <w:rPr>
          <w:rFonts w:hint="eastAsia"/>
          <w:color w:val="FF0000"/>
        </w:rPr>
        <w:t>（3）坝体发生溃坝</w:t>
      </w:r>
    </w:p>
    <w:p>
      <w:pPr>
        <w:ind w:firstLine="480"/>
        <w:rPr>
          <w:color w:val="FF0000"/>
        </w:rPr>
      </w:pPr>
      <w:r>
        <w:rPr>
          <w:color w:val="FF0000"/>
        </w:rPr>
        <w:fldChar w:fldCharType="begin"/>
      </w:r>
      <w:r>
        <w:rPr>
          <w:color w:val="FF0000"/>
        </w:rPr>
        <w:instrText xml:space="preserve"> </w:instrText>
      </w:r>
      <w:r>
        <w:rPr>
          <w:rFonts w:hint="eastAsia"/>
          <w:color w:val="FF0000"/>
        </w:rPr>
        <w:instrText xml:space="preserve">= 1 \* GB3</w:instrText>
      </w:r>
      <w:r>
        <w:rPr>
          <w:color w:val="FF0000"/>
        </w:rPr>
        <w:instrText xml:space="preserve"> </w:instrText>
      </w:r>
      <w:r>
        <w:rPr>
          <w:color w:val="FF0000"/>
        </w:rPr>
        <w:fldChar w:fldCharType="separate"/>
      </w:r>
      <w:r>
        <w:rPr>
          <w:rFonts w:hint="eastAsia"/>
          <w:color w:val="FF0000"/>
        </w:rPr>
        <w:t>①</w:t>
      </w:r>
      <w:r>
        <w:rPr>
          <w:color w:val="FF0000"/>
        </w:rPr>
        <w:fldChar w:fldCharType="end"/>
      </w:r>
      <w:r>
        <w:rPr>
          <w:rFonts w:hint="eastAsia"/>
          <w:color w:val="FF0000"/>
        </w:rPr>
        <w:t>主要影响：固体废物处置场的上下游设有拦渣坝，作用主要是对已填埋的固体废物进行掩挡。一般情况下，坝体虽然为土质坝，但只要设计、施工严格按照有关标准进行，其安全性能是可靠的，但是，当遇到特大暴雨或发生地震等严重地质灾害时，则坝体可能会出现倒塌等安全问题。如果发生这种现象，将会影响渗滤液和地表径流的正常收集，使已填埋的固体废物冲向下游，对下游地表水、植被和土壤等造成严重影响，并堵塞沟道、河道，影响周围环境空气质量，破坏处置场整理结构，同时使固体废物处置场无法正常运行。</w:t>
      </w:r>
    </w:p>
    <w:p>
      <w:pPr>
        <w:ind w:firstLine="480"/>
        <w:rPr>
          <w:color w:val="FF0000"/>
        </w:rPr>
      </w:pPr>
      <w:r>
        <w:rPr>
          <w:color w:val="FF0000"/>
        </w:rPr>
        <w:fldChar w:fldCharType="begin"/>
      </w:r>
      <w:r>
        <w:rPr>
          <w:color w:val="FF0000"/>
        </w:rPr>
        <w:instrText xml:space="preserve"> </w:instrText>
      </w:r>
      <w:r>
        <w:rPr>
          <w:rFonts w:hint="eastAsia"/>
          <w:color w:val="FF0000"/>
        </w:rPr>
        <w:instrText xml:space="preserve">= 2 \* GB3</w:instrText>
      </w:r>
      <w:r>
        <w:rPr>
          <w:color w:val="FF0000"/>
        </w:rPr>
        <w:instrText xml:space="preserve"> </w:instrText>
      </w:r>
      <w:r>
        <w:rPr>
          <w:color w:val="FF0000"/>
        </w:rPr>
        <w:fldChar w:fldCharType="separate"/>
      </w:r>
      <w:r>
        <w:rPr>
          <w:rFonts w:hint="eastAsia"/>
          <w:color w:val="FF0000"/>
        </w:rPr>
        <w:t>②</w:t>
      </w:r>
      <w:r>
        <w:rPr>
          <w:color w:val="FF0000"/>
        </w:rPr>
        <w:fldChar w:fldCharType="end"/>
      </w:r>
      <w:r>
        <w:rPr>
          <w:rFonts w:hint="eastAsia"/>
          <w:color w:val="FF0000"/>
        </w:rPr>
        <w:t>措施：</w:t>
      </w:r>
    </w:p>
    <w:p>
      <w:pPr>
        <w:ind w:firstLine="480"/>
        <w:rPr>
          <w:color w:val="FF0000"/>
        </w:rPr>
      </w:pPr>
      <w:r>
        <w:rPr>
          <w:rFonts w:hint="eastAsia"/>
          <w:color w:val="FF0000"/>
        </w:rPr>
        <w:t>a、建设单位和施工单位必须严把质量关，选择有资质的正规单位设计、专业施工队伍，严格按设计施工，加强施工期监理，确保坝体质量。</w:t>
      </w:r>
    </w:p>
    <w:p>
      <w:pPr>
        <w:ind w:firstLine="480"/>
        <w:rPr>
          <w:color w:val="FF0000"/>
        </w:rPr>
      </w:pPr>
      <w:r>
        <w:rPr>
          <w:rFonts w:hint="eastAsia"/>
          <w:color w:val="FF0000"/>
        </w:rPr>
        <w:t>b、加强拦渣坝的排水设施管理；避免集中排弃第四系表土、风化岩；对软弱地基的影响进行控制；清除植物层；采用合理的台阶坡度角和台阶高度；</w:t>
      </w:r>
    </w:p>
    <w:p>
      <w:pPr>
        <w:adjustRightInd w:val="0"/>
        <w:snapToGrid w:val="0"/>
        <w:ind w:firstLine="480"/>
        <w:rPr>
          <w:color w:val="FF0000"/>
        </w:rPr>
      </w:pPr>
      <w:r>
        <w:rPr>
          <w:rFonts w:hint="eastAsia"/>
          <w:color w:val="FF0000"/>
        </w:rPr>
        <w:t>c、</w:t>
      </w:r>
      <w:r>
        <w:rPr>
          <w:color w:val="FF0000"/>
        </w:rPr>
        <w:t>安全人员应经常检查</w:t>
      </w:r>
      <w:r>
        <w:rPr>
          <w:rFonts w:hint="eastAsia"/>
          <w:color w:val="FF0000"/>
        </w:rPr>
        <w:t>拦渣坝</w:t>
      </w:r>
      <w:r>
        <w:rPr>
          <w:color w:val="FF0000"/>
        </w:rPr>
        <w:t>有无危险及其他不安全因素，发现问题及时上报处理；对</w:t>
      </w:r>
      <w:r>
        <w:rPr>
          <w:rFonts w:hint="eastAsia"/>
          <w:color w:val="FF0000"/>
        </w:rPr>
        <w:t>拦渣坝</w:t>
      </w:r>
      <w:r>
        <w:rPr>
          <w:color w:val="FF0000"/>
        </w:rPr>
        <w:t>应定期进行密切观测，有潜在滑坡危险的地段应进行水泥加固</w:t>
      </w:r>
      <w:r>
        <w:rPr>
          <w:rFonts w:hint="eastAsia"/>
          <w:color w:val="FF0000"/>
        </w:rPr>
        <w:t>。</w:t>
      </w:r>
    </w:p>
    <w:p>
      <w:pPr>
        <w:pStyle w:val="3"/>
      </w:pPr>
      <w:bookmarkStart w:id="182" w:name="_Toc391370220"/>
      <w:bookmarkStart w:id="183" w:name="_Toc397322845"/>
      <w:bookmarkStart w:id="184" w:name="_Toc462818439"/>
      <w:r>
        <w:rPr>
          <w:rFonts w:hint="eastAsia"/>
        </w:rPr>
        <w:t>环境风险管理</w:t>
      </w:r>
      <w:bookmarkEnd w:id="182"/>
      <w:bookmarkEnd w:id="183"/>
      <w:bookmarkEnd w:id="184"/>
    </w:p>
    <w:p>
      <w:pPr>
        <w:pStyle w:val="4"/>
      </w:pPr>
      <w:bookmarkStart w:id="185" w:name="_Toc391370221"/>
      <w:r>
        <w:rPr>
          <w:rFonts w:hint="eastAsia"/>
        </w:rPr>
        <w:t>制度管理</w:t>
      </w:r>
      <w:bookmarkEnd w:id="185"/>
    </w:p>
    <w:p>
      <w:pPr>
        <w:ind w:firstLine="480"/>
        <w:rPr>
          <w:kern w:val="0"/>
        </w:rPr>
      </w:pPr>
      <w:r>
        <w:rPr>
          <w:rFonts w:hint="eastAsia"/>
        </w:rPr>
        <w:t>法制管理：</w:t>
      </w:r>
      <w:r>
        <w:rPr>
          <w:rFonts w:hint="eastAsia"/>
          <w:kern w:val="0"/>
        </w:rPr>
        <w:t>依法进行企业管理，严格执行有关生产、设计规范要求。制定本企业安全生产管理条例，不断提高职工法制观念和消防安全观念，形成依法治厂、违法必纠的良性氛围。</w:t>
      </w:r>
    </w:p>
    <w:p>
      <w:pPr>
        <w:ind w:firstLine="480"/>
        <w:rPr>
          <w:kern w:val="0"/>
        </w:rPr>
      </w:pPr>
      <w:r>
        <w:rPr>
          <w:rFonts w:hint="eastAsia"/>
        </w:rPr>
        <w:t>加强事故安全教育：</w:t>
      </w:r>
      <w:r>
        <w:rPr>
          <w:rFonts w:hint="eastAsia"/>
          <w:kern w:val="0"/>
        </w:rPr>
        <w:t>定期对职工进行安全教育和安全生产培训，不断提高职工灭火操作技能，能够熟悉掌握和使用消防器材；职工上岗前必须进行生产技术技能培训和生产安全培训，熟悉掌握生产操作技能和生产安全规程，经考核符合条件者，准予上岗，不符合条件的决不能上岗。</w:t>
      </w:r>
      <w:r>
        <w:rPr>
          <w:rFonts w:hint="eastAsia"/>
        </w:rPr>
        <w:t>企业内全体人员都要了解事故处理程序和处理要求，了解处理事故的措施和器材的使用方法，并定期组织实际演习。一旦出现事故，能各就各位进行处理，控制事故的发展和影响。</w:t>
      </w:r>
    </w:p>
    <w:p>
      <w:pPr>
        <w:ind w:firstLine="480"/>
      </w:pPr>
      <w:r>
        <w:rPr>
          <w:rFonts w:hint="eastAsia"/>
        </w:rPr>
        <w:t>建立和健全处理事故的组织管理制度：处理事故的组织管理制度明确：</w:t>
      </w:r>
      <w:r>
        <w:rPr>
          <w:rFonts w:hint="eastAsia"/>
        </w:rPr>
        <w:fldChar w:fldCharType="begin"/>
      </w:r>
      <w:r>
        <w:instrText xml:space="preserve"> = 1 \* GB3 </w:instrText>
      </w:r>
      <w:r>
        <w:rPr>
          <w:rFonts w:hint="eastAsia"/>
        </w:rPr>
        <w:fldChar w:fldCharType="separate"/>
      </w:r>
      <w:r>
        <w:rPr>
          <w:rFonts w:hint="eastAsia"/>
        </w:rPr>
        <w:t>①</w:t>
      </w:r>
      <w:r>
        <w:rPr>
          <w:rFonts w:hint="eastAsia"/>
        </w:rPr>
        <w:fldChar w:fldCharType="end"/>
      </w:r>
      <w:r>
        <w:rPr>
          <w:rFonts w:hint="eastAsia"/>
        </w:rPr>
        <w:t>一旦出现事故时现场主管、现场人员的职责；</w:t>
      </w: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r>
        <w:rPr>
          <w:rFonts w:hint="eastAsia"/>
        </w:rPr>
        <w:t>处理事故的步骤；</w:t>
      </w:r>
      <w:r>
        <w:rPr>
          <w:rFonts w:hint="eastAsia"/>
        </w:rPr>
        <w:fldChar w:fldCharType="begin"/>
      </w:r>
      <w:r>
        <w:instrText xml:space="preserve"> = 3 \* GB3 </w:instrText>
      </w:r>
      <w:r>
        <w:rPr>
          <w:rFonts w:hint="eastAsia"/>
        </w:rPr>
        <w:fldChar w:fldCharType="separate"/>
      </w:r>
      <w:r>
        <w:rPr>
          <w:rFonts w:hint="eastAsia"/>
        </w:rPr>
        <w:t>③</w:t>
      </w:r>
      <w:r>
        <w:rPr>
          <w:rFonts w:hint="eastAsia"/>
        </w:rPr>
        <w:fldChar w:fldCharType="end"/>
      </w:r>
      <w:r>
        <w:rPr>
          <w:rFonts w:hint="eastAsia"/>
        </w:rPr>
        <w:t>事故区域的隔离，防止火灾向四周扩散并起到隔离作用的具体预案；</w:t>
      </w:r>
      <w:r>
        <w:rPr>
          <w:rFonts w:hint="eastAsia"/>
        </w:rPr>
        <w:fldChar w:fldCharType="begin"/>
      </w:r>
      <w:r>
        <w:instrText xml:space="preserve"> = 4 \* GB3 </w:instrText>
      </w:r>
      <w:r>
        <w:rPr>
          <w:rFonts w:hint="eastAsia"/>
        </w:rPr>
        <w:fldChar w:fldCharType="separate"/>
      </w:r>
      <w:r>
        <w:rPr>
          <w:rFonts w:hint="eastAsia"/>
        </w:rPr>
        <w:t>④</w:t>
      </w:r>
      <w:r>
        <w:rPr>
          <w:rFonts w:hint="eastAsia"/>
        </w:rPr>
        <w:fldChar w:fldCharType="end"/>
      </w:r>
      <w:r>
        <w:rPr>
          <w:rFonts w:hint="eastAsia"/>
        </w:rPr>
        <w:t>事故的上报制度及人员疏散路线等。</w:t>
      </w:r>
    </w:p>
    <w:p>
      <w:pPr>
        <w:ind w:firstLine="480"/>
      </w:pPr>
      <w:r>
        <w:rPr>
          <w:rFonts w:hint="eastAsia"/>
        </w:rPr>
        <w:t>个体防护措施：①生产人员应按国家有关规定选用劳动保护用品；②危险场所不允许生产人员贴身穿用化纤材料制做的衣裤。</w:t>
      </w:r>
    </w:p>
    <w:p>
      <w:pPr>
        <w:pStyle w:val="4"/>
      </w:pPr>
      <w:bookmarkStart w:id="186" w:name="_Toc391370223"/>
      <w:bookmarkStart w:id="187" w:name="_Toc271667603"/>
      <w:r>
        <w:rPr>
          <w:rFonts w:hint="eastAsia"/>
        </w:rPr>
        <w:t>污水非正常排放防范措施</w:t>
      </w:r>
      <w:bookmarkEnd w:id="186"/>
      <w:bookmarkEnd w:id="187"/>
    </w:p>
    <w:p>
      <w:pPr>
        <w:ind w:firstLine="480"/>
      </w:pPr>
      <w:r>
        <w:rPr>
          <w:rFonts w:hint="eastAsia"/>
        </w:rPr>
        <w:t>（</w:t>
      </w:r>
      <w:r>
        <w:t>1</w:t>
      </w:r>
      <w:r>
        <w:rPr>
          <w:rFonts w:hint="eastAsia"/>
        </w:rPr>
        <w:t>）按</w:t>
      </w:r>
      <w:r>
        <w:t>50</w:t>
      </w:r>
      <w:r>
        <w:rPr>
          <w:rFonts w:hint="eastAsia"/>
        </w:rPr>
        <w:t>年一遇防洪要求，修建固体废物处置场周边的截洪沟，使固体废物处置场外的地表径流不进入处置场；修建环绕在整个固体废物场地的截水沟，收集填埋作业区域的地表径流，将处置场内未受到污染的下雨水引入雨水管道，以防止雨天特别是暴雨时渗滤液收集池发生外泻。</w:t>
      </w:r>
    </w:p>
    <w:p>
      <w:pPr>
        <w:ind w:firstLine="480"/>
      </w:pPr>
      <w:r>
        <w:rPr>
          <w:rFonts w:hint="eastAsia"/>
        </w:rPr>
        <w:t>（</w:t>
      </w:r>
      <w:r>
        <w:t>2</w:t>
      </w:r>
      <w:r>
        <w:rPr>
          <w:rFonts w:hint="eastAsia"/>
        </w:rPr>
        <w:t>）在大雨或连阴雨季节，减少</w:t>
      </w:r>
      <w:r>
        <w:rPr>
          <w:rFonts w:hint="eastAsia"/>
          <w:kern w:val="0"/>
        </w:rPr>
        <w:t>固体废物</w:t>
      </w:r>
      <w:r>
        <w:rPr>
          <w:rFonts w:hint="eastAsia"/>
        </w:rPr>
        <w:t>填埋作业面积，减少渗滤液的产生，必要时覆盖作业单元，减少地表径流进入处置场。</w:t>
      </w:r>
    </w:p>
    <w:p>
      <w:pPr>
        <w:pStyle w:val="4"/>
      </w:pPr>
      <w:bookmarkStart w:id="188" w:name="_Toc391370224"/>
      <w:bookmarkStart w:id="189" w:name="_Toc271667604"/>
      <w:r>
        <w:rPr>
          <w:rFonts w:hint="eastAsia"/>
        </w:rPr>
        <w:t>渗滤液下渗防范措施</w:t>
      </w:r>
      <w:bookmarkEnd w:id="188"/>
      <w:bookmarkEnd w:id="189"/>
    </w:p>
    <w:p>
      <w:pPr>
        <w:ind w:firstLine="480"/>
      </w:pPr>
      <w:r>
        <w:rPr>
          <w:rFonts w:hint="eastAsia"/>
        </w:rPr>
        <w:t>（</w:t>
      </w:r>
      <w:r>
        <w:t>1</w:t>
      </w:r>
      <w:r>
        <w:rPr>
          <w:rFonts w:hint="eastAsia"/>
        </w:rPr>
        <w:t>）防渗层施工过程一定要规范操作规程，防渗材料铺设前，需对沟底、边坡进行开挖，以清除树根、杂草，杂物等，要求最小开挖深度不得小于</w:t>
      </w:r>
      <w:r>
        <w:t>0.3m</w:t>
      </w:r>
      <w:r>
        <w:rPr>
          <w:rFonts w:hint="eastAsia"/>
        </w:rPr>
        <w:t>。</w:t>
      </w:r>
    </w:p>
    <w:p>
      <w:pPr>
        <w:ind w:firstLine="480"/>
      </w:pPr>
      <w:r>
        <w:rPr>
          <w:rFonts w:hint="eastAsia"/>
        </w:rPr>
        <w:t>（</w:t>
      </w:r>
      <w:r>
        <w:t>2</w:t>
      </w:r>
      <w:r>
        <w:rPr>
          <w:rFonts w:hint="eastAsia"/>
        </w:rPr>
        <w:t>）适当加厚防渗膜厚度。</w:t>
      </w:r>
    </w:p>
    <w:p>
      <w:pPr>
        <w:ind w:firstLine="480"/>
      </w:pPr>
      <w:r>
        <w:rPr>
          <w:rFonts w:hint="eastAsia"/>
        </w:rPr>
        <w:t>（</w:t>
      </w:r>
      <w:r>
        <w:t>3</w:t>
      </w:r>
      <w:r>
        <w:rPr>
          <w:rFonts w:hint="eastAsia"/>
        </w:rPr>
        <w:t>）设置一定的监控措施，发现渗漏现象及时采取适当措施修补防渗层。</w:t>
      </w:r>
    </w:p>
    <w:p>
      <w:pPr>
        <w:ind w:firstLine="480"/>
      </w:pPr>
      <w:r>
        <w:rPr>
          <w:rFonts w:hint="eastAsia"/>
        </w:rPr>
        <w:t>（</w:t>
      </w:r>
      <w:r>
        <w:t>4</w:t>
      </w:r>
      <w:r>
        <w:rPr>
          <w:rFonts w:hint="eastAsia"/>
        </w:rPr>
        <w:t>）对废水收集的管道每班进行巡视，并在处置场地表径流的下游设立地下水观测井，每天对地下水进行测试，监控地下水水质变化。</w:t>
      </w:r>
    </w:p>
    <w:p>
      <w:pPr>
        <w:pStyle w:val="4"/>
      </w:pPr>
      <w:bookmarkStart w:id="190" w:name="_Toc271667605"/>
      <w:bookmarkStart w:id="191" w:name="_Toc391370225"/>
      <w:r>
        <w:rPr>
          <w:rFonts w:hint="eastAsia"/>
        </w:rPr>
        <w:t>拦渣坝溃坝防范措施</w:t>
      </w:r>
      <w:bookmarkEnd w:id="190"/>
      <w:bookmarkEnd w:id="191"/>
    </w:p>
    <w:p>
      <w:pPr>
        <w:ind w:firstLine="480"/>
      </w:pPr>
      <w:r>
        <w:rPr>
          <w:rFonts w:hint="eastAsia"/>
        </w:rPr>
        <w:t>（</w:t>
      </w:r>
      <w:r>
        <w:t>1</w:t>
      </w:r>
      <w:r>
        <w:rPr>
          <w:rFonts w:hint="eastAsia"/>
        </w:rPr>
        <w:t>）建设单位和施工单位必须严把质量关，选择有资质的正规单位设计、专业施工队伍，严格按设计施工，加强施工期监理，确保坝体质量。</w:t>
      </w:r>
    </w:p>
    <w:p>
      <w:pPr>
        <w:ind w:firstLine="480"/>
      </w:pPr>
      <w:r>
        <w:rPr>
          <w:rFonts w:hint="eastAsia"/>
        </w:rPr>
        <w:t>（</w:t>
      </w:r>
      <w:r>
        <w:t>2</w:t>
      </w:r>
      <w:r>
        <w:rPr>
          <w:rFonts w:hint="eastAsia"/>
        </w:rPr>
        <w:t>）在汛期增加巡视人员和频率，发现问题及时采取措施。</w:t>
      </w:r>
    </w:p>
    <w:p>
      <w:pPr>
        <w:ind w:firstLine="480"/>
      </w:pPr>
      <w:r>
        <w:rPr>
          <w:rFonts w:hint="eastAsia"/>
        </w:rPr>
        <w:t>（3）坝体出现塌坑，应及时查时其成因，而后进行处理。对沉陷塌坑，应进行回填夯实处理；对于管涌塌坑，应首先处理管涌，而后再进行回填。 </w:t>
      </w:r>
    </w:p>
    <w:p>
      <w:pPr>
        <w:ind w:firstLine="480"/>
      </w:pPr>
      <w:r>
        <w:rPr>
          <w:rFonts w:hint="eastAsia"/>
        </w:rPr>
        <w:t>（4）当坝坡出现冲沟、裂缝、塌坑、和滑坡等现象时，应及时妥善处理。 </w:t>
      </w:r>
    </w:p>
    <w:p>
      <w:pPr>
        <w:ind w:firstLine="480"/>
      </w:pPr>
      <w:r>
        <w:rPr>
          <w:rFonts w:hint="eastAsia"/>
        </w:rPr>
        <w:t>（5）提高拦渣坝坝搞震稳定性的措施：在下游坡坡脚增设土石料压坡；对坝体进行加密处理；降低库内水位或增设排渗设施，降低坝体浸润线。 </w:t>
      </w:r>
    </w:p>
    <w:p>
      <w:pPr>
        <w:ind w:firstLine="480"/>
      </w:pPr>
      <w:r>
        <w:rPr>
          <w:rFonts w:hint="eastAsia"/>
        </w:rPr>
        <w:t>（6）当坝体出现冲沟时，应以土石或尾矿及时分层夯实填平，并疏通或增设排水沟。 </w:t>
      </w:r>
    </w:p>
    <w:p>
      <w:pPr>
        <w:ind w:firstLine="480"/>
      </w:pPr>
      <w:r>
        <w:rPr>
          <w:rFonts w:hint="eastAsia"/>
        </w:rPr>
        <w:t>（7）坝体出现裂缝时的处理措施：缝深5米的裂缝可采用开挖回填法处理，开挖深度应比裂缝尽头深0.5米，开挖长度应比缝端扩展2米，回填土料应与原土料相同，回填时要分层夯实；对较深的裂缝可采用灌浆法处理或上部开挖回填、下部灌浆的方处理。 </w:t>
      </w:r>
    </w:p>
    <w:p>
      <w:pPr>
        <w:ind w:firstLine="480"/>
      </w:pPr>
      <w:r>
        <w:rPr>
          <w:rFonts w:hint="eastAsia"/>
        </w:rPr>
        <w:t>（8）编制应急预案，针对拦渣坝垮坝、排水设施损毁或堵塞、坝体深层滑动等情况，提出应急救援措施，明确机构人员职责、通讯保障、人员物资和资金准备以及应急行动方法步骤。 </w:t>
      </w:r>
    </w:p>
    <w:p>
      <w:pPr>
        <w:pStyle w:val="3"/>
      </w:pPr>
      <w:bookmarkStart w:id="192" w:name="_Toc397322846"/>
      <w:bookmarkStart w:id="193" w:name="_Toc462818440"/>
      <w:bookmarkStart w:id="194" w:name="_Toc358470925"/>
      <w:bookmarkStart w:id="195" w:name="_Toc391370226"/>
      <w:r>
        <w:rPr>
          <w:rFonts w:hint="eastAsia"/>
        </w:rPr>
        <w:t>事故应急预案</w:t>
      </w:r>
      <w:bookmarkEnd w:id="192"/>
      <w:bookmarkEnd w:id="193"/>
      <w:bookmarkEnd w:id="194"/>
      <w:bookmarkEnd w:id="195"/>
    </w:p>
    <w:p>
      <w:pPr>
        <w:pStyle w:val="4"/>
      </w:pPr>
      <w:bookmarkStart w:id="196" w:name="_Toc391370227"/>
      <w:r>
        <w:rPr>
          <w:rFonts w:hint="eastAsia"/>
        </w:rPr>
        <w:t>事故应急对策</w:t>
      </w:r>
      <w:bookmarkEnd w:id="196"/>
    </w:p>
    <w:p>
      <w:pPr>
        <w:ind w:firstLine="480"/>
      </w:pPr>
      <w:r>
        <w:rPr>
          <w:rFonts w:hint="eastAsia"/>
        </w:rPr>
        <w:t>（</w:t>
      </w:r>
      <w:r>
        <w:t>1</w:t>
      </w:r>
      <w:r>
        <w:rPr>
          <w:rFonts w:hint="eastAsia"/>
        </w:rPr>
        <w:t>）成立事故应急对策指挥中心</w:t>
      </w:r>
    </w:p>
    <w:p>
      <w:pPr>
        <w:ind w:firstLine="480"/>
        <w:rPr>
          <w:color w:val="FF0000"/>
        </w:rPr>
      </w:pPr>
      <w:r>
        <w:rPr>
          <w:rFonts w:hint="eastAsia"/>
        </w:rPr>
        <w:t>成立由厂内多个部门组成的事故应急对策指挥中心，负责在万一发生事故时统一指挥，协调处理好抢险工作。</w:t>
      </w:r>
      <w:r>
        <w:rPr>
          <w:rFonts w:hint="eastAsia"/>
          <w:color w:val="FF0000"/>
        </w:rPr>
        <w:t>  </w:t>
      </w:r>
    </w:p>
    <w:p>
      <w:pPr>
        <w:ind w:firstLine="480"/>
      </w:pPr>
      <w:r>
        <w:rPr>
          <w:rFonts w:hint="eastAsia"/>
        </w:rPr>
        <w:t>（</w:t>
      </w:r>
      <w:r>
        <w:t>2</w:t>
      </w:r>
      <w:r>
        <w:rPr>
          <w:rFonts w:hint="eastAsia"/>
        </w:rPr>
        <w:t>）应急对策</w:t>
      </w:r>
    </w:p>
    <w:p>
      <w:pPr>
        <w:ind w:firstLine="480"/>
      </w:pPr>
      <w:r>
        <w:rPr>
          <w:rFonts w:hint="eastAsia"/>
        </w:rPr>
        <w:t>①报警</w:t>
      </w:r>
    </w:p>
    <w:p>
      <w:pPr>
        <w:ind w:firstLine="480"/>
      </w:pPr>
      <w:r>
        <w:rPr>
          <w:rFonts w:hint="eastAsia"/>
        </w:rPr>
        <w:t>一旦发生火灾事故，现场操作人员应迅速以无线对讲机或电话向厂内负责人报警和采用</w:t>
      </w:r>
      <w:r>
        <w:t>119</w:t>
      </w:r>
      <w:r>
        <w:rPr>
          <w:rFonts w:hint="eastAsia"/>
        </w:rPr>
        <w:t>电话报警，负责人在接报后应立即确认火灾位置、大小和性质，迅速启动工厂应急预案，并向事故应急指挥中心报警，事故应急指挥中心接报后，通知消防部门、救护等部门，且指挥扑救工作。</w:t>
      </w:r>
    </w:p>
    <w:p>
      <w:pPr>
        <w:ind w:firstLine="480"/>
      </w:pPr>
      <w:r>
        <w:rPr>
          <w:rFonts w:hint="eastAsia"/>
        </w:rPr>
        <w:t>②抢险工作</w:t>
      </w:r>
    </w:p>
    <w:p>
      <w:pPr>
        <w:ind w:firstLine="480"/>
      </w:pPr>
      <w:r>
        <w:rPr>
          <w:rFonts w:hint="eastAsia"/>
        </w:rPr>
        <w:t>工厂负责人在向指挥中心报警的同时，启动事故程序，指挥有关工作人员，启动内部的消防应急设备，控制火灾的进一步蔓延，救护受伤人员，待外援消防部门、救护不能赶到后协助其工作。</w:t>
      </w:r>
    </w:p>
    <w:p>
      <w:pPr>
        <w:pStyle w:val="4"/>
      </w:pPr>
      <w:bookmarkStart w:id="197" w:name="_Toc391370228"/>
      <w:r>
        <w:rPr>
          <w:rFonts w:hint="eastAsia"/>
        </w:rPr>
        <w:t>环境风险应急预案的制定</w:t>
      </w:r>
      <w:bookmarkEnd w:id="197"/>
    </w:p>
    <w:p>
      <w:pPr>
        <w:ind w:firstLine="480"/>
      </w:pPr>
      <w:r>
        <w:rPr>
          <w:rFonts w:hint="eastAsia"/>
        </w:rPr>
        <w:t>根据国家环保总局（</w:t>
      </w:r>
      <w:r>
        <w:t>90</w:t>
      </w:r>
      <w:r>
        <w:rPr>
          <w:rFonts w:hint="eastAsia"/>
        </w:rPr>
        <w:t>）环管字</w:t>
      </w:r>
      <w:r>
        <w:t>057</w:t>
      </w:r>
      <w:r>
        <w:rPr>
          <w:rFonts w:hint="eastAsia"/>
        </w:rPr>
        <w:t>号文的要求，通过对污染事故的风险评价，各企事业单位应制定防止重大环境污染事故发生的工作计划，消除事故隐患的实施及突发事故应急处理办法。建设项目应急预案一览表见表</w:t>
      </w:r>
      <w:r>
        <w:t>6.5-1</w:t>
      </w:r>
      <w:r>
        <w:rPr>
          <w:rFonts w:hint="eastAsia"/>
        </w:rPr>
        <w:t>。</w:t>
      </w:r>
    </w:p>
    <w:p>
      <w:pPr>
        <w:pStyle w:val="14"/>
      </w:pPr>
      <w:r>
        <w:rPr>
          <w:rFonts w:hint="eastAsia"/>
        </w:rPr>
        <w:t>表</w:t>
      </w:r>
      <w:r>
        <w:fldChar w:fldCharType="begin"/>
      </w:r>
      <w:r>
        <w:instrText xml:space="preserve"> STYLEREF 2 \s </w:instrText>
      </w:r>
      <w:r>
        <w:fldChar w:fldCharType="separate"/>
      </w:r>
      <w:r>
        <w:t>6.5</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项目应急预案一览表</w:t>
      </w:r>
    </w:p>
    <w:tbl>
      <w:tblPr>
        <w:tblStyle w:val="35"/>
        <w:tblW w:w="93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498"/>
        <w:gridCol w:w="6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9" w:hRule="atLeast"/>
          <w:jc w:val="center"/>
        </w:trPr>
        <w:tc>
          <w:tcPr>
            <w:tcW w:w="786" w:type="dxa"/>
            <w:vAlign w:val="center"/>
          </w:tcPr>
          <w:p>
            <w:pPr>
              <w:pStyle w:val="37"/>
            </w:pPr>
            <w:r>
              <w:rPr>
                <w:rFonts w:hint="eastAsia"/>
              </w:rPr>
              <w:t>序号</w:t>
            </w:r>
          </w:p>
        </w:tc>
        <w:tc>
          <w:tcPr>
            <w:tcW w:w="2498" w:type="dxa"/>
            <w:vAlign w:val="center"/>
          </w:tcPr>
          <w:p>
            <w:pPr>
              <w:pStyle w:val="37"/>
            </w:pPr>
            <w:r>
              <w:rPr>
                <w:rFonts w:hint="eastAsia"/>
              </w:rPr>
              <w:t>项目</w:t>
            </w:r>
          </w:p>
        </w:tc>
        <w:tc>
          <w:tcPr>
            <w:tcW w:w="6098" w:type="dxa"/>
            <w:vAlign w:val="center"/>
          </w:tcPr>
          <w:p>
            <w:pPr>
              <w:pStyle w:val="37"/>
            </w:pPr>
            <w:r>
              <w:rPr>
                <w:rFonts w:hint="eastAsia"/>
              </w:rPr>
              <w:t>内容及要求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786" w:type="dxa"/>
            <w:vAlign w:val="center"/>
          </w:tcPr>
          <w:p>
            <w:pPr>
              <w:pStyle w:val="37"/>
            </w:pPr>
            <w:r>
              <w:t>1</w:t>
            </w:r>
          </w:p>
        </w:tc>
        <w:tc>
          <w:tcPr>
            <w:tcW w:w="2498" w:type="dxa"/>
            <w:vAlign w:val="center"/>
          </w:tcPr>
          <w:p>
            <w:pPr>
              <w:pStyle w:val="37"/>
            </w:pPr>
            <w:r>
              <w:rPr>
                <w:rFonts w:hint="eastAsia"/>
              </w:rPr>
              <w:t>应急计划区</w:t>
            </w:r>
          </w:p>
        </w:tc>
        <w:tc>
          <w:tcPr>
            <w:tcW w:w="6098" w:type="dxa"/>
            <w:vAlign w:val="center"/>
          </w:tcPr>
          <w:p>
            <w:pPr>
              <w:pStyle w:val="37"/>
            </w:pPr>
            <w:r>
              <w:rPr>
                <w:rFonts w:hint="eastAsia"/>
              </w:rPr>
              <w:t>危险目标：处置场区、渗滤液处理区、环境保护目标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9" w:hRule="atLeast"/>
          <w:jc w:val="center"/>
        </w:trPr>
        <w:tc>
          <w:tcPr>
            <w:tcW w:w="786" w:type="dxa"/>
            <w:vAlign w:val="center"/>
          </w:tcPr>
          <w:p>
            <w:pPr>
              <w:pStyle w:val="37"/>
            </w:pPr>
            <w:r>
              <w:t>2</w:t>
            </w:r>
          </w:p>
        </w:tc>
        <w:tc>
          <w:tcPr>
            <w:tcW w:w="2498" w:type="dxa"/>
            <w:vAlign w:val="center"/>
          </w:tcPr>
          <w:p>
            <w:pPr>
              <w:pStyle w:val="37"/>
            </w:pPr>
            <w:r>
              <w:rPr>
                <w:rFonts w:hint="eastAsia"/>
              </w:rPr>
              <w:t>应急组织机构、人员</w:t>
            </w:r>
          </w:p>
        </w:tc>
        <w:tc>
          <w:tcPr>
            <w:tcW w:w="6098" w:type="dxa"/>
            <w:vAlign w:val="center"/>
          </w:tcPr>
          <w:p>
            <w:pPr>
              <w:pStyle w:val="37"/>
            </w:pPr>
            <w:r>
              <w:rPr>
                <w:rFonts w:hint="eastAsia"/>
              </w:rPr>
              <w:t>工厂、地区应急组织机构、人员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786" w:type="dxa"/>
            <w:vAlign w:val="center"/>
          </w:tcPr>
          <w:p>
            <w:pPr>
              <w:pStyle w:val="37"/>
            </w:pPr>
            <w:r>
              <w:t>3</w:t>
            </w:r>
          </w:p>
        </w:tc>
        <w:tc>
          <w:tcPr>
            <w:tcW w:w="2498" w:type="dxa"/>
            <w:vAlign w:val="center"/>
          </w:tcPr>
          <w:p>
            <w:pPr>
              <w:pStyle w:val="37"/>
            </w:pPr>
            <w:r>
              <w:rPr>
                <w:rFonts w:hint="eastAsia"/>
              </w:rPr>
              <w:t>预案分级响应条件</w:t>
            </w:r>
          </w:p>
        </w:tc>
        <w:tc>
          <w:tcPr>
            <w:tcW w:w="6098" w:type="dxa"/>
            <w:vAlign w:val="center"/>
          </w:tcPr>
          <w:p>
            <w:pPr>
              <w:pStyle w:val="37"/>
            </w:pPr>
            <w:r>
              <w:rPr>
                <w:rFonts w:hint="eastAsia"/>
              </w:rPr>
              <w:t>规定预案的级别及分级相应程序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1" w:hRule="atLeast"/>
          <w:jc w:val="center"/>
        </w:trPr>
        <w:tc>
          <w:tcPr>
            <w:tcW w:w="786" w:type="dxa"/>
            <w:vAlign w:val="center"/>
          </w:tcPr>
          <w:p>
            <w:pPr>
              <w:pStyle w:val="37"/>
            </w:pPr>
            <w:r>
              <w:t>4</w:t>
            </w:r>
          </w:p>
        </w:tc>
        <w:tc>
          <w:tcPr>
            <w:tcW w:w="2498" w:type="dxa"/>
            <w:vAlign w:val="center"/>
          </w:tcPr>
          <w:p>
            <w:pPr>
              <w:pStyle w:val="37"/>
            </w:pPr>
            <w:r>
              <w:rPr>
                <w:rFonts w:hint="eastAsia"/>
              </w:rPr>
              <w:t>应急救援保障</w:t>
            </w:r>
          </w:p>
        </w:tc>
        <w:tc>
          <w:tcPr>
            <w:tcW w:w="6098" w:type="dxa"/>
            <w:vAlign w:val="center"/>
          </w:tcPr>
          <w:p>
            <w:pPr>
              <w:pStyle w:val="37"/>
            </w:pPr>
            <w:r>
              <w:rPr>
                <w:rFonts w:hint="eastAsia"/>
              </w:rPr>
              <w:t>应急设施、设备与器材等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2" w:hRule="atLeast"/>
          <w:jc w:val="center"/>
        </w:trPr>
        <w:tc>
          <w:tcPr>
            <w:tcW w:w="786" w:type="dxa"/>
            <w:vAlign w:val="center"/>
          </w:tcPr>
          <w:p>
            <w:pPr>
              <w:pStyle w:val="37"/>
            </w:pPr>
            <w:r>
              <w:t>5</w:t>
            </w:r>
          </w:p>
        </w:tc>
        <w:tc>
          <w:tcPr>
            <w:tcW w:w="2498" w:type="dxa"/>
            <w:vAlign w:val="center"/>
          </w:tcPr>
          <w:p>
            <w:pPr>
              <w:pStyle w:val="37"/>
            </w:pPr>
            <w:r>
              <w:rPr>
                <w:rFonts w:hint="eastAsia"/>
              </w:rPr>
              <w:t>报警、通讯联络方式</w:t>
            </w:r>
          </w:p>
        </w:tc>
        <w:tc>
          <w:tcPr>
            <w:tcW w:w="6098" w:type="dxa"/>
            <w:vAlign w:val="center"/>
          </w:tcPr>
          <w:p>
            <w:pPr>
              <w:pStyle w:val="37"/>
            </w:pPr>
            <w:r>
              <w:rPr>
                <w:rFonts w:hint="eastAsia"/>
              </w:rPr>
              <w:t>规定应急状态下的报警通讯方式，通知方式和交通保障、管制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3" w:hRule="atLeast"/>
          <w:jc w:val="center"/>
        </w:trPr>
        <w:tc>
          <w:tcPr>
            <w:tcW w:w="786" w:type="dxa"/>
            <w:vAlign w:val="center"/>
          </w:tcPr>
          <w:p>
            <w:pPr>
              <w:pStyle w:val="37"/>
            </w:pPr>
            <w:r>
              <w:t>6</w:t>
            </w:r>
          </w:p>
        </w:tc>
        <w:tc>
          <w:tcPr>
            <w:tcW w:w="2498" w:type="dxa"/>
            <w:vAlign w:val="center"/>
          </w:tcPr>
          <w:p>
            <w:pPr>
              <w:pStyle w:val="37"/>
            </w:pPr>
            <w:r>
              <w:rPr>
                <w:rFonts w:hint="eastAsia"/>
              </w:rPr>
              <w:t>应急环境监测、抢险、救援及控制措施</w:t>
            </w:r>
          </w:p>
        </w:tc>
        <w:tc>
          <w:tcPr>
            <w:tcW w:w="6098" w:type="dxa"/>
            <w:vAlign w:val="center"/>
          </w:tcPr>
          <w:p>
            <w:pPr>
              <w:pStyle w:val="37"/>
            </w:pPr>
            <w:r>
              <w:rPr>
                <w:rFonts w:hint="eastAsia"/>
              </w:rPr>
              <w:t>由专业队伍负责对事故现场进行侦查监测，对事故性质、参数与后果进行评估，为指挥部门提供决策依据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786" w:type="dxa"/>
            <w:vAlign w:val="center"/>
          </w:tcPr>
          <w:p>
            <w:pPr>
              <w:pStyle w:val="37"/>
            </w:pPr>
            <w:r>
              <w:t>7</w:t>
            </w:r>
          </w:p>
        </w:tc>
        <w:tc>
          <w:tcPr>
            <w:tcW w:w="2498" w:type="dxa"/>
            <w:vAlign w:val="center"/>
          </w:tcPr>
          <w:p>
            <w:pPr>
              <w:pStyle w:val="37"/>
            </w:pPr>
            <w:r>
              <w:rPr>
                <w:rFonts w:hint="eastAsia"/>
              </w:rPr>
              <w:t>应急检测、防护措施、清除措施和器材</w:t>
            </w:r>
          </w:p>
        </w:tc>
        <w:tc>
          <w:tcPr>
            <w:tcW w:w="6098" w:type="dxa"/>
            <w:vAlign w:val="center"/>
          </w:tcPr>
          <w:p>
            <w:pPr>
              <w:pStyle w:val="37"/>
            </w:pPr>
            <w:r>
              <w:rPr>
                <w:rFonts w:hint="eastAsia"/>
              </w:rPr>
              <w:t>事故现场、邻近区域、控制和清除污染措施及相应设备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786" w:type="dxa"/>
            <w:vAlign w:val="center"/>
          </w:tcPr>
          <w:p>
            <w:pPr>
              <w:pStyle w:val="37"/>
            </w:pPr>
            <w:r>
              <w:t>8</w:t>
            </w:r>
          </w:p>
        </w:tc>
        <w:tc>
          <w:tcPr>
            <w:tcW w:w="2498" w:type="dxa"/>
            <w:vAlign w:val="center"/>
          </w:tcPr>
          <w:p>
            <w:pPr>
              <w:pStyle w:val="37"/>
            </w:pPr>
            <w:r>
              <w:rPr>
                <w:rFonts w:hint="eastAsia"/>
              </w:rPr>
              <w:t>人员紧急撤离、疏散、撤离组织计划</w:t>
            </w:r>
          </w:p>
        </w:tc>
        <w:tc>
          <w:tcPr>
            <w:tcW w:w="6098" w:type="dxa"/>
            <w:vAlign w:val="center"/>
          </w:tcPr>
          <w:p>
            <w:pPr>
              <w:pStyle w:val="37"/>
            </w:pPr>
            <w:r>
              <w:rPr>
                <w:rFonts w:hint="eastAsia"/>
              </w:rPr>
              <w:t>撤离组织计划及救护，医疗救护与公众健康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786" w:type="dxa"/>
            <w:vAlign w:val="center"/>
          </w:tcPr>
          <w:p>
            <w:pPr>
              <w:pStyle w:val="37"/>
            </w:pPr>
            <w:r>
              <w:t>9</w:t>
            </w:r>
          </w:p>
        </w:tc>
        <w:tc>
          <w:tcPr>
            <w:tcW w:w="2498" w:type="dxa"/>
            <w:vAlign w:val="center"/>
          </w:tcPr>
          <w:p>
            <w:pPr>
              <w:pStyle w:val="37"/>
            </w:pPr>
            <w:r>
              <w:rPr>
                <w:rFonts w:hint="eastAsia"/>
              </w:rPr>
              <w:t>事故应急救援关闭程序与恢复措施</w:t>
            </w:r>
          </w:p>
        </w:tc>
        <w:tc>
          <w:tcPr>
            <w:tcW w:w="6098" w:type="dxa"/>
            <w:vAlign w:val="center"/>
          </w:tcPr>
          <w:p>
            <w:pPr>
              <w:pStyle w:val="37"/>
            </w:pPr>
            <w:r>
              <w:rPr>
                <w:rFonts w:hint="eastAsia"/>
              </w:rPr>
              <w:t>规定应急状态终止程序；事故现场善后处理，恢复措施；邻近区域解除事故警戒及善后恢复措施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786" w:type="dxa"/>
            <w:vAlign w:val="center"/>
          </w:tcPr>
          <w:p>
            <w:pPr>
              <w:pStyle w:val="37"/>
            </w:pPr>
            <w:r>
              <w:t>10</w:t>
            </w:r>
          </w:p>
        </w:tc>
        <w:tc>
          <w:tcPr>
            <w:tcW w:w="2498" w:type="dxa"/>
            <w:vAlign w:val="center"/>
          </w:tcPr>
          <w:p>
            <w:pPr>
              <w:pStyle w:val="37"/>
            </w:pPr>
            <w:r>
              <w:rPr>
                <w:rFonts w:hint="eastAsia"/>
              </w:rPr>
              <w:t>应急培训计划</w:t>
            </w:r>
          </w:p>
        </w:tc>
        <w:tc>
          <w:tcPr>
            <w:tcW w:w="6098" w:type="dxa"/>
            <w:vAlign w:val="center"/>
          </w:tcPr>
          <w:p>
            <w:pPr>
              <w:pStyle w:val="37"/>
            </w:pPr>
            <w:r>
              <w:rPr>
                <w:rFonts w:hint="eastAsia"/>
              </w:rPr>
              <w:t>应急计划制定后，平时安排人员培训与演练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786" w:type="dxa"/>
            <w:vAlign w:val="center"/>
          </w:tcPr>
          <w:p>
            <w:pPr>
              <w:pStyle w:val="37"/>
            </w:pPr>
            <w:r>
              <w:t>11</w:t>
            </w:r>
          </w:p>
        </w:tc>
        <w:tc>
          <w:tcPr>
            <w:tcW w:w="2498" w:type="dxa"/>
            <w:vAlign w:val="center"/>
          </w:tcPr>
          <w:p>
            <w:pPr>
              <w:pStyle w:val="37"/>
            </w:pPr>
            <w:r>
              <w:rPr>
                <w:rFonts w:hint="eastAsia"/>
              </w:rPr>
              <w:t>公众教育和信息</w:t>
            </w:r>
          </w:p>
        </w:tc>
        <w:tc>
          <w:tcPr>
            <w:tcW w:w="6098" w:type="dxa"/>
            <w:vAlign w:val="center"/>
          </w:tcPr>
          <w:p>
            <w:pPr>
              <w:pStyle w:val="37"/>
            </w:pPr>
            <w:r>
              <w:rPr>
                <w:rFonts w:hint="eastAsia"/>
              </w:rPr>
              <w:t>对场地邻近地区开展公众教育、培训和发布有关信息</w:t>
            </w:r>
          </w:p>
        </w:tc>
      </w:tr>
    </w:tbl>
    <w:p>
      <w:pPr>
        <w:ind w:firstLine="480"/>
      </w:pPr>
      <w:r>
        <w:rPr>
          <w:rFonts w:hint="eastAsia"/>
        </w:rPr>
        <w:t>应根据上表的要求制定详细可行的应急预案。企业应急监测部门在事故发生时，应为应急监测准备特征监测因子监测的相应采样器具、分析试剂、仪器设备、防护器具。平时应注意进行仪器、设备的定期维护和校准，加强施工期的环境监理。</w:t>
      </w:r>
      <w:r>
        <w:rPr>
          <w:rFonts w:hint="eastAsia"/>
          <w:color w:val="FF0000"/>
        </w:rPr>
        <w:t> </w:t>
      </w:r>
    </w:p>
    <w:p>
      <w:pPr>
        <w:pStyle w:val="3"/>
      </w:pPr>
      <w:bookmarkStart w:id="198" w:name="_Toc326785361"/>
      <w:bookmarkStart w:id="199" w:name="_Toc391370229"/>
      <w:bookmarkStart w:id="200" w:name="_Toc358470926"/>
      <w:bookmarkStart w:id="201" w:name="_Toc397322847"/>
      <w:bookmarkStart w:id="202" w:name="_Toc462818441"/>
      <w:r>
        <w:rPr>
          <w:rFonts w:hint="eastAsia"/>
        </w:rPr>
        <w:t>风险评价结论和建议</w:t>
      </w:r>
      <w:bookmarkEnd w:id="198"/>
      <w:bookmarkEnd w:id="199"/>
      <w:bookmarkEnd w:id="200"/>
      <w:bookmarkEnd w:id="201"/>
      <w:bookmarkEnd w:id="202"/>
    </w:p>
    <w:p>
      <w:pPr>
        <w:pStyle w:val="4"/>
      </w:pPr>
      <w:bookmarkStart w:id="203" w:name="_Toc391370230"/>
      <w:r>
        <w:rPr>
          <w:rFonts w:hint="eastAsia"/>
        </w:rPr>
        <w:t>评价结论</w:t>
      </w:r>
      <w:bookmarkEnd w:id="203"/>
    </w:p>
    <w:p>
      <w:pPr>
        <w:ind w:firstLine="480"/>
      </w:pPr>
      <w:r>
        <w:rPr>
          <w:rFonts w:hint="eastAsia"/>
        </w:rPr>
        <w:t>（</w:t>
      </w:r>
      <w:r>
        <w:t>1</w:t>
      </w:r>
      <w:r>
        <w:rPr>
          <w:rFonts w:hint="eastAsia"/>
        </w:rPr>
        <w:t>）该项目建成投产后，环境事故风险将增加，因此，从项目的前期开始，设计施工、生产运行到项目退役，必须高度重视安全生产、事故防范和减少环境事故风险，以尽可能的减少环境代价。</w:t>
      </w:r>
    </w:p>
    <w:p>
      <w:pPr>
        <w:ind w:firstLine="480"/>
      </w:pPr>
      <w:r>
        <w:rPr>
          <w:rFonts w:hint="eastAsia"/>
        </w:rPr>
        <w:t>（</w:t>
      </w:r>
      <w:r>
        <w:t>2</w:t>
      </w:r>
      <w:r>
        <w:rPr>
          <w:rFonts w:hint="eastAsia"/>
        </w:rPr>
        <w:t>）该项目主要的环境风险为渗滤液下渗及拦渣坝溃坝产生的次生环境污染问题。</w:t>
      </w:r>
    </w:p>
    <w:p>
      <w:pPr>
        <w:ind w:firstLine="480"/>
      </w:pPr>
      <w:r>
        <w:rPr>
          <w:rFonts w:hint="eastAsia"/>
        </w:rPr>
        <w:t>（</w:t>
      </w:r>
      <w:r>
        <w:t>3</w:t>
      </w:r>
      <w:r>
        <w:rPr>
          <w:rFonts w:hint="eastAsia"/>
        </w:rPr>
        <w:t>）该项目具有潜在的事故风险、有害因素，但该企业若能在设计、施工、生产三阶段严格执行国家有关劳动、安全、卫生和环保等的标准规定，采取该项目安全评价报告和本报告提出的各项安全、环境风险防范对策措施，并严格落实，建立完善的安全管理机构和制度，在生产过程中严格管理，确保安全、环保设施正常运行，在做好以上各项安全和环境风险防范措施后，项目的环境风险可降低到可接受的程度。</w:t>
      </w:r>
    </w:p>
    <w:p>
      <w:pPr>
        <w:ind w:firstLine="480"/>
      </w:pPr>
      <w:r>
        <w:rPr>
          <w:rFonts w:hint="eastAsia"/>
        </w:rPr>
        <w:t>（</w:t>
      </w:r>
      <w:r>
        <w:t>4</w:t>
      </w:r>
      <w:r>
        <w:rPr>
          <w:rFonts w:hint="eastAsia"/>
        </w:rPr>
        <w:t>）当事故发生时，建设方应当参考本报告书编制的有关环境风险防范的应急预案，启动应急程序，力争在风险发生最初时间，就确保风险源能够得到及时有效的遏制，尽量避免可导致重大的人员伤亡和财产损失事故的发生，同时应尽可能减轻对周围环境造成的影响。</w:t>
      </w:r>
    </w:p>
    <w:p>
      <w:pPr>
        <w:ind w:firstLine="480"/>
      </w:pPr>
      <w:r>
        <w:rPr>
          <w:rFonts w:hint="eastAsia"/>
        </w:rPr>
        <w:t>综上所述，该项目环境风险在确保防范措施落实的基础上，在所选厂址范围是可接受的。</w:t>
      </w:r>
    </w:p>
    <w:p>
      <w:pPr>
        <w:pStyle w:val="4"/>
      </w:pPr>
      <w:bookmarkStart w:id="204" w:name="_Toc391370231"/>
      <w:r>
        <w:rPr>
          <w:rFonts w:hint="eastAsia"/>
        </w:rPr>
        <w:t>建议</w:t>
      </w:r>
      <w:bookmarkEnd w:id="204"/>
    </w:p>
    <w:p>
      <w:pPr>
        <w:ind w:firstLine="480"/>
      </w:pPr>
      <w:r>
        <w:rPr>
          <w:rFonts w:hint="eastAsia"/>
        </w:rPr>
        <w:t>项目在做好本报告的相关措施的前提下，还应进一步加强平时防范，减少事故发生的可能，同时尽可能减轻事故造成的后果影响。本报告特别提出下列补充要求：</w:t>
      </w:r>
    </w:p>
    <w:p>
      <w:pPr>
        <w:ind w:firstLine="480"/>
      </w:pPr>
      <w:r>
        <w:t xml:space="preserve">(1) </w:t>
      </w:r>
      <w:r>
        <w:rPr>
          <w:rFonts w:hint="eastAsia"/>
        </w:rPr>
        <w:t>制定企业安全生产管理制度。员工的文化和科学素质是安全生产的保障，因此需要不断加强员工的培训，树立</w:t>
      </w:r>
      <w:r>
        <w:t>“</w:t>
      </w:r>
      <w:r>
        <w:rPr>
          <w:rFonts w:hint="eastAsia"/>
        </w:rPr>
        <w:t>安全第一，预防为主</w:t>
      </w:r>
      <w:r>
        <w:t>”</w:t>
      </w:r>
      <w:r>
        <w:rPr>
          <w:rFonts w:hint="eastAsia"/>
        </w:rPr>
        <w:t>的观念，提高安全意识，降低人为失误。加强员工的职业安全知识教育，提高员工的自我保护意识，能掌握常规的救护方法。加强员工的消防知识培训，让每一个员工掌握消防器材的使用和检查维护，并对消防器材的使用性能作定期检查。</w:t>
      </w:r>
    </w:p>
    <w:p>
      <w:pPr>
        <w:ind w:firstLine="480"/>
      </w:pPr>
      <w:r>
        <w:t xml:space="preserve">(2) </w:t>
      </w:r>
      <w:r>
        <w:rPr>
          <w:rFonts w:hint="eastAsia"/>
        </w:rPr>
        <w:t>必须明确该项目生产装置发生事故时渗滤液的收集系统、设置足够大的事故池，一旦发生风险事故，必须从事故开始至事故救援结束全程妥善对待处理事故的消洗液，必须将消洗液汇集在消防废水事故池中，事故池必须设有阀门，收集后的废水应妥善处置。尤其要防范事故消洗液可能经雨水通道逸失而进入附近水体。</w:t>
      </w:r>
    </w:p>
    <w:p>
      <w:pPr>
        <w:ind w:firstLine="480"/>
      </w:pPr>
    </w:p>
    <w:p>
      <w:pPr>
        <w:ind w:firstLine="480"/>
      </w:pPr>
    </w:p>
    <w:p>
      <w:pPr>
        <w:ind w:firstLine="480"/>
      </w:pPr>
    </w:p>
    <w:p>
      <w:pPr>
        <w:ind w:firstLine="480"/>
      </w:pPr>
    </w:p>
    <w:p>
      <w:pPr>
        <w:ind w:firstLine="480"/>
      </w:pPr>
    </w:p>
    <w:p>
      <w:pPr>
        <w:pStyle w:val="2"/>
        <w:sectPr>
          <w:pgSz w:w="11906" w:h="16838"/>
          <w:pgMar w:top="1440" w:right="1298" w:bottom="1440" w:left="1678" w:header="851" w:footer="992" w:gutter="0"/>
          <w:cols w:space="720" w:num="1"/>
          <w:docGrid w:type="lines" w:linePitch="312" w:charSpace="0"/>
        </w:sectPr>
      </w:pPr>
      <w:bookmarkStart w:id="205" w:name="_Toc397322837"/>
    </w:p>
    <w:p>
      <w:pPr>
        <w:pStyle w:val="2"/>
      </w:pPr>
      <w:bookmarkStart w:id="206" w:name="_Toc462818442"/>
      <w:r>
        <w:rPr>
          <w:rFonts w:hint="eastAsia"/>
        </w:rPr>
        <w:t>环境</w:t>
      </w:r>
      <w:bookmarkEnd w:id="205"/>
      <w:r>
        <w:rPr>
          <w:rFonts w:hint="eastAsia"/>
        </w:rPr>
        <w:t>保护措施及其经济、技术论证</w:t>
      </w:r>
      <w:bookmarkEnd w:id="206"/>
    </w:p>
    <w:p>
      <w:pPr>
        <w:pStyle w:val="3"/>
      </w:pPr>
      <w:bookmarkStart w:id="207" w:name="_Toc397322838"/>
      <w:bookmarkStart w:id="208" w:name="_Toc462818443"/>
      <w:r>
        <w:rPr>
          <w:rFonts w:hint="eastAsia"/>
        </w:rPr>
        <w:t>施工期污染防治措施</w:t>
      </w:r>
      <w:bookmarkEnd w:id="207"/>
      <w:bookmarkEnd w:id="208"/>
    </w:p>
    <w:p>
      <w:pPr>
        <w:ind w:firstLine="480"/>
      </w:pPr>
      <w:r>
        <w:rPr>
          <w:rFonts w:hint="eastAsia"/>
        </w:rPr>
        <w:t>项目在建设过程中如不合理安排，有可能产生大量扬尘降低空气质量、噪声扰民，项目在建设期应加强对施工期的管理，为有效减少施工期对周围环境造成的大气、噪声等环境影响，本次环评提出以下措施来减少施工期对外环境的影响：</w:t>
      </w:r>
    </w:p>
    <w:p>
      <w:pPr>
        <w:pStyle w:val="4"/>
      </w:pPr>
      <w:r>
        <w:rPr>
          <w:rFonts w:hint="eastAsia"/>
        </w:rPr>
        <w:t>施工期废水污染防治措施</w:t>
      </w:r>
    </w:p>
    <w:p>
      <w:pPr>
        <w:ind w:firstLine="480"/>
      </w:pPr>
      <w:r>
        <w:rPr>
          <w:rFonts w:hint="eastAsia"/>
        </w:rPr>
        <w:t>施工期生产废水和生活污水若不妥善处理将会造成一定的环境污染，因此建议施工期废水做好以下防治措施：</w:t>
      </w:r>
    </w:p>
    <w:p>
      <w:pPr>
        <w:ind w:firstLine="480"/>
        <w:rPr>
          <w:lang w:val="zh-CN"/>
        </w:rPr>
      </w:pPr>
      <w:r>
        <w:rPr>
          <w:rFonts w:hint="eastAsia"/>
          <w:lang w:val="zh-CN"/>
        </w:rPr>
        <w:t>（</w:t>
      </w:r>
      <w:r>
        <w:rPr>
          <w:lang w:val="zh-CN"/>
        </w:rPr>
        <w:t>1</w:t>
      </w:r>
      <w:r>
        <w:rPr>
          <w:rFonts w:hint="eastAsia"/>
          <w:lang w:val="zh-CN"/>
        </w:rPr>
        <w:t>）施工生产废水</w:t>
      </w:r>
    </w:p>
    <w:p>
      <w:pPr>
        <w:adjustRightInd w:val="0"/>
        <w:snapToGrid w:val="0"/>
        <w:ind w:firstLine="480"/>
      </w:pPr>
      <w:r>
        <w:rPr>
          <w:rFonts w:hint="eastAsia"/>
        </w:rPr>
        <w:t>施工期生产废水产生于机械设备清洗与维修、车辆清洗等工序，主要污染物为</w:t>
      </w:r>
      <w:r>
        <w:t>SS</w:t>
      </w:r>
      <w:r>
        <w:rPr>
          <w:rFonts w:hint="eastAsia"/>
        </w:rPr>
        <w:t>、石油类。施工期生产废水经沉淀、隔油等预处理后回用于车辆与设备清洗，或用于施工道路等的洒水抑尘。施工期生产废水不对外境排放，对周边水环境影响甚微。在施工场地及机械维修场所配备相应的污水处理设施，生产废水经处理后回用。施工结束后沉淀池等设施覆土掩埋。</w:t>
      </w:r>
    </w:p>
    <w:p>
      <w:pPr>
        <w:ind w:firstLine="480"/>
        <w:rPr>
          <w:lang w:val="zh-CN"/>
        </w:rPr>
      </w:pPr>
      <w:r>
        <w:rPr>
          <w:rFonts w:hint="eastAsia"/>
          <w:lang w:val="zh-CN"/>
        </w:rPr>
        <w:t>（</w:t>
      </w:r>
      <w:r>
        <w:rPr>
          <w:lang w:val="zh-CN"/>
        </w:rPr>
        <w:t>2</w:t>
      </w:r>
      <w:r>
        <w:rPr>
          <w:rFonts w:hint="eastAsia"/>
          <w:lang w:val="zh-CN"/>
        </w:rPr>
        <w:t>）生活污水</w:t>
      </w:r>
    </w:p>
    <w:p>
      <w:pPr>
        <w:ind w:firstLine="480"/>
      </w:pPr>
      <w:r>
        <w:rPr>
          <w:rFonts w:hint="eastAsia"/>
        </w:rPr>
        <w:t>因评价路线短，施工人员租住项目周边民房。施工人员产生生活污水的地点主要是粪便、淋浴洗涤以及公用设施等，具有排水点分散，单点一次排放量小等特征。</w:t>
      </w:r>
      <w:r>
        <w:rPr>
          <w:rFonts w:hint="eastAsia"/>
          <w:u w:val="single"/>
        </w:rPr>
        <w:t>项目施工期生活污水利用当地民房现有化粪池等消解，化粪池定期清掏处理。</w:t>
      </w:r>
    </w:p>
    <w:p>
      <w:pPr>
        <w:ind w:firstLine="480"/>
      </w:pPr>
      <w:r>
        <w:rPr>
          <w:rFonts w:hint="eastAsia"/>
        </w:rPr>
        <w:t>项目施工期污水产生量较小，对环境影响较小，处理措施实际可行。</w:t>
      </w:r>
    </w:p>
    <w:p>
      <w:pPr>
        <w:pStyle w:val="4"/>
      </w:pPr>
      <w:r>
        <w:rPr>
          <w:rFonts w:hint="eastAsia"/>
        </w:rPr>
        <w:t>施工期废气污染防治措施</w:t>
      </w:r>
    </w:p>
    <w:p>
      <w:pPr>
        <w:ind w:firstLine="480"/>
      </w:pPr>
      <w:r>
        <w:rPr>
          <w:rFonts w:hint="eastAsia"/>
        </w:rPr>
        <w:t>（</w:t>
      </w:r>
      <w:r>
        <w:t>1</w:t>
      </w:r>
      <w:r>
        <w:rPr>
          <w:rFonts w:hint="eastAsia"/>
        </w:rPr>
        <w:t>）强化施工全过程环境管理与施工监理，实行清洁生产、文明施工；搞好环保宣传和教育工作，努力提高施工人员的环保意识，杜绝粗放式施工。</w:t>
      </w:r>
    </w:p>
    <w:p>
      <w:pPr>
        <w:ind w:firstLine="480"/>
      </w:pPr>
      <w:r>
        <w:rPr>
          <w:rFonts w:hint="eastAsia"/>
        </w:rPr>
        <w:t>（</w:t>
      </w:r>
      <w:r>
        <w:t>2</w:t>
      </w:r>
      <w:r>
        <w:rPr>
          <w:rFonts w:hint="eastAsia"/>
        </w:rPr>
        <w:t>）对施工现场采取围栏等遮蔽措施，阻隔施工扬尘，以达到防风起尘和减轻施工扬尘外逸对周围环境空气的影响。对于容易起尘的建筑材料应采取遮挡措施，要适时洒水降尘，最大限度地减少施工扬尘。</w:t>
      </w:r>
    </w:p>
    <w:p>
      <w:pPr>
        <w:ind w:firstLine="480"/>
      </w:pPr>
      <w:r>
        <w:rPr>
          <w:rFonts w:hint="eastAsia"/>
        </w:rPr>
        <w:t>（</w:t>
      </w:r>
      <w:r>
        <w:t>3</w:t>
      </w:r>
      <w:r>
        <w:rPr>
          <w:rFonts w:hint="eastAsia"/>
        </w:rPr>
        <w:t>）对运输建筑垃圾和沙土物料转运等车辆必须采取棚布遮盖，防止物料的遗撒和飞扬；运输车辆不得超载，运输颗粒物料车辆的装载高度不得超过车槽。</w:t>
      </w:r>
    </w:p>
    <w:p>
      <w:pPr>
        <w:ind w:firstLine="480"/>
      </w:pPr>
      <w:r>
        <w:rPr>
          <w:rFonts w:hint="eastAsia"/>
        </w:rPr>
        <w:t>（</w:t>
      </w:r>
      <w:r>
        <w:t>4</w:t>
      </w:r>
      <w:r>
        <w:rPr>
          <w:rFonts w:hint="eastAsia"/>
        </w:rPr>
        <w:t>）施工过程应及时清理堆放在场地上的弃土，土石方挖掘完后，应及时运送到需要填方的低洼处，以减轻施工水土流失，防止二次扬尘。</w:t>
      </w:r>
    </w:p>
    <w:p>
      <w:pPr>
        <w:ind w:firstLine="480"/>
      </w:pPr>
      <w:r>
        <w:rPr>
          <w:rFonts w:hint="eastAsia"/>
        </w:rPr>
        <w:t>（</w:t>
      </w:r>
      <w:r>
        <w:t>5</w:t>
      </w:r>
      <w:r>
        <w:rPr>
          <w:rFonts w:hint="eastAsia"/>
        </w:rPr>
        <w:t>）对施工道路、场地必须适时洒水抑尘。</w:t>
      </w:r>
    </w:p>
    <w:p>
      <w:pPr>
        <w:ind w:firstLine="480"/>
      </w:pPr>
      <w:r>
        <w:rPr>
          <w:rFonts w:hint="eastAsia"/>
        </w:rPr>
        <w:t>（</w:t>
      </w:r>
      <w:r>
        <w:t>6</w:t>
      </w:r>
      <w:r>
        <w:rPr>
          <w:rFonts w:hint="eastAsia"/>
        </w:rPr>
        <w:t>）施工单位须使用污染物排放符合国家标准的运输车辆，加强车辆的保养，使车辆处于良好的工作状态，严禁使用报废车辆，以减少施工车辆尾气对周围环境的影响。</w:t>
      </w:r>
    </w:p>
    <w:p>
      <w:pPr>
        <w:pStyle w:val="4"/>
      </w:pPr>
      <w:r>
        <w:rPr>
          <w:rFonts w:hint="eastAsia"/>
        </w:rPr>
        <w:t>施工期噪声污染防治措施</w:t>
      </w:r>
    </w:p>
    <w:p>
      <w:pPr>
        <w:ind w:firstLine="480"/>
      </w:pPr>
      <w:r>
        <w:rPr>
          <w:rFonts w:hint="eastAsia"/>
        </w:rPr>
        <w:t>建设单位应采取以下措施减小施工噪声对项目附近环境的影响：</w:t>
      </w:r>
    </w:p>
    <w:p>
      <w:pPr>
        <w:ind w:firstLine="480"/>
      </w:pPr>
      <w:r>
        <w:rPr>
          <w:rFonts w:hint="eastAsia"/>
        </w:rPr>
        <w:t>（</w:t>
      </w:r>
      <w:r>
        <w:t>1</w:t>
      </w:r>
      <w:r>
        <w:rPr>
          <w:rFonts w:hint="eastAsia"/>
        </w:rPr>
        <w:t>）施工单位必须选用符合国家有关标准的施工机具和运输车辆，尽量选用低噪声的施工机械和工艺，振动较大的固定机械设备应加装减振机座，固定强噪声源应考虑加装隔音罩（如发电车等），同时应加强各类施工设备的维护和保养，保持其良好的运转，以便从根本上降低噪声源强。</w:t>
      </w:r>
    </w:p>
    <w:p>
      <w:pPr>
        <w:ind w:firstLine="480"/>
      </w:pPr>
      <w:r>
        <w:rPr>
          <w:rFonts w:hint="eastAsia"/>
        </w:rPr>
        <w:t>（</w:t>
      </w:r>
      <w:r>
        <w:t>2</w:t>
      </w:r>
      <w:r>
        <w:rPr>
          <w:rFonts w:hint="eastAsia"/>
        </w:rPr>
        <w:t>）为保护施工人员的健康，施工单位要合理安排工作人员轮流操作辐射高强噪声的施工机械，减少接触高噪声的时间。对距辐射高强噪声源较近的施工人员，除采取戴保护耳塞或头盔等劳保措施外，还应适当缩短其劳动时间。</w:t>
      </w:r>
    </w:p>
    <w:p>
      <w:pPr>
        <w:ind w:firstLine="480"/>
      </w:pPr>
      <w:r>
        <w:rPr>
          <w:rFonts w:hint="eastAsia"/>
        </w:rPr>
        <w:t>（</w:t>
      </w:r>
      <w:r>
        <w:t>3</w:t>
      </w:r>
      <w:r>
        <w:rPr>
          <w:rFonts w:hint="eastAsia"/>
        </w:rPr>
        <w:t>）筑路机械施工的噪声具有突发、无规则、不连续、高强度等特点。如噪声源强大的作业可放在昼间（</w:t>
      </w:r>
      <w:r>
        <w:t>06:00</w:t>
      </w:r>
      <w:r>
        <w:rPr>
          <w:rFonts w:hint="eastAsia"/>
        </w:rPr>
        <w:t>～</w:t>
      </w:r>
      <w:r>
        <w:t>22:00</w:t>
      </w:r>
      <w:r>
        <w:rPr>
          <w:rFonts w:hint="eastAsia"/>
        </w:rPr>
        <w:t>，但应避开</w:t>
      </w:r>
      <w:r>
        <w:t>12</w:t>
      </w:r>
      <w:r>
        <w:rPr>
          <w:rFonts w:hint="eastAsia"/>
        </w:rPr>
        <w:t>：</w:t>
      </w:r>
      <w:r>
        <w:t>00</w:t>
      </w:r>
      <w:r>
        <w:rPr>
          <w:rFonts w:hint="eastAsia"/>
        </w:rPr>
        <w:t>～</w:t>
      </w:r>
      <w:r>
        <w:t>14</w:t>
      </w:r>
      <w:r>
        <w:rPr>
          <w:rFonts w:hint="eastAsia"/>
        </w:rPr>
        <w:t>：</w:t>
      </w:r>
      <w:r>
        <w:t>30</w:t>
      </w:r>
      <w:r>
        <w:rPr>
          <w:rFonts w:hint="eastAsia"/>
        </w:rPr>
        <w:t>）进行或对各种施工机械操作时间作适当调整。为减少施工期间的材料运输、敲击、人的喊叫等施工活动声源，要求承包商通过文明施工、加强有效管理加以缓解。严格控制夜间施工应并认真执行申报审批制度。为了减少施工噪声对敏感点的影响，工程不允许在</w:t>
      </w:r>
      <w:r>
        <w:t>22:00-</w:t>
      </w:r>
      <w:r>
        <w:rPr>
          <w:rFonts w:hint="eastAsia"/>
        </w:rPr>
        <w:t>次日</w:t>
      </w:r>
      <w:r>
        <w:t>6:00</w:t>
      </w:r>
      <w:r>
        <w:rPr>
          <w:rFonts w:hint="eastAsia"/>
        </w:rPr>
        <w:t>施工。如必须在夜间延长施工时，必须取得当地环保局及综合执法部门的批准，并采取临时性的降噪措施、尽量减短工时，减少对周围敏感点正常生活环境的影响。</w:t>
      </w:r>
    </w:p>
    <w:p>
      <w:pPr>
        <w:ind w:firstLine="480"/>
      </w:pPr>
      <w:r>
        <w:rPr>
          <w:rFonts w:hint="eastAsia"/>
        </w:rPr>
        <w:t>（</w:t>
      </w:r>
      <w:r>
        <w:t>4</w:t>
      </w:r>
      <w:r>
        <w:rPr>
          <w:rFonts w:hint="eastAsia"/>
        </w:rPr>
        <w:t>）建设单位应责成施工单位在施工现场标明张布通告和投诉电话，建设单位在接到报案后应及时与当地环保部门取得联系，以便及时处理各种环境纠纷。</w:t>
      </w:r>
    </w:p>
    <w:p>
      <w:pPr>
        <w:ind w:firstLine="480"/>
      </w:pPr>
      <w:r>
        <w:rPr>
          <w:rFonts w:hint="eastAsia"/>
        </w:rPr>
        <w:t>（</w:t>
      </w:r>
      <w:r>
        <w:t>5</w:t>
      </w:r>
      <w:r>
        <w:rPr>
          <w:rFonts w:hint="eastAsia"/>
        </w:rPr>
        <w:t>）提高工作效率，加快施工进度，尽可能缩短施工建设对周围环境的影响。</w:t>
      </w:r>
    </w:p>
    <w:p>
      <w:pPr>
        <w:ind w:firstLine="480"/>
      </w:pPr>
      <w:r>
        <w:rPr>
          <w:rFonts w:hint="eastAsia"/>
        </w:rPr>
        <w:t>（</w:t>
      </w:r>
      <w:r>
        <w:t>6</w:t>
      </w:r>
      <w:r>
        <w:rPr>
          <w:rFonts w:hint="eastAsia"/>
        </w:rPr>
        <w:t>）施工中加强对施工机械的维护保养，避免由于设备性能差而增大机械噪声的现象产生。</w:t>
      </w:r>
    </w:p>
    <w:p>
      <w:pPr>
        <w:ind w:firstLine="480"/>
      </w:pPr>
      <w:r>
        <w:rPr>
          <w:rFonts w:hint="eastAsia"/>
        </w:rPr>
        <w:t>通过加强施工现场管理，落实噪声控制措施，可使施工噪声对项目附近环境声环境影响降至最低，影响随施工期的结束而消失。</w:t>
      </w:r>
    </w:p>
    <w:p>
      <w:pPr>
        <w:ind w:firstLine="480"/>
      </w:pPr>
      <w:r>
        <w:rPr>
          <w:rFonts w:hint="eastAsia"/>
        </w:rPr>
        <w:t>施工期间运输建筑材料车辆较多，将加重沿线交通噪声污染。运输车辆噪声级一般在</w:t>
      </w:r>
      <w:r>
        <w:t>75</w:t>
      </w:r>
      <w:r>
        <w:rPr>
          <w:rFonts w:hint="eastAsia"/>
        </w:rPr>
        <w:t>～</w:t>
      </w:r>
      <w:r>
        <w:t>85dB</w:t>
      </w:r>
      <w:r>
        <w:rPr>
          <w:rFonts w:hint="eastAsia"/>
        </w:rPr>
        <w:t>，属间歇运行，且运输量有限，加上车辆禁止夜间和午休间鸣笛，因此施工期间运输车辆产生噪声污染是短暂的，预防处理措施可行，不会对沿线环境造成大的影响。</w:t>
      </w:r>
    </w:p>
    <w:p>
      <w:pPr>
        <w:pStyle w:val="4"/>
      </w:pPr>
      <w:r>
        <w:rPr>
          <w:rFonts w:hint="eastAsia"/>
        </w:rPr>
        <w:t>施工期固体废物染防治措施</w:t>
      </w:r>
    </w:p>
    <w:p>
      <w:pPr>
        <w:ind w:firstLine="480"/>
      </w:pPr>
      <w:r>
        <w:rPr>
          <w:rFonts w:hint="eastAsia"/>
        </w:rPr>
        <w:t>（</w:t>
      </w:r>
      <w:r>
        <w:t>1</w:t>
      </w:r>
      <w:r>
        <w:rPr>
          <w:rFonts w:hint="eastAsia"/>
        </w:rPr>
        <w:t>）要求施工场地设置生活垃圾箱（桶），固定地点堆放，分类收集，定期由当地环卫部门运往市区生活垃圾场处理。</w:t>
      </w:r>
    </w:p>
    <w:p>
      <w:pPr>
        <w:ind w:firstLine="480"/>
      </w:pPr>
      <w:r>
        <w:rPr>
          <w:rFonts w:hint="eastAsia"/>
        </w:rPr>
        <w:t>（</w:t>
      </w:r>
      <w:r>
        <w:t>2</w:t>
      </w:r>
      <w:r>
        <w:rPr>
          <w:rFonts w:hint="eastAsia"/>
        </w:rPr>
        <w:t>）建筑垃圾分类处置，建筑垃圾中的瓦砾碎砖、水泥残渣送至当地砖场、预制场重新使用或用于道路铺设垫方；废铁丝、钢筋、建材的包装箱、袋等可以再利用的固废送废品回收公司再利用。</w:t>
      </w:r>
    </w:p>
    <w:p>
      <w:pPr>
        <w:ind w:firstLine="480"/>
        <w:rPr>
          <w:bCs/>
        </w:rPr>
      </w:pPr>
      <w:r>
        <w:rPr>
          <w:rFonts w:hint="eastAsia"/>
        </w:rPr>
        <w:t>（</w:t>
      </w:r>
      <w:r>
        <w:t>3</w:t>
      </w:r>
      <w:r>
        <w:rPr>
          <w:rFonts w:hint="eastAsia"/>
        </w:rPr>
        <w:t>）施工期建筑垃圾与生活垃圾应分类堆放、分别处置，禁止乱堆乱倒</w:t>
      </w:r>
      <w:r>
        <w:rPr>
          <w:rFonts w:hint="eastAsia"/>
          <w:bCs/>
        </w:rPr>
        <w:t>。</w:t>
      </w:r>
    </w:p>
    <w:p>
      <w:pPr>
        <w:pStyle w:val="4"/>
      </w:pPr>
      <w:r>
        <w:rPr>
          <w:rFonts w:hint="eastAsia"/>
        </w:rPr>
        <w:t>生态环境与水土流失保护措施</w:t>
      </w:r>
    </w:p>
    <w:p>
      <w:pPr>
        <w:ind w:firstLine="480"/>
        <w:rPr>
          <w:u w:val="single"/>
        </w:rPr>
      </w:pPr>
      <w:r>
        <w:rPr>
          <w:rFonts w:hint="eastAsia"/>
          <w:u w:val="single"/>
        </w:rPr>
        <w:t>（</w:t>
      </w:r>
      <w:r>
        <w:rPr>
          <w:u w:val="single"/>
        </w:rPr>
        <w:t>1</w:t>
      </w:r>
      <w:r>
        <w:rPr>
          <w:rFonts w:hint="eastAsia"/>
          <w:u w:val="single"/>
        </w:rPr>
        <w:t>）尽量利用采石场原有设施，尽可能减少植被破坏，禁止乱砍乱伐，避免造成植被大面积破坏，使原本脆弱的生态环境系统受到威胁。</w:t>
      </w:r>
    </w:p>
    <w:p>
      <w:pPr>
        <w:ind w:firstLine="480"/>
        <w:rPr>
          <w:u w:val="single"/>
        </w:rPr>
      </w:pPr>
      <w:r>
        <w:rPr>
          <w:rFonts w:hint="eastAsia"/>
          <w:u w:val="single"/>
        </w:rPr>
        <w:t>（2）根据国家有关环保政策规定，工程必须尽快恢复施工造成的植被破坏，应有详细的恢复植被方案；本项目恢复植被应以植树、种草相接合并及时管护、浇灌，保证其成活率。</w:t>
      </w:r>
    </w:p>
    <w:p>
      <w:pPr>
        <w:ind w:firstLine="480"/>
        <w:rPr>
          <w:u w:val="single"/>
        </w:rPr>
      </w:pPr>
      <w:r>
        <w:rPr>
          <w:rFonts w:hint="eastAsia"/>
          <w:u w:val="single"/>
        </w:rPr>
        <w:t>（3）落实处置场封场期环境绿化，绿化面积和绿化率原则上不小于工程扰动面积和原有绿化率；树种选择、搭配、杀菌等功能应根据一般固废处置场实际规划实施，植被恢复要有专项资金予以保证，做到专款专用。</w:t>
      </w:r>
    </w:p>
    <w:p>
      <w:pPr>
        <w:ind w:firstLine="480"/>
        <w:rPr>
          <w:u w:val="single"/>
        </w:rPr>
      </w:pPr>
      <w:r>
        <w:rPr>
          <w:rFonts w:hint="eastAsia"/>
          <w:u w:val="single"/>
        </w:rPr>
        <w:t>（4）建设单位应按照国家</w:t>
      </w:r>
      <w:r>
        <w:rPr>
          <w:u w:val="single"/>
        </w:rPr>
        <w:t>“</w:t>
      </w:r>
      <w:r>
        <w:rPr>
          <w:rFonts w:hint="eastAsia"/>
          <w:u w:val="single"/>
        </w:rPr>
        <w:t>环保法</w:t>
      </w:r>
      <w:r>
        <w:rPr>
          <w:u w:val="single"/>
        </w:rPr>
        <w:t>”</w:t>
      </w:r>
      <w:r>
        <w:rPr>
          <w:rFonts w:hint="eastAsia"/>
          <w:u w:val="single"/>
        </w:rPr>
        <w:t>和</w:t>
      </w:r>
      <w:r>
        <w:rPr>
          <w:u w:val="single"/>
        </w:rPr>
        <w:t>“</w:t>
      </w:r>
      <w:r>
        <w:rPr>
          <w:rFonts w:hint="eastAsia"/>
          <w:u w:val="single"/>
        </w:rPr>
        <w:t>水保法</w:t>
      </w:r>
      <w:r>
        <w:rPr>
          <w:u w:val="single"/>
        </w:rPr>
        <w:t>”</w:t>
      </w:r>
      <w:r>
        <w:rPr>
          <w:rFonts w:hint="eastAsia"/>
          <w:u w:val="single"/>
        </w:rPr>
        <w:t>规定，尽快委托有资质单位编制水土保持方案报告，要求水土保持综合防治措施必须与主体工程做到</w:t>
      </w:r>
      <w:r>
        <w:rPr>
          <w:u w:val="single"/>
        </w:rPr>
        <w:t>“</w:t>
      </w:r>
      <w:r>
        <w:rPr>
          <w:rFonts w:hint="eastAsia"/>
          <w:u w:val="single"/>
        </w:rPr>
        <w:t>三同时</w:t>
      </w:r>
      <w:r>
        <w:rPr>
          <w:u w:val="single"/>
        </w:rPr>
        <w:t>”</w:t>
      </w:r>
      <w:r>
        <w:rPr>
          <w:rFonts w:hint="eastAsia"/>
          <w:u w:val="single"/>
        </w:rPr>
        <w:t>。</w:t>
      </w:r>
    </w:p>
    <w:p>
      <w:pPr>
        <w:ind w:firstLine="480"/>
        <w:rPr>
          <w:u w:val="single"/>
        </w:rPr>
      </w:pPr>
      <w:r>
        <w:rPr>
          <w:rFonts w:hint="eastAsia"/>
          <w:u w:val="single"/>
        </w:rPr>
        <w:t>（5）合理安排施工期，因地制宜地划定作业面，尽量不压占具有水保功能地表物质。</w:t>
      </w:r>
    </w:p>
    <w:p>
      <w:pPr>
        <w:ind w:firstLine="480"/>
        <w:rPr>
          <w:u w:val="single"/>
        </w:rPr>
      </w:pPr>
      <w:r>
        <w:rPr>
          <w:rFonts w:hint="eastAsia"/>
          <w:u w:val="single"/>
        </w:rPr>
        <w:t>（6）场区道路和填埋场内拦渣坝、渗滤液收集池等施工应统筹安排，采取逐段施工方式进行，避免反复开挖；</w:t>
      </w:r>
    </w:p>
    <w:p>
      <w:pPr>
        <w:ind w:firstLine="480"/>
        <w:rPr>
          <w:szCs w:val="28"/>
          <w:u w:val="single"/>
        </w:rPr>
      </w:pPr>
      <w:r>
        <w:rPr>
          <w:rFonts w:hint="eastAsia"/>
          <w:u w:val="single"/>
        </w:rPr>
        <w:t>（7）临时性用地使用完毕后应恢复植被，防止水土流失</w:t>
      </w:r>
      <w:r>
        <w:rPr>
          <w:rFonts w:hint="eastAsia"/>
          <w:szCs w:val="28"/>
          <w:u w:val="single"/>
        </w:rPr>
        <w:t>。</w:t>
      </w:r>
    </w:p>
    <w:p>
      <w:pPr>
        <w:pStyle w:val="3"/>
      </w:pPr>
      <w:bookmarkStart w:id="209" w:name="_Toc397322839"/>
      <w:bookmarkStart w:id="210" w:name="_Toc462818444"/>
      <w:r>
        <w:rPr>
          <w:rFonts w:hint="eastAsia"/>
        </w:rPr>
        <w:t>填埋期污染防治措施</w:t>
      </w:r>
      <w:bookmarkEnd w:id="209"/>
      <w:bookmarkEnd w:id="210"/>
    </w:p>
    <w:p>
      <w:pPr>
        <w:pStyle w:val="4"/>
      </w:pPr>
      <w:r>
        <w:rPr>
          <w:rFonts w:hint="eastAsia"/>
        </w:rPr>
        <w:t>项目场区污水防治措施</w:t>
      </w:r>
    </w:p>
    <w:p>
      <w:pPr>
        <w:ind w:firstLine="480"/>
      </w:pPr>
      <w:r>
        <w:rPr>
          <w:rFonts w:hint="eastAsia"/>
        </w:rPr>
        <w:t>本项目采用的污水防治措施主要有</w:t>
      </w:r>
    </w:p>
    <w:p>
      <w:pPr>
        <w:ind w:firstLine="480"/>
      </w:pPr>
      <w:r>
        <w:rPr>
          <w:rFonts w:hint="eastAsia"/>
        </w:rPr>
        <w:t>（</w:t>
      </w:r>
      <w:r>
        <w:t>1</w:t>
      </w:r>
      <w:r>
        <w:rPr>
          <w:rFonts w:hint="eastAsia"/>
        </w:rPr>
        <w:t>）固体废物处置场实行雨污分流并设置地表水集排系统，建设截排水沟，以收集、排出污水区内可能流向填埋区的雨水、上游雨水以及未填埋区域内未与固体废物接触的雨水，雨水直接排放，不得与渗滤液混排。</w:t>
      </w:r>
    </w:p>
    <w:p>
      <w:pPr>
        <w:ind w:firstLine="480" w:firstLineChars="0"/>
      </w:pPr>
      <w:r>
        <w:rPr>
          <w:rFonts w:hint="eastAsia"/>
        </w:rPr>
        <w:t>（</w:t>
      </w:r>
      <w:r>
        <w:t>2</w:t>
      </w:r>
      <w:r>
        <w:rPr>
          <w:rFonts w:hint="eastAsia"/>
        </w:rPr>
        <w:t>）建设地下水收集导流系统并做好防渗等工作，防止地下水和大气降水流入</w:t>
      </w:r>
      <w:r>
        <w:rPr>
          <w:rFonts w:hint="eastAsia"/>
          <w:kern w:val="0"/>
        </w:rPr>
        <w:t>固体废物</w:t>
      </w:r>
      <w:r>
        <w:rPr>
          <w:rFonts w:hint="eastAsia"/>
        </w:rPr>
        <w:t>，有效减少渗滤液的产生量。</w:t>
      </w:r>
    </w:p>
    <w:p>
      <w:pPr>
        <w:ind w:firstLine="480"/>
      </w:pPr>
      <w:r>
        <w:rPr>
          <w:rFonts w:hint="eastAsia"/>
        </w:rPr>
        <w:t>（</w:t>
      </w:r>
      <w:r>
        <w:t>3</w:t>
      </w:r>
      <w:r>
        <w:rPr>
          <w:rFonts w:hint="eastAsia"/>
        </w:rPr>
        <w:t>）制订风险事故应急计划。应急计划应包括指挥机构及相关协作单位的职责和任务，应急技术和处理步骤、设备、器材的配置和布局，人力和物力的保证和调配，事故的动态监测制度，事故发生后的报告制度等。</w:t>
      </w:r>
    </w:p>
    <w:p>
      <w:pPr>
        <w:ind w:firstLine="480"/>
      </w:pPr>
      <w:r>
        <w:rPr>
          <w:rFonts w:hint="eastAsia"/>
        </w:rPr>
        <w:t>（4）渗滤液处理措施</w:t>
      </w:r>
    </w:p>
    <w:p>
      <w:pPr>
        <w:ind w:firstLine="480" w:firstLineChars="0"/>
      </w:pPr>
      <w:r>
        <w:rPr>
          <w:rFonts w:hint="eastAsia"/>
        </w:rPr>
        <w:t>项目在处置场西南侧建设一座容量为</w:t>
      </w:r>
      <w:r>
        <w:t>90m</w:t>
      </w:r>
      <w:r>
        <w:rPr>
          <w:vertAlign w:val="superscript"/>
        </w:rPr>
        <w:t>3</w:t>
      </w:r>
      <w:r>
        <w:rPr>
          <w:rFonts w:hint="eastAsia"/>
        </w:rPr>
        <w:t>的渗滤液收集池并做好防渗工作，收集的渗滤液定期送至有资质单位处理达《污水综合排放标准》（</w:t>
      </w:r>
      <w:r>
        <w:t>GB8978-1996</w:t>
      </w:r>
      <w:r>
        <w:rPr>
          <w:rFonts w:hint="eastAsia"/>
        </w:rPr>
        <w:t>）允许排放浓度后排放，对项目周边环境影响较小。</w:t>
      </w:r>
    </w:p>
    <w:p>
      <w:pPr>
        <w:pStyle w:val="4"/>
      </w:pPr>
      <w:r>
        <w:rPr>
          <w:rFonts w:hint="eastAsia"/>
        </w:rPr>
        <w:t>地下水污染防治措施</w:t>
      </w:r>
    </w:p>
    <w:p>
      <w:pPr>
        <w:ind w:firstLine="480"/>
      </w:pPr>
      <w:r>
        <w:rPr>
          <w:rFonts w:hint="eastAsia"/>
        </w:rPr>
        <w:t>（1）源头控制措施</w:t>
      </w:r>
    </w:p>
    <w:p>
      <w:pPr>
        <w:ind w:firstLine="480"/>
      </w:pPr>
      <w:r>
        <w:rPr>
          <w:rFonts w:hint="eastAsia"/>
        </w:rPr>
        <w:t>工程在运行过程中，废水主要来自处置场渗滤液。如果发生渗滤液泄漏事故，可能会使处置场所在区域及其下游的地下水环境受到污染，事故状态下有可能对地下水环境产生较大不利影响，可能出现的事故情况主要为</w:t>
      </w:r>
      <w:r>
        <w:t>HDPE</w:t>
      </w:r>
      <w:r>
        <w:rPr>
          <w:rFonts w:hint="eastAsia"/>
        </w:rPr>
        <w:t>膜破损情况下发生的固体废物处置场渗滤液渗漏现象。</w:t>
      </w:r>
    </w:p>
    <w:p>
      <w:pPr>
        <w:ind w:firstLine="480"/>
      </w:pPr>
      <w:r>
        <w:rPr>
          <w:rFonts w:cs="宋体"/>
        </w:rPr>
        <w:t>搭建遮雨棚，修建排水沟渠等措施，做好</w:t>
      </w:r>
      <w:r>
        <w:rPr>
          <w:rFonts w:hint="eastAsia" w:cs="宋体"/>
        </w:rPr>
        <w:t>“</w:t>
      </w:r>
      <w:r>
        <w:rPr>
          <w:rFonts w:cs="宋体"/>
        </w:rPr>
        <w:t>防雨、防尘、防渗漏</w:t>
      </w:r>
      <w:r>
        <w:rPr>
          <w:rFonts w:hint="eastAsia" w:cs="宋体"/>
        </w:rPr>
        <w:t>”</w:t>
      </w:r>
      <w:r>
        <w:rPr>
          <w:rFonts w:cs="宋体"/>
        </w:rPr>
        <w:t>工作，确保</w:t>
      </w:r>
      <w:r>
        <w:rPr>
          <w:rFonts w:hint="eastAsia" w:cs="宋体"/>
        </w:rPr>
        <w:t>一般</w:t>
      </w:r>
      <w:r>
        <w:rPr>
          <w:rFonts w:cs="宋体"/>
        </w:rPr>
        <w:t>固体废物堆存场所必须严格按照GB18599－2001《一般工业固体废物贮存、处置场污染控制标准》中II类场的相关要求进行，避免</w:t>
      </w:r>
      <w:r>
        <w:rPr>
          <w:rFonts w:hint="eastAsia" w:cs="宋体"/>
        </w:rPr>
        <w:t>一般</w:t>
      </w:r>
      <w:r>
        <w:rPr>
          <w:rFonts w:cs="宋体"/>
        </w:rPr>
        <w:t>固体废物及其渗滤液进入环境，对环境造成影响</w:t>
      </w:r>
      <w:r>
        <w:rPr>
          <w:rFonts w:hint="eastAsia" w:cs="宋体"/>
        </w:rPr>
        <w:t>。</w:t>
      </w:r>
      <w:r>
        <w:rPr>
          <w:rFonts w:hint="eastAsia"/>
        </w:rPr>
        <w:t>选购</w:t>
      </w:r>
      <w:r>
        <w:t>HDPE</w:t>
      </w:r>
      <w:r>
        <w:rPr>
          <w:rFonts w:hint="eastAsia"/>
        </w:rPr>
        <w:t>膜时把好第一道关口，施工中精心粘结，作业时避免对其过分碾压等，就可避免对其的损坏。将跑、冒、漏、滴降到最低限度。</w:t>
      </w:r>
    </w:p>
    <w:p>
      <w:pPr>
        <w:ind w:firstLine="480"/>
      </w:pPr>
      <w:r>
        <w:rPr>
          <w:rFonts w:hint="eastAsia"/>
        </w:rPr>
        <w:t>（2）分区防控措施</w:t>
      </w:r>
    </w:p>
    <w:p>
      <w:pPr>
        <w:ind w:firstLine="480"/>
      </w:pPr>
      <w:r>
        <w:rPr>
          <w:rFonts w:hint="eastAsia"/>
        </w:rPr>
        <w:t>本项目设置地下水监测井共</w:t>
      </w:r>
      <w:r>
        <w:t>3</w:t>
      </w:r>
      <w:r>
        <w:rPr>
          <w:rFonts w:hint="eastAsia"/>
        </w:rPr>
        <w:t>座，其中污染扩散井</w:t>
      </w:r>
      <w:r>
        <w:t>2</w:t>
      </w:r>
      <w:r>
        <w:rPr>
          <w:rFonts w:hint="eastAsia"/>
        </w:rPr>
        <w:t>眼，各设在地面水流向东西两侧</w:t>
      </w:r>
      <w:r>
        <w:t>50m</w:t>
      </w:r>
      <w:r>
        <w:rPr>
          <w:rFonts w:hint="eastAsia"/>
        </w:rPr>
        <w:t>处，污染监视井</w:t>
      </w:r>
      <w:r>
        <w:t>1</w:t>
      </w:r>
      <w:r>
        <w:rPr>
          <w:rFonts w:hint="eastAsia"/>
        </w:rPr>
        <w:t>眼：设在处置场地下水流向下游</w:t>
      </w:r>
      <w:r>
        <w:t>50m</w:t>
      </w:r>
      <w:r>
        <w:rPr>
          <w:rFonts w:hint="eastAsia"/>
        </w:rPr>
        <w:t>处。定期对地下水监测井的水样测试，在第一时间确定事故的发生，从而及早进行处理，对地下水环境有污染的情况，可及时发现及处理，污染控制难易程度为易。项目选址区域为一般防渗区，本项目采用单复合衬层防渗系统，场内底部由上向下依次为：</w:t>
      </w:r>
      <w:r>
        <w:t>200g/m</w:t>
      </w:r>
      <w:r>
        <w:rPr>
          <w:vertAlign w:val="superscript"/>
        </w:rPr>
        <w:t>2</w:t>
      </w:r>
      <w:r>
        <w:rPr>
          <w:rFonts w:hint="eastAsia"/>
        </w:rPr>
        <w:t>无纺布保护层；</w:t>
      </w:r>
      <w:r>
        <w:t>500mm</w:t>
      </w:r>
      <w:r>
        <w:rPr>
          <w:rFonts w:hint="eastAsia"/>
        </w:rPr>
        <w:t>卵石渗滤液收集排水层；</w:t>
      </w:r>
      <w:r>
        <w:t>600g/m</w:t>
      </w:r>
      <w:r>
        <w:rPr>
          <w:vertAlign w:val="superscript"/>
        </w:rPr>
        <w:t>2</w:t>
      </w:r>
      <w:r>
        <w:rPr>
          <w:rFonts w:hint="eastAsia"/>
        </w:rPr>
        <w:t>无纺布保护层；</w:t>
      </w:r>
      <w:r>
        <w:t>2.0mm HDPE</w:t>
      </w:r>
      <w:r>
        <w:rPr>
          <w:rFonts w:hint="eastAsia"/>
        </w:rPr>
        <w:t>防渗膜；</w:t>
      </w:r>
      <w:r>
        <w:t>600g/m</w:t>
      </w:r>
      <w:r>
        <w:rPr>
          <w:vertAlign w:val="superscript"/>
        </w:rPr>
        <w:t>2</w:t>
      </w:r>
      <w:r>
        <w:rPr>
          <w:rFonts w:hint="eastAsia"/>
        </w:rPr>
        <w:t>无纺布保护层；</w:t>
      </w:r>
      <w:r>
        <w:t>300mm</w:t>
      </w:r>
      <w:r>
        <w:rPr>
          <w:rFonts w:hint="eastAsia"/>
        </w:rPr>
        <w:t>厚粘土层，边坡由上向下依次为：</w:t>
      </w:r>
      <w:r>
        <w:t>300mm</w:t>
      </w:r>
      <w:r>
        <w:rPr>
          <w:rFonts w:hint="eastAsia"/>
        </w:rPr>
        <w:t>袋装粗沙层；</w:t>
      </w:r>
      <w:r>
        <w:t xml:space="preserve"> 600g/m</w:t>
      </w:r>
      <w:r>
        <w:rPr>
          <w:vertAlign w:val="superscript"/>
        </w:rPr>
        <w:t>2</w:t>
      </w:r>
      <w:r>
        <w:rPr>
          <w:rFonts w:hint="eastAsia"/>
        </w:rPr>
        <w:t>无纺布保护层；</w:t>
      </w:r>
      <w:r>
        <w:t>2.0mm HDPE</w:t>
      </w:r>
      <w:r>
        <w:rPr>
          <w:rFonts w:hint="eastAsia"/>
        </w:rPr>
        <w:t>防渗膜；</w:t>
      </w:r>
      <w:r>
        <w:t>600g/m</w:t>
      </w:r>
      <w:r>
        <w:rPr>
          <w:vertAlign w:val="superscript"/>
        </w:rPr>
        <w:t>2</w:t>
      </w:r>
      <w:r>
        <w:rPr>
          <w:rFonts w:hint="eastAsia"/>
        </w:rPr>
        <w:t>无纺布保护层；</w:t>
      </w:r>
      <w:r>
        <w:t>HDPE</w:t>
      </w:r>
      <w:r>
        <w:rPr>
          <w:rFonts w:hint="eastAsia"/>
        </w:rPr>
        <w:t>复合土工网格（</w:t>
      </w:r>
      <w:r>
        <w:t>5mm</w:t>
      </w:r>
      <w:r>
        <w:rPr>
          <w:rFonts w:hint="eastAsia"/>
        </w:rPr>
        <w:t>）；</w:t>
      </w:r>
      <w:r>
        <w:t>450g/m</w:t>
      </w:r>
      <w:r>
        <w:rPr>
          <w:vertAlign w:val="superscript"/>
        </w:rPr>
        <w:t>2</w:t>
      </w:r>
      <w:r>
        <w:rPr>
          <w:rFonts w:hint="eastAsia"/>
        </w:rPr>
        <w:t>无纺布保护层；</w:t>
      </w:r>
      <w:r>
        <w:t>300mm</w:t>
      </w:r>
      <w:r>
        <w:rPr>
          <w:rFonts w:hint="eastAsia"/>
        </w:rPr>
        <w:t>厚粘土层，本工程所设保护层防渗系数约为</w:t>
      </w:r>
      <w:r>
        <w:t>1×10</w:t>
      </w:r>
      <w:r>
        <w:rPr>
          <w:vertAlign w:val="superscript"/>
        </w:rPr>
        <w:t>-7</w:t>
      </w:r>
      <w:r>
        <w:t>cm/s</w:t>
      </w:r>
      <w:r>
        <w:rPr>
          <w:rFonts w:hint="eastAsia"/>
        </w:rPr>
        <w:t>。</w:t>
      </w:r>
    </w:p>
    <w:p>
      <w:pPr>
        <w:ind w:firstLine="480"/>
      </w:pPr>
      <w:r>
        <w:rPr>
          <w:rFonts w:hint="eastAsia"/>
        </w:rPr>
        <w:t>因此，一旦发生事故虽然会增加渗滤液的渗漏量，但影响应该在可接受范围内。</w:t>
      </w:r>
    </w:p>
    <w:p>
      <w:pPr>
        <w:ind w:firstLine="480"/>
        <w:rPr>
          <w:szCs w:val="24"/>
          <w:u w:val="single"/>
        </w:rPr>
      </w:pPr>
      <w:r>
        <w:rPr>
          <w:rFonts w:hint="eastAsia"/>
          <w:szCs w:val="24"/>
          <w:u w:val="single"/>
        </w:rPr>
        <w:t>（3）地下水修复措施</w:t>
      </w:r>
    </w:p>
    <w:p>
      <w:pPr>
        <w:ind w:firstLine="480"/>
        <w:rPr>
          <w:rFonts w:hint="eastAsia" w:ascii="宋体" w:hAnsi="宋体"/>
          <w:szCs w:val="24"/>
          <w:u w:val="single"/>
        </w:rPr>
      </w:pPr>
      <w:r>
        <w:rPr>
          <w:rFonts w:ascii="宋体" w:hAnsi="宋体"/>
          <w:szCs w:val="24"/>
          <w:u w:val="single"/>
        </w:rPr>
        <w:t>地下水的主要修复方法包括：原位修复：监控条件下的自然衰减法、渗透性反应强；异位修复：抽出处理法</w:t>
      </w:r>
      <w:r>
        <w:rPr>
          <w:rFonts w:hint="eastAsia" w:ascii="宋体" w:hAnsi="宋体"/>
          <w:szCs w:val="24"/>
          <w:u w:val="single"/>
        </w:rPr>
        <w:t>。本项目可采取</w:t>
      </w:r>
      <w:r>
        <w:rPr>
          <w:rFonts w:ascii="宋体" w:hAnsi="宋体"/>
          <w:szCs w:val="24"/>
          <w:u w:val="single"/>
        </w:rPr>
        <w:t>异位修复</w:t>
      </w:r>
      <w:r>
        <w:rPr>
          <w:rFonts w:hint="eastAsia" w:ascii="宋体" w:hAnsi="宋体"/>
          <w:szCs w:val="24"/>
          <w:u w:val="single"/>
        </w:rPr>
        <w:t>，</w:t>
      </w:r>
      <w:r>
        <w:rPr>
          <w:rFonts w:ascii="宋体" w:hAnsi="宋体"/>
          <w:szCs w:val="24"/>
          <w:u w:val="single"/>
        </w:rPr>
        <w:t>抽出处理法</w:t>
      </w:r>
      <w:r>
        <w:rPr>
          <w:rFonts w:hint="eastAsia" w:ascii="宋体" w:hAnsi="宋体"/>
          <w:szCs w:val="24"/>
          <w:u w:val="single"/>
        </w:rPr>
        <w:t>处理受污染地下水。</w:t>
      </w:r>
    </w:p>
    <w:p>
      <w:pPr>
        <w:ind w:firstLine="480"/>
        <w:rPr>
          <w:szCs w:val="24"/>
          <w:u w:val="single"/>
        </w:rPr>
      </w:pPr>
      <w:r>
        <w:rPr>
          <w:rFonts w:hint="eastAsia"/>
          <w:szCs w:val="24"/>
          <w:u w:val="single"/>
          <w:shd w:val="clear" w:color="auto" w:fill="FFFFFF"/>
        </w:rPr>
        <w:t>受污染的地下水的抽取处理，即采用布设抽水井的方式先抽取已污染的地下水，然后在地表进行净化处理。常用的异位处理技术有两相抽提技术和抽取—处理修复技术。根据污染质的形式，前者主要针对地下水污染场地中存在自由相非永相液体的情况；后者主要针对地下水污染场地中的溶解相污染物（有机或无机污染物）。此技术直接针对污染源抽取处理，在抽取过程中形成地下水位降落漏斗，使周围地下水不断流向水井，减少污染扩散，污染程度随抽取逐渐减弱的过程中，易溶污染质也不断向水中转化，促使污染浓度的减小。抽取处理技术能有效控制污染源的去除和污染范围的扩散，最终达到污染质的减少和污染程度的减弱。</w:t>
      </w:r>
    </w:p>
    <w:p>
      <w:pPr>
        <w:pStyle w:val="4"/>
      </w:pPr>
      <w:r>
        <w:rPr>
          <w:rFonts w:hint="eastAsia"/>
        </w:rPr>
        <w:t>大气污染防治措施</w:t>
      </w:r>
    </w:p>
    <w:p>
      <w:pPr>
        <w:ind w:firstLine="480"/>
      </w:pPr>
      <w:r>
        <w:rPr>
          <w:rFonts w:hint="eastAsia"/>
        </w:rPr>
        <w:t>（</w:t>
      </w:r>
      <w:r>
        <w:t>1</w:t>
      </w:r>
      <w:r>
        <w:rPr>
          <w:rFonts w:hint="eastAsia"/>
        </w:rPr>
        <w:t>）粉尘防治措施</w:t>
      </w:r>
    </w:p>
    <w:p>
      <w:pPr>
        <w:ind w:firstLine="480"/>
        <w:rPr>
          <w:kern w:val="0"/>
        </w:rPr>
      </w:pPr>
      <w:r>
        <w:rPr>
          <w:rFonts w:hint="eastAsia"/>
          <w:kern w:val="0"/>
        </w:rPr>
        <w:t>加强收集管理，严格收集、倾倒等操作程序，减少倾倒扬尘产生的条件，减缓倾倒扬尘对工人健康的影响。</w:t>
      </w:r>
    </w:p>
    <w:p>
      <w:pPr>
        <w:ind w:firstLine="480"/>
        <w:rPr>
          <w:kern w:val="0"/>
        </w:rPr>
      </w:pPr>
      <w:r>
        <w:rPr>
          <w:rFonts w:hint="eastAsia"/>
          <w:kern w:val="0"/>
        </w:rPr>
        <w:t>处置场的粉尘是一个面源，经查阅相关资料，作业区空气中的粉尘浓度比其边缘的粉尘浓度高。另外采取非雨天洒水的措施，以控制粉尘污染，次数和水量结合当时具体条件，由操作人员和管理人员掌握，把握的原则是不影响处置作业，同时又能达到最佳的控制粉尘的效果。洒水的场所主要是作业区、进场和场区道路。</w:t>
      </w:r>
    </w:p>
    <w:p>
      <w:pPr>
        <w:ind w:firstLine="480"/>
      </w:pPr>
      <w:r>
        <w:rPr>
          <w:rFonts w:hint="eastAsia"/>
        </w:rPr>
        <w:t>（</w:t>
      </w:r>
      <w:r>
        <w:t>2</w:t>
      </w:r>
      <w:r>
        <w:rPr>
          <w:rFonts w:hint="eastAsia"/>
        </w:rPr>
        <w:t>）大气污染防治措施补充建议</w:t>
      </w:r>
    </w:p>
    <w:p>
      <w:pPr>
        <w:ind w:firstLine="480"/>
      </w:pPr>
      <w:r>
        <w:rPr>
          <w:rFonts w:hint="eastAsia"/>
        </w:rPr>
        <w:t>为了减少处置场颗粒物对环境空气的影响，应文明作业，处置场和取土场经常洒水，保证固体废物和覆土有一定的湿度，减少颗粒物的产生；遇到大风天气，应减少作业面积或停止装卸车、摊铺和开挖取土；固体废物和覆土需压实，且在处置场周围种植枝叶繁茂和躯干较大的树木和灌木，以滞尘吸尘。</w:t>
      </w:r>
    </w:p>
    <w:p>
      <w:pPr>
        <w:pStyle w:val="4"/>
      </w:pPr>
      <w:r>
        <w:rPr>
          <w:rFonts w:hint="eastAsia"/>
        </w:rPr>
        <w:t>噪声污染防治措施</w:t>
      </w:r>
    </w:p>
    <w:p>
      <w:pPr>
        <w:ind w:firstLine="480"/>
      </w:pPr>
      <w:r>
        <w:rPr>
          <w:rFonts w:hint="eastAsia"/>
        </w:rPr>
        <w:t>根据噪声预测分析，该一般固体废物处置场噪声厂界超标。为进一步减少项目噪声影响，应采取以下措施：</w:t>
      </w:r>
    </w:p>
    <w:p>
      <w:pPr>
        <w:ind w:firstLine="480"/>
        <w:rPr>
          <w:u w:val="single"/>
        </w:rPr>
      </w:pPr>
      <w:r>
        <w:rPr>
          <w:rFonts w:hint="eastAsia"/>
          <w:u w:val="single"/>
        </w:rPr>
        <w:t>（1）固体废物处置场各种车辆机械设备严格管理，文明作业，避免不必要的噪声产生。</w:t>
      </w:r>
    </w:p>
    <w:p>
      <w:pPr>
        <w:ind w:firstLine="480"/>
        <w:rPr>
          <w:u w:val="single"/>
        </w:rPr>
      </w:pPr>
      <w:r>
        <w:rPr>
          <w:rFonts w:hint="eastAsia"/>
          <w:u w:val="single"/>
        </w:rPr>
        <w:t>（2）</w:t>
      </w:r>
      <w:r>
        <w:rPr>
          <w:u w:val="single"/>
        </w:rPr>
        <w:t>敏感点附近路段禁止鸣笛，并设立标志；</w:t>
      </w:r>
      <w:r>
        <w:rPr>
          <w:rFonts w:hint="eastAsia"/>
          <w:u w:val="single"/>
        </w:rPr>
        <w:t>优先使用修建声屏障</w:t>
      </w:r>
      <w:r>
        <w:rPr>
          <w:u w:val="single"/>
        </w:rPr>
        <w:t>，将有效降低噪声对周围居民的影响。</w:t>
      </w:r>
    </w:p>
    <w:p>
      <w:pPr>
        <w:pStyle w:val="4"/>
      </w:pPr>
      <w:r>
        <w:rPr>
          <w:rFonts w:hint="eastAsia"/>
        </w:rPr>
        <w:t>固体废物污染防治措施</w:t>
      </w:r>
    </w:p>
    <w:p>
      <w:pPr>
        <w:ind w:firstLine="480"/>
      </w:pPr>
      <w:r>
        <w:rPr>
          <w:rFonts w:hint="eastAsia"/>
        </w:rPr>
        <w:t>项目建成运营后产生的固废主要为作业人员的生活垃圾。本项目设置垃圾桶，生活垃圾由当地环卫部门统一收集处置，固废做到有效的处置，对周围环境产生的影响较小。</w:t>
      </w:r>
    </w:p>
    <w:p>
      <w:pPr>
        <w:pStyle w:val="4"/>
      </w:pPr>
      <w:r>
        <w:rPr>
          <w:rFonts w:hint="eastAsia"/>
        </w:rPr>
        <w:t>生态恢复</w:t>
      </w:r>
    </w:p>
    <w:p>
      <w:pPr>
        <w:ind w:firstLine="480"/>
        <w:rPr>
          <w:u w:val="single"/>
        </w:rPr>
      </w:pPr>
      <w:r>
        <w:rPr>
          <w:rFonts w:hint="eastAsia"/>
          <w:u w:val="single"/>
        </w:rPr>
        <w:t>废渣转运填埋完成后，对原废渣堆积点部分区域和填埋场表层进行生态修复，并进行表层覆土或回填，铺种草籽，总覆土绿化面积约2.1万m</w:t>
      </w:r>
      <w:r>
        <w:rPr>
          <w:rFonts w:hint="eastAsia"/>
          <w:u w:val="single"/>
          <w:vertAlign w:val="superscript"/>
        </w:rPr>
        <w:t>2</w:t>
      </w:r>
      <w:r>
        <w:rPr>
          <w:rFonts w:hint="eastAsia"/>
          <w:u w:val="single"/>
        </w:rPr>
        <w:t>。</w:t>
      </w:r>
    </w:p>
    <w:p>
      <w:pPr>
        <w:pStyle w:val="43"/>
        <w:numPr>
          <w:ilvl w:val="0"/>
          <w:numId w:val="5"/>
        </w:numPr>
        <w:ind w:firstLineChars="0"/>
        <w:rPr>
          <w:u w:val="single"/>
        </w:rPr>
      </w:pPr>
      <w:r>
        <w:rPr>
          <w:rFonts w:hint="eastAsia"/>
          <w:u w:val="single"/>
        </w:rPr>
        <w:t>绿化</w:t>
      </w:r>
    </w:p>
    <w:p>
      <w:pPr>
        <w:pStyle w:val="14"/>
        <w:rPr>
          <w:u w:val="single"/>
        </w:rPr>
      </w:pPr>
      <w:r>
        <w:rPr>
          <w:rFonts w:hint="eastAsia"/>
          <w:u w:val="single"/>
        </w:rPr>
        <w:t>表</w:t>
      </w:r>
      <w:r>
        <w:rPr>
          <w:u w:val="single"/>
        </w:rPr>
        <w:fldChar w:fldCharType="begin"/>
      </w:r>
      <w:r>
        <w:rPr>
          <w:u w:val="single"/>
        </w:rPr>
        <w:instrText xml:space="preserve"> </w:instrText>
      </w:r>
      <w:r>
        <w:rPr>
          <w:rFonts w:hint="eastAsia"/>
          <w:u w:val="single"/>
        </w:rPr>
        <w:instrText xml:space="preserve">STYLEREF 2 \s</w:instrText>
      </w:r>
      <w:r>
        <w:rPr>
          <w:u w:val="single"/>
        </w:rPr>
        <w:instrText xml:space="preserve"> </w:instrText>
      </w:r>
      <w:r>
        <w:rPr>
          <w:u w:val="single"/>
        </w:rPr>
        <w:fldChar w:fldCharType="separate"/>
      </w:r>
      <w:r>
        <w:rPr>
          <w:u w:val="single"/>
        </w:rPr>
        <w:t>7.2</w:t>
      </w:r>
      <w:r>
        <w:rPr>
          <w:u w:val="single"/>
        </w:rPr>
        <w:fldChar w:fldCharType="end"/>
      </w:r>
      <w:r>
        <w:rPr>
          <w:u w:val="single"/>
        </w:rPr>
        <w:noBreakHyphen/>
      </w:r>
      <w:r>
        <w:rPr>
          <w:u w:val="single"/>
        </w:rPr>
        <w:fldChar w:fldCharType="begin"/>
      </w:r>
      <w:r>
        <w:rPr>
          <w:u w:val="single"/>
        </w:rPr>
        <w:instrText xml:space="preserve"> </w:instrText>
      </w:r>
      <w:r>
        <w:rPr>
          <w:rFonts w:hint="eastAsia"/>
          <w:u w:val="single"/>
        </w:rPr>
        <w:instrText xml:space="preserve">SEQ 表 \* ARABIC \s 2</w:instrText>
      </w:r>
      <w:r>
        <w:rPr>
          <w:u w:val="single"/>
        </w:rPr>
        <w:instrText xml:space="preserve"> </w:instrText>
      </w:r>
      <w:r>
        <w:rPr>
          <w:u w:val="single"/>
        </w:rPr>
        <w:fldChar w:fldCharType="separate"/>
      </w:r>
      <w:r>
        <w:rPr>
          <w:u w:val="single"/>
        </w:rPr>
        <w:t>1</w:t>
      </w:r>
      <w:r>
        <w:rPr>
          <w:u w:val="single"/>
        </w:rPr>
        <w:fldChar w:fldCharType="end"/>
      </w:r>
      <w:r>
        <w:rPr>
          <w:rFonts w:hint="eastAsia"/>
          <w:u w:val="single"/>
        </w:rPr>
        <w:t xml:space="preserve"> 废渣点生态恢复内容</w:t>
      </w:r>
    </w:p>
    <w:tbl>
      <w:tblPr>
        <w:tblStyle w:val="35"/>
        <w:tblW w:w="7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7"/>
        <w:gridCol w:w="5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废渣堆存点</w:t>
            </w:r>
          </w:p>
        </w:tc>
        <w:tc>
          <w:tcPr>
            <w:tcW w:w="5777" w:type="dxa"/>
            <w:vAlign w:val="center"/>
          </w:tcPr>
          <w:p>
            <w:pPr>
              <w:pStyle w:val="37"/>
              <w:rPr>
                <w:u w:val="single"/>
              </w:rPr>
            </w:pPr>
            <w:r>
              <w:rPr>
                <w:rFonts w:hint="eastAsia"/>
                <w:u w:val="single"/>
              </w:rPr>
              <w:t>修复内容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老虎嘴</w:t>
            </w:r>
          </w:p>
        </w:tc>
        <w:tc>
          <w:tcPr>
            <w:tcW w:w="5777" w:type="dxa"/>
            <w:vAlign w:val="center"/>
          </w:tcPr>
          <w:p>
            <w:pPr>
              <w:pStyle w:val="37"/>
              <w:rPr>
                <w:u w:val="single"/>
              </w:rPr>
            </w:pPr>
            <w:r>
              <w:rPr>
                <w:rFonts w:hint="eastAsia"/>
                <w:u w:val="single"/>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东风嘴</w:t>
            </w:r>
          </w:p>
        </w:tc>
        <w:tc>
          <w:tcPr>
            <w:tcW w:w="5777" w:type="dxa"/>
            <w:vAlign w:val="center"/>
          </w:tcPr>
          <w:p>
            <w:pPr>
              <w:pStyle w:val="37"/>
              <w:rPr>
                <w:u w:val="single"/>
              </w:rPr>
            </w:pPr>
            <w:r>
              <w:rPr>
                <w:rFonts w:hint="eastAsia"/>
                <w:u w:val="single"/>
              </w:rPr>
              <w:t>播种草籽绿化，配套种植马尾松，废渣堆存点整平</w:t>
            </w:r>
            <w:r>
              <w:rPr>
                <w:u w:val="single"/>
              </w:rPr>
              <w:t>6115m</w:t>
            </w:r>
            <w:r>
              <w:rPr>
                <w:u w:val="single"/>
                <w:vertAlign w:val="superscript"/>
              </w:rPr>
              <w:t>2</w:t>
            </w:r>
            <w:r>
              <w:rPr>
                <w:rFonts w:hint="eastAsia"/>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老水井</w:t>
            </w:r>
          </w:p>
        </w:tc>
        <w:tc>
          <w:tcPr>
            <w:tcW w:w="5777" w:type="dxa"/>
            <w:vAlign w:val="center"/>
          </w:tcPr>
          <w:p>
            <w:pPr>
              <w:pStyle w:val="37"/>
              <w:rPr>
                <w:u w:val="single"/>
              </w:rPr>
            </w:pPr>
            <w:r>
              <w:rPr>
                <w:rFonts w:hint="eastAsia"/>
                <w:u w:val="single"/>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抓埠市</w:t>
            </w:r>
          </w:p>
        </w:tc>
        <w:tc>
          <w:tcPr>
            <w:tcW w:w="5777" w:type="dxa"/>
            <w:vAlign w:val="center"/>
          </w:tcPr>
          <w:p>
            <w:pPr>
              <w:pStyle w:val="37"/>
              <w:rPr>
                <w:u w:val="single"/>
              </w:rPr>
            </w:pPr>
            <w:r>
              <w:rPr>
                <w:rFonts w:hint="eastAsia"/>
                <w:u w:val="single"/>
              </w:rPr>
              <w:t>位于工业园区红线内，不做回填和绿化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胜利矶</w:t>
            </w:r>
          </w:p>
        </w:tc>
        <w:tc>
          <w:tcPr>
            <w:tcW w:w="5777" w:type="dxa"/>
            <w:vAlign w:val="center"/>
          </w:tcPr>
          <w:p>
            <w:pPr>
              <w:pStyle w:val="37"/>
              <w:rPr>
                <w:u w:val="single"/>
              </w:rPr>
            </w:pPr>
            <w:r>
              <w:rPr>
                <w:rFonts w:hint="eastAsia"/>
                <w:u w:val="single"/>
              </w:rPr>
              <w:t>播种草籽绿化，配套种植马尾松，废渣堆存点整平</w:t>
            </w:r>
            <w:r>
              <w:rPr>
                <w:u w:val="single"/>
              </w:rPr>
              <w:t>2069m</w:t>
            </w:r>
            <w:r>
              <w:rPr>
                <w:u w:val="single"/>
                <w:vertAlign w:val="superscript"/>
              </w:rPr>
              <w:t>2</w:t>
            </w:r>
            <w:r>
              <w:rPr>
                <w:rFonts w:hint="eastAsia"/>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957" w:type="dxa"/>
            <w:vAlign w:val="center"/>
          </w:tcPr>
          <w:p>
            <w:pPr>
              <w:pStyle w:val="37"/>
              <w:rPr>
                <w:u w:val="single"/>
              </w:rPr>
            </w:pPr>
            <w:r>
              <w:rPr>
                <w:rFonts w:hint="eastAsia"/>
                <w:u w:val="single"/>
              </w:rPr>
              <w:t>填埋场</w:t>
            </w:r>
          </w:p>
        </w:tc>
        <w:tc>
          <w:tcPr>
            <w:tcW w:w="5777" w:type="dxa"/>
            <w:vAlign w:val="center"/>
          </w:tcPr>
          <w:p>
            <w:pPr>
              <w:pStyle w:val="37"/>
              <w:rPr>
                <w:u w:val="single"/>
              </w:rPr>
            </w:pPr>
            <w:r>
              <w:rPr>
                <w:rFonts w:hint="eastAsia"/>
                <w:u w:val="single"/>
              </w:rPr>
              <w:t>封场面积11890m</w:t>
            </w:r>
            <w:r>
              <w:rPr>
                <w:rFonts w:hint="eastAsia"/>
                <w:u w:val="single"/>
                <w:vertAlign w:val="superscript"/>
              </w:rPr>
              <w:t>2</w:t>
            </w:r>
            <w:r>
              <w:rPr>
                <w:rFonts w:hint="eastAsia"/>
                <w:u w:val="single"/>
              </w:rPr>
              <w:t>，地面覆地绿化采用狗牙根及其他当地物种混播种植</w:t>
            </w:r>
          </w:p>
        </w:tc>
      </w:tr>
    </w:tbl>
    <w:p>
      <w:pPr>
        <w:ind w:firstLine="480"/>
        <w:rPr>
          <w:u w:val="single"/>
        </w:rPr>
      </w:pPr>
      <w:r>
        <w:rPr>
          <w:rFonts w:hint="eastAsia"/>
          <w:u w:val="single"/>
        </w:rPr>
        <w:t>原废渣点覆土，主要为老虎嘴及抓埠市区域，对废渣点清理后坑洼和地势较低处进行覆土回填，其他位置表层覆土600mm。生态修复以植草为主，在堆体表面种植一些抗污能力强的物种。</w:t>
      </w:r>
    </w:p>
    <w:p>
      <w:pPr>
        <w:ind w:firstLine="480"/>
        <w:rPr>
          <w:u w:val="single"/>
        </w:rPr>
      </w:pPr>
      <w:r>
        <w:rPr>
          <w:rFonts w:hint="eastAsia"/>
          <w:u w:val="single"/>
        </w:rPr>
        <w:t>在固体废物处置场完成一个层面后，即开始筹备覆土绿化的生态恢复工程，按照不同植物对其堆体覆盖土壤后的生态适宜性，遵循先绿后好的原则，逐渐培育生态效益更高的植被类群。</w:t>
      </w:r>
    </w:p>
    <w:p>
      <w:pPr>
        <w:ind w:firstLine="480"/>
      </w:pPr>
      <w:r>
        <w:rPr>
          <w:rFonts w:hint="eastAsia"/>
        </w:rPr>
        <w:t>（</w:t>
      </w:r>
      <w:r>
        <w:t>2</w:t>
      </w:r>
      <w:r>
        <w:rPr>
          <w:rFonts w:hint="eastAsia"/>
        </w:rPr>
        <w:t>）设置挡墙拦坝</w:t>
      </w:r>
    </w:p>
    <w:p>
      <w:pPr>
        <w:ind w:firstLine="480"/>
      </w:pPr>
      <w:r>
        <w:rPr>
          <w:rFonts w:hint="eastAsia"/>
        </w:rPr>
        <w:t>固体废物处置场设置粘土斜墙掩挡坝，粘土斜墙表面每高度</w:t>
      </w:r>
      <w:r>
        <w:t>5m</w:t>
      </w:r>
      <w:r>
        <w:rPr>
          <w:rFonts w:hint="eastAsia"/>
        </w:rPr>
        <w:t>设马道一道，共设四条，宽</w:t>
      </w:r>
      <w:r>
        <w:t>1.5m</w:t>
      </w:r>
      <w:r>
        <w:rPr>
          <w:rFonts w:hint="eastAsia"/>
        </w:rPr>
        <w:t>，马道上设置纵向排水沟，以排除大气降水在坡面形成的径流，同时在粘土斜墙表面种植草皮，以提高抗大气降水的冲刷能力，减少水土的流失。道路两旁种植长青灌木丛，填完后的场地及取土完毕的场地及时种花植树。</w:t>
      </w:r>
    </w:p>
    <w:p>
      <w:pPr>
        <w:pStyle w:val="4"/>
      </w:pPr>
      <w:bookmarkStart w:id="211" w:name="_Toc391370205"/>
      <w:bookmarkStart w:id="212" w:name="_Toc344647756"/>
      <w:bookmarkStart w:id="213" w:name="_Toc346092621"/>
      <w:r>
        <w:rPr>
          <w:rFonts w:hint="eastAsia"/>
        </w:rPr>
        <w:t>封场要求</w:t>
      </w:r>
      <w:bookmarkEnd w:id="211"/>
      <w:bookmarkEnd w:id="212"/>
      <w:bookmarkEnd w:id="213"/>
    </w:p>
    <w:p>
      <w:pPr>
        <w:ind w:firstLine="480"/>
      </w:pPr>
      <w:r>
        <w:rPr>
          <w:rFonts w:hint="eastAsia"/>
          <w:u w:val="single"/>
        </w:rPr>
        <w:t>该工程服务期满后，应关闭封场，编制关闭计划，报岳阳市云溪区环保局批准，并提出污染防治措施，避免废渣对周边环境造成二次污染。本填埋场封场面积11890m</w:t>
      </w:r>
      <w:r>
        <w:rPr>
          <w:rFonts w:hint="eastAsia"/>
          <w:u w:val="single"/>
          <w:vertAlign w:val="superscript"/>
        </w:rPr>
        <w:t>2</w:t>
      </w:r>
      <w:r>
        <w:rPr>
          <w:rFonts w:hint="eastAsia"/>
          <w:u w:val="single"/>
        </w:rPr>
        <w:t>，封场结构由下至上依次为表面复合防渗层、表面水收集排放层、植被层，封场时最终覆盖厚度约为</w:t>
      </w:r>
      <w:r>
        <w:rPr>
          <w:u w:val="single"/>
        </w:rPr>
        <w:t>1.1m</w:t>
      </w:r>
      <w:r>
        <w:rPr>
          <w:rFonts w:hint="eastAsia"/>
          <w:u w:val="single"/>
        </w:rPr>
        <w:t>，由上向下依次为：</w:t>
      </w:r>
      <w:r>
        <w:rPr>
          <w:u w:val="single"/>
        </w:rPr>
        <w:t>300mm</w:t>
      </w:r>
      <w:r>
        <w:rPr>
          <w:rFonts w:hint="eastAsia"/>
          <w:u w:val="single"/>
        </w:rPr>
        <w:t>厚营养植被层；</w:t>
      </w:r>
      <w:r>
        <w:rPr>
          <w:u w:val="single"/>
        </w:rPr>
        <w:t>450mm</w:t>
      </w:r>
      <w:r>
        <w:rPr>
          <w:rFonts w:hint="eastAsia"/>
          <w:u w:val="single"/>
        </w:rPr>
        <w:t>厚覆盖支持土层；</w:t>
      </w:r>
      <w:r>
        <w:rPr>
          <w:u w:val="single"/>
        </w:rPr>
        <w:t xml:space="preserve"> 300g/m</w:t>
      </w:r>
      <w:r>
        <w:rPr>
          <w:u w:val="single"/>
          <w:vertAlign w:val="superscript"/>
        </w:rPr>
        <w:t>2</w:t>
      </w:r>
      <w:r>
        <w:rPr>
          <w:rFonts w:hint="eastAsia"/>
          <w:u w:val="single"/>
        </w:rPr>
        <w:t>无纺布保护层；</w:t>
      </w:r>
      <w:r>
        <w:rPr>
          <w:u w:val="single"/>
        </w:rPr>
        <w:t>HDPE</w:t>
      </w:r>
      <w:r>
        <w:rPr>
          <w:rFonts w:hint="eastAsia"/>
          <w:u w:val="single"/>
        </w:rPr>
        <w:t>复合土工网格（</w:t>
      </w:r>
      <w:r>
        <w:rPr>
          <w:u w:val="single"/>
        </w:rPr>
        <w:t>5mm</w:t>
      </w:r>
      <w:r>
        <w:rPr>
          <w:rFonts w:hint="eastAsia"/>
          <w:u w:val="single"/>
        </w:rPr>
        <w:t>）；</w:t>
      </w:r>
      <w:r>
        <w:rPr>
          <w:u w:val="single"/>
        </w:rPr>
        <w:t>300g/m</w:t>
      </w:r>
      <w:r>
        <w:rPr>
          <w:u w:val="single"/>
          <w:vertAlign w:val="superscript"/>
        </w:rPr>
        <w:t>2</w:t>
      </w:r>
      <w:r>
        <w:rPr>
          <w:rFonts w:hint="eastAsia"/>
          <w:u w:val="single"/>
        </w:rPr>
        <w:t>无纺布保护层；</w:t>
      </w:r>
      <w:r>
        <w:rPr>
          <w:u w:val="single"/>
        </w:rPr>
        <w:t>HDPE</w:t>
      </w:r>
      <w:r>
        <w:rPr>
          <w:rFonts w:hint="eastAsia"/>
          <w:u w:val="single"/>
        </w:rPr>
        <w:t>复合土工网格（</w:t>
      </w:r>
      <w:r>
        <w:rPr>
          <w:u w:val="single"/>
        </w:rPr>
        <w:t>1.5mm</w:t>
      </w:r>
      <w:r>
        <w:rPr>
          <w:rFonts w:hint="eastAsia"/>
          <w:u w:val="single"/>
        </w:rPr>
        <w:t>）；</w:t>
      </w:r>
      <w:r>
        <w:rPr>
          <w:u w:val="single"/>
        </w:rPr>
        <w:t>350mm</w:t>
      </w:r>
      <w:r>
        <w:rPr>
          <w:rFonts w:hint="eastAsia"/>
          <w:u w:val="single"/>
        </w:rPr>
        <w:t>厚粘土层，总体渗透系数小于</w:t>
      </w:r>
      <w:r>
        <w:rPr>
          <w:u w:val="single"/>
        </w:rPr>
        <w:t>10</w:t>
      </w:r>
      <w:r>
        <w:rPr>
          <w:u w:val="single"/>
          <w:vertAlign w:val="superscript"/>
        </w:rPr>
        <w:t>-7</w:t>
      </w:r>
      <w:r>
        <w:rPr>
          <w:u w:val="single"/>
        </w:rPr>
        <w:t>cm/s</w:t>
      </w:r>
      <w:r>
        <w:rPr>
          <w:rFonts w:hint="eastAsia"/>
          <w:u w:val="single"/>
        </w:rPr>
        <w:t>，满足《一般工业固体废物贮存、处置场污染控制标准》（</w:t>
      </w:r>
      <w:r>
        <w:rPr>
          <w:u w:val="single"/>
        </w:rPr>
        <w:t>GB18599-2001</w:t>
      </w:r>
      <w:r>
        <w:rPr>
          <w:rFonts w:hint="eastAsia"/>
          <w:u w:val="single"/>
        </w:rPr>
        <w:t>）中的</w:t>
      </w:r>
      <w:r>
        <w:rPr>
          <w:u w:val="single"/>
        </w:rPr>
        <w:fldChar w:fldCharType="begin"/>
      </w:r>
      <w:r>
        <w:rPr>
          <w:u w:val="single"/>
        </w:rPr>
        <w:instrText xml:space="preserve"> = 2 \* ROMAN </w:instrText>
      </w:r>
      <w:r>
        <w:rPr>
          <w:u w:val="single"/>
        </w:rPr>
        <w:fldChar w:fldCharType="separate"/>
      </w:r>
      <w:r>
        <w:rPr>
          <w:u w:val="single"/>
        </w:rPr>
        <w:t>II</w:t>
      </w:r>
      <w:r>
        <w:rPr>
          <w:u w:val="single"/>
        </w:rPr>
        <w:fldChar w:fldCharType="end"/>
      </w:r>
      <w:r>
        <w:rPr>
          <w:rFonts w:hint="eastAsia"/>
          <w:u w:val="single"/>
        </w:rPr>
        <w:t>类场封场要求。</w:t>
      </w:r>
    </w:p>
    <w:p>
      <w:pPr>
        <w:ind w:firstLine="480"/>
        <w:rPr>
          <w:u w:val="single"/>
        </w:rPr>
      </w:pPr>
      <w:r>
        <w:rPr>
          <w:rFonts w:hint="eastAsia"/>
          <w:u w:val="single"/>
        </w:rPr>
        <w:t>关闭或封场后，设置标志物，注明关闭或封场时间，并加强对固体废物处置场进行绿化，地下水监测应继续，直至水质稳定为止。</w:t>
      </w:r>
    </w:p>
    <w:p>
      <w:pPr>
        <w:pStyle w:val="4"/>
      </w:pPr>
      <w:bookmarkStart w:id="214" w:name="_Toc391370206"/>
      <w:bookmarkStart w:id="215" w:name="_Toc346092622"/>
      <w:bookmarkStart w:id="216" w:name="_Toc344647757"/>
      <w:r>
        <w:rPr>
          <w:rFonts w:hint="eastAsia"/>
        </w:rPr>
        <w:t>补充的环保措施</w:t>
      </w:r>
      <w:bookmarkEnd w:id="214"/>
      <w:bookmarkEnd w:id="215"/>
      <w:bookmarkEnd w:id="216"/>
    </w:p>
    <w:p>
      <w:pPr>
        <w:ind w:firstLine="480"/>
      </w:pPr>
      <w:r>
        <w:rPr>
          <w:rFonts w:hint="eastAsia"/>
        </w:rPr>
        <w:t>本项目是处理云溪区有历史遗留工业固废，本评价提出如下建议：</w:t>
      </w:r>
    </w:p>
    <w:p>
      <w:pPr>
        <w:ind w:firstLine="480"/>
        <w:rPr>
          <w:u w:val="single"/>
        </w:rPr>
      </w:pPr>
      <w:r>
        <w:rPr>
          <w:rFonts w:hint="eastAsia"/>
          <w:u w:val="single"/>
        </w:rPr>
        <w:t>严格检查进场的固体废物类型。对于医疗垃圾、危险废物、生活垃圾绝对不允许进入本固体废物处置场，防止造成严重的新污染。因此建议对进场固体废物进行分拣。</w:t>
      </w:r>
    </w:p>
    <w:p>
      <w:pPr>
        <w:ind w:firstLine="480"/>
      </w:pPr>
      <w:r>
        <w:rPr>
          <w:rFonts w:hint="eastAsia"/>
        </w:rPr>
        <w:t>填埋作业覆土过程做好防尘、防水土流失措施。</w:t>
      </w:r>
    </w:p>
    <w:p>
      <w:pPr>
        <w:ind w:firstLine="480"/>
      </w:pPr>
      <w:r>
        <w:rPr>
          <w:rFonts w:hint="eastAsia"/>
        </w:rPr>
        <w:t>进场车辆必须接受检查，听从现场工作人员的指挥安排。</w:t>
      </w:r>
    </w:p>
    <w:p>
      <w:pPr>
        <w:ind w:firstLine="480"/>
      </w:pPr>
      <w:r>
        <w:rPr>
          <w:rFonts w:hint="eastAsia"/>
        </w:rPr>
        <w:t>倾倒固体废物时必经指定地点和方式，不得自行堆放。</w:t>
      </w:r>
    </w:p>
    <w:p>
      <w:pPr>
        <w:ind w:firstLine="480"/>
      </w:pPr>
      <w:r>
        <w:rPr>
          <w:rFonts w:hint="eastAsia"/>
        </w:rPr>
        <w:t>环境保护工作应有专人负责，适时地组织有关人员对渗滤液通过监测井进行监测；对污水的进出水质监测结果应详细记录。发现异常情况应及时上报主管部门，同时采取有效措施及时处理。</w:t>
      </w:r>
    </w:p>
    <w:p>
      <w:pPr>
        <w:pStyle w:val="3"/>
      </w:pPr>
      <w:bookmarkStart w:id="217" w:name="_Toc397322840"/>
      <w:bookmarkStart w:id="218" w:name="_Toc462818445"/>
      <w:r>
        <w:rPr>
          <w:rFonts w:hint="eastAsia"/>
        </w:rPr>
        <w:t>环保投资</w:t>
      </w:r>
      <w:bookmarkEnd w:id="217"/>
      <w:bookmarkEnd w:id="218"/>
    </w:p>
    <w:p>
      <w:pPr>
        <w:ind w:firstLine="480"/>
      </w:pPr>
      <w:r>
        <w:rPr>
          <w:rFonts w:hint="eastAsia"/>
        </w:rPr>
        <w:t>建设单位和设计单位必须严格落实废气、污水、固废、噪声环保治理措施，使环保措施与主体工程同时设计、施工和投入使用。根据设计提出的环保措施，结合评价提出的要求，本项目主要环境保护措施、设施清单详见表</w:t>
      </w:r>
      <w:r>
        <w:t>7.3-1</w:t>
      </w:r>
      <w:r>
        <w:rPr>
          <w:rFonts w:hint="eastAsia"/>
        </w:rPr>
        <w:t>。</w:t>
      </w:r>
    </w:p>
    <w:p>
      <w:pPr>
        <w:ind w:firstLine="480"/>
      </w:pPr>
      <w:r>
        <w:rPr>
          <w:rFonts w:hint="eastAsia"/>
        </w:rPr>
        <w:t>从表中可以看出本项目环保投资</w:t>
      </w:r>
      <w:r>
        <w:t>794.74</w:t>
      </w:r>
      <w:r>
        <w:rPr>
          <w:rFonts w:hint="eastAsia"/>
        </w:rPr>
        <w:t>万，占总投资的</w:t>
      </w:r>
      <w:r>
        <w:t>34.7%</w:t>
      </w:r>
      <w:r>
        <w:rPr>
          <w:rFonts w:hint="eastAsia"/>
        </w:rPr>
        <w:t>。</w:t>
      </w:r>
    </w:p>
    <w:p>
      <w:pPr>
        <w:pStyle w:val="14"/>
      </w:pPr>
      <w:r>
        <w:rPr>
          <w:rFonts w:hint="eastAsia"/>
        </w:rPr>
        <w:t>表</w:t>
      </w:r>
      <w:r>
        <w:fldChar w:fldCharType="begin"/>
      </w:r>
      <w:r>
        <w:instrText xml:space="preserve"> STYLEREF 2 \s </w:instrText>
      </w:r>
      <w:r>
        <w:fldChar w:fldCharType="separate"/>
      </w:r>
      <w:r>
        <w:t>7.3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环保措施投资清单</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714"/>
        <w:gridCol w:w="949"/>
        <w:gridCol w:w="2833"/>
        <w:gridCol w:w="1655"/>
        <w:gridCol w:w="774"/>
        <w:gridCol w:w="15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714" w:type="dxa"/>
            <w:vAlign w:val="center"/>
          </w:tcPr>
          <w:p>
            <w:pPr>
              <w:pStyle w:val="37"/>
            </w:pPr>
            <w:r>
              <w:rPr>
                <w:rFonts w:hint="eastAsia"/>
              </w:rPr>
              <w:t>项目</w:t>
            </w:r>
          </w:p>
        </w:tc>
        <w:tc>
          <w:tcPr>
            <w:tcW w:w="1663" w:type="dxa"/>
            <w:gridSpan w:val="2"/>
            <w:vAlign w:val="center"/>
          </w:tcPr>
          <w:p>
            <w:pPr>
              <w:pStyle w:val="37"/>
            </w:pPr>
            <w:r>
              <w:rPr>
                <w:rFonts w:hint="eastAsia"/>
              </w:rPr>
              <w:t>污染源</w:t>
            </w:r>
          </w:p>
        </w:tc>
        <w:tc>
          <w:tcPr>
            <w:tcW w:w="2833" w:type="dxa"/>
            <w:vAlign w:val="center"/>
          </w:tcPr>
          <w:p>
            <w:pPr>
              <w:pStyle w:val="37"/>
            </w:pPr>
            <w:r>
              <w:rPr>
                <w:rFonts w:hint="eastAsia"/>
              </w:rPr>
              <w:t>环保措施名称</w:t>
            </w:r>
          </w:p>
        </w:tc>
        <w:tc>
          <w:tcPr>
            <w:tcW w:w="1655" w:type="dxa"/>
            <w:vAlign w:val="center"/>
          </w:tcPr>
          <w:p>
            <w:pPr>
              <w:pStyle w:val="37"/>
            </w:pPr>
            <w:r>
              <w:rPr>
                <w:rFonts w:hint="eastAsia"/>
              </w:rPr>
              <w:t>环保投资（万元）</w:t>
            </w:r>
          </w:p>
        </w:tc>
        <w:tc>
          <w:tcPr>
            <w:tcW w:w="774" w:type="dxa"/>
            <w:vAlign w:val="center"/>
          </w:tcPr>
          <w:p>
            <w:pPr>
              <w:pStyle w:val="37"/>
            </w:pPr>
            <w:r>
              <w:rPr>
                <w:rFonts w:hint="eastAsia"/>
              </w:rPr>
              <w:t>数量</w:t>
            </w:r>
          </w:p>
        </w:tc>
        <w:tc>
          <w:tcPr>
            <w:tcW w:w="1507" w:type="dxa"/>
            <w:vAlign w:val="center"/>
          </w:tcPr>
          <w:p>
            <w:pPr>
              <w:pStyle w:val="37"/>
            </w:pPr>
            <w:r>
              <w:rPr>
                <w:rFonts w:hint="eastAsia"/>
              </w:rPr>
              <w:t>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714" w:type="dxa"/>
            <w:vMerge w:val="restart"/>
            <w:vAlign w:val="center"/>
          </w:tcPr>
          <w:p>
            <w:pPr>
              <w:pStyle w:val="37"/>
            </w:pPr>
            <w:r>
              <w:rPr>
                <w:rFonts w:hint="eastAsia"/>
              </w:rPr>
              <w:t>环保</w:t>
            </w:r>
          </w:p>
          <w:p>
            <w:pPr>
              <w:pStyle w:val="37"/>
            </w:pPr>
            <w:r>
              <w:rPr>
                <w:rFonts w:hint="eastAsia"/>
              </w:rPr>
              <w:t>投资</w:t>
            </w:r>
          </w:p>
        </w:tc>
        <w:tc>
          <w:tcPr>
            <w:tcW w:w="714" w:type="dxa"/>
            <w:vMerge w:val="restart"/>
            <w:vAlign w:val="center"/>
          </w:tcPr>
          <w:p>
            <w:pPr>
              <w:pStyle w:val="37"/>
            </w:pPr>
            <w:r>
              <w:rPr>
                <w:rFonts w:hint="eastAsia"/>
              </w:rPr>
              <w:t>污水</w:t>
            </w:r>
          </w:p>
        </w:tc>
        <w:tc>
          <w:tcPr>
            <w:tcW w:w="949" w:type="dxa"/>
            <w:vAlign w:val="center"/>
          </w:tcPr>
          <w:p>
            <w:pPr>
              <w:pStyle w:val="37"/>
            </w:pPr>
            <w:r>
              <w:rPr>
                <w:rFonts w:hint="eastAsia"/>
              </w:rPr>
              <w:t>施工期</w:t>
            </w:r>
          </w:p>
        </w:tc>
        <w:tc>
          <w:tcPr>
            <w:tcW w:w="2833" w:type="dxa"/>
            <w:vAlign w:val="center"/>
          </w:tcPr>
          <w:p>
            <w:pPr>
              <w:pStyle w:val="37"/>
            </w:pPr>
            <w:r>
              <w:rPr>
                <w:rFonts w:hint="eastAsia"/>
              </w:rPr>
              <w:t>沉淀池、临时化粪池</w:t>
            </w:r>
          </w:p>
        </w:tc>
        <w:tc>
          <w:tcPr>
            <w:tcW w:w="1655" w:type="dxa"/>
            <w:vAlign w:val="center"/>
          </w:tcPr>
          <w:p>
            <w:pPr>
              <w:pStyle w:val="37"/>
            </w:pPr>
            <w:r>
              <w:t>4</w:t>
            </w:r>
          </w:p>
        </w:tc>
        <w:tc>
          <w:tcPr>
            <w:tcW w:w="774" w:type="dxa"/>
            <w:vAlign w:val="center"/>
          </w:tcPr>
          <w:p>
            <w:pPr>
              <w:pStyle w:val="37"/>
            </w:pPr>
            <w:r>
              <w:t>1</w:t>
            </w:r>
            <w:r>
              <w:rPr>
                <w:rFonts w:hint="eastAsia"/>
              </w:rPr>
              <w:t>座</w:t>
            </w:r>
          </w:p>
        </w:tc>
        <w:tc>
          <w:tcPr>
            <w:tcW w:w="1507" w:type="dxa"/>
            <w:vAlign w:val="center"/>
          </w:tcPr>
          <w:p>
            <w:pPr>
              <w:pStyle w:val="37"/>
            </w:pPr>
            <w:r>
              <w:t>5m</w:t>
            </w:r>
            <w:r>
              <w:rPr>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4"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restart"/>
            <w:vAlign w:val="center"/>
          </w:tcPr>
          <w:p>
            <w:pPr>
              <w:pStyle w:val="37"/>
            </w:pPr>
            <w:r>
              <w:rPr>
                <w:rFonts w:hint="eastAsia"/>
              </w:rPr>
              <w:t>填埋期</w:t>
            </w:r>
          </w:p>
        </w:tc>
        <w:tc>
          <w:tcPr>
            <w:tcW w:w="2833" w:type="dxa"/>
            <w:vAlign w:val="center"/>
          </w:tcPr>
          <w:p>
            <w:pPr>
              <w:pStyle w:val="37"/>
            </w:pPr>
            <w:r>
              <w:rPr>
                <w:rFonts w:hint="eastAsia"/>
              </w:rPr>
              <w:t>渗滤液导排及收集池</w:t>
            </w:r>
          </w:p>
        </w:tc>
        <w:tc>
          <w:tcPr>
            <w:tcW w:w="1655" w:type="dxa"/>
            <w:vAlign w:val="center"/>
          </w:tcPr>
          <w:p>
            <w:pPr>
              <w:pStyle w:val="37"/>
            </w:pPr>
            <w:r>
              <w:t>7.85</w:t>
            </w:r>
          </w:p>
        </w:tc>
        <w:tc>
          <w:tcPr>
            <w:tcW w:w="774" w:type="dxa"/>
            <w:vAlign w:val="center"/>
          </w:tcPr>
          <w:p>
            <w:pPr>
              <w:pStyle w:val="37"/>
            </w:pPr>
          </w:p>
        </w:tc>
        <w:tc>
          <w:tcPr>
            <w:tcW w:w="1507" w:type="dxa"/>
            <w:vAlign w:val="center"/>
          </w:tcPr>
          <w:p>
            <w:pPr>
              <w:pStyle w:val="37"/>
            </w:pPr>
            <w:r>
              <w:t>90m</w:t>
            </w:r>
            <w:r>
              <w:rPr>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4"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渗滤液委托处理费用</w:t>
            </w:r>
          </w:p>
        </w:tc>
        <w:tc>
          <w:tcPr>
            <w:tcW w:w="1655" w:type="dxa"/>
            <w:vAlign w:val="center"/>
          </w:tcPr>
          <w:p>
            <w:pPr>
              <w:pStyle w:val="37"/>
            </w:pPr>
            <w:r>
              <w:t>1.3</w:t>
            </w:r>
          </w:p>
        </w:tc>
        <w:tc>
          <w:tcPr>
            <w:tcW w:w="774" w:type="dxa"/>
            <w:vAlign w:val="center"/>
          </w:tcPr>
          <w:p>
            <w:pPr>
              <w:pStyle w:val="37"/>
              <w:rPr>
                <w:color w:val="FF0000"/>
              </w:rPr>
            </w:pPr>
          </w:p>
        </w:tc>
        <w:tc>
          <w:tcPr>
            <w:tcW w:w="1507" w:type="dxa"/>
            <w:vAlign w:val="center"/>
          </w:tcPr>
          <w:p>
            <w:pPr>
              <w:pStyle w:val="37"/>
              <w:rPr>
                <w:color w:val="FF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底层防渗工程</w:t>
            </w:r>
          </w:p>
        </w:tc>
        <w:tc>
          <w:tcPr>
            <w:tcW w:w="1655" w:type="dxa"/>
            <w:vAlign w:val="center"/>
          </w:tcPr>
          <w:p>
            <w:pPr>
              <w:pStyle w:val="37"/>
            </w:pPr>
            <w:r>
              <w:t>129.30</w:t>
            </w:r>
          </w:p>
        </w:tc>
        <w:tc>
          <w:tcPr>
            <w:tcW w:w="774" w:type="dxa"/>
            <w:vAlign w:val="center"/>
          </w:tcPr>
          <w:p>
            <w:pPr>
              <w:pStyle w:val="37"/>
            </w:pPr>
          </w:p>
        </w:tc>
        <w:tc>
          <w:tcPr>
            <w:tcW w:w="1507" w:type="dxa"/>
            <w:vAlign w:val="center"/>
          </w:tcPr>
          <w:p>
            <w:pPr>
              <w:pStyle w:val="37"/>
            </w:pPr>
            <w:r>
              <w:t>4600m</w:t>
            </w:r>
            <w:r>
              <w:rPr>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边坡防渗工程</w:t>
            </w:r>
          </w:p>
        </w:tc>
        <w:tc>
          <w:tcPr>
            <w:tcW w:w="1655" w:type="dxa"/>
            <w:vAlign w:val="center"/>
          </w:tcPr>
          <w:p>
            <w:pPr>
              <w:pStyle w:val="37"/>
            </w:pPr>
            <w:r>
              <w:t>231.48</w:t>
            </w:r>
          </w:p>
        </w:tc>
        <w:tc>
          <w:tcPr>
            <w:tcW w:w="774" w:type="dxa"/>
            <w:vAlign w:val="center"/>
          </w:tcPr>
          <w:p>
            <w:pPr>
              <w:pStyle w:val="37"/>
            </w:pPr>
            <w:r>
              <w:t>/</w:t>
            </w:r>
          </w:p>
        </w:tc>
        <w:tc>
          <w:tcPr>
            <w:tcW w:w="1507" w:type="dxa"/>
            <w:vAlign w:val="center"/>
          </w:tcPr>
          <w:p>
            <w:pPr>
              <w:pStyle w:val="37"/>
            </w:pPr>
            <w:r>
              <w:t>9600m</w:t>
            </w:r>
            <w:r>
              <w:rPr>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封场防渗工程</w:t>
            </w:r>
          </w:p>
        </w:tc>
        <w:tc>
          <w:tcPr>
            <w:tcW w:w="1655" w:type="dxa"/>
            <w:vAlign w:val="center"/>
          </w:tcPr>
          <w:p>
            <w:pPr>
              <w:pStyle w:val="37"/>
            </w:pPr>
            <w:r>
              <w:t>266.37</w:t>
            </w:r>
          </w:p>
        </w:tc>
        <w:tc>
          <w:tcPr>
            <w:tcW w:w="774" w:type="dxa"/>
            <w:vAlign w:val="center"/>
          </w:tcPr>
          <w:p>
            <w:pPr>
              <w:pStyle w:val="37"/>
            </w:pPr>
          </w:p>
        </w:tc>
        <w:tc>
          <w:tcPr>
            <w:tcW w:w="1507" w:type="dxa"/>
            <w:vAlign w:val="center"/>
          </w:tcPr>
          <w:p>
            <w:pPr>
              <w:pStyle w:val="37"/>
            </w:pPr>
            <w:r>
              <w:t>11800m</w:t>
            </w:r>
            <w:r>
              <w:rPr>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截水沟</w:t>
            </w:r>
          </w:p>
        </w:tc>
        <w:tc>
          <w:tcPr>
            <w:tcW w:w="1655" w:type="dxa"/>
            <w:vAlign w:val="center"/>
          </w:tcPr>
          <w:p>
            <w:pPr>
              <w:pStyle w:val="37"/>
            </w:pPr>
            <w:r>
              <w:t>34.64</w:t>
            </w:r>
          </w:p>
        </w:tc>
        <w:tc>
          <w:tcPr>
            <w:tcW w:w="774" w:type="dxa"/>
            <w:vAlign w:val="center"/>
          </w:tcPr>
          <w:p>
            <w:pPr>
              <w:pStyle w:val="37"/>
            </w:pPr>
          </w:p>
        </w:tc>
        <w:tc>
          <w:tcPr>
            <w:tcW w:w="1507" w:type="dxa"/>
            <w:vAlign w:val="center"/>
          </w:tcPr>
          <w:p>
            <w:pPr>
              <w:pStyle w:val="37"/>
            </w:pPr>
            <w:r>
              <w:t>520m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Merge w:val="continue"/>
            <w:vAlign w:val="center"/>
          </w:tcPr>
          <w:p>
            <w:pPr>
              <w:pStyle w:val="37"/>
            </w:pPr>
          </w:p>
        </w:tc>
        <w:tc>
          <w:tcPr>
            <w:tcW w:w="2833" w:type="dxa"/>
            <w:vAlign w:val="center"/>
          </w:tcPr>
          <w:p>
            <w:pPr>
              <w:pStyle w:val="37"/>
            </w:pPr>
            <w:r>
              <w:rPr>
                <w:rFonts w:hint="eastAsia"/>
              </w:rPr>
              <w:t>排水沟</w:t>
            </w:r>
          </w:p>
        </w:tc>
        <w:tc>
          <w:tcPr>
            <w:tcW w:w="1655" w:type="dxa"/>
            <w:vAlign w:val="center"/>
          </w:tcPr>
          <w:p>
            <w:pPr>
              <w:pStyle w:val="37"/>
            </w:pPr>
            <w:r>
              <w:t>21.65</w:t>
            </w:r>
          </w:p>
        </w:tc>
        <w:tc>
          <w:tcPr>
            <w:tcW w:w="774" w:type="dxa"/>
            <w:vAlign w:val="center"/>
          </w:tcPr>
          <w:p>
            <w:pPr>
              <w:pStyle w:val="37"/>
            </w:pPr>
          </w:p>
        </w:tc>
        <w:tc>
          <w:tcPr>
            <w:tcW w:w="1507" w:type="dxa"/>
            <w:vAlign w:val="center"/>
          </w:tcPr>
          <w:p>
            <w:pPr>
              <w:pStyle w:val="37"/>
            </w:pPr>
            <w:r>
              <w:t>370m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714" w:type="dxa"/>
            <w:vMerge w:val="continue"/>
            <w:vAlign w:val="center"/>
          </w:tcPr>
          <w:p>
            <w:pPr>
              <w:pStyle w:val="37"/>
            </w:pPr>
          </w:p>
        </w:tc>
        <w:tc>
          <w:tcPr>
            <w:tcW w:w="714" w:type="dxa"/>
            <w:vMerge w:val="restart"/>
            <w:vAlign w:val="center"/>
          </w:tcPr>
          <w:p>
            <w:pPr>
              <w:pStyle w:val="37"/>
            </w:pPr>
            <w:r>
              <w:rPr>
                <w:rFonts w:hint="eastAsia"/>
              </w:rPr>
              <w:t>废气</w:t>
            </w:r>
          </w:p>
        </w:tc>
        <w:tc>
          <w:tcPr>
            <w:tcW w:w="949" w:type="dxa"/>
            <w:vAlign w:val="center"/>
          </w:tcPr>
          <w:p>
            <w:pPr>
              <w:pStyle w:val="37"/>
            </w:pPr>
            <w:r>
              <w:rPr>
                <w:rFonts w:hint="eastAsia"/>
              </w:rPr>
              <w:t>施工期</w:t>
            </w:r>
          </w:p>
        </w:tc>
        <w:tc>
          <w:tcPr>
            <w:tcW w:w="2833" w:type="dxa"/>
            <w:vAlign w:val="center"/>
          </w:tcPr>
          <w:p>
            <w:pPr>
              <w:pStyle w:val="37"/>
            </w:pPr>
            <w:r>
              <w:rPr>
                <w:rFonts w:hint="eastAsia"/>
              </w:rPr>
              <w:t>道路洒水设施</w:t>
            </w:r>
          </w:p>
        </w:tc>
        <w:tc>
          <w:tcPr>
            <w:tcW w:w="1655" w:type="dxa"/>
            <w:vAlign w:val="center"/>
          </w:tcPr>
          <w:p>
            <w:pPr>
              <w:pStyle w:val="37"/>
            </w:pPr>
            <w:r>
              <w:t>7</w:t>
            </w:r>
          </w:p>
        </w:tc>
        <w:tc>
          <w:tcPr>
            <w:tcW w:w="774" w:type="dxa"/>
            <w:vAlign w:val="center"/>
          </w:tcPr>
          <w:p>
            <w:pPr>
              <w:pStyle w:val="37"/>
            </w:pPr>
            <w:r>
              <w:t>1</w:t>
            </w:r>
            <w:r>
              <w:rPr>
                <w:rFonts w:hint="eastAsia"/>
              </w:rPr>
              <w:t>套</w:t>
            </w:r>
          </w:p>
        </w:tc>
        <w:tc>
          <w:tcPr>
            <w:tcW w:w="1507"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714" w:type="dxa"/>
            <w:vMerge w:val="continue"/>
            <w:vAlign w:val="center"/>
          </w:tcPr>
          <w:p>
            <w:pPr>
              <w:pStyle w:val="37"/>
            </w:pPr>
          </w:p>
        </w:tc>
        <w:tc>
          <w:tcPr>
            <w:tcW w:w="714" w:type="dxa"/>
            <w:vMerge w:val="continue"/>
            <w:vAlign w:val="center"/>
          </w:tcPr>
          <w:p>
            <w:pPr>
              <w:pStyle w:val="37"/>
            </w:pPr>
          </w:p>
        </w:tc>
        <w:tc>
          <w:tcPr>
            <w:tcW w:w="949" w:type="dxa"/>
            <w:vAlign w:val="center"/>
          </w:tcPr>
          <w:p>
            <w:pPr>
              <w:pStyle w:val="37"/>
            </w:pPr>
            <w:r>
              <w:rPr>
                <w:rFonts w:hint="eastAsia"/>
              </w:rPr>
              <w:t>填埋期</w:t>
            </w:r>
          </w:p>
        </w:tc>
        <w:tc>
          <w:tcPr>
            <w:tcW w:w="2833" w:type="dxa"/>
            <w:vAlign w:val="center"/>
          </w:tcPr>
          <w:p>
            <w:pPr>
              <w:pStyle w:val="37"/>
            </w:pPr>
            <w:r>
              <w:rPr>
                <w:rFonts w:hint="eastAsia"/>
              </w:rPr>
              <w:t>洒水</w:t>
            </w:r>
          </w:p>
        </w:tc>
        <w:tc>
          <w:tcPr>
            <w:tcW w:w="1655" w:type="dxa"/>
            <w:vAlign w:val="center"/>
          </w:tcPr>
          <w:p>
            <w:pPr>
              <w:pStyle w:val="37"/>
            </w:pPr>
            <w:r>
              <w:t>15</w:t>
            </w:r>
          </w:p>
        </w:tc>
        <w:tc>
          <w:tcPr>
            <w:tcW w:w="774" w:type="dxa"/>
            <w:vAlign w:val="center"/>
          </w:tcPr>
          <w:p>
            <w:pPr>
              <w:pStyle w:val="37"/>
            </w:pPr>
            <w:r>
              <w:t>30</w:t>
            </w:r>
            <w:r>
              <w:rPr>
                <w:rFonts w:hint="eastAsia"/>
              </w:rPr>
              <w:t>套</w:t>
            </w:r>
          </w:p>
        </w:tc>
        <w:tc>
          <w:tcPr>
            <w:tcW w:w="1507"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714" w:type="dxa"/>
            <w:vMerge w:val="continue"/>
            <w:vAlign w:val="center"/>
          </w:tcPr>
          <w:p>
            <w:pPr>
              <w:pStyle w:val="37"/>
            </w:pPr>
          </w:p>
        </w:tc>
        <w:tc>
          <w:tcPr>
            <w:tcW w:w="1663" w:type="dxa"/>
            <w:gridSpan w:val="2"/>
            <w:vAlign w:val="center"/>
          </w:tcPr>
          <w:p>
            <w:pPr>
              <w:pStyle w:val="37"/>
            </w:pPr>
            <w:r>
              <w:rPr>
                <w:rFonts w:hint="eastAsia"/>
              </w:rPr>
              <w:t>固废</w:t>
            </w:r>
          </w:p>
        </w:tc>
        <w:tc>
          <w:tcPr>
            <w:tcW w:w="2833" w:type="dxa"/>
            <w:vAlign w:val="center"/>
          </w:tcPr>
          <w:p>
            <w:pPr>
              <w:pStyle w:val="37"/>
            </w:pPr>
            <w:r>
              <w:rPr>
                <w:rFonts w:hint="eastAsia"/>
              </w:rPr>
              <w:t>垃圾收集桶</w:t>
            </w:r>
          </w:p>
        </w:tc>
        <w:tc>
          <w:tcPr>
            <w:tcW w:w="1655" w:type="dxa"/>
            <w:vAlign w:val="center"/>
          </w:tcPr>
          <w:p>
            <w:pPr>
              <w:pStyle w:val="37"/>
            </w:pPr>
            <w:r>
              <w:t>2</w:t>
            </w:r>
          </w:p>
        </w:tc>
        <w:tc>
          <w:tcPr>
            <w:tcW w:w="774" w:type="dxa"/>
            <w:vAlign w:val="center"/>
          </w:tcPr>
          <w:p>
            <w:pPr>
              <w:pStyle w:val="37"/>
            </w:pPr>
            <w:r>
              <w:rPr>
                <w:rFonts w:hint="eastAsia"/>
              </w:rPr>
              <w:t>若干</w:t>
            </w:r>
          </w:p>
        </w:tc>
        <w:tc>
          <w:tcPr>
            <w:tcW w:w="1507"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714" w:type="dxa"/>
            <w:vMerge w:val="continue"/>
            <w:vAlign w:val="center"/>
          </w:tcPr>
          <w:p>
            <w:pPr>
              <w:pStyle w:val="37"/>
            </w:pPr>
          </w:p>
        </w:tc>
        <w:tc>
          <w:tcPr>
            <w:tcW w:w="1663" w:type="dxa"/>
            <w:gridSpan w:val="2"/>
            <w:vAlign w:val="center"/>
          </w:tcPr>
          <w:p>
            <w:pPr>
              <w:pStyle w:val="37"/>
            </w:pPr>
            <w:r>
              <w:rPr>
                <w:rFonts w:hint="eastAsia"/>
              </w:rPr>
              <w:t>噪声</w:t>
            </w:r>
          </w:p>
        </w:tc>
        <w:tc>
          <w:tcPr>
            <w:tcW w:w="2833" w:type="dxa"/>
            <w:vAlign w:val="center"/>
          </w:tcPr>
          <w:p>
            <w:pPr>
              <w:pStyle w:val="37"/>
            </w:pPr>
            <w:r>
              <w:rPr>
                <w:rFonts w:hint="eastAsia"/>
              </w:rPr>
              <w:t>设备减振、消声</w:t>
            </w:r>
          </w:p>
        </w:tc>
        <w:tc>
          <w:tcPr>
            <w:tcW w:w="1655" w:type="dxa"/>
            <w:vAlign w:val="center"/>
          </w:tcPr>
          <w:p>
            <w:pPr>
              <w:pStyle w:val="37"/>
            </w:pPr>
            <w:r>
              <w:t>6</w:t>
            </w:r>
          </w:p>
        </w:tc>
        <w:tc>
          <w:tcPr>
            <w:tcW w:w="774" w:type="dxa"/>
            <w:vAlign w:val="center"/>
          </w:tcPr>
          <w:p>
            <w:pPr>
              <w:pStyle w:val="37"/>
            </w:pPr>
            <w:r>
              <w:t>/</w:t>
            </w:r>
          </w:p>
        </w:tc>
        <w:tc>
          <w:tcPr>
            <w:tcW w:w="1507"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714" w:type="dxa"/>
            <w:vMerge w:val="continue"/>
            <w:vAlign w:val="center"/>
          </w:tcPr>
          <w:p>
            <w:pPr>
              <w:pStyle w:val="37"/>
            </w:pPr>
          </w:p>
        </w:tc>
        <w:tc>
          <w:tcPr>
            <w:tcW w:w="1663" w:type="dxa"/>
            <w:gridSpan w:val="2"/>
            <w:vAlign w:val="center"/>
          </w:tcPr>
          <w:p>
            <w:pPr>
              <w:pStyle w:val="37"/>
            </w:pPr>
            <w:r>
              <w:rPr>
                <w:rFonts w:hint="eastAsia"/>
              </w:rPr>
              <w:t>环保监测</w:t>
            </w:r>
          </w:p>
        </w:tc>
        <w:tc>
          <w:tcPr>
            <w:tcW w:w="2833" w:type="dxa"/>
            <w:vAlign w:val="center"/>
          </w:tcPr>
          <w:p>
            <w:pPr>
              <w:pStyle w:val="37"/>
              <w:jc w:val="both"/>
            </w:pPr>
            <w:r>
              <w:rPr>
                <w:rFonts w:hint="eastAsia"/>
              </w:rPr>
              <w:t>地监测井</w:t>
            </w:r>
          </w:p>
        </w:tc>
        <w:tc>
          <w:tcPr>
            <w:tcW w:w="1655" w:type="dxa"/>
            <w:vAlign w:val="center"/>
          </w:tcPr>
          <w:p>
            <w:pPr>
              <w:pStyle w:val="37"/>
            </w:pPr>
            <w:r>
              <w:t>4.32</w:t>
            </w:r>
          </w:p>
        </w:tc>
        <w:tc>
          <w:tcPr>
            <w:tcW w:w="774" w:type="dxa"/>
            <w:vAlign w:val="center"/>
          </w:tcPr>
          <w:p>
            <w:pPr>
              <w:pStyle w:val="37"/>
              <w:jc w:val="both"/>
            </w:pPr>
            <w:r>
              <w:t>3</w:t>
            </w:r>
            <w:r>
              <w:rPr>
                <w:rFonts w:hint="eastAsia"/>
              </w:rPr>
              <w:t>个</w:t>
            </w:r>
          </w:p>
        </w:tc>
        <w:tc>
          <w:tcPr>
            <w:tcW w:w="1507" w:type="dxa"/>
            <w:vAlign w:val="center"/>
          </w:tcPr>
          <w:p>
            <w:pPr>
              <w:pStyle w:val="37"/>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714" w:type="dxa"/>
            <w:vMerge w:val="continue"/>
            <w:vAlign w:val="center"/>
          </w:tcPr>
          <w:p>
            <w:pPr>
              <w:pStyle w:val="37"/>
            </w:pPr>
          </w:p>
        </w:tc>
        <w:tc>
          <w:tcPr>
            <w:tcW w:w="1663" w:type="dxa"/>
            <w:gridSpan w:val="2"/>
            <w:vAlign w:val="center"/>
          </w:tcPr>
          <w:p>
            <w:pPr>
              <w:pStyle w:val="37"/>
            </w:pPr>
            <w:r>
              <w:rPr>
                <w:rFonts w:hint="eastAsia"/>
              </w:rPr>
              <w:t>生态</w:t>
            </w:r>
          </w:p>
        </w:tc>
        <w:tc>
          <w:tcPr>
            <w:tcW w:w="2833" w:type="dxa"/>
            <w:vAlign w:val="center"/>
          </w:tcPr>
          <w:p>
            <w:pPr>
              <w:pStyle w:val="37"/>
            </w:pPr>
            <w:r>
              <w:rPr>
                <w:rFonts w:hint="eastAsia"/>
              </w:rPr>
              <w:t>覆土绿化</w:t>
            </w:r>
          </w:p>
        </w:tc>
        <w:tc>
          <w:tcPr>
            <w:tcW w:w="1655" w:type="dxa"/>
            <w:vAlign w:val="center"/>
          </w:tcPr>
          <w:p>
            <w:pPr>
              <w:pStyle w:val="37"/>
            </w:pPr>
            <w:r>
              <w:t>63.83</w:t>
            </w:r>
          </w:p>
        </w:tc>
        <w:tc>
          <w:tcPr>
            <w:tcW w:w="774" w:type="dxa"/>
            <w:vAlign w:val="center"/>
          </w:tcPr>
          <w:p>
            <w:pPr>
              <w:pStyle w:val="37"/>
            </w:pPr>
            <w:r>
              <w:t>/</w:t>
            </w:r>
          </w:p>
        </w:tc>
        <w:tc>
          <w:tcPr>
            <w:tcW w:w="1507" w:type="dxa"/>
            <w:vAlign w:val="center"/>
          </w:tcPr>
          <w:p>
            <w:pPr>
              <w:pStyle w:val="37"/>
            </w:pPr>
            <w:r>
              <w:t>2.1</w:t>
            </w:r>
            <w:r>
              <w:rPr>
                <w:rFonts w:hint="eastAsia"/>
              </w:rPr>
              <w:t>万</w:t>
            </w:r>
            <w:r>
              <w:t>m</w:t>
            </w:r>
            <w:r>
              <w:rPr>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2377" w:type="dxa"/>
            <w:gridSpan w:val="3"/>
            <w:vAlign w:val="center"/>
          </w:tcPr>
          <w:p>
            <w:pPr>
              <w:pStyle w:val="37"/>
            </w:pPr>
            <w:r>
              <w:rPr>
                <w:rFonts w:hint="eastAsia"/>
              </w:rPr>
              <w:t>合计</w:t>
            </w:r>
          </w:p>
        </w:tc>
        <w:tc>
          <w:tcPr>
            <w:tcW w:w="6769" w:type="dxa"/>
            <w:gridSpan w:val="4"/>
            <w:vAlign w:val="center"/>
          </w:tcPr>
          <w:p>
            <w:pPr>
              <w:pStyle w:val="37"/>
            </w:pPr>
            <w:r>
              <w:t>794.74</w:t>
            </w:r>
            <w:r>
              <w:rPr>
                <w:rFonts w:hint="eastAsia"/>
              </w:rPr>
              <w:t>万元</w:t>
            </w:r>
          </w:p>
        </w:tc>
      </w:tr>
    </w:tbl>
    <w:p>
      <w:pPr>
        <w:ind w:firstLine="0" w:firstLineChars="0"/>
        <w:sectPr>
          <w:pgSz w:w="11906" w:h="16838"/>
          <w:pgMar w:top="1440" w:right="1298" w:bottom="1440" w:left="1678" w:header="851" w:footer="992" w:gutter="0"/>
          <w:cols w:space="720" w:num="1"/>
          <w:docGrid w:type="lines" w:linePitch="312" w:charSpace="0"/>
        </w:sectPr>
      </w:pPr>
    </w:p>
    <w:p>
      <w:pPr>
        <w:pStyle w:val="2"/>
      </w:pPr>
      <w:bookmarkStart w:id="219" w:name="_Toc397322848"/>
      <w:bookmarkStart w:id="220" w:name="_Toc462818446"/>
      <w:r>
        <w:rPr>
          <w:rFonts w:hint="eastAsia"/>
        </w:rPr>
        <w:t>水土保持</w:t>
      </w:r>
      <w:bookmarkEnd w:id="219"/>
      <w:bookmarkEnd w:id="220"/>
    </w:p>
    <w:p>
      <w:pPr>
        <w:pStyle w:val="3"/>
      </w:pPr>
      <w:bookmarkStart w:id="221" w:name="_Toc397322849"/>
      <w:bookmarkStart w:id="222" w:name="_Toc462818447"/>
      <w:r>
        <w:rPr>
          <w:rFonts w:hint="eastAsia"/>
        </w:rPr>
        <w:t>水土流失成因及保护分区</w:t>
      </w:r>
      <w:bookmarkEnd w:id="221"/>
      <w:bookmarkEnd w:id="222"/>
    </w:p>
    <w:p>
      <w:pPr>
        <w:pStyle w:val="4"/>
      </w:pPr>
      <w:r>
        <w:rPr>
          <w:rFonts w:hint="eastAsia"/>
        </w:rPr>
        <w:t>水土流失成因分析</w:t>
      </w:r>
    </w:p>
    <w:p>
      <w:pPr>
        <w:ind w:firstLine="480"/>
      </w:pPr>
      <w:r>
        <w:rPr>
          <w:rFonts w:hint="eastAsia"/>
        </w:rPr>
        <w:t>（</w:t>
      </w:r>
      <w:r>
        <w:t>1</w:t>
      </w:r>
      <w:r>
        <w:rPr>
          <w:rFonts w:hint="eastAsia"/>
        </w:rPr>
        <w:t>）降雨</w:t>
      </w:r>
    </w:p>
    <w:p>
      <w:pPr>
        <w:ind w:firstLine="480"/>
      </w:pPr>
      <w:r>
        <w:rPr>
          <w:rFonts w:hint="eastAsia"/>
        </w:rPr>
        <w:t>降雨是土壤受水侵蚀的动力来源，项目区降雨量的大小是影响水土流失重要因素。特别是雨季，这段时间的工程施工将会产生较大的水土流失。</w:t>
      </w:r>
    </w:p>
    <w:p>
      <w:pPr>
        <w:ind w:firstLine="480"/>
      </w:pPr>
      <w:r>
        <w:rPr>
          <w:rFonts w:hint="eastAsia"/>
        </w:rPr>
        <w:t>（</w:t>
      </w:r>
      <w:r>
        <w:t>2</w:t>
      </w:r>
      <w:r>
        <w:rPr>
          <w:rFonts w:hint="eastAsia"/>
        </w:rPr>
        <w:t>）植被</w:t>
      </w:r>
    </w:p>
    <w:p>
      <w:pPr>
        <w:ind w:firstLine="480"/>
      </w:pPr>
      <w:r>
        <w:rPr>
          <w:rFonts w:hint="eastAsia"/>
        </w:rPr>
        <w:t>植被是抵抗土壤侵蚀的积极因素，它起着截留雨水减少雨滴打击力，改善土壤结构增加渗透作用。地面上是否有植被，其覆盖率多少，在很大程度上就决定了土壤侵蚀量的大小。</w:t>
      </w:r>
    </w:p>
    <w:p>
      <w:pPr>
        <w:ind w:firstLine="480"/>
      </w:pPr>
      <w:r>
        <w:rPr>
          <w:rFonts w:hint="eastAsia"/>
        </w:rPr>
        <w:t>工程施工首先要对施工场地表层进行植被清理，这样致使工程区域内的土壤失去植物保护直接裸露出来，从而增大水土流失的可能性。</w:t>
      </w:r>
    </w:p>
    <w:p>
      <w:pPr>
        <w:ind w:firstLine="480"/>
      </w:pPr>
      <w:r>
        <w:rPr>
          <w:rFonts w:hint="eastAsia"/>
        </w:rPr>
        <w:t>（</w:t>
      </w:r>
      <w:r>
        <w:t>3</w:t>
      </w:r>
      <w:r>
        <w:rPr>
          <w:rFonts w:hint="eastAsia"/>
        </w:rPr>
        <w:t>）地形</w:t>
      </w:r>
    </w:p>
    <w:p>
      <w:pPr>
        <w:ind w:firstLine="480"/>
      </w:pPr>
      <w:r>
        <w:rPr>
          <w:rFonts w:hint="eastAsia"/>
        </w:rPr>
        <w:t>地形是影响水土流失重要因素，处置场所在地地形、地貌，在一定程度上决定着水土流失量的大小。</w:t>
      </w:r>
    </w:p>
    <w:p>
      <w:pPr>
        <w:ind w:firstLine="480"/>
      </w:pPr>
      <w:r>
        <w:rPr>
          <w:rFonts w:hint="eastAsia"/>
        </w:rPr>
        <w:t>（</w:t>
      </w:r>
      <w:r>
        <w:t>4</w:t>
      </w:r>
      <w:r>
        <w:rPr>
          <w:rFonts w:hint="eastAsia"/>
        </w:rPr>
        <w:t>）土壤</w:t>
      </w:r>
    </w:p>
    <w:p>
      <w:pPr>
        <w:ind w:firstLine="480"/>
      </w:pPr>
      <w:r>
        <w:rPr>
          <w:rFonts w:hint="eastAsia"/>
        </w:rPr>
        <w:t>土壤是降水冲刷的对象，其本身的特征如土壤质地、有机质含量与土壤受侵蚀程度有很大关系。通常有机质含量多的土壤，结构都较好，水分渗透性强，地表径流量少，水土流失量也较少。</w:t>
      </w:r>
    </w:p>
    <w:p>
      <w:pPr>
        <w:pStyle w:val="4"/>
      </w:pPr>
      <w:r>
        <w:rPr>
          <w:rFonts w:hint="eastAsia"/>
        </w:rPr>
        <w:t>水土保持分区</w:t>
      </w:r>
    </w:p>
    <w:p>
      <w:pPr>
        <w:ind w:firstLine="480"/>
      </w:pPr>
      <w:r>
        <w:rPr>
          <w:rFonts w:hint="eastAsia"/>
        </w:rPr>
        <w:t>根据工程建设的实际情况，项目建设过程中破坏地表和扰动土层的方式很多，水土流失强度及治理力度也必然有所不同。固体废物处置场的水土流失主要发生在场区清基、环场区道路边坡、拦渣坝、倾倒平台和场区内道路等。按各工程单元水土流失的特点，本项目水土流失防治分区可分为重点防治区、一般治理区和环境保护区三种类型。</w:t>
      </w:r>
    </w:p>
    <w:p>
      <w:pPr>
        <w:ind w:firstLine="480"/>
      </w:pPr>
      <w:r>
        <w:rPr>
          <w:rFonts w:hint="eastAsia"/>
        </w:rPr>
        <w:t>（</w:t>
      </w:r>
      <w:r>
        <w:t>1</w:t>
      </w:r>
      <w:r>
        <w:rPr>
          <w:rFonts w:hint="eastAsia"/>
        </w:rPr>
        <w:t>）重点防治区</w:t>
      </w:r>
    </w:p>
    <w:p>
      <w:pPr>
        <w:ind w:firstLine="480"/>
      </w:pPr>
      <w:r>
        <w:rPr>
          <w:rFonts w:hint="eastAsia"/>
        </w:rPr>
        <w:t>施工期：修建截洪沟时扰动的区域、场区清基、进场道路、环库区道路；固体废物处置期：处置后的固体废物堆体及场内道路、拦渣坝、进场道路及环库区道路的边坡、管道。</w:t>
      </w:r>
    </w:p>
    <w:p>
      <w:pPr>
        <w:ind w:firstLine="480"/>
      </w:pPr>
      <w:r>
        <w:rPr>
          <w:rFonts w:hint="eastAsia"/>
        </w:rPr>
        <w:t>（</w:t>
      </w:r>
      <w:r>
        <w:t>2</w:t>
      </w:r>
      <w:r>
        <w:rPr>
          <w:rFonts w:hint="eastAsia"/>
        </w:rPr>
        <w:t>）一般治理区</w:t>
      </w:r>
    </w:p>
    <w:p>
      <w:pPr>
        <w:ind w:firstLine="480"/>
      </w:pPr>
      <w:r>
        <w:rPr>
          <w:rFonts w:hint="eastAsia"/>
        </w:rPr>
        <w:t>主要是施工期处置场填埋区场地，该区域存在一定的侵蚀，应采取较为合理的防治措施。</w:t>
      </w:r>
    </w:p>
    <w:p>
      <w:pPr>
        <w:ind w:firstLine="480"/>
      </w:pPr>
      <w:r>
        <w:rPr>
          <w:rFonts w:hint="eastAsia"/>
        </w:rPr>
        <w:t>（</w:t>
      </w:r>
      <w:r>
        <w:t>3</w:t>
      </w:r>
      <w:r>
        <w:rPr>
          <w:rFonts w:hint="eastAsia"/>
        </w:rPr>
        <w:t>）环境保护区</w:t>
      </w:r>
    </w:p>
    <w:p>
      <w:pPr>
        <w:ind w:firstLine="480"/>
      </w:pPr>
      <w:r>
        <w:rPr>
          <w:rFonts w:hint="eastAsia"/>
        </w:rPr>
        <w:t>包括周边地区、进场道路两侧护坡道以及周围未开采区域的植被等。</w:t>
      </w:r>
    </w:p>
    <w:p>
      <w:pPr>
        <w:pStyle w:val="3"/>
      </w:pPr>
      <w:bookmarkStart w:id="223" w:name="_Toc397322850"/>
      <w:bookmarkStart w:id="224" w:name="_Toc462818448"/>
      <w:r>
        <w:rPr>
          <w:rFonts w:hint="eastAsia"/>
        </w:rPr>
        <w:t>水土流失影响分析</w:t>
      </w:r>
      <w:bookmarkEnd w:id="223"/>
      <w:bookmarkEnd w:id="224"/>
    </w:p>
    <w:p>
      <w:pPr>
        <w:pStyle w:val="4"/>
      </w:pPr>
      <w:r>
        <w:rPr>
          <w:rFonts w:hint="eastAsia"/>
        </w:rPr>
        <w:t>施工期</w:t>
      </w:r>
    </w:p>
    <w:p>
      <w:pPr>
        <w:ind w:firstLine="480"/>
      </w:pPr>
      <w:r>
        <w:rPr>
          <w:rFonts w:hint="eastAsia"/>
        </w:rPr>
        <w:t>从工程内容可知，处置场的建设首先要进行场地清基、平整土地，同时要建设进场道路，建筑拦渣坝等。以上施工活动均要铲除植被、清除表土，造成施工场地的地表裸露。由于工程防渗采取一次施工，施工区地表裸露和表土堆存必然加大场区的水土流失，特别是场内清基，由于施工面积大，冲沟两侧有一定的坡度，将加重施工期的水土流失。项目的施工期为</w:t>
      </w:r>
      <w:r>
        <w:t>7</w:t>
      </w:r>
      <w:r>
        <w:rPr>
          <w:rFonts w:hint="eastAsia"/>
        </w:rPr>
        <w:t>个月，因此水土流失的影响也将持续</w:t>
      </w:r>
      <w:r>
        <w:t>7</w:t>
      </w:r>
      <w:r>
        <w:rPr>
          <w:rFonts w:hint="eastAsia"/>
        </w:rPr>
        <w:t>个月。水土流失严重的施工阶段是在前期的</w:t>
      </w:r>
      <w:r>
        <w:t>3</w:t>
      </w:r>
      <w:r>
        <w:rPr>
          <w:rFonts w:hint="eastAsia"/>
        </w:rPr>
        <w:t>个月左右的土建施工阶段，待拦渣坝施工完成后，水土流失将会得到控制。</w:t>
      </w:r>
    </w:p>
    <w:p>
      <w:pPr>
        <w:ind w:firstLine="480"/>
      </w:pPr>
      <w:r>
        <w:rPr>
          <w:rFonts w:hint="eastAsia"/>
        </w:rPr>
        <w:t>固体废物处置场施工便道利用采石场原有道路，全长</w:t>
      </w:r>
      <w:r>
        <w:t>1415m</w:t>
      </w:r>
      <w:r>
        <w:rPr>
          <w:rFonts w:hint="eastAsia"/>
        </w:rPr>
        <w:t>。本评价认为减小施工期水土流失的有效措施是在建设初期优先建设截排水沟、拦渣坝，可以将场区外的降水引出场区，以减小场内地表径流来达到控制水土流失的目的。为减小水土流失施工前期应优先完成固体废物处置场拦渣坝截排水沟的建设，以利于场区排水。</w:t>
      </w:r>
    </w:p>
    <w:p>
      <w:pPr>
        <w:pStyle w:val="4"/>
      </w:pPr>
      <w:r>
        <w:rPr>
          <w:rFonts w:hint="eastAsia"/>
        </w:rPr>
        <w:t>填埋期</w:t>
      </w:r>
    </w:p>
    <w:p>
      <w:pPr>
        <w:ind w:firstLine="480"/>
        <w:rPr>
          <w:kern w:val="0"/>
        </w:rPr>
      </w:pPr>
      <w:r>
        <w:rPr>
          <w:rFonts w:hint="eastAsia"/>
        </w:rPr>
        <w:t>填埋期的水土流失主要产生于取土过程。</w:t>
      </w:r>
      <w:r>
        <w:rPr>
          <w:rFonts w:hint="eastAsia"/>
          <w:kern w:val="0"/>
        </w:rPr>
        <w:t>本项目不设覆土备料场，覆土来源为</w:t>
      </w:r>
      <w:r>
        <w:rPr>
          <w:kern w:val="0"/>
        </w:rPr>
        <w:t>G107</w:t>
      </w:r>
      <w:r>
        <w:rPr>
          <w:rFonts w:hint="eastAsia"/>
          <w:kern w:val="0"/>
        </w:rPr>
        <w:t>修建多余弃土，随取随用。</w:t>
      </w:r>
    </w:p>
    <w:p>
      <w:pPr>
        <w:ind w:firstLine="480"/>
      </w:pPr>
      <w:r>
        <w:rPr>
          <w:rFonts w:hint="eastAsia"/>
        </w:rPr>
        <w:t>由于取土时土方的开挖和堆放，在雨季可能导致取土场产生水土流失，因此取土作业时应采取分台阶作业，并采取设临时截洪沟的防治措施，可以减小取土过程的水土流失量。</w:t>
      </w:r>
    </w:p>
    <w:p>
      <w:pPr>
        <w:pStyle w:val="4"/>
      </w:pPr>
      <w:bookmarkStart w:id="225" w:name="_Toc391370239"/>
      <w:bookmarkStart w:id="226" w:name="_Toc344647774"/>
      <w:bookmarkStart w:id="227" w:name="_Toc346092649"/>
      <w:r>
        <w:rPr>
          <w:rFonts w:hint="eastAsia"/>
        </w:rPr>
        <w:t>封场</w:t>
      </w:r>
      <w:bookmarkEnd w:id="225"/>
      <w:bookmarkEnd w:id="226"/>
      <w:bookmarkEnd w:id="227"/>
      <w:r>
        <w:rPr>
          <w:rFonts w:hint="eastAsia"/>
        </w:rPr>
        <w:t>期</w:t>
      </w:r>
    </w:p>
    <w:p>
      <w:pPr>
        <w:ind w:firstLine="480"/>
      </w:pPr>
      <w:r>
        <w:rPr>
          <w:rFonts w:hint="eastAsia"/>
        </w:rPr>
        <w:t>封场时需覆盖自然土、粘土、贫瘠土、营养土等，封场取土的水土流失不可忽视。在取土时应按环保要求，采取设临时截洪沟、按分台阶取土等方式减小水土流失量。</w:t>
      </w:r>
    </w:p>
    <w:p>
      <w:pPr>
        <w:ind w:firstLine="480"/>
      </w:pPr>
      <w:r>
        <w:rPr>
          <w:rFonts w:hint="eastAsia"/>
        </w:rPr>
        <w:t>封场后，表面上设置表面排水沟，排水顺势接入拦洪坝，再加上进行植被恢复，因此封场后不会增加区域的水土流失。</w:t>
      </w:r>
    </w:p>
    <w:p>
      <w:pPr>
        <w:pStyle w:val="3"/>
      </w:pPr>
      <w:bookmarkStart w:id="228" w:name="_Toc397322851"/>
      <w:bookmarkStart w:id="229" w:name="_Toc346092650"/>
      <w:bookmarkStart w:id="230" w:name="_Toc391370240"/>
      <w:bookmarkStart w:id="231" w:name="_Toc344647775"/>
      <w:bookmarkStart w:id="232" w:name="_Toc277522131"/>
      <w:bookmarkStart w:id="233" w:name="_Toc462818449"/>
      <w:r>
        <w:rPr>
          <w:rFonts w:hint="eastAsia"/>
        </w:rPr>
        <w:t>生态恢复及水土保持措施</w:t>
      </w:r>
      <w:bookmarkEnd w:id="228"/>
      <w:bookmarkEnd w:id="229"/>
      <w:bookmarkEnd w:id="230"/>
      <w:bookmarkEnd w:id="231"/>
      <w:bookmarkEnd w:id="232"/>
      <w:bookmarkEnd w:id="233"/>
    </w:p>
    <w:p>
      <w:pPr>
        <w:ind w:firstLine="480"/>
      </w:pPr>
      <w:r>
        <w:rPr>
          <w:rFonts w:hint="eastAsia"/>
        </w:rPr>
        <w:t>本项目植被破坏主要发生在施工期，而水土流失较强烈的时期主要在施工期的道路和截洪沟修建和填埋期的拦渣坝等，为了减缓水土流失的发生，应加强植被保护和恢复力度、加强各种边坡、护坡的修建和维护。</w:t>
      </w:r>
    </w:p>
    <w:p>
      <w:pPr>
        <w:pStyle w:val="4"/>
      </w:pPr>
      <w:bookmarkStart w:id="234" w:name="_Toc391370241"/>
      <w:bookmarkStart w:id="235" w:name="_Toc344647776"/>
      <w:bookmarkStart w:id="236" w:name="_Toc346092651"/>
      <w:r>
        <w:rPr>
          <w:rFonts w:hint="eastAsia"/>
        </w:rPr>
        <w:t>施工期</w:t>
      </w:r>
      <w:bookmarkEnd w:id="234"/>
      <w:bookmarkEnd w:id="235"/>
      <w:bookmarkEnd w:id="236"/>
    </w:p>
    <w:p>
      <w:pPr>
        <w:ind w:firstLine="480"/>
      </w:pPr>
      <w:r>
        <w:rPr>
          <w:rFonts w:hint="eastAsia"/>
        </w:rPr>
        <w:t>为减少固体废物处置场及其道路施工对生态环境产生的不利影响，拟订施工方案时，工程建设单位应为本工程的弃土制定处置计划，弃土出路应主要用于固体废物处置场建成后的覆土。按规定地点处理弃土，并不定期地检查执行计划情况。同时，应考虑处置场构筑物和道路修筑以及场地平整过程中的水土保持方案，并对临时性松散表土作适当压实处理，在坡面＞</w:t>
      </w:r>
      <w:r>
        <w:t>25°</w:t>
      </w:r>
      <w:r>
        <w:rPr>
          <w:rFonts w:hint="eastAsia"/>
        </w:rPr>
        <w:t>时要作护坡处理，永久性坡面种植草皮。在堆土场周边应设置干砌片石护坡，护坡外侧设置雨水截留沟。</w:t>
      </w:r>
    </w:p>
    <w:p>
      <w:pPr>
        <w:ind w:firstLine="480"/>
      </w:pPr>
      <w:bookmarkStart w:id="237" w:name="_Toc195611185"/>
      <w:r>
        <w:rPr>
          <w:rFonts w:hint="eastAsia"/>
        </w:rPr>
        <w:t>施工中遇到有毒有害废弃物应暂时停止施工并及时与地方环保、卫生部门联系，经他们采取措施处理后才能继续施工。在施工时应仔细选择施工路线与组织施工，尽可能少伐乔灌木。在施工结束后应采取植草与移栽等措施消灭裸露地面，恢复植被。</w:t>
      </w:r>
      <w:bookmarkEnd w:id="237"/>
    </w:p>
    <w:p>
      <w:pPr>
        <w:ind w:firstLine="480"/>
      </w:pPr>
      <w:bookmarkStart w:id="238" w:name="_Toc195611186"/>
      <w:r>
        <w:rPr>
          <w:rFonts w:hint="eastAsia"/>
        </w:rPr>
        <w:t>道路施工时在路线选择上应充分考虑沿线植被状况，严格控制开挖面，尽可能减少植被破坏量。</w:t>
      </w:r>
      <w:bookmarkEnd w:id="238"/>
      <w:r>
        <w:rPr>
          <w:rFonts w:hint="eastAsia"/>
        </w:rPr>
        <w:t>在水土流失易发生的区段及时修建各种雨水截流沟渠，并对扰动的山体建造护坡。另外要首先要在库区周围设置拦洪坝，保证清污分流，将填埋区以外的雨水直接收集外排。</w:t>
      </w:r>
    </w:p>
    <w:p>
      <w:pPr>
        <w:ind w:firstLine="480"/>
      </w:pPr>
      <w:bookmarkStart w:id="239" w:name="_Toc195611187"/>
      <w:r>
        <w:rPr>
          <w:rFonts w:hint="eastAsia"/>
        </w:rPr>
        <w:t>施工期山体的开挖对植被的清除应严格控制在当时所需的开挖面上，保存与保护好坡下植被。既减少了不必要的植被破坏，又减少了水土流失。</w:t>
      </w:r>
      <w:bookmarkEnd w:id="239"/>
    </w:p>
    <w:p>
      <w:pPr>
        <w:pStyle w:val="4"/>
      </w:pPr>
      <w:r>
        <w:rPr>
          <w:rFonts w:hint="eastAsia"/>
        </w:rPr>
        <w:t>填埋期</w:t>
      </w:r>
    </w:p>
    <w:p>
      <w:pPr>
        <w:ind w:firstLine="480"/>
      </w:pPr>
      <w:r>
        <w:rPr>
          <w:rFonts w:hint="eastAsia"/>
        </w:rPr>
        <w:t>工程运行期中间覆盖施工时注意实行单元填埋，随倒随压、层层压实，当日覆盖，避免降雨造成的水土流失。建设项目应做好处置场及影响区的水土保持防治工作，有效控制新增水土流失，避免工程可能带来的不良影响。</w:t>
      </w:r>
    </w:p>
    <w:p>
      <w:pPr>
        <w:pStyle w:val="4"/>
      </w:pPr>
      <w:bookmarkStart w:id="240" w:name="_Toc344647778"/>
      <w:bookmarkStart w:id="241" w:name="_Toc346092653"/>
      <w:bookmarkStart w:id="242" w:name="_Toc391370243"/>
      <w:r>
        <w:rPr>
          <w:rFonts w:hint="eastAsia"/>
        </w:rPr>
        <w:t>封场期</w:t>
      </w:r>
      <w:bookmarkEnd w:id="240"/>
      <w:bookmarkEnd w:id="241"/>
      <w:bookmarkEnd w:id="242"/>
    </w:p>
    <w:p>
      <w:pPr>
        <w:ind w:firstLine="480"/>
        <w:rPr>
          <w:color w:val="FF0000"/>
        </w:rPr>
      </w:pPr>
      <w:bookmarkStart w:id="243" w:name="_Toc195611188"/>
      <w:r>
        <w:rPr>
          <w:rFonts w:hint="eastAsia"/>
        </w:rPr>
        <w:t>封场期应在场区内、场区四周及封场后的填埋体上进行绿化种植，形成优美的环境；在填埋区周围应设计至少</w:t>
      </w:r>
      <w:r>
        <w:t>10m</w:t>
      </w:r>
      <w:r>
        <w:rPr>
          <w:rFonts w:hint="eastAsia"/>
        </w:rPr>
        <w:t>宽的绿化带；</w:t>
      </w:r>
      <w:bookmarkEnd w:id="243"/>
      <w:r>
        <w:rPr>
          <w:rFonts w:hint="eastAsia"/>
          <w:color w:val="FF0000"/>
        </w:rPr>
        <w:t>封场后填埋区种植草皮</w:t>
      </w:r>
      <w:r>
        <w:rPr>
          <w:color w:val="FF0000"/>
        </w:rPr>
        <w:t>14268 m</w:t>
      </w:r>
      <w:r>
        <w:rPr>
          <w:color w:val="FF0000"/>
          <w:vertAlign w:val="superscript"/>
        </w:rPr>
        <w:t>2</w:t>
      </w:r>
      <w:r>
        <w:rPr>
          <w:rFonts w:hint="eastAsia"/>
          <w:color w:val="FF0000"/>
        </w:rPr>
        <w:t>，原废渣点播种草籽</w:t>
      </w:r>
      <w:r>
        <w:rPr>
          <w:color w:val="FF0000"/>
        </w:rPr>
        <w:t>9821 m</w:t>
      </w:r>
      <w:r>
        <w:rPr>
          <w:color w:val="FF0000"/>
          <w:vertAlign w:val="superscript"/>
        </w:rPr>
        <w:t>2</w:t>
      </w:r>
      <w:r>
        <w:rPr>
          <w:rFonts w:hint="eastAsia"/>
          <w:color w:val="FF0000"/>
        </w:rPr>
        <w:t>。</w:t>
      </w:r>
    </w:p>
    <w:p>
      <w:pPr>
        <w:ind w:firstLine="480"/>
      </w:pPr>
      <w:r>
        <w:rPr>
          <w:rFonts w:hint="eastAsia"/>
        </w:rPr>
        <w:t>填埋区周边绿化树种选择的原则：以本地树种为主；抗尘、滞尘能力强，降噪效果好的树种；速生树与慢长树种结合，慢长树种宜整株带土球种植；针叶与阔叶相结合，以阔叶为主。</w:t>
      </w:r>
    </w:p>
    <w:p>
      <w:pPr>
        <w:pStyle w:val="4"/>
      </w:pPr>
      <w:bookmarkStart w:id="244" w:name="_Toc346092654"/>
      <w:bookmarkStart w:id="245" w:name="_Toc344647779"/>
      <w:bookmarkStart w:id="246" w:name="_Toc391370244"/>
      <w:r>
        <w:rPr>
          <w:rFonts w:hint="eastAsia"/>
        </w:rPr>
        <w:t>终场期</w:t>
      </w:r>
      <w:bookmarkEnd w:id="244"/>
      <w:bookmarkEnd w:id="245"/>
      <w:bookmarkEnd w:id="246"/>
    </w:p>
    <w:p>
      <w:pPr>
        <w:ind w:firstLine="480"/>
      </w:pPr>
      <w:r>
        <w:rPr>
          <w:rFonts w:hint="eastAsia"/>
        </w:rPr>
        <w:t>固体废物处置场达到退役年限后即终场期应注意生态恢复，在终场覆盖土层上种植植被，继续引导和处理渗沥水。固体废物处置场稳定以前，对地下水、大气进行定期监测。固体废物处置场稳定后，经监测、论证和有关部门审定后，可以对土地进行适宜的开发利用，但不宜用作建筑用地。</w:t>
      </w: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pPr>
    </w:p>
    <w:p>
      <w:pPr>
        <w:ind w:firstLine="480"/>
        <w:sectPr>
          <w:pgSz w:w="11906" w:h="16838"/>
          <w:pgMar w:top="1440" w:right="1298" w:bottom="1440" w:left="1678" w:header="851" w:footer="992" w:gutter="0"/>
          <w:cols w:space="720" w:num="1"/>
          <w:docGrid w:type="lines" w:linePitch="312" w:charSpace="0"/>
        </w:sectPr>
      </w:pPr>
    </w:p>
    <w:p>
      <w:pPr>
        <w:pStyle w:val="2"/>
        <w:sectPr>
          <w:pgSz w:w="11906" w:h="16838"/>
          <w:pgMar w:top="1440" w:right="1298" w:bottom="1440" w:left="1678" w:header="851" w:footer="992" w:gutter="0"/>
          <w:cols w:space="720" w:num="1"/>
          <w:docGrid w:type="lines" w:linePitch="312" w:charSpace="0"/>
        </w:sectPr>
      </w:pPr>
    </w:p>
    <w:p>
      <w:pPr>
        <w:pStyle w:val="2"/>
      </w:pPr>
      <w:bookmarkStart w:id="247" w:name="_Toc462818450"/>
      <w:r>
        <w:rPr>
          <w:rFonts w:hint="eastAsia"/>
        </w:rPr>
        <w:t>可行性分析</w:t>
      </w:r>
      <w:bookmarkEnd w:id="247"/>
    </w:p>
    <w:p>
      <w:pPr>
        <w:pStyle w:val="3"/>
      </w:pPr>
      <w:bookmarkStart w:id="248" w:name="_Toc397322858"/>
      <w:bookmarkStart w:id="249" w:name="_Toc462818451"/>
      <w:r>
        <w:rPr>
          <w:rFonts w:hint="eastAsia"/>
        </w:rPr>
        <w:t>厂址选择基本原则</w:t>
      </w:r>
      <w:bookmarkEnd w:id="248"/>
      <w:bookmarkEnd w:id="249"/>
    </w:p>
    <w:p>
      <w:pPr>
        <w:ind w:firstLine="480"/>
      </w:pPr>
      <w:r>
        <w:rPr>
          <w:rFonts w:hint="eastAsia"/>
        </w:rPr>
        <w:t>根据《一般工业固体废物贮存、处置场污染控制标准》（</w:t>
      </w:r>
      <w:r>
        <w:t>GB18599-2001</w:t>
      </w:r>
      <w:r>
        <w:rPr>
          <w:rFonts w:hint="eastAsia"/>
        </w:rPr>
        <w:t>）中场址选择的环境保护要求：</w:t>
      </w:r>
    </w:p>
    <w:p>
      <w:pPr>
        <w:ind w:firstLine="480"/>
      </w:pPr>
      <w:r>
        <w:rPr>
          <w:rFonts w:hint="eastAsia"/>
        </w:rPr>
        <w:t>①所选场址应符合当地城乡建设总体规划要求；</w:t>
      </w:r>
    </w:p>
    <w:p>
      <w:pPr>
        <w:ind w:firstLine="480"/>
      </w:pPr>
      <w:r>
        <w:rPr>
          <w:rFonts w:hint="eastAsia"/>
        </w:rPr>
        <w:t>②应选在工业区和居民集中区主导风向下风侧，场界距居民集中区</w:t>
      </w:r>
      <w:r>
        <w:t>500m</w:t>
      </w:r>
      <w:r>
        <w:rPr>
          <w:rFonts w:hint="eastAsia"/>
        </w:rPr>
        <w:t>以外；</w:t>
      </w:r>
    </w:p>
    <w:p>
      <w:pPr>
        <w:ind w:firstLine="480"/>
      </w:pPr>
      <w:r>
        <w:rPr>
          <w:rFonts w:hint="eastAsia"/>
        </w:rPr>
        <w:t>③应选在满足承载力要求的地基上，以避免地基下沉的影响，特别是不均匀或局部下沉的影响。</w:t>
      </w:r>
    </w:p>
    <w:p>
      <w:pPr>
        <w:ind w:firstLine="480"/>
      </w:pPr>
      <w:r>
        <w:rPr>
          <w:rFonts w:hint="eastAsia"/>
        </w:rPr>
        <w:t>④应避开断层、断层破碎带、溶洞区，以及天然滑坡或泥石流影响区。</w:t>
      </w:r>
    </w:p>
    <w:p>
      <w:pPr>
        <w:ind w:firstLine="480"/>
      </w:pPr>
      <w:r>
        <w:rPr>
          <w:rFonts w:hint="eastAsia"/>
        </w:rPr>
        <w:t>⑤禁止选在江河、湖泊、水库最高水位线以下的滩地和洪泛区。</w:t>
      </w:r>
    </w:p>
    <w:p>
      <w:pPr>
        <w:ind w:firstLine="480"/>
      </w:pPr>
      <w:r>
        <w:rPr>
          <w:rFonts w:hint="eastAsia"/>
        </w:rPr>
        <w:t>⑥禁止选在自然保护区、风景名胜区和其他需要特殊保护的区域。</w:t>
      </w:r>
    </w:p>
    <w:p>
      <w:pPr>
        <w:ind w:firstLine="480"/>
      </w:pPr>
      <w:r>
        <w:rPr>
          <w:rFonts w:hint="eastAsia"/>
        </w:rPr>
        <w:t>⑦应避开地下水主要补给区和饮用水源含水层。</w:t>
      </w:r>
    </w:p>
    <w:p>
      <w:pPr>
        <w:ind w:firstLine="480"/>
      </w:pPr>
      <w:r>
        <w:rPr>
          <w:rFonts w:hint="eastAsia"/>
        </w:rPr>
        <w:t>⑧应选在防渗性能好的地基上。天然基础层地表距地下水位的距离不得小于</w:t>
      </w:r>
      <w:r>
        <w:t>1.5m</w:t>
      </w:r>
      <w:r>
        <w:rPr>
          <w:rFonts w:hint="eastAsia"/>
        </w:rPr>
        <w:t>。</w:t>
      </w:r>
    </w:p>
    <w:p>
      <w:pPr>
        <w:ind w:firstLine="480"/>
      </w:pPr>
      <w:r>
        <w:rPr>
          <w:rFonts w:hint="eastAsia"/>
        </w:rPr>
        <w:t>路口镇牌楼村场址位于采石矿废弃矿坑。场地及周边地区主要为荒地，仅有少量农田，场址内无居民居住，无需进行拆迁，无工业设施，满足上述选址要求。</w:t>
      </w:r>
    </w:p>
    <w:p>
      <w:pPr>
        <w:ind w:firstLine="480"/>
      </w:pPr>
      <w:r>
        <w:rPr>
          <w:rFonts w:hint="eastAsia"/>
        </w:rPr>
        <w:t>结合云溪区总体规划、地形地貌、水文条件及交通等各方面的相关因素，场址方案情况见表</w:t>
      </w:r>
      <w:r>
        <w:t>10.1-1</w:t>
      </w:r>
      <w:r>
        <w:rPr>
          <w:rFonts w:hint="eastAsia"/>
        </w:rPr>
        <w:t>。</w:t>
      </w:r>
    </w:p>
    <w:p>
      <w:pPr>
        <w:pStyle w:val="14"/>
        <w:rPr>
          <w:u w:val="single"/>
        </w:rPr>
      </w:pPr>
      <w:r>
        <w:rPr>
          <w:rFonts w:hint="eastAsia"/>
          <w:u w:val="single"/>
        </w:rPr>
        <w:t>表</w:t>
      </w:r>
      <w:r>
        <w:rPr>
          <w:u w:val="single"/>
        </w:rPr>
        <w:fldChar w:fldCharType="begin"/>
      </w:r>
      <w:r>
        <w:rPr>
          <w:u w:val="single"/>
        </w:rPr>
        <w:instrText xml:space="preserve"> </w:instrText>
      </w:r>
      <w:r>
        <w:rPr>
          <w:rFonts w:hint="eastAsia"/>
          <w:u w:val="single"/>
        </w:rPr>
        <w:instrText xml:space="preserve">STYLEREF 2 \s</w:instrText>
      </w:r>
      <w:r>
        <w:rPr>
          <w:u w:val="single"/>
        </w:rPr>
        <w:instrText xml:space="preserve"> </w:instrText>
      </w:r>
      <w:r>
        <w:rPr>
          <w:u w:val="single"/>
        </w:rPr>
        <w:fldChar w:fldCharType="separate"/>
      </w:r>
      <w:r>
        <w:rPr>
          <w:u w:val="single"/>
        </w:rPr>
        <w:t>9.1</w:t>
      </w:r>
      <w:r>
        <w:rPr>
          <w:u w:val="single"/>
        </w:rPr>
        <w:fldChar w:fldCharType="end"/>
      </w:r>
      <w:r>
        <w:rPr>
          <w:u w:val="single"/>
        </w:rPr>
        <w:noBreakHyphen/>
      </w:r>
      <w:r>
        <w:rPr>
          <w:u w:val="single"/>
        </w:rPr>
        <w:fldChar w:fldCharType="begin"/>
      </w:r>
      <w:r>
        <w:rPr>
          <w:u w:val="single"/>
        </w:rPr>
        <w:instrText xml:space="preserve"> </w:instrText>
      </w:r>
      <w:r>
        <w:rPr>
          <w:rFonts w:hint="eastAsia"/>
          <w:u w:val="single"/>
        </w:rPr>
        <w:instrText xml:space="preserve">SEQ 表 \* ARABIC \s 2</w:instrText>
      </w:r>
      <w:r>
        <w:rPr>
          <w:u w:val="single"/>
        </w:rPr>
        <w:instrText xml:space="preserve"> </w:instrText>
      </w:r>
      <w:r>
        <w:rPr>
          <w:u w:val="single"/>
        </w:rPr>
        <w:fldChar w:fldCharType="separate"/>
      </w:r>
      <w:r>
        <w:rPr>
          <w:u w:val="single"/>
        </w:rPr>
        <w:t>1</w:t>
      </w:r>
      <w:r>
        <w:rPr>
          <w:u w:val="single"/>
        </w:rPr>
        <w:fldChar w:fldCharType="end"/>
      </w:r>
      <w:r>
        <w:rPr>
          <w:rFonts w:hint="eastAsia"/>
          <w:u w:val="single"/>
        </w:rPr>
        <w:t>场址介绍表</w:t>
      </w:r>
    </w:p>
    <w:tbl>
      <w:tblPr>
        <w:tblStyle w:val="35"/>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gridCol w:w="3232"/>
        <w:gridCol w:w="4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blHeader/>
          <w:jc w:val="center"/>
        </w:trPr>
        <w:tc>
          <w:tcPr>
            <w:tcW w:w="1158" w:type="dxa"/>
            <w:vAlign w:val="center"/>
          </w:tcPr>
          <w:p>
            <w:pPr>
              <w:pStyle w:val="37"/>
              <w:rPr>
                <w:u w:val="single"/>
              </w:rPr>
            </w:pPr>
            <w:r>
              <w:rPr>
                <w:rFonts w:hint="eastAsia"/>
                <w:u w:val="single"/>
              </w:rPr>
              <w:t>序号</w:t>
            </w:r>
          </w:p>
        </w:tc>
        <w:tc>
          <w:tcPr>
            <w:tcW w:w="3232" w:type="dxa"/>
            <w:vAlign w:val="center"/>
          </w:tcPr>
          <w:p>
            <w:pPr>
              <w:pStyle w:val="37"/>
              <w:rPr>
                <w:u w:val="single"/>
              </w:rPr>
            </w:pPr>
            <w:r>
              <w:rPr>
                <w:rFonts w:hint="eastAsia"/>
                <w:u w:val="single"/>
              </w:rPr>
              <w:t>项目</w:t>
            </w:r>
          </w:p>
        </w:tc>
        <w:tc>
          <w:tcPr>
            <w:tcW w:w="4756" w:type="dxa"/>
            <w:vAlign w:val="center"/>
          </w:tcPr>
          <w:p>
            <w:pPr>
              <w:pStyle w:val="37"/>
              <w:rPr>
                <w:u w:val="single"/>
              </w:rPr>
            </w:pPr>
            <w:r>
              <w:rPr>
                <w:rFonts w:hint="eastAsia"/>
                <w:u w:val="single"/>
              </w:rPr>
              <w:t>场址介绍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1</w:t>
            </w:r>
          </w:p>
        </w:tc>
        <w:tc>
          <w:tcPr>
            <w:tcW w:w="3232" w:type="dxa"/>
            <w:vAlign w:val="center"/>
          </w:tcPr>
          <w:p>
            <w:pPr>
              <w:pStyle w:val="37"/>
              <w:rPr>
                <w:u w:val="single"/>
              </w:rPr>
            </w:pPr>
            <w:r>
              <w:rPr>
                <w:rFonts w:hint="eastAsia"/>
                <w:u w:val="single"/>
              </w:rPr>
              <w:t>区域位置</w:t>
            </w:r>
          </w:p>
        </w:tc>
        <w:tc>
          <w:tcPr>
            <w:tcW w:w="4756" w:type="dxa"/>
            <w:vAlign w:val="center"/>
          </w:tcPr>
          <w:p>
            <w:pPr>
              <w:pStyle w:val="37"/>
              <w:rPr>
                <w:u w:val="single"/>
              </w:rPr>
            </w:pPr>
            <w:r>
              <w:rPr>
                <w:rFonts w:hint="eastAsia"/>
                <w:u w:val="single"/>
              </w:rPr>
              <w:t>云溪区路口镇牌楼村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2</w:t>
            </w:r>
          </w:p>
        </w:tc>
        <w:tc>
          <w:tcPr>
            <w:tcW w:w="3232" w:type="dxa"/>
            <w:vAlign w:val="center"/>
          </w:tcPr>
          <w:p>
            <w:pPr>
              <w:pStyle w:val="37"/>
              <w:rPr>
                <w:u w:val="single"/>
              </w:rPr>
            </w:pPr>
            <w:r>
              <w:rPr>
                <w:rFonts w:hint="eastAsia"/>
                <w:u w:val="single"/>
              </w:rPr>
              <w:t>交通运输</w:t>
            </w:r>
          </w:p>
        </w:tc>
        <w:tc>
          <w:tcPr>
            <w:tcW w:w="4756" w:type="dxa"/>
            <w:vAlign w:val="center"/>
          </w:tcPr>
          <w:p>
            <w:pPr>
              <w:pStyle w:val="37"/>
              <w:rPr>
                <w:snapToGrid w:val="0"/>
                <w:u w:val="single"/>
              </w:rPr>
            </w:pPr>
            <w:r>
              <w:rPr>
                <w:rFonts w:hint="eastAsia"/>
                <w:snapToGrid w:val="0"/>
                <w:u w:val="single"/>
              </w:rPr>
              <w:t>距离污染场地</w:t>
            </w:r>
            <w:r>
              <w:rPr>
                <w:snapToGrid w:val="0"/>
                <w:u w:val="single"/>
              </w:rPr>
              <w:t>15km</w:t>
            </w:r>
            <w:r>
              <w:rPr>
                <w:rFonts w:hint="eastAsia"/>
                <w:snapToGrid w:val="0"/>
                <w:u w:val="single"/>
              </w:rPr>
              <w:t>，距北面</w:t>
            </w:r>
            <w:r>
              <w:rPr>
                <w:snapToGrid w:val="0"/>
                <w:u w:val="single"/>
              </w:rPr>
              <w:t>G107</w:t>
            </w:r>
            <w:r>
              <w:rPr>
                <w:rFonts w:hint="eastAsia"/>
                <w:snapToGrid w:val="0"/>
                <w:u w:val="single"/>
              </w:rPr>
              <w:t>国道</w:t>
            </w:r>
            <w:r>
              <w:rPr>
                <w:snapToGrid w:val="0"/>
                <w:u w:val="single"/>
              </w:rPr>
              <w:t>300m,</w:t>
            </w:r>
            <w:r>
              <w:rPr>
                <w:rFonts w:hint="eastAsia"/>
                <w:snapToGrid w:val="0"/>
                <w:u w:val="single"/>
              </w:rPr>
              <w:t>现有道路运输方便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3</w:t>
            </w:r>
          </w:p>
        </w:tc>
        <w:tc>
          <w:tcPr>
            <w:tcW w:w="3232" w:type="dxa"/>
            <w:vAlign w:val="center"/>
          </w:tcPr>
          <w:p>
            <w:pPr>
              <w:pStyle w:val="37"/>
              <w:rPr>
                <w:snapToGrid w:val="0"/>
                <w:u w:val="single"/>
              </w:rPr>
            </w:pPr>
            <w:r>
              <w:rPr>
                <w:rFonts w:hint="eastAsia"/>
                <w:snapToGrid w:val="0"/>
                <w:u w:val="single"/>
              </w:rPr>
              <w:t>供水</w:t>
            </w:r>
          </w:p>
        </w:tc>
        <w:tc>
          <w:tcPr>
            <w:tcW w:w="4756" w:type="dxa"/>
            <w:vAlign w:val="center"/>
          </w:tcPr>
          <w:p>
            <w:pPr>
              <w:pStyle w:val="37"/>
              <w:rPr>
                <w:snapToGrid w:val="0"/>
                <w:u w:val="single"/>
              </w:rPr>
            </w:pPr>
            <w:r>
              <w:rPr>
                <w:rFonts w:hint="eastAsia"/>
                <w:snapToGrid w:val="0"/>
                <w:u w:val="single"/>
              </w:rPr>
              <w:t>原采石场供水直接引入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4</w:t>
            </w:r>
          </w:p>
        </w:tc>
        <w:tc>
          <w:tcPr>
            <w:tcW w:w="3232" w:type="dxa"/>
            <w:vAlign w:val="center"/>
          </w:tcPr>
          <w:p>
            <w:pPr>
              <w:pStyle w:val="37"/>
              <w:rPr>
                <w:snapToGrid w:val="0"/>
                <w:u w:val="single"/>
              </w:rPr>
            </w:pPr>
            <w:r>
              <w:rPr>
                <w:rFonts w:hint="eastAsia"/>
                <w:snapToGrid w:val="0"/>
                <w:u w:val="single"/>
              </w:rPr>
              <w:t>供电</w:t>
            </w:r>
          </w:p>
        </w:tc>
        <w:tc>
          <w:tcPr>
            <w:tcW w:w="4756" w:type="dxa"/>
            <w:vAlign w:val="center"/>
          </w:tcPr>
          <w:p>
            <w:pPr>
              <w:pStyle w:val="37"/>
              <w:rPr>
                <w:snapToGrid w:val="0"/>
                <w:u w:val="single"/>
              </w:rPr>
            </w:pPr>
            <w:r>
              <w:rPr>
                <w:rFonts w:hint="eastAsia"/>
                <w:snapToGrid w:val="0"/>
                <w:u w:val="single"/>
              </w:rPr>
              <w:t>原采石场供电直接引入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5</w:t>
            </w:r>
          </w:p>
        </w:tc>
        <w:tc>
          <w:tcPr>
            <w:tcW w:w="3232" w:type="dxa"/>
            <w:vAlign w:val="center"/>
          </w:tcPr>
          <w:p>
            <w:pPr>
              <w:pStyle w:val="37"/>
              <w:rPr>
                <w:u w:val="single"/>
              </w:rPr>
            </w:pPr>
            <w:r>
              <w:rPr>
                <w:rFonts w:hint="eastAsia"/>
                <w:u w:val="single"/>
              </w:rPr>
              <w:t>对周边环境的影响</w:t>
            </w:r>
          </w:p>
        </w:tc>
        <w:tc>
          <w:tcPr>
            <w:tcW w:w="4756" w:type="dxa"/>
            <w:vAlign w:val="center"/>
          </w:tcPr>
          <w:p>
            <w:pPr>
              <w:pStyle w:val="37"/>
              <w:rPr>
                <w:u w:val="single"/>
              </w:rPr>
            </w:pPr>
            <w:r>
              <w:rPr>
                <w:rFonts w:hint="eastAsia"/>
                <w:snapToGrid w:val="0"/>
                <w:u w:val="single"/>
              </w:rPr>
              <w:t>远离主城区，无自然保护区等敏感区，处在城市下风向，有足够的卫生防护距离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6</w:t>
            </w:r>
          </w:p>
        </w:tc>
        <w:tc>
          <w:tcPr>
            <w:tcW w:w="3232" w:type="dxa"/>
            <w:vAlign w:val="center"/>
          </w:tcPr>
          <w:p>
            <w:pPr>
              <w:pStyle w:val="37"/>
              <w:rPr>
                <w:u w:val="single"/>
              </w:rPr>
            </w:pPr>
            <w:r>
              <w:rPr>
                <w:rFonts w:hint="eastAsia"/>
                <w:u w:val="single"/>
              </w:rPr>
              <w:t>地质条件</w:t>
            </w:r>
          </w:p>
        </w:tc>
        <w:tc>
          <w:tcPr>
            <w:tcW w:w="4756" w:type="dxa"/>
            <w:vAlign w:val="center"/>
          </w:tcPr>
          <w:p>
            <w:pPr>
              <w:pStyle w:val="37"/>
              <w:rPr>
                <w:u w:val="single"/>
              </w:rPr>
            </w:pPr>
            <w:r>
              <w:rPr>
                <w:rFonts w:hint="eastAsia"/>
                <w:u w:val="single"/>
              </w:rPr>
              <w:t>无断层，不在断层破碎带、溶洞区，以及天然滑坡或泥石流影响区，无不良地质现象，</w:t>
            </w:r>
            <w:r>
              <w:rPr>
                <w:u w:val="singl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7</w:t>
            </w:r>
          </w:p>
        </w:tc>
        <w:tc>
          <w:tcPr>
            <w:tcW w:w="3232" w:type="dxa"/>
            <w:vAlign w:val="center"/>
          </w:tcPr>
          <w:p>
            <w:pPr>
              <w:pStyle w:val="37"/>
              <w:rPr>
                <w:u w:val="single"/>
              </w:rPr>
            </w:pPr>
            <w:r>
              <w:rPr>
                <w:rFonts w:hint="eastAsia"/>
                <w:u w:val="single"/>
              </w:rPr>
              <w:t>场址地形地貌</w:t>
            </w:r>
          </w:p>
        </w:tc>
        <w:tc>
          <w:tcPr>
            <w:tcW w:w="4756" w:type="dxa"/>
            <w:vAlign w:val="center"/>
          </w:tcPr>
          <w:p>
            <w:pPr>
              <w:pStyle w:val="37"/>
              <w:rPr>
                <w:u w:val="single"/>
              </w:rPr>
            </w:pPr>
            <w:r>
              <w:rPr>
                <w:rFonts w:hint="eastAsia"/>
                <w:u w:val="single"/>
              </w:rPr>
              <w:t>场址地形地貌都较简单，场地较稳定，属简单场地；场址的地震基本烈度为</w:t>
            </w:r>
            <w:r>
              <w:rPr>
                <w:rFonts w:hint="eastAsia" w:ascii="宋体" w:hAnsi="宋体" w:cs="宋体"/>
                <w:u w:val="single"/>
              </w:rPr>
              <w:t>Ⅵ</w:t>
            </w:r>
            <w:r>
              <w:rPr>
                <w:rFonts w:hint="eastAsia"/>
                <w:u w:val="single"/>
              </w:rPr>
              <w:t>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8</w:t>
            </w:r>
          </w:p>
        </w:tc>
        <w:tc>
          <w:tcPr>
            <w:tcW w:w="3232" w:type="dxa"/>
            <w:vAlign w:val="center"/>
          </w:tcPr>
          <w:p>
            <w:pPr>
              <w:pStyle w:val="37"/>
              <w:rPr>
                <w:u w:val="single"/>
              </w:rPr>
            </w:pPr>
            <w:r>
              <w:rPr>
                <w:rFonts w:hint="eastAsia"/>
                <w:u w:val="single"/>
              </w:rPr>
              <w:t>用地性质与拆迁</w:t>
            </w:r>
          </w:p>
        </w:tc>
        <w:tc>
          <w:tcPr>
            <w:tcW w:w="4756" w:type="dxa"/>
            <w:vAlign w:val="center"/>
          </w:tcPr>
          <w:p>
            <w:pPr>
              <w:pStyle w:val="37"/>
              <w:rPr>
                <w:u w:val="single"/>
              </w:rPr>
            </w:pPr>
            <w:r>
              <w:rPr>
                <w:rFonts w:hint="eastAsia"/>
                <w:u w:val="single"/>
              </w:rPr>
              <w:t>为集体用地，无基本农田，无居民拆迁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rFonts w:hint="eastAsia"/>
                <w:u w:val="single"/>
              </w:rPr>
              <w:t>9</w:t>
            </w:r>
          </w:p>
        </w:tc>
        <w:tc>
          <w:tcPr>
            <w:tcW w:w="3232" w:type="dxa"/>
            <w:vAlign w:val="center"/>
          </w:tcPr>
          <w:p>
            <w:pPr>
              <w:pStyle w:val="37"/>
              <w:rPr>
                <w:u w:val="single"/>
              </w:rPr>
            </w:pPr>
            <w:r>
              <w:rPr>
                <w:rFonts w:hint="eastAsia"/>
                <w:u w:val="single"/>
              </w:rPr>
              <w:t>是否特殊区域</w:t>
            </w:r>
          </w:p>
        </w:tc>
        <w:tc>
          <w:tcPr>
            <w:tcW w:w="4756" w:type="dxa"/>
            <w:vAlign w:val="center"/>
          </w:tcPr>
          <w:p>
            <w:pPr>
              <w:pStyle w:val="37"/>
              <w:rPr>
                <w:u w:val="single"/>
              </w:rPr>
            </w:pPr>
            <w:r>
              <w:rPr>
                <w:rFonts w:hint="eastAsia"/>
                <w:u w:val="single"/>
              </w:rPr>
              <w:t>不在地下水补给区、饮用水含水层、滩地和洪泛区，自然保护区、风景名胜区和其他需要特殊保护的区域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rFonts w:hint="eastAsia"/>
                <w:u w:val="single"/>
              </w:rPr>
              <w:t>10</w:t>
            </w:r>
          </w:p>
        </w:tc>
        <w:tc>
          <w:tcPr>
            <w:tcW w:w="3232" w:type="dxa"/>
            <w:vAlign w:val="center"/>
          </w:tcPr>
          <w:p>
            <w:pPr>
              <w:pStyle w:val="37"/>
              <w:rPr>
                <w:u w:val="single"/>
              </w:rPr>
            </w:pPr>
            <w:r>
              <w:rPr>
                <w:rFonts w:hint="eastAsia"/>
                <w:u w:val="single"/>
              </w:rPr>
              <w:t>综合分析意见</w:t>
            </w:r>
          </w:p>
        </w:tc>
        <w:tc>
          <w:tcPr>
            <w:tcW w:w="4756" w:type="dxa"/>
            <w:vAlign w:val="center"/>
          </w:tcPr>
          <w:p>
            <w:pPr>
              <w:pStyle w:val="37"/>
              <w:rPr>
                <w:snapToGrid w:val="0"/>
                <w:u w:val="single"/>
              </w:rPr>
            </w:pPr>
            <w:r>
              <w:rPr>
                <w:rFonts w:hint="eastAsia"/>
                <w:snapToGrid w:val="0"/>
                <w:u w:val="single"/>
              </w:rPr>
              <w:t>交通便利，用水用电方便，对周边环境影响较小，场地较平整，施工条件好，推荐本场地。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158" w:type="dxa"/>
            <w:vAlign w:val="center"/>
          </w:tcPr>
          <w:p>
            <w:pPr>
              <w:pStyle w:val="37"/>
              <w:rPr>
                <w:u w:val="single"/>
              </w:rPr>
            </w:pPr>
            <w:r>
              <w:rPr>
                <w:u w:val="single"/>
              </w:rPr>
              <w:t>1</w:t>
            </w:r>
            <w:r>
              <w:rPr>
                <w:rFonts w:hint="eastAsia"/>
                <w:u w:val="single"/>
              </w:rPr>
              <w:t>1</w:t>
            </w:r>
          </w:p>
        </w:tc>
        <w:tc>
          <w:tcPr>
            <w:tcW w:w="3232" w:type="dxa"/>
            <w:vAlign w:val="center"/>
          </w:tcPr>
          <w:p>
            <w:pPr>
              <w:pStyle w:val="37"/>
              <w:rPr>
                <w:u w:val="single"/>
              </w:rPr>
            </w:pPr>
            <w:r>
              <w:rPr>
                <w:rFonts w:hint="eastAsia"/>
                <w:u w:val="single"/>
              </w:rPr>
              <w:t>结论</w:t>
            </w:r>
          </w:p>
        </w:tc>
        <w:tc>
          <w:tcPr>
            <w:tcW w:w="4756" w:type="dxa"/>
            <w:vAlign w:val="center"/>
          </w:tcPr>
          <w:p>
            <w:pPr>
              <w:pStyle w:val="37"/>
              <w:rPr>
                <w:snapToGrid w:val="0"/>
                <w:u w:val="single"/>
              </w:rPr>
            </w:pPr>
            <w:r>
              <w:rPr>
                <w:rFonts w:hint="eastAsia"/>
                <w:snapToGrid w:val="0"/>
                <w:u w:val="single"/>
              </w:rPr>
              <w:t>场址合适</w:t>
            </w:r>
          </w:p>
        </w:tc>
      </w:tr>
    </w:tbl>
    <w:p>
      <w:pPr>
        <w:pStyle w:val="3"/>
      </w:pPr>
      <w:bookmarkStart w:id="250" w:name="_Toc277522139"/>
      <w:bookmarkStart w:id="251" w:name="_Toc344647792"/>
      <w:bookmarkStart w:id="252" w:name="_Toc346092667"/>
      <w:bookmarkStart w:id="253" w:name="_Toc391370257"/>
      <w:bookmarkStart w:id="254" w:name="_Toc397322859"/>
      <w:bookmarkStart w:id="255" w:name="_Toc462818452"/>
      <w:r>
        <w:rPr>
          <w:rFonts w:hint="eastAsia"/>
        </w:rPr>
        <w:t>与国家产业政策相符性分析</w:t>
      </w:r>
      <w:bookmarkEnd w:id="250"/>
      <w:bookmarkEnd w:id="251"/>
      <w:bookmarkEnd w:id="252"/>
      <w:bookmarkEnd w:id="253"/>
      <w:bookmarkEnd w:id="254"/>
      <w:bookmarkEnd w:id="255"/>
    </w:p>
    <w:p>
      <w:pPr>
        <w:ind w:firstLine="480"/>
      </w:pPr>
      <w:r>
        <w:rPr>
          <w:rFonts w:hint="eastAsia"/>
        </w:rPr>
        <w:t>检索《产业结构调整指导目录</w:t>
      </w:r>
      <w:r>
        <w:t>(2011</w:t>
      </w:r>
      <w:r>
        <w:rPr>
          <w:rFonts w:hint="eastAsia"/>
        </w:rPr>
        <w:t>年本</w:t>
      </w:r>
      <w:r>
        <w:t>)</w:t>
      </w:r>
      <w:r>
        <w:rPr>
          <w:rFonts w:hint="eastAsia"/>
        </w:rPr>
        <w:t>（</w:t>
      </w:r>
      <w:r>
        <w:t>2013</w:t>
      </w:r>
      <w:r>
        <w:rPr>
          <w:rFonts w:hint="eastAsia"/>
        </w:rPr>
        <w:t>年修正）》，本项目属于其中的</w:t>
      </w:r>
      <w:r>
        <w:t>“</w:t>
      </w:r>
      <w:r>
        <w:rPr>
          <w:rFonts w:hint="eastAsia"/>
        </w:rPr>
        <w:t>三十八、环境保护与资源节约综合利用</w:t>
      </w:r>
      <w:r>
        <w:t>”</w:t>
      </w:r>
      <w:r>
        <w:rPr>
          <w:rFonts w:hint="eastAsia"/>
        </w:rPr>
        <w:t>：</w:t>
      </w:r>
      <w:r>
        <w:t>20</w:t>
      </w:r>
      <w:r>
        <w:rPr>
          <w:rFonts w:hint="eastAsia"/>
        </w:rPr>
        <w:t>、城镇垃圾及其他固体废物减量化、资源化、无害化处理和综合利用工程，为鼓励类建设项目。</w:t>
      </w:r>
    </w:p>
    <w:p>
      <w:pPr>
        <w:pStyle w:val="3"/>
      </w:pPr>
      <w:bookmarkStart w:id="256" w:name="_Toc397322860"/>
      <w:bookmarkStart w:id="257" w:name="_Toc346092669"/>
      <w:bookmarkStart w:id="258" w:name="_Toc344647794"/>
      <w:bookmarkStart w:id="259" w:name="_Toc277522141"/>
      <w:bookmarkStart w:id="260" w:name="_Toc462818453"/>
      <w:bookmarkStart w:id="261" w:name="_Toc391370259"/>
      <w:r>
        <w:rPr>
          <w:rFonts w:hint="eastAsia"/>
        </w:rPr>
        <w:t>固体废物处置场选址可行性分析</w:t>
      </w:r>
      <w:bookmarkEnd w:id="256"/>
      <w:bookmarkEnd w:id="257"/>
      <w:bookmarkEnd w:id="258"/>
      <w:bookmarkEnd w:id="259"/>
      <w:bookmarkEnd w:id="260"/>
      <w:bookmarkEnd w:id="261"/>
    </w:p>
    <w:p>
      <w:pPr>
        <w:ind w:firstLine="480"/>
      </w:pPr>
      <w:r>
        <w:rPr>
          <w:rFonts w:hint="eastAsia"/>
        </w:rPr>
        <w:t>根据云溪区总体规划和功能布局，依据当地政府的要求，会同相关规划部门实地勘查，云溪河下游沿岸工业历史遗留固废渣处置项目（变更）选址于云溪区路口镇牌楼村。</w:t>
      </w:r>
    </w:p>
    <w:p>
      <w:pPr>
        <w:pStyle w:val="4"/>
      </w:pPr>
      <w:bookmarkStart w:id="262" w:name="_Toc344647795"/>
      <w:bookmarkStart w:id="263" w:name="_Toc346092670"/>
      <w:bookmarkStart w:id="264" w:name="_Toc391370260"/>
      <w:r>
        <w:rPr>
          <w:rFonts w:hint="eastAsia"/>
        </w:rPr>
        <w:t>自然条件分析</w:t>
      </w:r>
      <w:bookmarkEnd w:id="262"/>
      <w:bookmarkEnd w:id="263"/>
      <w:bookmarkEnd w:id="264"/>
    </w:p>
    <w:p>
      <w:pPr>
        <w:ind w:firstLine="480"/>
      </w:pPr>
      <w:r>
        <w:rPr>
          <w:rFonts w:hint="eastAsia"/>
        </w:rPr>
        <w:t>（</w:t>
      </w:r>
      <w:r>
        <w:t>1</w:t>
      </w:r>
      <w:r>
        <w:rPr>
          <w:rFonts w:hint="eastAsia"/>
        </w:rPr>
        <w:t>）地理环境</w:t>
      </w:r>
    </w:p>
    <w:p>
      <w:pPr>
        <w:ind w:firstLine="480"/>
      </w:pPr>
      <w:r>
        <w:rPr>
          <w:rFonts w:hint="eastAsia"/>
        </w:rPr>
        <w:t>固体废物处置场经过严格的人工防渗处理，不会对其地下水及地表水造成危害，建设项目远离水源地，不会对饮用水水源造成不利影响。</w:t>
      </w:r>
    </w:p>
    <w:p>
      <w:pPr>
        <w:ind w:firstLine="480"/>
      </w:pPr>
      <w:r>
        <w:rPr>
          <w:rFonts w:hint="eastAsia"/>
        </w:rPr>
        <w:t>（</w:t>
      </w:r>
      <w:r>
        <w:t>2</w:t>
      </w:r>
      <w:r>
        <w:rPr>
          <w:rFonts w:hint="eastAsia"/>
        </w:rPr>
        <w:t>）场地水文地质、工程地质条件</w:t>
      </w:r>
    </w:p>
    <w:p>
      <w:pPr>
        <w:ind w:firstLine="480"/>
      </w:pPr>
      <w:r>
        <w:rPr>
          <w:rFonts w:hint="eastAsia"/>
        </w:rPr>
        <w:t>本工程固体废物处置场</w:t>
      </w:r>
      <w:r>
        <w:rPr>
          <w:rFonts w:hint="eastAsia"/>
          <w:kern w:val="0"/>
        </w:rPr>
        <w:t>拟选场址采石场废弃矿坑，不具备自然防渗条件</w:t>
      </w:r>
      <w:r>
        <w:rPr>
          <w:rFonts w:hint="eastAsia"/>
        </w:rPr>
        <w:t>。为了防治渗滤液对场区周围地表水和地下水的污染，需做好防渗工作。工程地质条件较好，土体物理、力学性质稳定，库区防渗、场地整平、边坡处理等较为有利。</w:t>
      </w:r>
    </w:p>
    <w:p>
      <w:pPr>
        <w:ind w:firstLine="480"/>
      </w:pPr>
      <w:r>
        <w:rPr>
          <w:rFonts w:hint="eastAsia"/>
        </w:rPr>
        <w:t>（</w:t>
      </w:r>
      <w:r>
        <w:t>3</w:t>
      </w:r>
      <w:r>
        <w:rPr>
          <w:rFonts w:hint="eastAsia"/>
        </w:rPr>
        <w:t>）覆土备料</w:t>
      </w:r>
    </w:p>
    <w:p>
      <w:pPr>
        <w:ind w:firstLine="480"/>
      </w:pPr>
      <w:r>
        <w:rPr>
          <w:rFonts w:hint="eastAsia"/>
        </w:rPr>
        <w:t>固体废物覆盖的主要作用是防治外溢，质量要求不高，项目覆土来源为项目北面修建G107国道废弃土方，储量巨大，覆土备料试用方便。</w:t>
      </w:r>
    </w:p>
    <w:p>
      <w:pPr>
        <w:pStyle w:val="4"/>
      </w:pPr>
      <w:bookmarkStart w:id="265" w:name="_Toc391370261"/>
      <w:bookmarkStart w:id="266" w:name="_Toc346092671"/>
      <w:bookmarkStart w:id="267" w:name="_Toc344647796"/>
      <w:r>
        <w:rPr>
          <w:rFonts w:hint="eastAsia"/>
        </w:rPr>
        <w:t>社会条件分析</w:t>
      </w:r>
      <w:bookmarkEnd w:id="265"/>
      <w:bookmarkEnd w:id="266"/>
      <w:bookmarkEnd w:id="267"/>
    </w:p>
    <w:p>
      <w:pPr>
        <w:ind w:firstLine="480"/>
      </w:pPr>
      <w:r>
        <w:rPr>
          <w:rFonts w:hint="eastAsia"/>
        </w:rPr>
        <w:t>（</w:t>
      </w:r>
      <w:r>
        <w:t>1</w:t>
      </w:r>
      <w:r>
        <w:rPr>
          <w:rFonts w:hint="eastAsia"/>
        </w:rPr>
        <w:t>）交通状况</w:t>
      </w:r>
    </w:p>
    <w:p>
      <w:pPr>
        <w:ind w:firstLine="480"/>
      </w:pPr>
      <w:r>
        <w:rPr>
          <w:rFonts w:hint="eastAsia"/>
        </w:rPr>
        <w:t>固体废物处置场场选址距离各污染场地</w:t>
      </w:r>
      <w:r>
        <w:t>15km</w:t>
      </w:r>
      <w:r>
        <w:rPr>
          <w:rFonts w:hint="eastAsia"/>
        </w:rPr>
        <w:t>以内，运输方便，有</w:t>
      </w:r>
      <w:r>
        <w:t>G107</w:t>
      </w:r>
      <w:r>
        <w:rPr>
          <w:rFonts w:hint="eastAsia"/>
        </w:rPr>
        <w:t>道路经过。</w:t>
      </w:r>
    </w:p>
    <w:p>
      <w:pPr>
        <w:ind w:firstLine="480"/>
      </w:pPr>
      <w:r>
        <w:rPr>
          <w:rFonts w:hint="eastAsia"/>
        </w:rPr>
        <w:t>（</w:t>
      </w:r>
      <w:r>
        <w:t>2</w:t>
      </w:r>
      <w:r>
        <w:rPr>
          <w:rFonts w:hint="eastAsia"/>
        </w:rPr>
        <w:t>）城市规划</w:t>
      </w:r>
    </w:p>
    <w:p>
      <w:pPr>
        <w:ind w:firstLine="480"/>
      </w:pPr>
      <w:r>
        <w:rPr>
          <w:rFonts w:hint="eastAsia"/>
        </w:rPr>
        <w:t>固体废物处置场场址位于城市规划区外，符合城市用地规划要求，工程建设将改善云溪河下游历史遗留的工业固体废物，改善环境，提高人民生活质量。</w:t>
      </w:r>
    </w:p>
    <w:p>
      <w:pPr>
        <w:pStyle w:val="4"/>
      </w:pPr>
      <w:bookmarkStart w:id="268" w:name="_Toc391370262"/>
      <w:bookmarkStart w:id="269" w:name="_Toc344647797"/>
      <w:bookmarkStart w:id="270" w:name="_Toc346092672"/>
      <w:r>
        <w:rPr>
          <w:rFonts w:hint="eastAsia"/>
        </w:rPr>
        <w:t>环境影响分析</w:t>
      </w:r>
      <w:bookmarkEnd w:id="268"/>
      <w:bookmarkEnd w:id="269"/>
      <w:bookmarkEnd w:id="270"/>
    </w:p>
    <w:p>
      <w:pPr>
        <w:ind w:firstLine="480"/>
      </w:pPr>
      <w:r>
        <w:rPr>
          <w:rFonts w:hint="eastAsia"/>
        </w:rPr>
        <w:t>工程采用了完善的污染防治措施，最大限度减轻工程填埋期间对外环境的影响。</w:t>
      </w:r>
    </w:p>
    <w:p>
      <w:pPr>
        <w:ind w:firstLine="480"/>
      </w:pPr>
      <w:r>
        <w:rPr>
          <w:rFonts w:hint="eastAsia"/>
        </w:rPr>
        <w:t>（</w:t>
      </w:r>
      <w:r>
        <w:t>1</w:t>
      </w:r>
      <w:r>
        <w:rPr>
          <w:rFonts w:hint="eastAsia"/>
        </w:rPr>
        <w:t>）废气</w:t>
      </w:r>
    </w:p>
    <w:p>
      <w:pPr>
        <w:ind w:firstLine="480"/>
      </w:pPr>
      <w:r>
        <w:rPr>
          <w:rFonts w:hint="eastAsia"/>
        </w:rPr>
        <w:t>固体废物处置场选址距离污染场地</w:t>
      </w:r>
      <w:r>
        <w:t>15km</w:t>
      </w:r>
      <w:r>
        <w:rPr>
          <w:rFonts w:hint="eastAsia"/>
        </w:rPr>
        <w:t>以内，根据预测分析，固体废物处置场建成运营后不会对其周边大气环境造成影响，可以满足环境评价标准的要求。</w:t>
      </w:r>
    </w:p>
    <w:p>
      <w:pPr>
        <w:ind w:firstLine="480"/>
      </w:pPr>
      <w:r>
        <w:rPr>
          <w:rFonts w:hint="eastAsia"/>
        </w:rPr>
        <w:t>（</w:t>
      </w:r>
      <w:r>
        <w:t>2</w:t>
      </w:r>
      <w:r>
        <w:rPr>
          <w:rFonts w:hint="eastAsia"/>
        </w:rPr>
        <w:t>）污水</w:t>
      </w:r>
    </w:p>
    <w:p>
      <w:pPr>
        <w:ind w:firstLine="480"/>
      </w:pPr>
      <w:r>
        <w:rPr>
          <w:rFonts w:hint="eastAsia"/>
        </w:rPr>
        <w:t>本工程渗滤液经滤液收集池收集后运送至有资质单位处理，对地表水环境影响较小。</w:t>
      </w:r>
    </w:p>
    <w:p>
      <w:pPr>
        <w:ind w:firstLine="480"/>
      </w:pPr>
      <w:r>
        <w:rPr>
          <w:rFonts w:hint="eastAsia"/>
        </w:rPr>
        <w:t>（</w:t>
      </w:r>
      <w:r>
        <w:t>3</w:t>
      </w:r>
      <w:r>
        <w:rPr>
          <w:rFonts w:hint="eastAsia"/>
        </w:rPr>
        <w:t>）噪声</w:t>
      </w:r>
    </w:p>
    <w:p>
      <w:pPr>
        <w:ind w:firstLine="480"/>
      </w:pPr>
      <w:r>
        <w:rPr>
          <w:rFonts w:hint="eastAsia"/>
        </w:rPr>
        <w:t>噪声现状监测表明固体废物处置场周围的声环境质量较好，除交通噪声以外只有自然声源。预测结果亦表明施工和运行期的噪声不会对周围的环境造成影响。</w:t>
      </w:r>
    </w:p>
    <w:p>
      <w:pPr>
        <w:ind w:firstLine="480"/>
      </w:pPr>
      <w:r>
        <w:rPr>
          <w:rFonts w:hint="eastAsia"/>
        </w:rPr>
        <w:t>（</w:t>
      </w:r>
      <w:r>
        <w:t>4</w:t>
      </w:r>
      <w:r>
        <w:rPr>
          <w:rFonts w:hint="eastAsia"/>
        </w:rPr>
        <w:t>）生态</w:t>
      </w:r>
    </w:p>
    <w:p>
      <w:pPr>
        <w:ind w:firstLine="480"/>
      </w:pPr>
      <w:r>
        <w:rPr>
          <w:rFonts w:hint="eastAsia"/>
        </w:rPr>
        <w:t>拟建场址生态环境良好，植被覆盖率较高，调查表明项目附近没有生态敏感点，无濒危动植物。在做好生态环境保护和水土流失的情况下对当地生态环境影响较小。</w:t>
      </w:r>
    </w:p>
    <w:p>
      <w:pPr>
        <w:ind w:firstLine="480"/>
      </w:pPr>
      <w:r>
        <w:rPr>
          <w:rFonts w:hint="eastAsia"/>
        </w:rPr>
        <w:t>（</w:t>
      </w:r>
      <w:r>
        <w:t>5</w:t>
      </w:r>
      <w:r>
        <w:rPr>
          <w:rFonts w:hint="eastAsia"/>
        </w:rPr>
        <w:t>）小结</w:t>
      </w:r>
    </w:p>
    <w:p>
      <w:pPr>
        <w:ind w:firstLine="480"/>
      </w:pPr>
      <w:r>
        <w:rPr>
          <w:rFonts w:hint="eastAsia"/>
        </w:rPr>
        <w:t>由于该工程拟选厂址没有工业企业等污染源，环境容量较大，利于固体废物处置场建设；根据环境影响预测结果和当地特殊的地理位置环境，工程建设期和填埋期产生的主要环境污染在采取相应环保措施后，对当地环境的污染影响较小，环境可以接收，且对周围环境敏感目标影响甚微。</w:t>
      </w:r>
    </w:p>
    <w:p>
      <w:pPr>
        <w:pStyle w:val="3"/>
      </w:pPr>
      <w:bookmarkStart w:id="271" w:name="_Toc346092673"/>
      <w:bookmarkStart w:id="272" w:name="_Toc391370263"/>
      <w:bookmarkStart w:id="273" w:name="_Toc397322861"/>
      <w:bookmarkStart w:id="274" w:name="_Toc277522142"/>
      <w:bookmarkStart w:id="275" w:name="_Toc344647798"/>
      <w:bookmarkStart w:id="276" w:name="_Toc462818454"/>
      <w:r>
        <w:rPr>
          <w:rFonts w:hint="eastAsia"/>
        </w:rPr>
        <w:t>选址方案论证分析汇总表</w:t>
      </w:r>
      <w:bookmarkEnd w:id="271"/>
      <w:bookmarkEnd w:id="272"/>
      <w:bookmarkEnd w:id="273"/>
      <w:bookmarkEnd w:id="274"/>
      <w:bookmarkEnd w:id="275"/>
      <w:bookmarkEnd w:id="276"/>
    </w:p>
    <w:p>
      <w:pPr>
        <w:ind w:firstLine="480"/>
      </w:pPr>
      <w:r>
        <w:rPr>
          <w:rFonts w:hint="eastAsia"/>
        </w:rPr>
        <w:t>本项目固体废物处置场选址方案论证分析汇总表见表</w:t>
      </w:r>
      <w:r>
        <w:t>10.4-1</w:t>
      </w:r>
      <w:r>
        <w:rPr>
          <w:rFonts w:hint="eastAsia"/>
        </w:rPr>
        <w:t>。</w:t>
      </w:r>
    </w:p>
    <w:p>
      <w:pPr>
        <w:pStyle w:val="14"/>
      </w:pPr>
      <w:r>
        <w:rPr>
          <w:rFonts w:hint="eastAsia"/>
        </w:rPr>
        <w:t>表</w:t>
      </w:r>
      <w:r>
        <w:fldChar w:fldCharType="begin"/>
      </w:r>
      <w:r>
        <w:instrText xml:space="preserve"> STYLEREF 2 \s </w:instrText>
      </w:r>
      <w:r>
        <w:fldChar w:fldCharType="separate"/>
      </w:r>
      <w:r>
        <w:t>9.4</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固体废物处置场选址方案论证分析汇总表</w:t>
      </w:r>
    </w:p>
    <w:tbl>
      <w:tblPr>
        <w:tblStyle w:val="35"/>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7"/>
        <w:gridCol w:w="1943"/>
        <w:gridCol w:w="2412"/>
        <w:gridCol w:w="2172"/>
        <w:gridCol w:w="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jc w:val="center"/>
        </w:trPr>
        <w:tc>
          <w:tcPr>
            <w:tcW w:w="1057" w:type="dxa"/>
            <w:vAlign w:val="center"/>
          </w:tcPr>
          <w:p>
            <w:pPr>
              <w:pStyle w:val="37"/>
            </w:pPr>
            <w:r>
              <w:rPr>
                <w:rFonts w:hint="eastAsia"/>
              </w:rPr>
              <w:t>论证项目</w:t>
            </w:r>
          </w:p>
        </w:tc>
        <w:tc>
          <w:tcPr>
            <w:tcW w:w="1943" w:type="dxa"/>
            <w:vAlign w:val="center"/>
          </w:tcPr>
          <w:p>
            <w:pPr>
              <w:pStyle w:val="37"/>
            </w:pPr>
            <w:r>
              <w:rPr>
                <w:rFonts w:hint="eastAsia"/>
              </w:rPr>
              <w:t>论证依据</w:t>
            </w:r>
          </w:p>
        </w:tc>
        <w:tc>
          <w:tcPr>
            <w:tcW w:w="2412" w:type="dxa"/>
            <w:vAlign w:val="center"/>
          </w:tcPr>
          <w:p>
            <w:pPr>
              <w:pStyle w:val="37"/>
            </w:pPr>
            <w:r>
              <w:rPr>
                <w:rFonts w:hint="eastAsia"/>
              </w:rPr>
              <w:t>论证内容</w:t>
            </w:r>
          </w:p>
        </w:tc>
        <w:tc>
          <w:tcPr>
            <w:tcW w:w="2172" w:type="dxa"/>
            <w:vAlign w:val="center"/>
          </w:tcPr>
          <w:p>
            <w:pPr>
              <w:pStyle w:val="37"/>
            </w:pPr>
            <w:r>
              <w:rPr>
                <w:rFonts w:hint="eastAsia"/>
              </w:rPr>
              <w:t>论证结果</w:t>
            </w:r>
          </w:p>
        </w:tc>
        <w:tc>
          <w:tcPr>
            <w:tcW w:w="944" w:type="dxa"/>
            <w:vAlign w:val="center"/>
          </w:tcPr>
          <w:p>
            <w:pPr>
              <w:pStyle w:val="37"/>
            </w:pPr>
            <w:r>
              <w:rPr>
                <w:rFonts w:hint="eastAsia"/>
              </w:rPr>
              <w:t>是否可行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7" w:hRule="atLeast"/>
          <w:jc w:val="center"/>
        </w:trPr>
        <w:tc>
          <w:tcPr>
            <w:tcW w:w="1057" w:type="dxa"/>
            <w:vMerge w:val="restart"/>
            <w:vAlign w:val="center"/>
          </w:tcPr>
          <w:p>
            <w:pPr>
              <w:pStyle w:val="37"/>
            </w:pPr>
            <w:r>
              <w:rPr>
                <w:rFonts w:hint="eastAsia"/>
              </w:rPr>
              <w:t>云溪河下游沿岸工业历史遗留固废渣处置项目（变更）选址于路口镇牌楼村可行性</w:t>
            </w:r>
          </w:p>
        </w:tc>
        <w:tc>
          <w:tcPr>
            <w:tcW w:w="1943" w:type="dxa"/>
            <w:vAlign w:val="center"/>
          </w:tcPr>
          <w:p>
            <w:pPr>
              <w:pStyle w:val="37"/>
            </w:pPr>
            <w:r>
              <w:rPr>
                <w:rFonts w:hint="eastAsia"/>
              </w:rPr>
              <w:t>符合国家产业政策</w:t>
            </w:r>
          </w:p>
        </w:tc>
        <w:tc>
          <w:tcPr>
            <w:tcW w:w="2412" w:type="dxa"/>
            <w:vAlign w:val="center"/>
          </w:tcPr>
          <w:p>
            <w:pPr>
              <w:pStyle w:val="37"/>
            </w:pPr>
            <w:r>
              <w:rPr>
                <w:rFonts w:hint="eastAsia"/>
              </w:rPr>
              <w:t>要求充分认识固体废物处理工作重要性；解决城市环境保护问题</w:t>
            </w:r>
          </w:p>
        </w:tc>
        <w:tc>
          <w:tcPr>
            <w:tcW w:w="2172" w:type="dxa"/>
            <w:vAlign w:val="center"/>
          </w:tcPr>
          <w:p>
            <w:pPr>
              <w:pStyle w:val="37"/>
            </w:pPr>
            <w:r>
              <w:rPr>
                <w:rFonts w:hint="eastAsia"/>
              </w:rPr>
              <w:t>建设固体废物处置场，顺应国家政策导向</w:t>
            </w:r>
          </w:p>
        </w:tc>
        <w:tc>
          <w:tcPr>
            <w:tcW w:w="944" w:type="dxa"/>
            <w:vAlign w:val="center"/>
          </w:tcPr>
          <w:p>
            <w:pPr>
              <w:pStyle w:val="37"/>
            </w:pPr>
            <w:r>
              <w:rPr>
                <w:rFonts w:hint="eastAsia"/>
              </w:rPr>
              <w:t>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jc w:val="center"/>
        </w:trPr>
        <w:tc>
          <w:tcPr>
            <w:tcW w:w="1057" w:type="dxa"/>
            <w:vMerge w:val="continue"/>
            <w:vAlign w:val="center"/>
          </w:tcPr>
          <w:p>
            <w:pPr>
              <w:pStyle w:val="37"/>
            </w:pPr>
          </w:p>
        </w:tc>
        <w:tc>
          <w:tcPr>
            <w:tcW w:w="1943" w:type="dxa"/>
            <w:vMerge w:val="restart"/>
            <w:vAlign w:val="center"/>
          </w:tcPr>
          <w:p>
            <w:pPr>
              <w:pStyle w:val="37"/>
            </w:pPr>
            <w:r>
              <w:rPr>
                <w:rFonts w:hint="eastAsia"/>
              </w:rPr>
              <w:t>符合《一般工业固体废物贮存、处置场污染控制标准》（</w:t>
            </w:r>
            <w:r>
              <w:t>GB18599-2001</w:t>
            </w:r>
            <w:r>
              <w:rPr>
                <w:rFonts w:hint="eastAsia"/>
              </w:rPr>
              <w:t>）</w:t>
            </w:r>
          </w:p>
          <w:p>
            <w:pPr>
              <w:pStyle w:val="37"/>
            </w:pPr>
            <w:r>
              <w:rPr>
                <w:rFonts w:hint="eastAsia"/>
              </w:rPr>
              <w:t>要求</w:t>
            </w:r>
          </w:p>
        </w:tc>
        <w:tc>
          <w:tcPr>
            <w:tcW w:w="2412" w:type="dxa"/>
            <w:vAlign w:val="center"/>
          </w:tcPr>
          <w:p>
            <w:pPr>
              <w:pStyle w:val="37"/>
              <w:rPr>
                <w:color w:val="FF0000"/>
                <w:u w:val="single"/>
              </w:rPr>
            </w:pPr>
            <w:r>
              <w:rPr>
                <w:rFonts w:hint="eastAsia"/>
                <w:color w:val="FF0000"/>
                <w:u w:val="single"/>
              </w:rPr>
              <w:t>是否符合当地城乡建设总体规划要求</w:t>
            </w:r>
          </w:p>
        </w:tc>
        <w:tc>
          <w:tcPr>
            <w:tcW w:w="2172" w:type="dxa"/>
            <w:vAlign w:val="center"/>
          </w:tcPr>
          <w:p>
            <w:pPr>
              <w:pStyle w:val="37"/>
              <w:rPr>
                <w:color w:val="FF0000"/>
                <w:u w:val="single"/>
              </w:rPr>
            </w:pPr>
            <w:r>
              <w:rPr>
                <w:rFonts w:hint="eastAsia"/>
                <w:color w:val="FF0000"/>
                <w:u w:val="single"/>
              </w:rPr>
              <w:t>是</w:t>
            </w:r>
          </w:p>
        </w:tc>
        <w:tc>
          <w:tcPr>
            <w:tcW w:w="944" w:type="dxa"/>
            <w:vMerge w:val="restart"/>
            <w:vAlign w:val="center"/>
          </w:tcPr>
          <w:p>
            <w:pPr>
              <w:pStyle w:val="37"/>
            </w:pPr>
            <w:r>
              <w:rPr>
                <w:rFonts w:hint="eastAsia"/>
              </w:rPr>
              <w:t>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5"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rPr>
                <w:color w:val="FF0000"/>
                <w:u w:val="single"/>
              </w:rPr>
            </w:pPr>
            <w:r>
              <w:rPr>
                <w:rFonts w:hint="eastAsia"/>
                <w:color w:val="FF0000"/>
                <w:u w:val="single"/>
              </w:rPr>
              <w:t>当地气象条件</w:t>
            </w:r>
          </w:p>
        </w:tc>
        <w:tc>
          <w:tcPr>
            <w:tcW w:w="2172" w:type="dxa"/>
            <w:vAlign w:val="center"/>
          </w:tcPr>
          <w:p>
            <w:pPr>
              <w:pStyle w:val="37"/>
              <w:rPr>
                <w:color w:val="FF0000"/>
                <w:u w:val="single"/>
              </w:rPr>
            </w:pPr>
            <w:r>
              <w:rPr>
                <w:rFonts w:hint="eastAsia"/>
                <w:color w:val="FF0000"/>
                <w:u w:val="single"/>
              </w:rPr>
              <w:t>主导风向侧风向</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4"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rPr>
                <w:color w:val="FF0000"/>
                <w:u w:val="single"/>
              </w:rPr>
            </w:pPr>
            <w:r>
              <w:rPr>
                <w:rFonts w:hint="eastAsia"/>
                <w:color w:val="FF0000"/>
                <w:u w:val="single"/>
              </w:rPr>
              <w:t>工程地质</w:t>
            </w:r>
          </w:p>
        </w:tc>
        <w:tc>
          <w:tcPr>
            <w:tcW w:w="2172" w:type="dxa"/>
            <w:vAlign w:val="center"/>
          </w:tcPr>
          <w:p>
            <w:pPr>
              <w:pStyle w:val="37"/>
              <w:rPr>
                <w:color w:val="FF0000"/>
                <w:u w:val="single"/>
              </w:rPr>
            </w:pPr>
            <w:r>
              <w:rPr>
                <w:rFonts w:hint="eastAsia"/>
                <w:color w:val="FF0000"/>
                <w:u w:val="single"/>
              </w:rPr>
              <w:t>无断裂、塌陷区，无地基下沉现象</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2"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rPr>
                <w:color w:val="FF0000"/>
                <w:u w:val="single"/>
              </w:rPr>
            </w:pPr>
            <w:r>
              <w:rPr>
                <w:rFonts w:hint="eastAsia"/>
                <w:color w:val="FF0000"/>
                <w:u w:val="single"/>
              </w:rPr>
              <w:t>地形、地貌</w:t>
            </w:r>
          </w:p>
        </w:tc>
        <w:tc>
          <w:tcPr>
            <w:tcW w:w="2172" w:type="dxa"/>
            <w:vAlign w:val="center"/>
          </w:tcPr>
          <w:p>
            <w:pPr>
              <w:pStyle w:val="37"/>
              <w:rPr>
                <w:color w:val="FF0000"/>
                <w:u w:val="single"/>
              </w:rPr>
            </w:pPr>
            <w:r>
              <w:rPr>
                <w:rFonts w:hint="eastAsia"/>
                <w:color w:val="FF0000"/>
                <w:u w:val="single"/>
              </w:rPr>
              <w:t>不在湖泊、水库最高水位线以下滩地、洪泛区及自然保护区、风景名胜区和其他特殊需要保护的地区。</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92"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rPr>
                <w:color w:val="FF0000"/>
                <w:u w:val="single"/>
              </w:rPr>
            </w:pPr>
            <w:r>
              <w:rPr>
                <w:rFonts w:hint="eastAsia"/>
                <w:color w:val="FF0000"/>
                <w:u w:val="single"/>
              </w:rPr>
              <w:t>是否是地下水主要补给区和饮用水源含水层</w:t>
            </w:r>
          </w:p>
        </w:tc>
        <w:tc>
          <w:tcPr>
            <w:tcW w:w="2172" w:type="dxa"/>
            <w:vAlign w:val="center"/>
          </w:tcPr>
          <w:p>
            <w:pPr>
              <w:pStyle w:val="37"/>
              <w:rPr>
                <w:color w:val="FF0000"/>
                <w:u w:val="single"/>
              </w:rPr>
            </w:pPr>
            <w:r>
              <w:rPr>
                <w:rFonts w:hint="eastAsia"/>
                <w:color w:val="FF0000"/>
                <w:u w:val="single"/>
              </w:rPr>
              <w:t>否</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1"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自然生态</w:t>
            </w:r>
          </w:p>
        </w:tc>
        <w:tc>
          <w:tcPr>
            <w:tcW w:w="2172" w:type="dxa"/>
            <w:vAlign w:val="center"/>
          </w:tcPr>
          <w:p>
            <w:pPr>
              <w:pStyle w:val="37"/>
            </w:pPr>
            <w:r>
              <w:rPr>
                <w:rFonts w:hint="eastAsia"/>
              </w:rPr>
              <w:t>与当地自然保护与生态平衡要求一致</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8"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区域环境</w:t>
            </w:r>
          </w:p>
        </w:tc>
        <w:tc>
          <w:tcPr>
            <w:tcW w:w="2172" w:type="dxa"/>
            <w:vAlign w:val="center"/>
          </w:tcPr>
          <w:p>
            <w:pPr>
              <w:pStyle w:val="37"/>
            </w:pPr>
            <w:r>
              <w:rPr>
                <w:rFonts w:hint="eastAsia"/>
              </w:rPr>
              <w:t>环境质量改善</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3"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环境承载能力</w:t>
            </w:r>
          </w:p>
        </w:tc>
        <w:tc>
          <w:tcPr>
            <w:tcW w:w="2172" w:type="dxa"/>
            <w:vAlign w:val="center"/>
          </w:tcPr>
          <w:p>
            <w:pPr>
              <w:pStyle w:val="37"/>
            </w:pPr>
            <w:r>
              <w:rPr>
                <w:rFonts w:hint="eastAsia"/>
              </w:rPr>
              <w:t>尚有一定能力</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对外交通</w:t>
            </w:r>
          </w:p>
        </w:tc>
        <w:tc>
          <w:tcPr>
            <w:tcW w:w="2172" w:type="dxa"/>
            <w:vAlign w:val="center"/>
          </w:tcPr>
          <w:p>
            <w:pPr>
              <w:pStyle w:val="37"/>
            </w:pPr>
            <w:r>
              <w:t>G107</w:t>
            </w:r>
            <w:r>
              <w:rPr>
                <w:rFonts w:hint="eastAsia"/>
              </w:rPr>
              <w:t>交通边界，运距合理</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9"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工程建设内容</w:t>
            </w:r>
          </w:p>
        </w:tc>
        <w:tc>
          <w:tcPr>
            <w:tcW w:w="2172" w:type="dxa"/>
            <w:vAlign w:val="center"/>
          </w:tcPr>
          <w:p>
            <w:pPr>
              <w:pStyle w:val="37"/>
            </w:pPr>
            <w:r>
              <w:rPr>
                <w:rFonts w:hint="eastAsia"/>
              </w:rPr>
              <w:t>有利于城区环境卫生改善</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8"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生产运行管理</w:t>
            </w:r>
          </w:p>
        </w:tc>
        <w:tc>
          <w:tcPr>
            <w:tcW w:w="2172" w:type="dxa"/>
            <w:vAlign w:val="center"/>
          </w:tcPr>
          <w:p>
            <w:pPr>
              <w:pStyle w:val="37"/>
            </w:pPr>
            <w:r>
              <w:rPr>
                <w:rFonts w:hint="eastAsia"/>
              </w:rPr>
              <w:t>具有成熟经验</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社会影响</w:t>
            </w:r>
          </w:p>
        </w:tc>
        <w:tc>
          <w:tcPr>
            <w:tcW w:w="2172" w:type="dxa"/>
            <w:vAlign w:val="center"/>
          </w:tcPr>
          <w:p>
            <w:pPr>
              <w:pStyle w:val="37"/>
            </w:pPr>
            <w:r>
              <w:rPr>
                <w:rFonts w:hint="eastAsia"/>
              </w:rPr>
              <w:t>不良社会影响小</w:t>
            </w:r>
          </w:p>
        </w:tc>
        <w:tc>
          <w:tcPr>
            <w:tcW w:w="944"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1" w:hRule="atLeast"/>
          <w:jc w:val="center"/>
        </w:trPr>
        <w:tc>
          <w:tcPr>
            <w:tcW w:w="1057" w:type="dxa"/>
            <w:vMerge w:val="continue"/>
            <w:vAlign w:val="center"/>
          </w:tcPr>
          <w:p>
            <w:pPr>
              <w:pStyle w:val="37"/>
            </w:pPr>
          </w:p>
        </w:tc>
        <w:tc>
          <w:tcPr>
            <w:tcW w:w="1943" w:type="dxa"/>
            <w:vMerge w:val="continue"/>
            <w:vAlign w:val="center"/>
          </w:tcPr>
          <w:p>
            <w:pPr>
              <w:pStyle w:val="37"/>
            </w:pPr>
          </w:p>
        </w:tc>
        <w:tc>
          <w:tcPr>
            <w:tcW w:w="2412" w:type="dxa"/>
            <w:vAlign w:val="center"/>
          </w:tcPr>
          <w:p>
            <w:pPr>
              <w:pStyle w:val="37"/>
            </w:pPr>
            <w:r>
              <w:rPr>
                <w:rFonts w:hint="eastAsia"/>
              </w:rPr>
              <w:t>环境管理制度</w:t>
            </w:r>
          </w:p>
        </w:tc>
        <w:tc>
          <w:tcPr>
            <w:tcW w:w="2172" w:type="dxa"/>
            <w:vAlign w:val="center"/>
          </w:tcPr>
          <w:p>
            <w:pPr>
              <w:pStyle w:val="37"/>
            </w:pPr>
            <w:r>
              <w:rPr>
                <w:rFonts w:hint="eastAsia"/>
              </w:rPr>
              <w:t>具有较完整管理制度</w:t>
            </w:r>
          </w:p>
        </w:tc>
        <w:tc>
          <w:tcPr>
            <w:tcW w:w="944" w:type="dxa"/>
            <w:vMerge w:val="continue"/>
            <w:vAlign w:val="center"/>
          </w:tcPr>
          <w:p>
            <w:pPr>
              <w:pStyle w:val="37"/>
            </w:pPr>
          </w:p>
        </w:tc>
      </w:tr>
    </w:tbl>
    <w:p>
      <w:pPr>
        <w:pStyle w:val="3"/>
      </w:pPr>
      <w:bookmarkStart w:id="277" w:name="_Toc397322862"/>
      <w:bookmarkStart w:id="278" w:name="_Toc462818455"/>
      <w:bookmarkStart w:id="279" w:name="_Toc277522143"/>
      <w:bookmarkStart w:id="280" w:name="_Toc344647799"/>
      <w:bookmarkStart w:id="281" w:name="_Toc391370264"/>
      <w:bookmarkStart w:id="282" w:name="_Toc346092674"/>
      <w:r>
        <w:rPr>
          <w:rFonts w:hint="eastAsia"/>
        </w:rPr>
        <w:t>小结</w:t>
      </w:r>
      <w:bookmarkEnd w:id="277"/>
      <w:bookmarkEnd w:id="278"/>
      <w:bookmarkEnd w:id="279"/>
      <w:bookmarkEnd w:id="280"/>
      <w:bookmarkEnd w:id="281"/>
      <w:bookmarkEnd w:id="282"/>
    </w:p>
    <w:p>
      <w:pPr>
        <w:ind w:firstLine="480"/>
        <w:rPr>
          <w:kern w:val="0"/>
        </w:rPr>
      </w:pPr>
      <w:r>
        <w:rPr>
          <w:rFonts w:hint="eastAsia"/>
        </w:rPr>
        <w:t>本</w:t>
      </w:r>
      <w:r>
        <w:rPr>
          <w:rFonts w:hint="eastAsia"/>
          <w:kern w:val="0"/>
        </w:rPr>
        <w:t>项目按照（</w:t>
      </w:r>
      <w:r>
        <w:rPr>
          <w:kern w:val="0"/>
        </w:rPr>
        <w:t>GB18599-2001</w:t>
      </w:r>
      <w:r>
        <w:rPr>
          <w:rFonts w:hint="eastAsia"/>
          <w:kern w:val="0"/>
        </w:rPr>
        <w:t>）《一般工业固体废物贮存、处置场污染控制标准》</w:t>
      </w:r>
      <w:r>
        <w:rPr>
          <w:rFonts w:hint="eastAsia"/>
        </w:rPr>
        <w:t>进行施工管理，采取本评价提出的控制措施后，</w:t>
      </w:r>
      <w:r>
        <w:rPr>
          <w:rFonts w:hint="eastAsia"/>
          <w:kern w:val="0"/>
        </w:rPr>
        <w:t>确保污水处理后达标排放，加强防渗膜的维护确保渗滤液不下渗</w:t>
      </w:r>
      <w:r>
        <w:rPr>
          <w:rFonts w:hint="eastAsia"/>
        </w:rPr>
        <w:t>；在</w:t>
      </w:r>
      <w:r>
        <w:rPr>
          <w:rFonts w:hint="eastAsia"/>
          <w:kern w:val="0"/>
        </w:rPr>
        <w:t>满足以上环保要求后，固体废物处置场选址是可行的。</w:t>
      </w: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480"/>
        <w:rPr>
          <w:kern w:val="0"/>
        </w:rPr>
      </w:pPr>
    </w:p>
    <w:p>
      <w:pPr>
        <w:ind w:firstLine="0" w:firstLineChars="0"/>
        <w:rPr>
          <w:kern w:val="0"/>
        </w:rPr>
      </w:pPr>
    </w:p>
    <w:p>
      <w:pPr>
        <w:pStyle w:val="2"/>
        <w:numPr>
          <w:ilvl w:val="0"/>
          <w:numId w:val="0"/>
        </w:numPr>
        <w:jc w:val="both"/>
        <w:sectPr>
          <w:pgSz w:w="11906" w:h="16838"/>
          <w:pgMar w:top="1440" w:right="1298" w:bottom="1440" w:left="1678" w:header="851" w:footer="992" w:gutter="0"/>
          <w:cols w:space="720" w:num="1"/>
          <w:docGrid w:type="lines" w:linePitch="312" w:charSpace="0"/>
        </w:sectPr>
      </w:pPr>
      <w:bookmarkStart w:id="283" w:name="_Toc397322863"/>
    </w:p>
    <w:p>
      <w:pPr>
        <w:pStyle w:val="2"/>
      </w:pPr>
      <w:bookmarkStart w:id="284" w:name="_Toc462818456"/>
      <w:r>
        <w:rPr>
          <w:rFonts w:hint="eastAsia"/>
        </w:rPr>
        <w:t>环境经济损益分析</w:t>
      </w:r>
      <w:bookmarkEnd w:id="283"/>
      <w:bookmarkEnd w:id="284"/>
    </w:p>
    <w:p>
      <w:pPr>
        <w:ind w:firstLine="480"/>
      </w:pPr>
      <w:r>
        <w:rPr>
          <w:rFonts w:hint="eastAsia"/>
        </w:rPr>
        <w:t>环境经济损益分析是要对项目的社会效益、经济效益和环境效益进行分析，揭示三效益的依存关系，分析本项目既可发展经济又能实现环境保护的双重目的，使三效益协调统一，走可持续发展道路，即在发展经济的同时保护好环境，从而促进社会的稳定。</w:t>
      </w:r>
    </w:p>
    <w:p>
      <w:pPr>
        <w:pStyle w:val="3"/>
      </w:pPr>
      <w:bookmarkStart w:id="285" w:name="_Toc397322864"/>
      <w:bookmarkStart w:id="286" w:name="_Toc462818457"/>
      <w:r>
        <w:rPr>
          <w:rFonts w:hint="eastAsia"/>
        </w:rPr>
        <w:t>社会效益分析</w:t>
      </w:r>
      <w:bookmarkEnd w:id="285"/>
      <w:bookmarkEnd w:id="286"/>
    </w:p>
    <w:p>
      <w:pPr>
        <w:ind w:firstLine="480"/>
      </w:pPr>
      <w:r>
        <w:rPr>
          <w:rFonts w:hint="eastAsia"/>
        </w:rPr>
        <w:t>本项目的建设将极大改善云溪河下游沿岸工业固体废物现状，为当地人民创造一个良好的生活、居住环境。归纳起来，对社会环境的影响主要表现在以下几个方面：</w:t>
      </w:r>
    </w:p>
    <w:p>
      <w:pPr>
        <w:ind w:firstLine="480"/>
      </w:pPr>
      <w:r>
        <w:rPr>
          <w:rFonts w:hint="eastAsia"/>
        </w:rPr>
        <w:t>（</w:t>
      </w:r>
      <w:r>
        <w:t>1</w:t>
      </w:r>
      <w:r>
        <w:rPr>
          <w:rFonts w:hint="eastAsia"/>
        </w:rPr>
        <w:t>）将为云溪河下游沿岸工业历史遗留固体废物减量化奠定基础。</w:t>
      </w:r>
    </w:p>
    <w:p>
      <w:pPr>
        <w:ind w:firstLine="480"/>
      </w:pPr>
      <w:r>
        <w:rPr>
          <w:rFonts w:hint="eastAsia"/>
        </w:rPr>
        <w:t>（</w:t>
      </w:r>
      <w:r>
        <w:t>2</w:t>
      </w:r>
      <w:r>
        <w:rPr>
          <w:rFonts w:hint="eastAsia"/>
        </w:rPr>
        <w:t>）改善云溪区市容卫生及投资环境。</w:t>
      </w:r>
    </w:p>
    <w:p>
      <w:pPr>
        <w:ind w:firstLine="480"/>
      </w:pPr>
      <w:r>
        <w:rPr>
          <w:rFonts w:hint="eastAsia"/>
        </w:rPr>
        <w:t>从以上各方面可知，本项目实施将对云溪区的社会环境产生深远影响，这些影响是长期的而且是整体范围内的。但同时也存在一些不利影响。新建处置场区环境质量会明显下降，如作业区和渗滤液挥发以及作业区所产生的较大浓度的粉尘等，使得场区环境质量明显下降，其中最直接受害者就是长期工作在处置场的工作人员。因此在填埋期间，应注意采取各类保护措施，并定期对员工进行体检，尽量减轻对职工身心健康的影响。</w:t>
      </w:r>
    </w:p>
    <w:p>
      <w:pPr>
        <w:pStyle w:val="3"/>
      </w:pPr>
      <w:bookmarkStart w:id="287" w:name="_Toc397322865"/>
      <w:bookmarkStart w:id="288" w:name="_Toc462818458"/>
      <w:r>
        <w:rPr>
          <w:rFonts w:hint="eastAsia"/>
        </w:rPr>
        <w:t>环境效益分析</w:t>
      </w:r>
      <w:bookmarkEnd w:id="287"/>
      <w:bookmarkEnd w:id="288"/>
    </w:p>
    <w:p>
      <w:pPr>
        <w:ind w:firstLine="480"/>
      </w:pPr>
      <w:r>
        <w:rPr>
          <w:rFonts w:hint="eastAsia"/>
        </w:rPr>
        <w:t>从项目性质来看，本项目属于环境保护项目，故项目总投资可全部视为环保投资。但是，为消除和减缓项目可能产生的负面环境影响，需投入一定的资金用于项目各方面污染防治措施的实施，主要用于治理渗滤液两方面，具体为拦洪坝、防渗工程、集液池、输水管线，此外，尚需投入一定的资金用于项目监测仪器设备的配置和环境监理。本项目直接用于环境保护的投资占总投资的</w:t>
      </w:r>
      <w:r>
        <w:t>34.7%</w:t>
      </w:r>
      <w:r>
        <w:rPr>
          <w:rFonts w:hint="eastAsia"/>
        </w:rPr>
        <w:t>。</w:t>
      </w:r>
    </w:p>
    <w:p>
      <w:pPr>
        <w:pStyle w:val="3"/>
      </w:pPr>
      <w:bookmarkStart w:id="289" w:name="_Toc397322866"/>
      <w:bookmarkStart w:id="290" w:name="_Toc462818459"/>
      <w:r>
        <w:rPr>
          <w:rFonts w:hint="eastAsia"/>
        </w:rPr>
        <w:t>经济效益分析</w:t>
      </w:r>
      <w:bookmarkEnd w:id="289"/>
      <w:bookmarkEnd w:id="290"/>
    </w:p>
    <w:p>
      <w:pPr>
        <w:ind w:firstLine="480"/>
        <w:rPr>
          <w:kern w:val="0"/>
        </w:rPr>
      </w:pPr>
      <w:r>
        <w:rPr>
          <w:rFonts w:hint="eastAsia"/>
          <w:kern w:val="0"/>
        </w:rPr>
        <w:t>经济效益主要包括直接经济效益和间接经济效益两个方面，云溪河下游沿岸工业历史遗留固废渣处置项目（变更）的建设主要表现在间接经济效益方面。</w:t>
      </w:r>
    </w:p>
    <w:p>
      <w:pPr>
        <w:ind w:firstLine="480"/>
        <w:rPr>
          <w:kern w:val="0"/>
        </w:rPr>
      </w:pPr>
      <w:r>
        <w:rPr>
          <w:rFonts w:hint="eastAsia"/>
          <w:kern w:val="0"/>
        </w:rPr>
        <w:t>本项目的实施，恢复和促进了城市生态平衡，使城市适应可持续发展。该工程的实施使云溪区固体废物得到有效治理，从根本上解决了云溪河下游历史遗留的工业固废，改善城市卫生面貌。</w:t>
      </w:r>
    </w:p>
    <w:p>
      <w:pPr>
        <w:ind w:firstLine="480"/>
        <w:rPr>
          <w:kern w:val="0"/>
        </w:rPr>
      </w:pPr>
      <w:r>
        <w:rPr>
          <w:rFonts w:hint="eastAsia"/>
          <w:kern w:val="0"/>
        </w:rPr>
        <w:t>同时，本工程在保证适当的环保投资比例条件下，保护了处置场周边区域的环境空气、地表水、地下水的环境质量。项目的实施，减少了污染源治理负担，由此而节省了污染治理费用。同时，处置场经若干年后加以终场覆盖，场地也可做多种用途，实现土地的再利用。因此，其潜在和环境经济效益是非常巨大的。</w:t>
      </w:r>
    </w:p>
    <w:p>
      <w:pPr>
        <w:ind w:firstLine="480"/>
        <w:rPr>
          <w:kern w:val="0"/>
        </w:rPr>
      </w:pPr>
    </w:p>
    <w:p>
      <w:pPr>
        <w:spacing w:before="78" w:after="78"/>
        <w:ind w:firstLine="0" w:firstLineChars="0"/>
        <w:sectPr>
          <w:pgSz w:w="11906" w:h="16838"/>
          <w:pgMar w:top="1440" w:right="1298" w:bottom="1440" w:left="1678" w:header="851" w:footer="992" w:gutter="0"/>
          <w:cols w:space="720" w:num="1"/>
          <w:docGrid w:type="lines" w:linePitch="312" w:charSpace="0"/>
        </w:sectPr>
      </w:pPr>
    </w:p>
    <w:p>
      <w:pPr>
        <w:pStyle w:val="2"/>
      </w:pPr>
      <w:bookmarkStart w:id="291" w:name="_Toc397322867"/>
      <w:bookmarkStart w:id="292" w:name="_Toc462818460"/>
      <w:r>
        <w:rPr>
          <w:rFonts w:hint="eastAsia"/>
        </w:rPr>
        <w:t>公众参与</w:t>
      </w:r>
      <w:bookmarkEnd w:id="291"/>
      <w:bookmarkEnd w:id="292"/>
    </w:p>
    <w:p>
      <w:pPr>
        <w:pStyle w:val="3"/>
      </w:pPr>
      <w:bookmarkStart w:id="293" w:name="_Toc391551634"/>
      <w:bookmarkStart w:id="294" w:name="_Toc340527594"/>
      <w:bookmarkStart w:id="295" w:name="_Toc20401"/>
      <w:bookmarkStart w:id="296" w:name="_Toc27550"/>
      <w:bookmarkStart w:id="297" w:name="_Toc462818461"/>
      <w:bookmarkStart w:id="298" w:name="_Toc13442"/>
      <w:bookmarkStart w:id="299" w:name="_Toc399323367"/>
      <w:r>
        <w:rPr>
          <w:rFonts w:hint="eastAsia"/>
        </w:rPr>
        <w:t>公众参与目的和</w:t>
      </w:r>
      <w:bookmarkEnd w:id="293"/>
      <w:bookmarkEnd w:id="294"/>
      <w:r>
        <w:rPr>
          <w:rFonts w:hint="eastAsia"/>
        </w:rPr>
        <w:t>形式</w:t>
      </w:r>
      <w:bookmarkEnd w:id="295"/>
      <w:bookmarkEnd w:id="296"/>
      <w:bookmarkEnd w:id="297"/>
      <w:bookmarkEnd w:id="298"/>
      <w:bookmarkEnd w:id="299"/>
    </w:p>
    <w:p>
      <w:pPr>
        <w:ind w:firstLine="480"/>
      </w:pPr>
      <w:r>
        <w:rPr>
          <w:rFonts w:hint="eastAsia"/>
        </w:rPr>
        <w:t>公众参与目的是通过与公众进行的有效协商，使建设项目能够被公众充分认可，并在项目实施过程中不对公众利益构成危害或威胁，以取得经济效益、社会效益、环境效益的协调统一。通过公众参与，了解和掌握民意，不仅尊重了公众的知情权，也减少可能产生的不利于工程建设的问题出现。同时把公众的意见和要求及时反馈给建设单位，努力把建设项目对公众的不利影响减到最小或可接受程度。</w:t>
      </w:r>
    </w:p>
    <w:p>
      <w:pPr>
        <w:ind w:firstLine="480"/>
      </w:pPr>
      <w:r>
        <w:rPr>
          <w:rFonts w:hint="eastAsia"/>
        </w:rPr>
        <w:t>根据《环境影响评价公众参与暂行办法》的有关规定，在编制环境影响报告书的过程中，应公开有关环境影响评价的信息，征求公众意见。我们受建设单位委托，先后进行了环境影响评价信息公示和问卷调查工作，广泛听取公众对项目提出的各项建议和意见。</w:t>
      </w:r>
    </w:p>
    <w:p>
      <w:pPr>
        <w:ind w:firstLine="480"/>
      </w:pPr>
      <w:r>
        <w:rPr>
          <w:rFonts w:hint="eastAsia"/>
        </w:rPr>
        <w:t>公众参与调查采用便于公众知悉的方式，向公众公开有关本项目环境影响评价的信息，分别进行了三次调查，具体调查时间、调查方式见表</w:t>
      </w:r>
      <w:r>
        <w:t>12.1-1</w:t>
      </w:r>
      <w:r>
        <w:rPr>
          <w:rFonts w:hint="eastAsia"/>
        </w:rPr>
        <w:t>。</w:t>
      </w:r>
    </w:p>
    <w:p>
      <w:pPr>
        <w:pStyle w:val="14"/>
      </w:pPr>
      <w:r>
        <w:rPr>
          <w:rFonts w:hint="eastAsia"/>
        </w:rPr>
        <w:t>表</w:t>
      </w:r>
      <w:r>
        <w:fldChar w:fldCharType="begin"/>
      </w:r>
      <w:r>
        <w:instrText xml:space="preserve"> STYLEREF 2 \s </w:instrText>
      </w:r>
      <w:r>
        <w:fldChar w:fldCharType="separate"/>
      </w:r>
      <w:r>
        <w:t>11.1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公众参与调查时间及调查方式</w:t>
      </w:r>
    </w:p>
    <w:tbl>
      <w:tblPr>
        <w:tblStyle w:val="35"/>
        <w:tblW w:w="84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9"/>
        <w:gridCol w:w="1574"/>
        <w:gridCol w:w="3933"/>
        <w:gridCol w:w="2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859" w:type="dxa"/>
            <w:vAlign w:val="center"/>
          </w:tcPr>
          <w:p>
            <w:pPr>
              <w:pStyle w:val="37"/>
            </w:pPr>
            <w:r>
              <w:rPr>
                <w:rFonts w:hint="eastAsia"/>
              </w:rPr>
              <w:t>公示</w:t>
            </w:r>
          </w:p>
        </w:tc>
        <w:tc>
          <w:tcPr>
            <w:tcW w:w="1574" w:type="dxa"/>
            <w:vAlign w:val="center"/>
          </w:tcPr>
          <w:p>
            <w:pPr>
              <w:pStyle w:val="37"/>
            </w:pPr>
            <w:r>
              <w:rPr>
                <w:rFonts w:hint="eastAsia"/>
              </w:rPr>
              <w:t>时间</w:t>
            </w:r>
          </w:p>
        </w:tc>
        <w:tc>
          <w:tcPr>
            <w:tcW w:w="3933" w:type="dxa"/>
            <w:vAlign w:val="center"/>
          </w:tcPr>
          <w:p>
            <w:pPr>
              <w:pStyle w:val="37"/>
            </w:pPr>
            <w:r>
              <w:rPr>
                <w:rFonts w:hint="eastAsia"/>
              </w:rPr>
              <w:t>方式</w:t>
            </w:r>
          </w:p>
        </w:tc>
        <w:tc>
          <w:tcPr>
            <w:tcW w:w="2099" w:type="dxa"/>
            <w:vAlign w:val="center"/>
          </w:tcPr>
          <w:p>
            <w:pPr>
              <w:pStyle w:val="37"/>
            </w:pPr>
            <w:r>
              <w:rPr>
                <w:rFonts w:hint="eastAsia"/>
              </w:rPr>
              <w:t>调查执行情况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859" w:type="dxa"/>
            <w:vAlign w:val="center"/>
          </w:tcPr>
          <w:p>
            <w:pPr>
              <w:pStyle w:val="37"/>
            </w:pPr>
            <w:r>
              <w:rPr>
                <w:rFonts w:hint="eastAsia"/>
              </w:rPr>
              <w:t>第一次公示</w:t>
            </w:r>
          </w:p>
        </w:tc>
        <w:tc>
          <w:tcPr>
            <w:tcW w:w="1574" w:type="dxa"/>
            <w:vAlign w:val="center"/>
          </w:tcPr>
          <w:p>
            <w:pPr>
              <w:pStyle w:val="37"/>
            </w:pPr>
            <w:r>
              <w:rPr>
                <w:rFonts w:hint="eastAsia"/>
              </w:rPr>
              <w:t>受委托承担该项目的环评工作之后</w:t>
            </w:r>
            <w:r>
              <w:t>7</w:t>
            </w:r>
            <w:r>
              <w:rPr>
                <w:rFonts w:hint="eastAsia"/>
              </w:rPr>
              <w:t>日内</w:t>
            </w:r>
          </w:p>
        </w:tc>
        <w:tc>
          <w:tcPr>
            <w:tcW w:w="3933" w:type="dxa"/>
            <w:vAlign w:val="center"/>
          </w:tcPr>
          <w:p>
            <w:pPr>
              <w:pStyle w:val="37"/>
            </w:pPr>
            <w:r>
              <w:rPr>
                <w:rFonts w:hint="eastAsia"/>
              </w:rPr>
              <w:t>现场公示：在受影响范围内的村庄附近、公众容易看到的地方，以海报公告的形式进行公示</w:t>
            </w:r>
          </w:p>
        </w:tc>
        <w:tc>
          <w:tcPr>
            <w:tcW w:w="2099" w:type="dxa"/>
            <w:vAlign w:val="center"/>
          </w:tcPr>
          <w:p>
            <w:pPr>
              <w:pStyle w:val="37"/>
            </w:pPr>
            <w:r>
              <w:rPr>
                <w:rFonts w:hint="eastAsia"/>
              </w:rPr>
              <w:t>公示</w:t>
            </w:r>
            <w:r>
              <w:t>10</w:t>
            </w:r>
            <w:r>
              <w:rPr>
                <w:rFonts w:hint="eastAsia"/>
              </w:rPr>
              <w:t>个工作日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859" w:type="dxa"/>
            <w:vAlign w:val="center"/>
          </w:tcPr>
          <w:p>
            <w:pPr>
              <w:pStyle w:val="37"/>
            </w:pPr>
            <w:r>
              <w:rPr>
                <w:rFonts w:hint="eastAsia"/>
              </w:rPr>
              <w:t>第二次公示</w:t>
            </w:r>
          </w:p>
        </w:tc>
        <w:tc>
          <w:tcPr>
            <w:tcW w:w="1574" w:type="dxa"/>
            <w:vAlign w:val="center"/>
          </w:tcPr>
          <w:p>
            <w:pPr>
              <w:pStyle w:val="37"/>
            </w:pPr>
            <w:r>
              <w:rPr>
                <w:rFonts w:hint="eastAsia"/>
              </w:rPr>
              <w:t>报告书初稿完成后</w:t>
            </w:r>
          </w:p>
        </w:tc>
        <w:tc>
          <w:tcPr>
            <w:tcW w:w="3933" w:type="dxa"/>
            <w:vAlign w:val="center"/>
          </w:tcPr>
          <w:p>
            <w:pPr>
              <w:pStyle w:val="37"/>
            </w:pPr>
            <w:r>
              <w:rPr>
                <w:rFonts w:hint="eastAsia"/>
              </w:rPr>
              <w:t>网上公示</w:t>
            </w:r>
          </w:p>
        </w:tc>
        <w:tc>
          <w:tcPr>
            <w:tcW w:w="2099" w:type="dxa"/>
            <w:vAlign w:val="center"/>
          </w:tcPr>
          <w:p>
            <w:pPr>
              <w:pStyle w:val="37"/>
            </w:pPr>
            <w:r>
              <w:rPr>
                <w:rFonts w:hint="eastAsia"/>
              </w:rPr>
              <w:t>公示</w:t>
            </w:r>
            <w:r>
              <w:t>10</w:t>
            </w:r>
            <w:r>
              <w:rPr>
                <w:rFonts w:hint="eastAsia"/>
              </w:rPr>
              <w:t>个工作日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859" w:type="dxa"/>
            <w:vAlign w:val="center"/>
          </w:tcPr>
          <w:p>
            <w:pPr>
              <w:pStyle w:val="37"/>
            </w:pPr>
            <w:r>
              <w:rPr>
                <w:rFonts w:hint="eastAsia"/>
              </w:rPr>
              <w:t>第三次公示</w:t>
            </w:r>
          </w:p>
        </w:tc>
        <w:tc>
          <w:tcPr>
            <w:tcW w:w="1574" w:type="dxa"/>
            <w:vAlign w:val="center"/>
          </w:tcPr>
          <w:p>
            <w:pPr>
              <w:pStyle w:val="37"/>
            </w:pPr>
            <w:r>
              <w:rPr>
                <w:rFonts w:hint="eastAsia"/>
              </w:rPr>
              <w:t>报告完成后</w:t>
            </w:r>
          </w:p>
        </w:tc>
        <w:tc>
          <w:tcPr>
            <w:tcW w:w="3933" w:type="dxa"/>
            <w:vAlign w:val="center"/>
          </w:tcPr>
          <w:p>
            <w:pPr>
              <w:pStyle w:val="37"/>
            </w:pPr>
            <w:r>
              <w:rPr>
                <w:rFonts w:hint="eastAsia"/>
              </w:rPr>
              <w:t>登报公示</w:t>
            </w:r>
          </w:p>
        </w:tc>
        <w:tc>
          <w:tcPr>
            <w:tcW w:w="2099" w:type="dxa"/>
            <w:vAlign w:val="center"/>
          </w:tcPr>
          <w:p>
            <w:pPr>
              <w:pStyle w:val="37"/>
            </w:pPr>
            <w:r>
              <w:rPr>
                <w:rFonts w:hint="eastAsia"/>
              </w:rPr>
              <w:t>公示</w:t>
            </w:r>
            <w:r>
              <w:t>10</w:t>
            </w:r>
            <w:r>
              <w:rPr>
                <w:rFonts w:hint="eastAsia"/>
              </w:rPr>
              <w:t>个工作日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jc w:val="center"/>
        </w:trPr>
        <w:tc>
          <w:tcPr>
            <w:tcW w:w="859" w:type="dxa"/>
            <w:vAlign w:val="center"/>
          </w:tcPr>
          <w:p>
            <w:pPr>
              <w:pStyle w:val="37"/>
            </w:pPr>
            <w:r>
              <w:rPr>
                <w:rFonts w:hint="eastAsia"/>
              </w:rPr>
              <w:t>公众</w:t>
            </w:r>
          </w:p>
          <w:p>
            <w:pPr>
              <w:pStyle w:val="37"/>
            </w:pPr>
            <w:r>
              <w:rPr>
                <w:rFonts w:hint="eastAsia"/>
              </w:rPr>
              <w:t>调查</w:t>
            </w:r>
          </w:p>
        </w:tc>
        <w:tc>
          <w:tcPr>
            <w:tcW w:w="1574" w:type="dxa"/>
            <w:vAlign w:val="center"/>
          </w:tcPr>
          <w:p>
            <w:pPr>
              <w:pStyle w:val="37"/>
            </w:pPr>
            <w:r>
              <w:rPr>
                <w:rFonts w:hint="eastAsia"/>
              </w:rPr>
              <w:t>公示期间</w:t>
            </w:r>
          </w:p>
        </w:tc>
        <w:tc>
          <w:tcPr>
            <w:tcW w:w="3933" w:type="dxa"/>
            <w:vAlign w:val="center"/>
          </w:tcPr>
          <w:p>
            <w:pPr>
              <w:pStyle w:val="37"/>
            </w:pPr>
            <w:r>
              <w:rPr>
                <w:rFonts w:hint="eastAsia"/>
              </w:rPr>
              <w:t>发放问卷</w:t>
            </w:r>
          </w:p>
        </w:tc>
        <w:tc>
          <w:tcPr>
            <w:tcW w:w="2099" w:type="dxa"/>
            <w:vAlign w:val="center"/>
          </w:tcPr>
          <w:p>
            <w:pPr>
              <w:pStyle w:val="37"/>
            </w:pPr>
            <w:r>
              <w:rPr>
                <w:rFonts w:hint="eastAsia"/>
              </w:rPr>
              <w:t>共发放</w:t>
            </w:r>
            <w:r>
              <w:t>30</w:t>
            </w:r>
            <w:r>
              <w:rPr>
                <w:rFonts w:hint="eastAsia"/>
              </w:rPr>
              <w:t>份，团体公参</w:t>
            </w:r>
            <w:r>
              <w:t>3</w:t>
            </w:r>
            <w:r>
              <w:rPr>
                <w:rFonts w:hint="eastAsia"/>
              </w:rPr>
              <w:t>份，调查情况见本章</w:t>
            </w:r>
          </w:p>
        </w:tc>
      </w:tr>
    </w:tbl>
    <w:p>
      <w:pPr>
        <w:ind w:firstLine="480"/>
      </w:pPr>
      <w:r>
        <w:rPr>
          <w:rFonts w:hint="eastAsia"/>
        </w:rPr>
        <w:t>项目公众参与调查、公示照片见</w:t>
      </w:r>
      <w:r>
        <w:rPr>
          <w:rFonts w:hint="eastAsia"/>
          <w:b/>
        </w:rPr>
        <w:t>图</w:t>
      </w:r>
      <w:r>
        <w:rPr>
          <w:b/>
        </w:rPr>
        <w:t>12.1</w:t>
      </w:r>
      <w:r>
        <w:rPr>
          <w:b/>
        </w:rPr>
        <w:noBreakHyphen/>
      </w:r>
      <w:r>
        <w:rPr>
          <w:b/>
        </w:rPr>
        <w:t>1</w:t>
      </w:r>
      <w:r>
        <w:rPr>
          <w:rFonts w:hint="eastAsia"/>
        </w:rPr>
        <w:t>。</w:t>
      </w:r>
      <w:r>
        <w:tab/>
      </w:r>
    </w:p>
    <w:p>
      <w:pPr>
        <w:ind w:firstLine="480"/>
      </w:pPr>
    </w:p>
    <w:tbl>
      <w:tblPr>
        <w:tblStyle w:val="35"/>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4"/>
        <w:gridCol w:w="4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26" w:hRule="atLeast"/>
          <w:jc w:val="center"/>
        </w:trPr>
        <w:tc>
          <w:tcPr>
            <w:tcW w:w="4264" w:type="dxa"/>
            <w:vAlign w:val="top"/>
          </w:tcPr>
          <w:p>
            <w:pPr>
              <w:pStyle w:val="14"/>
              <w:rPr>
                <w:highlight w:val="yellow"/>
              </w:rPr>
            </w:pPr>
            <w:r>
              <w:rPr>
                <w:rFonts w:ascii="Times New Roman" w:hAnsi="Times New Roman" w:eastAsia="宋体" w:cs="Times New Roman"/>
                <w:b/>
                <w:kern w:val="2"/>
                <w:sz w:val="21"/>
                <w:szCs w:val="20"/>
                <w:lang w:val="en-US" w:eastAsia="zh-CN" w:bidi="ar-SA"/>
              </w:rPr>
              <w:pict>
                <v:shape id="图片 22" o:spid="_x0000_s1123" type="#_x0000_t75" style="height:202.5pt;width:202.5pt;rotation:5898240f;" o:ole="f" fillcolor="#FFFFFF" filled="f" o:preferrelative="t" stroked="f" coordorigin="0,0" coordsize="21600,21600">
                  <v:fill on="f" color2="#FFFFFF" focus="0%"/>
                  <v:imagedata gain="65536f" blacklevel="0f" gamma="0" o:title="" r:id="rId65"/>
                  <o:lock v:ext="edit" position="f" selection="f" grouping="f" rotation="f" cropping="f" text="f" aspectratio="t"/>
                  <w10:wrap type="none"/>
                  <w10:anchorlock/>
                </v:shape>
              </w:pict>
            </w:r>
          </w:p>
        </w:tc>
        <w:tc>
          <w:tcPr>
            <w:tcW w:w="4265" w:type="dxa"/>
            <w:vAlign w:val="top"/>
          </w:tcPr>
          <w:p>
            <w:pPr>
              <w:pStyle w:val="14"/>
              <w:rPr>
                <w:highlight w:val="yellow"/>
              </w:rPr>
            </w:pPr>
            <w:r>
              <w:rPr>
                <w:rFonts w:ascii="Times New Roman" w:hAnsi="Times New Roman" w:eastAsia="宋体" w:cs="Times New Roman"/>
                <w:b/>
                <w:kern w:val="2"/>
                <w:sz w:val="21"/>
                <w:szCs w:val="20"/>
                <w:lang w:val="en-US" w:eastAsia="zh-CN" w:bidi="ar-SA"/>
              </w:rPr>
              <w:pict>
                <v:shape id="图片 23" o:spid="_x0000_s1124" type="#_x0000_t75" style="height:201.75pt;width:177.75pt;rotation:0f;" o:ole="f" fillcolor="#FFFFFF" filled="f" o:preferrelative="t" stroked="f" coordorigin="0,0" coordsize="21600,21600">
                  <v:fill on="f" color2="#FFFFFF" focus="0%"/>
                  <v:imagedata gain="65536f" blacklevel="0f" gamma="0" o:title="" r:id="rId66"/>
                  <o:lock v:ext="edit" position="f" selection="f" grouping="f" rotation="f" cropping="f" text="f"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29" w:type="dxa"/>
            <w:gridSpan w:val="2"/>
            <w:vAlign w:val="top"/>
          </w:tcPr>
          <w:p>
            <w:pPr>
              <w:pStyle w:val="14"/>
              <w:rPr>
                <w:highlight w:val="yellow"/>
              </w:rPr>
            </w:pPr>
            <w:r>
              <w:rPr>
                <w:rFonts w:hint="eastAsia"/>
              </w:rPr>
              <w:t>第一次公示照片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5" w:hRule="atLeast"/>
          <w:jc w:val="center"/>
        </w:trPr>
        <w:tc>
          <w:tcPr>
            <w:tcW w:w="8529" w:type="dxa"/>
            <w:gridSpan w:val="2"/>
            <w:vAlign w:val="top"/>
          </w:tcPr>
          <w:p>
            <w:pPr>
              <w:pStyle w:val="37"/>
              <w:rPr>
                <w:highlight w:val="yellow"/>
              </w:rPr>
            </w:pPr>
            <w:r>
              <w:rPr>
                <w:rFonts w:ascii="Times New Roman" w:hAnsi="Times New Roman" w:eastAsia="宋体" w:cs="Times New Roman"/>
                <w:kern w:val="2"/>
                <w:sz w:val="21"/>
                <w:szCs w:val="21"/>
                <w:lang w:val="en-US" w:eastAsia="zh-CN" w:bidi="ar-SA"/>
              </w:rPr>
              <w:pict>
                <v:shape id="图片 24" o:spid="_x0000_s1125" type="#_x0000_t75" style="height:332.25pt;width:408.75pt;rotation:0f;" o:ole="f" fillcolor="#FFFFFF" filled="f" o:preferrelative="t" stroked="f" coordorigin="0,0" coordsize="21600,21600">
                  <v:fill on="f" color2="#FFFFFF" focus="0%"/>
                  <v:imagedata gain="65536f" blacklevel="0f" gamma="0" o:title="" r:id="rId67"/>
                  <o:lock v:ext="edit" position="f" selection="f" grouping="f" rotation="f" cropping="f" text="f"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center"/>
        </w:trPr>
        <w:tc>
          <w:tcPr>
            <w:tcW w:w="8529" w:type="dxa"/>
            <w:gridSpan w:val="2"/>
            <w:vAlign w:val="top"/>
          </w:tcPr>
          <w:p>
            <w:pPr>
              <w:pStyle w:val="14"/>
              <w:rPr>
                <w:highlight w:val="yellow"/>
              </w:rPr>
            </w:pPr>
            <w:r>
              <w:rPr>
                <w:rFonts w:hint="eastAsia"/>
              </w:rPr>
              <w:t>第二次网上公示截图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77" w:hRule="atLeast"/>
          <w:jc w:val="center"/>
        </w:trPr>
        <w:tc>
          <w:tcPr>
            <w:tcW w:w="8529" w:type="dxa"/>
            <w:gridSpan w:val="2"/>
            <w:vAlign w:val="top"/>
          </w:tcPr>
          <w:p>
            <w:pPr>
              <w:ind w:firstLine="480"/>
              <w:rPr>
                <w:highlight w:val="yellow"/>
              </w:rPr>
            </w:pPr>
            <w:r>
              <w:rPr>
                <w:rFonts w:ascii="Times New Roman" w:hAnsi="Times New Roman" w:eastAsia="宋体" w:cs="Times New Roman"/>
                <w:kern w:val="2"/>
                <w:sz w:val="24"/>
                <w:szCs w:val="21"/>
                <w:lang w:val="en-US" w:eastAsia="zh-CN" w:bidi="ar-SA"/>
              </w:rPr>
              <w:pict>
                <v:shape id="图片 35" o:spid="_x0000_s1126" type="#_x0000_t75" style="height:363pt;width:351.75pt;rotation:0f;" o:ole="f" fillcolor="#FFFFFF" filled="f" o:preferrelative="t" stroked="f" coordorigin="0,0" coordsize="21600,21600">
                  <v:fill on="f" color2="#FFFFFF" focus="0%"/>
                  <v:imagedata gain="65536f" blacklevel="0f" gamma="0" o:title="" r:id="rId68"/>
                  <o:lock v:ext="edit" position="f" selection="f" grouping="f" rotation="f" cropping="f" text="f" aspectratio="t"/>
                  <w10:wrap type="none"/>
                  <w10:anchorlock/>
                </v:shape>
              </w:pi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529" w:type="dxa"/>
            <w:gridSpan w:val="2"/>
            <w:vAlign w:val="top"/>
          </w:tcPr>
          <w:p>
            <w:pPr>
              <w:ind w:firstLine="422"/>
              <w:jc w:val="center"/>
              <w:rPr>
                <w:b/>
                <w:sz w:val="21"/>
                <w:highlight w:val="yellow"/>
              </w:rPr>
            </w:pPr>
            <w:r>
              <w:rPr>
                <w:rFonts w:hint="eastAsia"/>
                <w:b/>
                <w:sz w:val="21"/>
              </w:rPr>
              <w:t>第三次公示截图</w:t>
            </w:r>
          </w:p>
        </w:tc>
      </w:tr>
    </w:tbl>
    <w:p>
      <w:pPr>
        <w:pStyle w:val="14"/>
      </w:pPr>
      <w:r>
        <w:rPr>
          <w:rFonts w:hint="eastAsia"/>
        </w:rPr>
        <w:t>图</w:t>
      </w:r>
      <w:r>
        <w:fldChar w:fldCharType="begin"/>
      </w:r>
      <w:r>
        <w:instrText xml:space="preserve"> STYLEREF 2 \s </w:instrText>
      </w:r>
      <w:r>
        <w:fldChar w:fldCharType="separate"/>
      </w:r>
      <w:r>
        <w:t>12.1</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t>1</w:t>
      </w:r>
      <w:r>
        <w:fldChar w:fldCharType="end"/>
      </w:r>
      <w:r>
        <w:rPr>
          <w:rFonts w:hint="eastAsia"/>
          <w:bCs/>
        </w:rPr>
        <w:t>公示照片</w:t>
      </w:r>
    </w:p>
    <w:p>
      <w:pPr>
        <w:pStyle w:val="3"/>
      </w:pPr>
      <w:bookmarkStart w:id="300" w:name="_Toc15207"/>
      <w:bookmarkStart w:id="301" w:name="_Toc399323368"/>
      <w:bookmarkStart w:id="302" w:name="_Toc30804"/>
      <w:bookmarkStart w:id="303" w:name="_Toc21165"/>
      <w:bookmarkStart w:id="304" w:name="_Toc358035109"/>
      <w:bookmarkStart w:id="305" w:name="_Toc241482474"/>
      <w:bookmarkStart w:id="306" w:name="_Toc462818462"/>
      <w:r>
        <w:rPr>
          <w:rFonts w:hint="eastAsia"/>
        </w:rPr>
        <w:t>环评信息公示</w:t>
      </w:r>
      <w:bookmarkEnd w:id="300"/>
      <w:bookmarkEnd w:id="301"/>
      <w:bookmarkEnd w:id="302"/>
      <w:bookmarkEnd w:id="303"/>
      <w:bookmarkEnd w:id="304"/>
      <w:bookmarkEnd w:id="305"/>
      <w:bookmarkEnd w:id="306"/>
    </w:p>
    <w:p>
      <w:pPr>
        <w:ind w:firstLine="480"/>
      </w:pPr>
      <w:r>
        <w:rPr>
          <w:rFonts w:hint="eastAsia"/>
        </w:rPr>
        <w:t>第一次公示：根据《环境影响评价公众参与暂行办法》的要求，即于</w:t>
      </w:r>
      <w:r>
        <w:t>2016</w:t>
      </w:r>
      <w:r>
        <w:rPr>
          <w:rFonts w:hint="eastAsia"/>
        </w:rPr>
        <w:t>年</w:t>
      </w:r>
      <w:r>
        <w:t>8</w:t>
      </w:r>
      <w:r>
        <w:rPr>
          <w:rFonts w:hint="eastAsia"/>
        </w:rPr>
        <w:t>月</w:t>
      </w:r>
      <w:r>
        <w:t>9</w:t>
      </w:r>
      <w:r>
        <w:rPr>
          <w:rFonts w:hint="eastAsia"/>
        </w:rPr>
        <w:t>日在村委会等地进行现场公示，公示期为公示日起</w:t>
      </w:r>
      <w:r>
        <w:t>10</w:t>
      </w:r>
      <w:r>
        <w:rPr>
          <w:rFonts w:hint="eastAsia"/>
        </w:rPr>
        <w:t>个工作日。公示后，我司及建设单位没有收到单位和群众反馈意见和建议。</w:t>
      </w:r>
    </w:p>
    <w:p>
      <w:pPr>
        <w:ind w:firstLine="480"/>
      </w:pPr>
      <w:r>
        <w:rPr>
          <w:rFonts w:hint="eastAsia"/>
        </w:rPr>
        <w:t>第二次公示：在本报告书编制过程中，报送环境保护主管部门审批前，即于</w:t>
      </w:r>
      <w:r>
        <w:t>2016</w:t>
      </w:r>
      <w:r>
        <w:rPr>
          <w:rFonts w:hint="eastAsia"/>
        </w:rPr>
        <w:t>年</w:t>
      </w:r>
      <w:r>
        <w:t>8</w:t>
      </w:r>
      <w:r>
        <w:rPr>
          <w:rFonts w:hint="eastAsia"/>
        </w:rPr>
        <w:t>月</w:t>
      </w:r>
      <w:r>
        <w:t>24</w:t>
      </w:r>
      <w:r>
        <w:rPr>
          <w:rFonts w:hint="eastAsia"/>
        </w:rPr>
        <w:t>日在网上进行第二次信息公示，公示期限为</w:t>
      </w:r>
      <w:r>
        <w:t>10</w:t>
      </w:r>
      <w:r>
        <w:rPr>
          <w:rFonts w:hint="eastAsia"/>
        </w:rPr>
        <w:t>个工作日。公示后，我司及建设单位没有收到单位和群众反馈意见和建议。</w:t>
      </w:r>
    </w:p>
    <w:p>
      <w:pPr>
        <w:ind w:firstLine="480"/>
      </w:pPr>
      <w:r>
        <w:rPr>
          <w:rFonts w:hint="eastAsia"/>
        </w:rPr>
        <w:t>第三次公示：本项目于</w:t>
      </w:r>
      <w:r>
        <w:t>9</w:t>
      </w:r>
      <w:r>
        <w:rPr>
          <w:rFonts w:hint="eastAsia"/>
        </w:rPr>
        <w:t>月</w:t>
      </w:r>
      <w:r>
        <w:t>7</w:t>
      </w:r>
      <w:r>
        <w:rPr>
          <w:rFonts w:hint="eastAsia"/>
        </w:rPr>
        <w:t>日登报进行第三次信息公示，公示期限为</w:t>
      </w:r>
      <w:r>
        <w:t>10</w:t>
      </w:r>
      <w:r>
        <w:rPr>
          <w:rFonts w:hint="eastAsia"/>
        </w:rPr>
        <w:t>个工作日。公示后，我司及建设单位没有收到单位和群众反馈意见和建议。</w:t>
      </w:r>
    </w:p>
    <w:p>
      <w:pPr>
        <w:pStyle w:val="3"/>
      </w:pPr>
      <w:bookmarkStart w:id="307" w:name="_Toc12748"/>
      <w:bookmarkStart w:id="308" w:name="_Toc358035110"/>
      <w:bookmarkStart w:id="309" w:name="_Toc241482475"/>
      <w:bookmarkStart w:id="310" w:name="_Toc205713924"/>
      <w:bookmarkStart w:id="311" w:name="_Toc399323369"/>
      <w:bookmarkStart w:id="312" w:name="_Toc462818463"/>
      <w:bookmarkStart w:id="313" w:name="_Toc29124"/>
      <w:bookmarkStart w:id="314" w:name="_Toc5688"/>
      <w:r>
        <w:rPr>
          <w:rFonts w:hint="eastAsia"/>
        </w:rPr>
        <w:t>公众参与调查</w:t>
      </w:r>
      <w:bookmarkEnd w:id="307"/>
      <w:bookmarkEnd w:id="308"/>
      <w:bookmarkEnd w:id="309"/>
      <w:bookmarkEnd w:id="310"/>
      <w:bookmarkEnd w:id="311"/>
      <w:bookmarkEnd w:id="312"/>
      <w:bookmarkEnd w:id="313"/>
      <w:bookmarkEnd w:id="314"/>
    </w:p>
    <w:p>
      <w:pPr>
        <w:pStyle w:val="4"/>
      </w:pPr>
      <w:r>
        <w:rPr>
          <w:rFonts w:hint="eastAsia"/>
        </w:rPr>
        <w:t>调查方式与方法</w:t>
      </w:r>
    </w:p>
    <w:p>
      <w:pPr>
        <w:ind w:firstLine="480"/>
        <w:rPr>
          <w:u w:val="single"/>
        </w:rPr>
      </w:pPr>
      <w:r>
        <w:rPr>
          <w:rFonts w:hint="eastAsia"/>
        </w:rPr>
        <w:t>本评价单位与建设单位一起于</w:t>
      </w:r>
      <w:r>
        <w:t>2016</w:t>
      </w:r>
      <w:r>
        <w:rPr>
          <w:rFonts w:hint="eastAsia"/>
        </w:rPr>
        <w:t>年</w:t>
      </w:r>
      <w:r>
        <w:t>8</w:t>
      </w:r>
      <w:r>
        <w:rPr>
          <w:rFonts w:hint="eastAsia"/>
        </w:rPr>
        <w:t>月</w:t>
      </w:r>
      <w:r>
        <w:t>2</w:t>
      </w:r>
      <w:r>
        <w:rPr>
          <w:rFonts w:hint="eastAsia"/>
        </w:rPr>
        <w:t>5～</w:t>
      </w:r>
      <w:r>
        <w:t>2</w:t>
      </w:r>
      <w:r>
        <w:rPr>
          <w:rFonts w:hint="eastAsia"/>
        </w:rPr>
        <w:t>6对周边村庄等进行随机访谈，同时发放公众参与征询表，对本项目建设造成的环境等方面的问题向群众进行意见征询。</w:t>
      </w:r>
    </w:p>
    <w:p>
      <w:pPr>
        <w:ind w:firstLine="480"/>
      </w:pPr>
      <w:r>
        <w:rPr>
          <w:rFonts w:hint="eastAsia"/>
        </w:rPr>
        <w:t>公众参与调查意见征询表的内容见表</w:t>
      </w:r>
      <w:r>
        <w:t>12.3-1</w:t>
      </w:r>
      <w:r>
        <w:rPr>
          <w:rFonts w:hint="eastAsia"/>
        </w:rPr>
        <w:t>（团体）及表</w:t>
      </w:r>
      <w:r>
        <w:t>12.3-2</w:t>
      </w:r>
      <w:r>
        <w:rPr>
          <w:rFonts w:hint="eastAsia"/>
        </w:rPr>
        <w:t>（个人）。</w:t>
      </w:r>
    </w:p>
    <w:p>
      <w:pPr>
        <w:pStyle w:val="14"/>
        <w:jc w:val="both"/>
      </w:pPr>
      <w:r>
        <w:rPr>
          <w:rFonts w:hint="eastAsia"/>
        </w:rPr>
        <w:t>表</w:t>
      </w:r>
      <w:r>
        <w:fldChar w:fldCharType="begin"/>
      </w:r>
      <w:r>
        <w:instrText xml:space="preserve"> STYLEREF 2 \s </w:instrText>
      </w:r>
      <w:r>
        <w:fldChar w:fldCharType="separate"/>
      </w:r>
      <w:r>
        <w:t>11.3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 xml:space="preserve">    云溪河下游沿岸工业历史遗留固废渣处置项目环境影响评价团体参与调查表</w:t>
      </w:r>
    </w:p>
    <w:tbl>
      <w:tblPr>
        <w:tblStyle w:val="35"/>
        <w:tblW w:w="88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2829"/>
        <w:gridCol w:w="1432"/>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spacing w:line="276" w:lineRule="auto"/>
              <w:ind w:firstLine="420" w:firstLineChars="200"/>
              <w:jc w:val="both"/>
            </w:pPr>
            <w:r>
              <w:rPr>
                <w:rFonts w:hint="eastAsia"/>
              </w:rPr>
              <w:t>项目概况：本项目将对云溪河下游沿岸现堆存有的东风嘴、老虎嘴、抓埠市、老水井、胜利矶</w:t>
            </w:r>
            <w:r>
              <w:t>5</w:t>
            </w:r>
            <w:r>
              <w:rPr>
                <w:rFonts w:hint="eastAsia"/>
              </w:rPr>
              <w:t>处共</w:t>
            </w:r>
            <w:r>
              <w:t>10.63</w:t>
            </w:r>
            <w:r>
              <w:rPr>
                <w:rFonts w:hint="eastAsia"/>
              </w:rPr>
              <w:t>万</w:t>
            </w:r>
            <w:r>
              <w:t>m</w:t>
            </w:r>
            <w:r>
              <w:rPr>
                <w:vertAlign w:val="superscript"/>
              </w:rPr>
              <w:t>3</w:t>
            </w:r>
            <w:r>
              <w:rPr>
                <w:rFonts w:hint="eastAsia"/>
              </w:rPr>
              <w:t>历史遗留工业固废渣（包括部分生活垃圾和建筑垃圾，为混合废渣）进行综合治理，拟新建一座</w:t>
            </w:r>
            <w:r>
              <w:t>II</w:t>
            </w:r>
            <w:r>
              <w:rPr>
                <w:rFonts w:hint="eastAsia"/>
              </w:rPr>
              <w:t>类处置场用于安全填埋，选址于岳阳市云溪区路口镇牌楼村九房组采石场废弃矿坑，区域上口长</w:t>
            </w:r>
            <w:r>
              <w:t>125m</w:t>
            </w:r>
            <w:r>
              <w:rPr>
                <w:rFonts w:hint="eastAsia"/>
              </w:rPr>
              <w:t>，宽</w:t>
            </w:r>
            <w:r>
              <w:t>110m</w:t>
            </w:r>
            <w:r>
              <w:rPr>
                <w:rFonts w:hint="eastAsia"/>
              </w:rPr>
              <w:t>，深约</w:t>
            </w:r>
            <w:r>
              <w:t>14m</w:t>
            </w:r>
            <w:r>
              <w:rPr>
                <w:rFonts w:hint="eastAsia"/>
              </w:rPr>
              <w:t>，底部面积约</w:t>
            </w:r>
            <w:r>
              <w:t>6000m</w:t>
            </w:r>
            <w:r>
              <w:rPr>
                <w:vertAlign w:val="superscript"/>
              </w:rPr>
              <w:t>2</w:t>
            </w:r>
            <w:r>
              <w:rPr>
                <w:rFonts w:hint="eastAsia"/>
              </w:rPr>
              <w:t>，估算总容量超过</w:t>
            </w:r>
            <w:r>
              <w:t>12</w:t>
            </w:r>
            <w:r>
              <w:rPr>
                <w:rFonts w:hint="eastAsia"/>
              </w:rPr>
              <w:t>万</w:t>
            </w:r>
            <w:r>
              <w:t>m</w:t>
            </w:r>
            <w:r>
              <w:rPr>
                <w:vertAlign w:val="superscript"/>
              </w:rPr>
              <w:t>3</w:t>
            </w:r>
            <w:r>
              <w:rPr>
                <w:rFonts w:hint="eastAsia"/>
              </w:rPr>
              <w:t>，总投资</w:t>
            </w:r>
            <w:r>
              <w:t>2294.56</w:t>
            </w:r>
            <w:r>
              <w:rPr>
                <w:rFonts w:hint="eastAsia"/>
              </w:rPr>
              <w:t>万元。此项目建设工期为</w:t>
            </w:r>
            <w:r>
              <w:t>9</w:t>
            </w:r>
            <w:r>
              <w:rPr>
                <w:rFonts w:hint="eastAsia"/>
              </w:rPr>
              <w:t>个月，</w:t>
            </w:r>
            <w:r>
              <w:t>2016</w:t>
            </w:r>
            <w:r>
              <w:rPr>
                <w:rFonts w:hint="eastAsia"/>
              </w:rPr>
              <w:t>年</w:t>
            </w:r>
            <w:r>
              <w:t>6</w:t>
            </w:r>
            <w:r>
              <w:rPr>
                <w:rFonts w:hint="eastAsia"/>
              </w:rPr>
              <w:t>月至</w:t>
            </w:r>
            <w:r>
              <w:t>2017</w:t>
            </w:r>
            <w:r>
              <w:rPr>
                <w:rFonts w:hint="eastAsia"/>
              </w:rPr>
              <w:t>年</w:t>
            </w:r>
            <w:r>
              <w:t>2</w:t>
            </w:r>
            <w:r>
              <w:rPr>
                <w:rFonts w:hint="eastAsia"/>
              </w:rPr>
              <w:t>月。</w:t>
            </w:r>
          </w:p>
          <w:p>
            <w:pPr>
              <w:pStyle w:val="37"/>
              <w:spacing w:line="276" w:lineRule="auto"/>
              <w:ind w:firstLine="420" w:firstLineChars="200"/>
              <w:jc w:val="both"/>
            </w:pPr>
            <w:r>
              <w:rPr>
                <w:rFonts w:hint="eastAsia"/>
              </w:rPr>
              <w:t>项目施工期造成的主要环境影响为施工过程中产生的粉尘、废水废气、噪声、固体废物对环境产生的影响，以及施工活动对周边生态环境造成轻微水土流失，施工期间通过对道路洒水抑尘降噪设备、生活垃圾和建筑垃圾集中堆放与及时清理等措施，施工期对环境的影响将逐渐减小。项目填埋期对环境产生的主要影响为处置场渗透液对地表水或地下水的污染、处置场产生气体排放对大气的污染以及处置场垃圾堆体对周围地质生态环境的影响等，通过防渗处理、设置防护距离、做好填埋区的植被覆盖等措施的实施，项目填埋期对环境的影响较小。</w:t>
            </w:r>
          </w:p>
          <w:p>
            <w:pPr>
              <w:pStyle w:val="37"/>
              <w:spacing w:line="276" w:lineRule="auto"/>
              <w:jc w:val="both"/>
              <w:rPr>
                <w:b/>
              </w:rPr>
            </w:pPr>
            <w:r>
              <w:rPr>
                <w:rFonts w:hint="eastAsia"/>
              </w:rPr>
              <w:t>根据环境影响评价法的规定，建设单位特广泛征询项目地周边居民、单位对本项目的环境影响评价和项目建设的意见。希望被调查居民、单位以各种方式积极反映自己的意见和建议，并请如实认真地完成该调查表，谢谢您的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9" w:hRule="atLeast"/>
          <w:jc w:val="center"/>
        </w:trPr>
        <w:tc>
          <w:tcPr>
            <w:tcW w:w="2429" w:type="dxa"/>
            <w:vAlign w:val="top"/>
          </w:tcPr>
          <w:p>
            <w:pPr>
              <w:pStyle w:val="37"/>
              <w:jc w:val="both"/>
            </w:pPr>
            <w:r>
              <w:rPr>
                <w:rFonts w:hint="eastAsia"/>
              </w:rPr>
              <w:t>单位名称（盖章）</w:t>
            </w:r>
          </w:p>
        </w:tc>
        <w:tc>
          <w:tcPr>
            <w:tcW w:w="2829" w:type="dxa"/>
            <w:vAlign w:val="top"/>
          </w:tcPr>
          <w:p>
            <w:pPr>
              <w:pStyle w:val="37"/>
              <w:jc w:val="both"/>
            </w:pPr>
          </w:p>
        </w:tc>
        <w:tc>
          <w:tcPr>
            <w:tcW w:w="1432" w:type="dxa"/>
            <w:vAlign w:val="top"/>
          </w:tcPr>
          <w:p>
            <w:pPr>
              <w:pStyle w:val="37"/>
              <w:jc w:val="both"/>
            </w:pPr>
            <w:r>
              <w:rPr>
                <w:rFonts w:hint="eastAsia"/>
              </w:rPr>
              <w:t>联系人</w:t>
            </w:r>
          </w:p>
        </w:tc>
        <w:tc>
          <w:tcPr>
            <w:tcW w:w="2131" w:type="dxa"/>
            <w:vAlign w:val="top"/>
          </w:tcPr>
          <w:p>
            <w:pPr>
              <w:pStyle w:val="37"/>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4" w:hRule="atLeast"/>
          <w:jc w:val="center"/>
        </w:trPr>
        <w:tc>
          <w:tcPr>
            <w:tcW w:w="2429" w:type="dxa"/>
            <w:vAlign w:val="top"/>
          </w:tcPr>
          <w:p>
            <w:pPr>
              <w:pStyle w:val="37"/>
              <w:jc w:val="both"/>
            </w:pPr>
            <w:r>
              <w:rPr>
                <w:rFonts w:hint="eastAsia"/>
              </w:rPr>
              <w:t>单位地址</w:t>
            </w:r>
          </w:p>
        </w:tc>
        <w:tc>
          <w:tcPr>
            <w:tcW w:w="2829" w:type="dxa"/>
            <w:vAlign w:val="top"/>
          </w:tcPr>
          <w:p>
            <w:pPr>
              <w:pStyle w:val="37"/>
              <w:jc w:val="both"/>
            </w:pPr>
          </w:p>
        </w:tc>
        <w:tc>
          <w:tcPr>
            <w:tcW w:w="1432" w:type="dxa"/>
            <w:vAlign w:val="top"/>
          </w:tcPr>
          <w:p>
            <w:pPr>
              <w:pStyle w:val="37"/>
              <w:jc w:val="both"/>
            </w:pPr>
            <w:r>
              <w:rPr>
                <w:rFonts w:hint="eastAsia"/>
              </w:rPr>
              <w:t>联系电话</w:t>
            </w:r>
          </w:p>
        </w:tc>
        <w:tc>
          <w:tcPr>
            <w:tcW w:w="2131" w:type="dxa"/>
            <w:vAlign w:val="top"/>
          </w:tcPr>
          <w:p>
            <w:pPr>
              <w:pStyle w:val="37"/>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rPr>
                <w:rFonts w:hint="eastAsia"/>
              </w:rPr>
              <w:t>您对本建设项目的了解程度？（单选）</w:t>
            </w:r>
          </w:p>
          <w:p>
            <w:pPr>
              <w:pStyle w:val="37"/>
              <w:jc w:val="both"/>
            </w:pPr>
            <w:r>
              <w:t>A</w:t>
            </w:r>
            <w:r>
              <w:rPr>
                <w:rFonts w:hint="eastAsia"/>
              </w:rPr>
              <w:t>、了解</w:t>
            </w:r>
            <w:r>
              <w:t xml:space="preserve">      B</w:t>
            </w:r>
            <w:r>
              <w:rPr>
                <w:rFonts w:hint="eastAsia"/>
              </w:rPr>
              <w:t>、听说过，但不了解</w:t>
            </w:r>
            <w:r>
              <w:t xml:space="preserve">   C</w:t>
            </w:r>
            <w:r>
              <w:rPr>
                <w:rFonts w:hint="eastAsia"/>
              </w:rPr>
              <w:t>、不了解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rPr>
                <w:rFonts w:hint="eastAsia"/>
              </w:rPr>
              <w:t>您对该项目建设所持态度如何？（单选）</w:t>
            </w:r>
          </w:p>
          <w:p>
            <w:pPr>
              <w:pStyle w:val="37"/>
              <w:jc w:val="both"/>
            </w:pPr>
            <w:r>
              <w:t>A</w:t>
            </w:r>
            <w:r>
              <w:rPr>
                <w:rFonts w:hint="eastAsia"/>
              </w:rPr>
              <w:t>、赞成　　　</w:t>
            </w:r>
            <w:r>
              <w:t>B</w:t>
            </w:r>
            <w:r>
              <w:rPr>
                <w:rFonts w:hint="eastAsia"/>
              </w:rPr>
              <w:t>、不赞成　　　</w:t>
            </w:r>
            <w:r>
              <w:t>C</w:t>
            </w:r>
            <w:r>
              <w:rPr>
                <w:rFonts w:hint="eastAsia"/>
              </w:rPr>
              <w:t>、无所谓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rPr>
                <w:rFonts w:hint="eastAsia"/>
              </w:rPr>
              <w:t>项目建成后对贵单位日常工作的影响如何？（单选）</w:t>
            </w:r>
          </w:p>
          <w:p>
            <w:pPr>
              <w:pStyle w:val="37"/>
              <w:jc w:val="both"/>
            </w:pPr>
            <w:r>
              <w:t>A</w:t>
            </w:r>
            <w:r>
              <w:rPr>
                <w:rFonts w:hint="eastAsia"/>
              </w:rPr>
              <w:t>、有利影响　</w:t>
            </w:r>
            <w:r>
              <w:t>B</w:t>
            </w:r>
            <w:r>
              <w:rPr>
                <w:rFonts w:hint="eastAsia"/>
              </w:rPr>
              <w:t>、无明显影响　</w:t>
            </w:r>
            <w:r>
              <w:t>C</w:t>
            </w:r>
            <w:r>
              <w:rPr>
                <w:rFonts w:hint="eastAsia"/>
              </w:rPr>
              <w:t>、不利影响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rPr>
                <w:rFonts w:hint="eastAsia"/>
              </w:rPr>
              <w:t>您能接受项目施工期的环境影响吗？（单选）</w:t>
            </w:r>
          </w:p>
          <w:p>
            <w:pPr>
              <w:pStyle w:val="37"/>
              <w:jc w:val="both"/>
            </w:pPr>
            <w:r>
              <w:t>A</w:t>
            </w:r>
            <w:r>
              <w:rPr>
                <w:rFonts w:hint="eastAsia"/>
              </w:rPr>
              <w:t>、能　　　　</w:t>
            </w:r>
            <w:r>
              <w:t>B</w:t>
            </w:r>
            <w:r>
              <w:rPr>
                <w:rFonts w:hint="eastAsia"/>
              </w:rPr>
              <w:t>、基本能　　　</w:t>
            </w:r>
            <w:r>
              <w:t>C</w:t>
            </w:r>
            <w:r>
              <w:rPr>
                <w:rFonts w:hint="eastAsia"/>
              </w:rPr>
              <w:t>、不能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rPr>
                <w:rFonts w:hint="eastAsia"/>
              </w:rPr>
              <w:t>您认为本项目建成后主要环境污染在哪方面？（可多选）</w:t>
            </w:r>
          </w:p>
          <w:p>
            <w:pPr>
              <w:pStyle w:val="37"/>
              <w:jc w:val="both"/>
            </w:pPr>
            <w:r>
              <w:rPr>
                <w:rFonts w:hint="eastAsia"/>
              </w:rPr>
              <w:t>水污染　　</w:t>
            </w:r>
            <w:r>
              <w:t>B</w:t>
            </w:r>
            <w:r>
              <w:rPr>
                <w:rFonts w:hint="eastAsia"/>
              </w:rPr>
              <w:t>、废气污染　　</w:t>
            </w:r>
            <w:r>
              <w:t>C</w:t>
            </w:r>
            <w:r>
              <w:rPr>
                <w:rFonts w:hint="eastAsia"/>
              </w:rPr>
              <w:t>、噪声污染　　</w:t>
            </w:r>
            <w:r>
              <w:t>D</w:t>
            </w:r>
            <w:r>
              <w:rPr>
                <w:rFonts w:hint="eastAsia"/>
              </w:rPr>
              <w:t>、垃圾问题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t>6</w:t>
            </w:r>
            <w:r>
              <w:rPr>
                <w:rFonts w:hint="eastAsia"/>
              </w:rPr>
              <w:t>、您对项目建设造成的生态环境影响有什么看法？（如有意见，请说明原因）</w:t>
            </w:r>
          </w:p>
          <w:p>
            <w:pPr>
              <w:pStyle w:val="37"/>
              <w:jc w:val="both"/>
            </w:pPr>
            <w:r>
              <w:t>A</w:t>
            </w:r>
            <w:r>
              <w:rPr>
                <w:rFonts w:hint="eastAsia"/>
              </w:rPr>
              <w:t>、无意见　　</w:t>
            </w:r>
            <w:r>
              <w:t>B</w:t>
            </w:r>
            <w:r>
              <w:rPr>
                <w:rFonts w:hint="eastAsia"/>
              </w:rPr>
              <w:t>、有意见：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821" w:type="dxa"/>
            <w:gridSpan w:val="4"/>
            <w:vAlign w:val="top"/>
          </w:tcPr>
          <w:p>
            <w:pPr>
              <w:pStyle w:val="37"/>
              <w:jc w:val="both"/>
            </w:pPr>
            <w:r>
              <w:t>7</w:t>
            </w:r>
            <w:r>
              <w:rPr>
                <w:rFonts w:hint="eastAsia"/>
              </w:rPr>
              <w:t>、您对项目建设有何建议要求？</w:t>
            </w:r>
          </w:p>
          <w:p>
            <w:pPr>
              <w:pStyle w:val="37"/>
              <w:jc w:val="both"/>
            </w:pPr>
          </w:p>
        </w:tc>
      </w:tr>
    </w:tbl>
    <w:p>
      <w:pPr>
        <w:pStyle w:val="14"/>
        <w:ind w:firstLine="310" w:firstLineChars="147"/>
        <w:jc w:val="both"/>
        <w:rPr>
          <w:rFonts w:ascii="宋体"/>
        </w:rPr>
      </w:pPr>
      <w:r>
        <w:rPr>
          <w:rFonts w:hint="eastAsia"/>
        </w:rPr>
        <w:t>调查单位（盖章）：岳阳市云溪区城市建设投资有限责任公司</w:t>
      </w:r>
      <w:r>
        <w:rPr>
          <w:rFonts w:hint="eastAsia" w:ascii="宋体"/>
        </w:rPr>
        <w:t>　</w:t>
      </w:r>
      <w:r>
        <w:rPr>
          <w:rFonts w:hint="eastAsia"/>
        </w:rPr>
        <w:t>调查日期：</w:t>
      </w:r>
    </w:p>
    <w:p>
      <w:pPr>
        <w:pStyle w:val="14"/>
      </w:pPr>
    </w:p>
    <w:p>
      <w:pPr>
        <w:pStyle w:val="14"/>
      </w:pPr>
    </w:p>
    <w:p>
      <w:pPr>
        <w:pStyle w:val="14"/>
      </w:pPr>
      <w:r>
        <w:rPr>
          <w:rFonts w:hint="eastAsia"/>
        </w:rPr>
        <w:t>表</w:t>
      </w:r>
      <w:r>
        <w:fldChar w:fldCharType="begin"/>
      </w:r>
      <w:r>
        <w:instrText xml:space="preserve"> STYLEREF 2 \s </w:instrText>
      </w:r>
      <w:r>
        <w:fldChar w:fldCharType="separate"/>
      </w:r>
      <w:r>
        <w:t>11.3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云溪河下游沿岸工业历史遗留固废渣处置项目环境影响评价公众参与调查表</w:t>
      </w:r>
    </w:p>
    <w:tbl>
      <w:tblPr>
        <w:tblStyle w:val="35"/>
        <w:tblW w:w="89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5"/>
        <w:gridCol w:w="1243"/>
        <w:gridCol w:w="1243"/>
        <w:gridCol w:w="1243"/>
        <w:gridCol w:w="1852"/>
        <w:gridCol w:w="10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spacing w:line="276" w:lineRule="auto"/>
              <w:ind w:firstLine="420" w:firstLineChars="200"/>
              <w:jc w:val="both"/>
            </w:pPr>
            <w:r>
              <w:rPr>
                <w:rFonts w:hint="eastAsia"/>
              </w:rPr>
              <w:t>项目概况：本项目将对云溪河下游沿岸现堆存有的东风嘴、老虎嘴、抓埠市、老水井、胜利叽</w:t>
            </w:r>
            <w:r>
              <w:t>5</w:t>
            </w:r>
            <w:r>
              <w:rPr>
                <w:rFonts w:hint="eastAsia"/>
              </w:rPr>
              <w:t>处共</w:t>
            </w:r>
            <w:r>
              <w:t>10.63</w:t>
            </w:r>
            <w:r>
              <w:rPr>
                <w:rFonts w:hint="eastAsia"/>
              </w:rPr>
              <w:t>万</w:t>
            </w:r>
            <w:r>
              <w:t>m</w:t>
            </w:r>
            <w:r>
              <w:rPr>
                <w:vertAlign w:val="superscript"/>
              </w:rPr>
              <w:t>3</w:t>
            </w:r>
            <w:r>
              <w:rPr>
                <w:rFonts w:hint="eastAsia"/>
              </w:rPr>
              <w:t>历史遗留工业固废渣（包括部分生活垃圾和建筑垃圾，为混合废渣）进行综合治理，拟新建一座</w:t>
            </w:r>
            <w:r>
              <w:t>II</w:t>
            </w:r>
            <w:r>
              <w:rPr>
                <w:rFonts w:hint="eastAsia"/>
              </w:rPr>
              <w:t>类处置场用于安全填埋，选址于岳阳市云溪区路口镇牌楼村九房组采石场废弃矿坑，区域上口长</w:t>
            </w:r>
            <w:r>
              <w:t>125m</w:t>
            </w:r>
            <w:r>
              <w:rPr>
                <w:rFonts w:hint="eastAsia"/>
              </w:rPr>
              <w:t>，宽</w:t>
            </w:r>
            <w:r>
              <w:t>110m</w:t>
            </w:r>
            <w:r>
              <w:rPr>
                <w:rFonts w:hint="eastAsia"/>
              </w:rPr>
              <w:t>，深约</w:t>
            </w:r>
            <w:r>
              <w:t>14m</w:t>
            </w:r>
            <w:r>
              <w:rPr>
                <w:rFonts w:hint="eastAsia"/>
              </w:rPr>
              <w:t>，底部面积约</w:t>
            </w:r>
            <w:r>
              <w:t>6000m</w:t>
            </w:r>
            <w:r>
              <w:rPr>
                <w:vertAlign w:val="superscript"/>
              </w:rPr>
              <w:t>2</w:t>
            </w:r>
            <w:r>
              <w:rPr>
                <w:rFonts w:hint="eastAsia"/>
              </w:rPr>
              <w:t>，估算总容量超过</w:t>
            </w:r>
            <w:r>
              <w:t>12</w:t>
            </w:r>
            <w:r>
              <w:rPr>
                <w:rFonts w:hint="eastAsia"/>
              </w:rPr>
              <w:t>万</w:t>
            </w:r>
            <w:r>
              <w:t>m</w:t>
            </w:r>
            <w:r>
              <w:rPr>
                <w:vertAlign w:val="superscript"/>
              </w:rPr>
              <w:t>3</w:t>
            </w:r>
            <w:r>
              <w:rPr>
                <w:rFonts w:hint="eastAsia"/>
              </w:rPr>
              <w:t>，总投资</w:t>
            </w:r>
            <w:r>
              <w:t>2294.56</w:t>
            </w:r>
            <w:r>
              <w:rPr>
                <w:rFonts w:hint="eastAsia"/>
              </w:rPr>
              <w:t>万元。此项目建设工期为</w:t>
            </w:r>
            <w:r>
              <w:t>9</w:t>
            </w:r>
            <w:r>
              <w:rPr>
                <w:rFonts w:hint="eastAsia"/>
              </w:rPr>
              <w:t>个月，</w:t>
            </w:r>
            <w:r>
              <w:t>2016</w:t>
            </w:r>
            <w:r>
              <w:rPr>
                <w:rFonts w:hint="eastAsia"/>
              </w:rPr>
              <w:t>年</w:t>
            </w:r>
            <w:r>
              <w:t>6</w:t>
            </w:r>
            <w:r>
              <w:rPr>
                <w:rFonts w:hint="eastAsia"/>
              </w:rPr>
              <w:t>月至</w:t>
            </w:r>
            <w:r>
              <w:t>2017</w:t>
            </w:r>
            <w:r>
              <w:rPr>
                <w:rFonts w:hint="eastAsia"/>
              </w:rPr>
              <w:t>年</w:t>
            </w:r>
            <w:r>
              <w:t>2</w:t>
            </w:r>
            <w:r>
              <w:rPr>
                <w:rFonts w:hint="eastAsia"/>
              </w:rPr>
              <w:t>月。</w:t>
            </w:r>
          </w:p>
          <w:p>
            <w:pPr>
              <w:pStyle w:val="37"/>
              <w:spacing w:line="276" w:lineRule="auto"/>
              <w:ind w:firstLine="420" w:firstLineChars="200"/>
              <w:jc w:val="both"/>
            </w:pPr>
            <w:r>
              <w:rPr>
                <w:rFonts w:hint="eastAsia"/>
              </w:rPr>
              <w:t>项目施工期造成的主要环境影响为施工过程中产生的粉尘、废水废气、噪声、固体废物对环境产生的影响，以及施工活动对周边生态环境造成轻微水土流失。施工期间通过对道路洒水抑尘、采用隔音板和降噪设备、生活垃圾和建筑垃圾集中堆放与及时清理等措施，施工期对环境的影响将逐渐减小。项目填埋期对环境产生的主要影响为处置场渗透液对地表水或地下水的污染、处置场产生气体排放对大气的污染以及处置场垃圾堆体对周围地质生态环境的影响等，通过防渗处理、设置防护距离、做好填埋区的植被覆盖等措施的实施，项目填埋期对环境的影响较小。</w:t>
            </w:r>
          </w:p>
          <w:p>
            <w:pPr>
              <w:pStyle w:val="37"/>
              <w:spacing w:line="276" w:lineRule="auto"/>
              <w:jc w:val="both"/>
              <w:rPr>
                <w:b/>
              </w:rPr>
            </w:pPr>
            <w:r>
              <w:rPr>
                <w:rFonts w:hint="eastAsia"/>
              </w:rPr>
              <w:t>根据环境影响评价法的规定，建设单位特广泛征询项目地周边居民、单位对本项目的环境影响评价和项目建设的意见。希望被调查居民、单位以各种方式积极反映自己的意见和建议，并请如实认真地完成该调查表，谢谢您的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345" w:type="dxa"/>
            <w:vMerge w:val="restart"/>
            <w:vAlign w:val="center"/>
          </w:tcPr>
          <w:p>
            <w:pPr>
              <w:pStyle w:val="37"/>
              <w:jc w:val="both"/>
            </w:pPr>
            <w:r>
              <w:rPr>
                <w:rFonts w:hint="eastAsia"/>
              </w:rPr>
              <w:t>被调查人基本情况</w:t>
            </w:r>
          </w:p>
        </w:tc>
        <w:tc>
          <w:tcPr>
            <w:tcW w:w="1243" w:type="dxa"/>
            <w:vAlign w:val="center"/>
          </w:tcPr>
          <w:p>
            <w:pPr>
              <w:pStyle w:val="37"/>
              <w:jc w:val="both"/>
            </w:pPr>
            <w:r>
              <w:rPr>
                <w:rFonts w:hint="eastAsia"/>
              </w:rPr>
              <w:t>姓名</w:t>
            </w:r>
          </w:p>
        </w:tc>
        <w:tc>
          <w:tcPr>
            <w:tcW w:w="1243" w:type="dxa"/>
            <w:vAlign w:val="center"/>
          </w:tcPr>
          <w:p>
            <w:pPr>
              <w:pStyle w:val="37"/>
              <w:jc w:val="both"/>
            </w:pPr>
            <w:r>
              <w:rPr>
                <w:rFonts w:hint="eastAsia"/>
              </w:rPr>
              <w:t>年龄</w:t>
            </w:r>
          </w:p>
        </w:tc>
        <w:tc>
          <w:tcPr>
            <w:tcW w:w="1243" w:type="dxa"/>
            <w:vAlign w:val="center"/>
          </w:tcPr>
          <w:p>
            <w:pPr>
              <w:pStyle w:val="37"/>
              <w:jc w:val="both"/>
            </w:pPr>
            <w:r>
              <w:rPr>
                <w:rFonts w:hint="eastAsia"/>
              </w:rPr>
              <w:t>性别</w:t>
            </w:r>
          </w:p>
        </w:tc>
        <w:tc>
          <w:tcPr>
            <w:tcW w:w="1852" w:type="dxa"/>
            <w:vAlign w:val="center"/>
          </w:tcPr>
          <w:p>
            <w:pPr>
              <w:pStyle w:val="37"/>
              <w:jc w:val="both"/>
            </w:pPr>
            <w:r>
              <w:rPr>
                <w:rFonts w:hint="eastAsia"/>
              </w:rPr>
              <w:t>文化程度</w:t>
            </w:r>
          </w:p>
        </w:tc>
        <w:tc>
          <w:tcPr>
            <w:tcW w:w="1030" w:type="dxa"/>
            <w:vAlign w:val="center"/>
          </w:tcPr>
          <w:p>
            <w:pPr>
              <w:pStyle w:val="37"/>
              <w:jc w:val="both"/>
            </w:pPr>
            <w:r>
              <w:rPr>
                <w:rFonts w:hint="eastAsia"/>
              </w:rPr>
              <w:t>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345" w:type="dxa"/>
            <w:vMerge w:val="continue"/>
            <w:vAlign w:val="center"/>
          </w:tcPr>
          <w:p>
            <w:pPr>
              <w:pStyle w:val="37"/>
              <w:jc w:val="both"/>
            </w:pPr>
          </w:p>
        </w:tc>
        <w:tc>
          <w:tcPr>
            <w:tcW w:w="1243" w:type="dxa"/>
            <w:vAlign w:val="center"/>
          </w:tcPr>
          <w:p>
            <w:pPr>
              <w:pStyle w:val="37"/>
              <w:jc w:val="both"/>
            </w:pPr>
          </w:p>
        </w:tc>
        <w:tc>
          <w:tcPr>
            <w:tcW w:w="1243" w:type="dxa"/>
            <w:vAlign w:val="center"/>
          </w:tcPr>
          <w:p>
            <w:pPr>
              <w:pStyle w:val="37"/>
              <w:jc w:val="both"/>
            </w:pPr>
          </w:p>
        </w:tc>
        <w:tc>
          <w:tcPr>
            <w:tcW w:w="1243" w:type="dxa"/>
            <w:vAlign w:val="center"/>
          </w:tcPr>
          <w:p>
            <w:pPr>
              <w:pStyle w:val="37"/>
              <w:jc w:val="both"/>
            </w:pPr>
          </w:p>
        </w:tc>
        <w:tc>
          <w:tcPr>
            <w:tcW w:w="1852" w:type="dxa"/>
            <w:vAlign w:val="center"/>
          </w:tcPr>
          <w:p>
            <w:pPr>
              <w:pStyle w:val="37"/>
              <w:jc w:val="both"/>
            </w:pPr>
          </w:p>
        </w:tc>
        <w:tc>
          <w:tcPr>
            <w:tcW w:w="1030" w:type="dxa"/>
            <w:vAlign w:val="center"/>
          </w:tcPr>
          <w:p>
            <w:pPr>
              <w:pStyle w:val="37"/>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345" w:type="dxa"/>
            <w:vMerge w:val="continue"/>
            <w:vAlign w:val="center"/>
          </w:tcPr>
          <w:p>
            <w:pPr>
              <w:pStyle w:val="37"/>
              <w:jc w:val="both"/>
            </w:pPr>
          </w:p>
        </w:tc>
        <w:tc>
          <w:tcPr>
            <w:tcW w:w="6611" w:type="dxa"/>
            <w:gridSpan w:val="5"/>
            <w:vAlign w:val="center"/>
          </w:tcPr>
          <w:p>
            <w:pPr>
              <w:pStyle w:val="37"/>
              <w:jc w:val="both"/>
            </w:pPr>
            <w:r>
              <w:rPr>
                <w:rFonts w:hint="eastAsia"/>
              </w:rPr>
              <w:t>地址：联系方式：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您对本建设项目的了解程度？（单选）</w:t>
            </w:r>
          </w:p>
          <w:p>
            <w:pPr>
              <w:pStyle w:val="37"/>
              <w:jc w:val="both"/>
            </w:pPr>
            <w:r>
              <w:t>A</w:t>
            </w:r>
            <w:r>
              <w:rPr>
                <w:rFonts w:hint="eastAsia"/>
              </w:rPr>
              <w:t>、了解</w:t>
            </w:r>
            <w:r>
              <w:t xml:space="preserve">      B</w:t>
            </w:r>
            <w:r>
              <w:rPr>
                <w:rFonts w:hint="eastAsia"/>
              </w:rPr>
              <w:t>、听说过，但不了解</w:t>
            </w:r>
            <w:r>
              <w:t xml:space="preserve">   C</w:t>
            </w:r>
            <w:r>
              <w:rPr>
                <w:rFonts w:hint="eastAsia"/>
              </w:rPr>
              <w:t>、不了解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您对该项目建设所持态度如何？（单选）</w:t>
            </w:r>
          </w:p>
          <w:p>
            <w:pPr>
              <w:pStyle w:val="37"/>
              <w:jc w:val="both"/>
            </w:pPr>
            <w:r>
              <w:t>A</w:t>
            </w:r>
            <w:r>
              <w:rPr>
                <w:rFonts w:hint="eastAsia"/>
              </w:rPr>
              <w:t>、赞成　　　</w:t>
            </w:r>
            <w:r>
              <w:t>B</w:t>
            </w:r>
            <w:r>
              <w:rPr>
                <w:rFonts w:hint="eastAsia"/>
              </w:rPr>
              <w:t>、不赞成　　　</w:t>
            </w:r>
            <w:r>
              <w:t>C</w:t>
            </w:r>
            <w:r>
              <w:rPr>
                <w:rFonts w:hint="eastAsia"/>
              </w:rPr>
              <w:t>、无所谓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项目建成后对您的生活环境的影响如何？（单选）</w:t>
            </w:r>
          </w:p>
          <w:p>
            <w:pPr>
              <w:pStyle w:val="37"/>
              <w:jc w:val="both"/>
            </w:pPr>
            <w:r>
              <w:t>A</w:t>
            </w:r>
            <w:r>
              <w:rPr>
                <w:rFonts w:hint="eastAsia"/>
              </w:rPr>
              <w:t>、有利影响　</w:t>
            </w:r>
            <w:r>
              <w:t>B</w:t>
            </w:r>
            <w:r>
              <w:rPr>
                <w:rFonts w:hint="eastAsia"/>
              </w:rPr>
              <w:t>、无明显影响　</w:t>
            </w:r>
            <w:r>
              <w:t>C</w:t>
            </w:r>
            <w:r>
              <w:rPr>
                <w:rFonts w:hint="eastAsia"/>
              </w:rPr>
              <w:t>、不利影响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您能接受项目施工期的环境影响吗？（单选）</w:t>
            </w:r>
          </w:p>
          <w:p>
            <w:pPr>
              <w:pStyle w:val="37"/>
              <w:jc w:val="both"/>
            </w:pPr>
            <w:r>
              <w:t>A</w:t>
            </w:r>
            <w:r>
              <w:rPr>
                <w:rFonts w:hint="eastAsia"/>
              </w:rPr>
              <w:t>、能　　　　</w:t>
            </w:r>
            <w:r>
              <w:t>B</w:t>
            </w:r>
            <w:r>
              <w:rPr>
                <w:rFonts w:hint="eastAsia"/>
              </w:rPr>
              <w:t>、基本能　　　</w:t>
            </w:r>
            <w:r>
              <w:t>C</w:t>
            </w:r>
            <w:r>
              <w:rPr>
                <w:rFonts w:hint="eastAsia"/>
              </w:rPr>
              <w:t>、不能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您认为本项目建成后主要环境污染在哪方面？（可多选）</w:t>
            </w:r>
          </w:p>
          <w:p>
            <w:pPr>
              <w:pStyle w:val="37"/>
              <w:jc w:val="both"/>
            </w:pPr>
            <w:r>
              <w:t>A</w:t>
            </w:r>
            <w:r>
              <w:rPr>
                <w:rFonts w:hint="eastAsia"/>
              </w:rPr>
              <w:t>、水污染　　</w:t>
            </w:r>
            <w:r>
              <w:t>B</w:t>
            </w:r>
            <w:r>
              <w:rPr>
                <w:rFonts w:hint="eastAsia"/>
              </w:rPr>
              <w:t>、废气污染　　</w:t>
            </w:r>
            <w:r>
              <w:t>C</w:t>
            </w:r>
            <w:r>
              <w:rPr>
                <w:rFonts w:hint="eastAsia"/>
              </w:rPr>
              <w:t>、噪声污染　　</w:t>
            </w:r>
            <w:r>
              <w:t>D</w:t>
            </w:r>
            <w:r>
              <w:rPr>
                <w:rFonts w:hint="eastAsia"/>
              </w:rPr>
              <w:t>、垃圾问题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rPr>
                <w:rFonts w:hint="eastAsia"/>
              </w:rPr>
              <w:t>您对项目建设造成的生态环境影响有什么看法？（如有意见，请说明原因）</w:t>
            </w:r>
          </w:p>
          <w:p>
            <w:pPr>
              <w:pStyle w:val="37"/>
              <w:jc w:val="both"/>
            </w:pPr>
            <w:r>
              <w:t>A</w:t>
            </w:r>
            <w:r>
              <w:rPr>
                <w:rFonts w:hint="eastAsia"/>
              </w:rPr>
              <w:t>、无意见　　</w:t>
            </w:r>
            <w:r>
              <w:t>B</w:t>
            </w:r>
            <w:r>
              <w:rPr>
                <w:rFonts w:hint="eastAsia"/>
              </w:rPr>
              <w:t>、有意见：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956" w:type="dxa"/>
            <w:gridSpan w:val="6"/>
            <w:vAlign w:val="center"/>
          </w:tcPr>
          <w:p>
            <w:pPr>
              <w:pStyle w:val="37"/>
              <w:jc w:val="both"/>
            </w:pPr>
            <w:r>
              <w:t>7</w:t>
            </w:r>
            <w:r>
              <w:rPr>
                <w:rFonts w:hint="eastAsia"/>
              </w:rPr>
              <w:t>、您对项目建设有何建议要求？</w:t>
            </w:r>
          </w:p>
          <w:p>
            <w:pPr>
              <w:pStyle w:val="37"/>
              <w:jc w:val="both"/>
            </w:pPr>
          </w:p>
        </w:tc>
      </w:tr>
    </w:tbl>
    <w:p>
      <w:pPr>
        <w:pStyle w:val="14"/>
        <w:ind w:firstLine="413" w:firstLineChars="196"/>
        <w:jc w:val="left"/>
        <w:sectPr>
          <w:pgSz w:w="11849" w:h="16781"/>
          <w:pgMar w:top="1440" w:right="1800" w:bottom="1440" w:left="1800" w:header="851" w:footer="992" w:gutter="0"/>
          <w:cols w:space="720" w:num="1"/>
          <w:docGrid w:type="lines" w:linePitch="381" w:charSpace="0"/>
        </w:sectPr>
      </w:pPr>
      <w:r>
        <w:rPr>
          <w:rFonts w:hint="eastAsia"/>
        </w:rPr>
        <w:t>调查单位（盖章）：岳阳市云溪区城市建设投资有限责任公司　　调查日期：</w:t>
      </w:r>
    </w:p>
    <w:p>
      <w:pPr>
        <w:pStyle w:val="4"/>
      </w:pPr>
      <w:bookmarkStart w:id="315" w:name="_Toc390593427"/>
      <w:bookmarkStart w:id="316" w:name="_Toc391551635"/>
      <w:r>
        <w:rPr>
          <w:rFonts w:hint="eastAsia"/>
        </w:rPr>
        <w:t>调查范围与及调查对象</w:t>
      </w:r>
      <w:bookmarkEnd w:id="315"/>
      <w:bookmarkEnd w:id="316"/>
    </w:p>
    <w:p>
      <w:pPr>
        <w:ind w:firstLine="480"/>
      </w:pPr>
      <w:r>
        <w:rPr>
          <w:rFonts w:hint="eastAsia"/>
        </w:rPr>
        <w:t>公众参与问卷调查范围主要包括周边村民、企业等，将直接受影响个人作为调查重点。调查对象统计见表</w:t>
      </w:r>
      <w:r>
        <w:t>12.3-3~</w:t>
      </w:r>
      <w:r>
        <w:rPr>
          <w:rFonts w:hint="eastAsia"/>
        </w:rPr>
        <w:t>表</w:t>
      </w:r>
      <w:r>
        <w:t>12.3-4</w:t>
      </w:r>
      <w:r>
        <w:rPr>
          <w:rFonts w:hint="eastAsia"/>
        </w:rPr>
        <w:t>。</w:t>
      </w:r>
    </w:p>
    <w:p>
      <w:pPr>
        <w:pStyle w:val="14"/>
      </w:pPr>
      <w:r>
        <w:rPr>
          <w:rFonts w:hint="eastAsia"/>
        </w:rPr>
        <w:t>表</w:t>
      </w:r>
      <w:r>
        <w:fldChar w:fldCharType="begin"/>
      </w:r>
      <w:r>
        <w:instrText xml:space="preserve"> STYLEREF 2 \s </w:instrText>
      </w:r>
      <w:r>
        <w:fldChar w:fldCharType="separate"/>
      </w:r>
      <w:r>
        <w:t>11.3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环评公众意见团体调查人员名单</w:t>
      </w:r>
    </w:p>
    <w:tbl>
      <w:tblPr>
        <w:tblStyle w:val="35"/>
        <w:tblW w:w="84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609"/>
        <w:gridCol w:w="3724"/>
        <w:gridCol w:w="1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069" w:type="dxa"/>
            <w:vAlign w:val="center"/>
          </w:tcPr>
          <w:p>
            <w:pPr>
              <w:pStyle w:val="37"/>
            </w:pPr>
            <w:r>
              <w:rPr>
                <w:rFonts w:hint="eastAsia"/>
              </w:rPr>
              <w:t>序号</w:t>
            </w:r>
          </w:p>
        </w:tc>
        <w:tc>
          <w:tcPr>
            <w:tcW w:w="2609" w:type="dxa"/>
            <w:vAlign w:val="center"/>
          </w:tcPr>
          <w:p>
            <w:pPr>
              <w:pStyle w:val="37"/>
            </w:pPr>
            <w:r>
              <w:rPr>
                <w:rFonts w:hint="eastAsia"/>
              </w:rPr>
              <w:t>单位名称</w:t>
            </w:r>
          </w:p>
        </w:tc>
        <w:tc>
          <w:tcPr>
            <w:tcW w:w="3724" w:type="dxa"/>
            <w:vAlign w:val="center"/>
          </w:tcPr>
          <w:p>
            <w:pPr>
              <w:pStyle w:val="37"/>
            </w:pPr>
            <w:r>
              <w:rPr>
                <w:rFonts w:hint="eastAsia"/>
              </w:rPr>
              <w:t>单位地址</w:t>
            </w:r>
          </w:p>
        </w:tc>
        <w:tc>
          <w:tcPr>
            <w:tcW w:w="1069" w:type="dxa"/>
            <w:vAlign w:val="center"/>
          </w:tcPr>
          <w:p>
            <w:pPr>
              <w:pStyle w:val="37"/>
            </w:pPr>
            <w:r>
              <w:rPr>
                <w:rFonts w:hint="eastAsia"/>
              </w:rPr>
              <w:t>持有</w:t>
            </w:r>
          </w:p>
          <w:p>
            <w:pPr>
              <w:pStyle w:val="37"/>
            </w:pPr>
            <w:r>
              <w:rPr>
                <w:rFonts w:hint="eastAsia"/>
              </w:rPr>
              <w:t>态度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069" w:type="dxa"/>
            <w:vAlign w:val="center"/>
          </w:tcPr>
          <w:p>
            <w:pPr>
              <w:pStyle w:val="37"/>
            </w:pPr>
            <w:r>
              <w:t>1</w:t>
            </w:r>
          </w:p>
        </w:tc>
        <w:tc>
          <w:tcPr>
            <w:tcW w:w="2609" w:type="dxa"/>
            <w:vAlign w:val="center"/>
          </w:tcPr>
          <w:p>
            <w:pPr>
              <w:pStyle w:val="37"/>
            </w:pPr>
            <w:r>
              <w:rPr>
                <w:rFonts w:hint="eastAsia"/>
              </w:rPr>
              <w:t>牌楼村九房组</w:t>
            </w:r>
          </w:p>
        </w:tc>
        <w:tc>
          <w:tcPr>
            <w:tcW w:w="3724" w:type="dxa"/>
            <w:vAlign w:val="center"/>
          </w:tcPr>
          <w:p>
            <w:pPr>
              <w:pStyle w:val="37"/>
            </w:pPr>
            <w:r>
              <w:rPr>
                <w:rFonts w:hint="eastAsia"/>
              </w:rPr>
              <w:t>牌楼村</w:t>
            </w:r>
          </w:p>
        </w:tc>
        <w:tc>
          <w:tcPr>
            <w:tcW w:w="1069" w:type="dxa"/>
            <w:vAlign w:val="center"/>
          </w:tcPr>
          <w:p>
            <w:pPr>
              <w:pStyle w:val="37"/>
            </w:pPr>
            <w:r>
              <w:rPr>
                <w:rFonts w:hint="eastAsia"/>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069" w:type="dxa"/>
            <w:vAlign w:val="center"/>
          </w:tcPr>
          <w:p>
            <w:pPr>
              <w:pStyle w:val="37"/>
            </w:pPr>
            <w:r>
              <w:t>2</w:t>
            </w:r>
          </w:p>
        </w:tc>
        <w:tc>
          <w:tcPr>
            <w:tcW w:w="2609" w:type="dxa"/>
            <w:vAlign w:val="center"/>
          </w:tcPr>
          <w:p>
            <w:pPr>
              <w:pStyle w:val="37"/>
            </w:pPr>
            <w:r>
              <w:rPr>
                <w:rFonts w:hint="eastAsia"/>
              </w:rPr>
              <w:t>牌楼采石场</w:t>
            </w:r>
          </w:p>
        </w:tc>
        <w:tc>
          <w:tcPr>
            <w:tcW w:w="3724" w:type="dxa"/>
            <w:vAlign w:val="center"/>
          </w:tcPr>
          <w:p>
            <w:pPr>
              <w:pStyle w:val="37"/>
            </w:pPr>
            <w:r>
              <w:rPr>
                <w:rFonts w:hint="eastAsia"/>
              </w:rPr>
              <w:t>牌楼村</w:t>
            </w:r>
          </w:p>
        </w:tc>
        <w:tc>
          <w:tcPr>
            <w:tcW w:w="1069" w:type="dxa"/>
            <w:vAlign w:val="center"/>
          </w:tcPr>
          <w:p>
            <w:pPr>
              <w:pStyle w:val="37"/>
            </w:pPr>
            <w:r>
              <w:rPr>
                <w:rFonts w:hint="eastAsia"/>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069" w:type="dxa"/>
            <w:vAlign w:val="center"/>
          </w:tcPr>
          <w:p>
            <w:pPr>
              <w:pStyle w:val="37"/>
            </w:pPr>
            <w:r>
              <w:t>3</w:t>
            </w:r>
          </w:p>
        </w:tc>
        <w:tc>
          <w:tcPr>
            <w:tcW w:w="2609" w:type="dxa"/>
            <w:vAlign w:val="center"/>
          </w:tcPr>
          <w:p>
            <w:pPr>
              <w:pStyle w:val="37"/>
            </w:pPr>
            <w:r>
              <w:rPr>
                <w:rFonts w:hint="eastAsia"/>
              </w:rPr>
              <w:t>路口镇牌楼村村委会</w:t>
            </w:r>
          </w:p>
        </w:tc>
        <w:tc>
          <w:tcPr>
            <w:tcW w:w="3724" w:type="dxa"/>
            <w:vAlign w:val="center"/>
          </w:tcPr>
          <w:p>
            <w:pPr>
              <w:pStyle w:val="37"/>
            </w:pPr>
            <w:r>
              <w:rPr>
                <w:rFonts w:hint="eastAsia"/>
              </w:rPr>
              <w:t>牌楼村</w:t>
            </w:r>
          </w:p>
        </w:tc>
        <w:tc>
          <w:tcPr>
            <w:tcW w:w="1069" w:type="dxa"/>
            <w:vAlign w:val="center"/>
          </w:tcPr>
          <w:p>
            <w:pPr>
              <w:pStyle w:val="37"/>
            </w:pPr>
            <w:r>
              <w:rPr>
                <w:rFonts w:hint="eastAsia"/>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069" w:type="dxa"/>
            <w:vAlign w:val="center"/>
          </w:tcPr>
          <w:p>
            <w:pPr>
              <w:pStyle w:val="37"/>
              <w:rPr>
                <w:u w:val="single"/>
              </w:rPr>
            </w:pPr>
            <w:r>
              <w:rPr>
                <w:rFonts w:hint="eastAsia"/>
                <w:u w:val="single"/>
              </w:rPr>
              <w:t>4</w:t>
            </w:r>
          </w:p>
        </w:tc>
        <w:tc>
          <w:tcPr>
            <w:tcW w:w="2609" w:type="dxa"/>
            <w:vAlign w:val="center"/>
          </w:tcPr>
          <w:p>
            <w:pPr>
              <w:pStyle w:val="37"/>
              <w:rPr>
                <w:u w:val="single"/>
              </w:rPr>
            </w:pPr>
            <w:r>
              <w:rPr>
                <w:rFonts w:hint="eastAsia"/>
                <w:u w:val="single"/>
              </w:rPr>
              <w:t>路口镇南岳村</w:t>
            </w:r>
          </w:p>
        </w:tc>
        <w:tc>
          <w:tcPr>
            <w:tcW w:w="3724" w:type="dxa"/>
            <w:vAlign w:val="center"/>
          </w:tcPr>
          <w:p>
            <w:pPr>
              <w:pStyle w:val="37"/>
              <w:rPr>
                <w:u w:val="single"/>
              </w:rPr>
            </w:pPr>
            <w:r>
              <w:rPr>
                <w:rFonts w:hint="eastAsia"/>
                <w:u w:val="single"/>
              </w:rPr>
              <w:t>南岳村</w:t>
            </w:r>
          </w:p>
        </w:tc>
        <w:tc>
          <w:tcPr>
            <w:tcW w:w="1069" w:type="dxa"/>
            <w:vAlign w:val="center"/>
          </w:tcPr>
          <w:p>
            <w:pPr>
              <w:pStyle w:val="37"/>
              <w:rPr>
                <w:u w:val="single"/>
              </w:rPr>
            </w:pPr>
            <w:r>
              <w:rPr>
                <w:rFonts w:hint="eastAsia"/>
                <w:u w:val="single"/>
              </w:rPr>
              <w:t>支持</w:t>
            </w:r>
          </w:p>
        </w:tc>
      </w:tr>
    </w:tbl>
    <w:p>
      <w:pPr>
        <w:pStyle w:val="14"/>
        <w:rPr>
          <w:bCs/>
        </w:rPr>
      </w:pPr>
      <w:r>
        <w:rPr>
          <w:rFonts w:hint="eastAsia"/>
        </w:rPr>
        <w:t>表</w:t>
      </w:r>
      <w:r>
        <w:fldChar w:fldCharType="begin"/>
      </w:r>
      <w:r>
        <w:instrText xml:space="preserve"> STYLEREF 2 \s </w:instrText>
      </w:r>
      <w:r>
        <w:fldChar w:fldCharType="separate"/>
      </w:r>
      <w:r>
        <w:t>11.3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r>
        <w:rPr>
          <w:rFonts w:hint="eastAsia"/>
          <w:bCs/>
          <w:lang w:val="zh-CN"/>
        </w:rPr>
        <w:t>公众参与部分被调查人员基本信息统计表</w:t>
      </w:r>
    </w:p>
    <w:tbl>
      <w:tblPr>
        <w:tblStyle w:val="35"/>
        <w:tblW w:w="84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879"/>
        <w:gridCol w:w="701"/>
        <w:gridCol w:w="656"/>
        <w:gridCol w:w="1074"/>
        <w:gridCol w:w="1063"/>
        <w:gridCol w:w="1993"/>
        <w:gridCol w:w="1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bookmarkStart w:id="317" w:name="_Toc390593428"/>
            <w:bookmarkStart w:id="318" w:name="_Toc391551636"/>
            <w:r>
              <w:rPr>
                <w:rFonts w:hint="eastAsia"/>
              </w:rPr>
              <w:t>序号</w:t>
            </w:r>
          </w:p>
        </w:tc>
        <w:tc>
          <w:tcPr>
            <w:tcW w:w="879" w:type="dxa"/>
            <w:vAlign w:val="center"/>
          </w:tcPr>
          <w:p>
            <w:pPr>
              <w:pStyle w:val="37"/>
            </w:pPr>
            <w:r>
              <w:rPr>
                <w:rFonts w:hint="eastAsia"/>
              </w:rPr>
              <w:t>姓名</w:t>
            </w:r>
          </w:p>
        </w:tc>
        <w:tc>
          <w:tcPr>
            <w:tcW w:w="701" w:type="dxa"/>
            <w:vAlign w:val="center"/>
          </w:tcPr>
          <w:p>
            <w:pPr>
              <w:pStyle w:val="37"/>
            </w:pPr>
            <w:r>
              <w:rPr>
                <w:rFonts w:hint="eastAsia"/>
              </w:rPr>
              <w:t>年龄</w:t>
            </w:r>
          </w:p>
        </w:tc>
        <w:tc>
          <w:tcPr>
            <w:tcW w:w="656" w:type="dxa"/>
            <w:vAlign w:val="center"/>
          </w:tcPr>
          <w:p>
            <w:pPr>
              <w:pStyle w:val="37"/>
            </w:pPr>
            <w:r>
              <w:rPr>
                <w:rFonts w:hint="eastAsia"/>
              </w:rPr>
              <w:t>性别</w:t>
            </w:r>
          </w:p>
        </w:tc>
        <w:tc>
          <w:tcPr>
            <w:tcW w:w="1074" w:type="dxa"/>
            <w:vAlign w:val="center"/>
          </w:tcPr>
          <w:p>
            <w:pPr>
              <w:pStyle w:val="37"/>
            </w:pPr>
            <w:r>
              <w:rPr>
                <w:rFonts w:hint="eastAsia"/>
              </w:rPr>
              <w:t>文化程度</w:t>
            </w:r>
          </w:p>
        </w:tc>
        <w:tc>
          <w:tcPr>
            <w:tcW w:w="1063" w:type="dxa"/>
            <w:vAlign w:val="center"/>
          </w:tcPr>
          <w:p>
            <w:pPr>
              <w:pStyle w:val="37"/>
            </w:pPr>
            <w:r>
              <w:rPr>
                <w:rFonts w:hint="eastAsia"/>
              </w:rPr>
              <w:t>职业</w:t>
            </w:r>
          </w:p>
        </w:tc>
        <w:tc>
          <w:tcPr>
            <w:tcW w:w="1993" w:type="dxa"/>
            <w:vAlign w:val="center"/>
          </w:tcPr>
          <w:p>
            <w:pPr>
              <w:pStyle w:val="37"/>
            </w:pPr>
            <w:r>
              <w:rPr>
                <w:rFonts w:hint="eastAsia"/>
              </w:rPr>
              <w:t>地址或单位</w:t>
            </w:r>
          </w:p>
        </w:tc>
        <w:tc>
          <w:tcPr>
            <w:tcW w:w="1408" w:type="dxa"/>
            <w:vAlign w:val="center"/>
          </w:tcPr>
          <w:p>
            <w:pPr>
              <w:pStyle w:val="37"/>
            </w:pPr>
            <w:r>
              <w:rPr>
                <w:rFonts w:hint="eastAsia"/>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w:t>
            </w:r>
          </w:p>
        </w:tc>
        <w:tc>
          <w:tcPr>
            <w:tcW w:w="879" w:type="dxa"/>
            <w:vAlign w:val="top"/>
          </w:tcPr>
          <w:p>
            <w:pPr>
              <w:pStyle w:val="37"/>
            </w:pPr>
            <w:r>
              <w:rPr>
                <w:rFonts w:hint="eastAsia"/>
              </w:rPr>
              <w:t>罗斌</w:t>
            </w:r>
          </w:p>
        </w:tc>
        <w:tc>
          <w:tcPr>
            <w:tcW w:w="701" w:type="dxa"/>
            <w:vAlign w:val="center"/>
          </w:tcPr>
          <w:p>
            <w:pPr>
              <w:pStyle w:val="37"/>
              <w:rPr>
                <w:kern w:val="0"/>
              </w:rPr>
            </w:pPr>
            <w:r>
              <w:rPr>
                <w:kern w:val="0"/>
              </w:rPr>
              <w:t>32</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top"/>
          </w:tcPr>
          <w:p>
            <w:pPr>
              <w:pStyle w:val="37"/>
            </w:pPr>
            <w:r>
              <w:rPr>
                <w:rFonts w:hint="eastAsia"/>
              </w:rPr>
              <w:t>环保</w:t>
            </w:r>
          </w:p>
        </w:tc>
        <w:tc>
          <w:tcPr>
            <w:tcW w:w="1993" w:type="dxa"/>
            <w:vAlign w:val="center"/>
          </w:tcPr>
          <w:p>
            <w:pPr>
              <w:pStyle w:val="37"/>
            </w:pPr>
            <w:r>
              <w:rPr>
                <w:rFonts w:hint="eastAsia"/>
              </w:rPr>
              <w:t>路口镇牌楼村</w:t>
            </w:r>
          </w:p>
        </w:tc>
        <w:tc>
          <w:tcPr>
            <w:tcW w:w="1408" w:type="dxa"/>
            <w:vAlign w:val="top"/>
          </w:tcPr>
          <w:p>
            <w:pPr>
              <w:pStyle w:val="37"/>
            </w:pPr>
            <w:r>
              <w:t>18670373758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w:t>
            </w:r>
          </w:p>
        </w:tc>
        <w:tc>
          <w:tcPr>
            <w:tcW w:w="879" w:type="dxa"/>
            <w:vAlign w:val="top"/>
          </w:tcPr>
          <w:p>
            <w:pPr>
              <w:pStyle w:val="37"/>
            </w:pPr>
            <w:r>
              <w:rPr>
                <w:rFonts w:hint="eastAsia"/>
              </w:rPr>
              <w:t>甘泉</w:t>
            </w:r>
          </w:p>
        </w:tc>
        <w:tc>
          <w:tcPr>
            <w:tcW w:w="701" w:type="dxa"/>
            <w:vAlign w:val="center"/>
          </w:tcPr>
          <w:p>
            <w:pPr>
              <w:pStyle w:val="37"/>
              <w:rPr>
                <w:kern w:val="0"/>
              </w:rPr>
            </w:pPr>
            <w:r>
              <w:rPr>
                <w:kern w:val="0"/>
              </w:rPr>
              <w:t>24</w:t>
            </w:r>
          </w:p>
        </w:tc>
        <w:tc>
          <w:tcPr>
            <w:tcW w:w="656" w:type="dxa"/>
            <w:vAlign w:val="center"/>
          </w:tcPr>
          <w:p>
            <w:pPr>
              <w:pStyle w:val="37"/>
            </w:pPr>
            <w:r>
              <w:rPr>
                <w:rFonts w:hint="eastAsia"/>
              </w:rPr>
              <w:t>男</w:t>
            </w:r>
          </w:p>
        </w:tc>
        <w:tc>
          <w:tcPr>
            <w:tcW w:w="1074" w:type="dxa"/>
            <w:vAlign w:val="center"/>
          </w:tcPr>
          <w:p>
            <w:pPr>
              <w:pStyle w:val="37"/>
            </w:pPr>
            <w:r>
              <w:rPr>
                <w:rFonts w:hint="eastAsia"/>
              </w:rPr>
              <w:t>初中</w:t>
            </w:r>
          </w:p>
        </w:tc>
        <w:tc>
          <w:tcPr>
            <w:tcW w:w="1063" w:type="dxa"/>
            <w:vAlign w:val="top"/>
          </w:tcPr>
          <w:p>
            <w:pPr>
              <w:pStyle w:val="37"/>
            </w:pPr>
          </w:p>
        </w:tc>
        <w:tc>
          <w:tcPr>
            <w:tcW w:w="1993" w:type="dxa"/>
            <w:vAlign w:val="center"/>
          </w:tcPr>
          <w:p>
            <w:pPr>
              <w:pStyle w:val="37"/>
            </w:pPr>
            <w:r>
              <w:rPr>
                <w:rFonts w:hint="eastAsia"/>
              </w:rPr>
              <w:t>路口镇牌楼村</w:t>
            </w:r>
          </w:p>
        </w:tc>
        <w:tc>
          <w:tcPr>
            <w:tcW w:w="1408" w:type="dxa"/>
            <w:vAlign w:val="top"/>
          </w:tcPr>
          <w:p>
            <w:pPr>
              <w:pStyle w:val="37"/>
            </w:pPr>
            <w:r>
              <w:t>13661413857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3</w:t>
            </w:r>
          </w:p>
        </w:tc>
        <w:tc>
          <w:tcPr>
            <w:tcW w:w="879" w:type="dxa"/>
            <w:vAlign w:val="top"/>
          </w:tcPr>
          <w:p>
            <w:pPr>
              <w:pStyle w:val="37"/>
            </w:pPr>
            <w:r>
              <w:rPr>
                <w:rFonts w:hint="eastAsia"/>
              </w:rPr>
              <w:t>刘洁</w:t>
            </w:r>
          </w:p>
        </w:tc>
        <w:tc>
          <w:tcPr>
            <w:tcW w:w="701" w:type="dxa"/>
            <w:vAlign w:val="center"/>
          </w:tcPr>
          <w:p>
            <w:pPr>
              <w:pStyle w:val="37"/>
            </w:pPr>
            <w:r>
              <w:t>26</w:t>
            </w:r>
          </w:p>
        </w:tc>
        <w:tc>
          <w:tcPr>
            <w:tcW w:w="656" w:type="dxa"/>
            <w:vAlign w:val="center"/>
          </w:tcPr>
          <w:p>
            <w:pPr>
              <w:pStyle w:val="37"/>
            </w:pPr>
            <w:r>
              <w:rPr>
                <w:rFonts w:hint="eastAsia"/>
              </w:rPr>
              <w:t>女</w:t>
            </w:r>
          </w:p>
        </w:tc>
        <w:tc>
          <w:tcPr>
            <w:tcW w:w="1074" w:type="dxa"/>
            <w:vAlign w:val="center"/>
          </w:tcPr>
          <w:p>
            <w:pPr>
              <w:pStyle w:val="37"/>
            </w:pPr>
            <w:r>
              <w:rPr>
                <w:rFonts w:hint="eastAsia"/>
              </w:rPr>
              <w:t>高中</w:t>
            </w:r>
          </w:p>
        </w:tc>
        <w:tc>
          <w:tcPr>
            <w:tcW w:w="1063" w:type="dxa"/>
            <w:vAlign w:val="top"/>
          </w:tcPr>
          <w:p>
            <w:pPr>
              <w:pStyle w:val="37"/>
            </w:pPr>
          </w:p>
        </w:tc>
        <w:tc>
          <w:tcPr>
            <w:tcW w:w="1993" w:type="dxa"/>
            <w:vAlign w:val="center"/>
          </w:tcPr>
          <w:p>
            <w:pPr>
              <w:pStyle w:val="37"/>
            </w:pPr>
            <w:r>
              <w:rPr>
                <w:rFonts w:hint="eastAsia"/>
              </w:rPr>
              <w:t>路口镇牌楼村</w:t>
            </w:r>
          </w:p>
        </w:tc>
        <w:tc>
          <w:tcPr>
            <w:tcW w:w="1408" w:type="dxa"/>
            <w:vAlign w:val="top"/>
          </w:tcPr>
          <w:p>
            <w:pPr>
              <w:pStyle w:val="37"/>
            </w:pPr>
            <w:r>
              <w:t>15121191502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4</w:t>
            </w:r>
          </w:p>
        </w:tc>
        <w:tc>
          <w:tcPr>
            <w:tcW w:w="879" w:type="dxa"/>
            <w:vAlign w:val="top"/>
          </w:tcPr>
          <w:p>
            <w:pPr>
              <w:pStyle w:val="37"/>
            </w:pPr>
            <w:r>
              <w:rPr>
                <w:rFonts w:hint="eastAsia"/>
              </w:rPr>
              <w:t>鲁慧</w:t>
            </w:r>
          </w:p>
        </w:tc>
        <w:tc>
          <w:tcPr>
            <w:tcW w:w="701" w:type="dxa"/>
            <w:vAlign w:val="center"/>
          </w:tcPr>
          <w:p>
            <w:pPr>
              <w:pStyle w:val="37"/>
              <w:rPr>
                <w:kern w:val="0"/>
              </w:rPr>
            </w:pPr>
            <w:r>
              <w:rPr>
                <w:kern w:val="0"/>
              </w:rPr>
              <w:t>27</w:t>
            </w:r>
          </w:p>
        </w:tc>
        <w:tc>
          <w:tcPr>
            <w:tcW w:w="656" w:type="dxa"/>
            <w:vAlign w:val="center"/>
          </w:tcPr>
          <w:p>
            <w:pPr>
              <w:pStyle w:val="37"/>
            </w:pPr>
            <w:r>
              <w:rPr>
                <w:rFonts w:hint="eastAsia"/>
              </w:rPr>
              <w:t>女</w:t>
            </w:r>
          </w:p>
        </w:tc>
        <w:tc>
          <w:tcPr>
            <w:tcW w:w="1074" w:type="dxa"/>
            <w:vAlign w:val="center"/>
          </w:tcPr>
          <w:p>
            <w:pPr>
              <w:pStyle w:val="37"/>
            </w:pPr>
            <w:r>
              <w:rPr>
                <w:rFonts w:hint="eastAsia"/>
              </w:rPr>
              <w:t>博士</w:t>
            </w:r>
          </w:p>
        </w:tc>
        <w:tc>
          <w:tcPr>
            <w:tcW w:w="1063" w:type="dxa"/>
            <w:vAlign w:val="top"/>
          </w:tcPr>
          <w:p>
            <w:pPr>
              <w:pStyle w:val="37"/>
            </w:pPr>
            <w:r>
              <w:rPr>
                <w:rFonts w:hint="eastAsia"/>
              </w:rPr>
              <w:t>研发</w:t>
            </w:r>
          </w:p>
        </w:tc>
        <w:tc>
          <w:tcPr>
            <w:tcW w:w="1993" w:type="dxa"/>
            <w:vAlign w:val="center"/>
          </w:tcPr>
          <w:p>
            <w:pPr>
              <w:pStyle w:val="37"/>
            </w:pPr>
            <w:r>
              <w:rPr>
                <w:rFonts w:hint="eastAsia"/>
              </w:rPr>
              <w:t>路口镇牌楼村</w:t>
            </w:r>
          </w:p>
        </w:tc>
        <w:tc>
          <w:tcPr>
            <w:tcW w:w="1408" w:type="dxa"/>
            <w:vAlign w:val="top"/>
          </w:tcPr>
          <w:p>
            <w:pPr>
              <w:pStyle w:val="37"/>
            </w:pPr>
            <w:r>
              <w:t>15073055523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5</w:t>
            </w:r>
          </w:p>
        </w:tc>
        <w:tc>
          <w:tcPr>
            <w:tcW w:w="879" w:type="dxa"/>
            <w:vAlign w:val="top"/>
          </w:tcPr>
          <w:p>
            <w:pPr>
              <w:pStyle w:val="37"/>
            </w:pPr>
            <w:r>
              <w:rPr>
                <w:rFonts w:hint="eastAsia"/>
              </w:rPr>
              <w:t>范尚书</w:t>
            </w:r>
          </w:p>
        </w:tc>
        <w:tc>
          <w:tcPr>
            <w:tcW w:w="701" w:type="dxa"/>
            <w:vAlign w:val="center"/>
          </w:tcPr>
          <w:p>
            <w:pPr>
              <w:pStyle w:val="37"/>
              <w:rPr>
                <w:kern w:val="0"/>
              </w:rPr>
            </w:pPr>
            <w:r>
              <w:rPr>
                <w:kern w:val="0"/>
              </w:rPr>
              <w:t>29</w:t>
            </w:r>
          </w:p>
        </w:tc>
        <w:tc>
          <w:tcPr>
            <w:tcW w:w="656" w:type="dxa"/>
            <w:vAlign w:val="center"/>
          </w:tcPr>
          <w:p>
            <w:pPr>
              <w:pStyle w:val="37"/>
            </w:pPr>
            <w:r>
              <w:rPr>
                <w:rFonts w:hint="eastAsia"/>
              </w:rPr>
              <w:t>男</w:t>
            </w:r>
          </w:p>
        </w:tc>
        <w:tc>
          <w:tcPr>
            <w:tcW w:w="1074" w:type="dxa"/>
            <w:vAlign w:val="center"/>
          </w:tcPr>
          <w:p>
            <w:pPr>
              <w:pStyle w:val="37"/>
            </w:pPr>
          </w:p>
        </w:tc>
        <w:tc>
          <w:tcPr>
            <w:tcW w:w="1063" w:type="dxa"/>
            <w:vAlign w:val="top"/>
          </w:tcPr>
          <w:p>
            <w:pPr>
              <w:pStyle w:val="37"/>
              <w:jc w:val="both"/>
            </w:pPr>
            <w:r>
              <w:rPr>
                <w:rFonts w:hint="eastAsia"/>
              </w:rPr>
              <w:t>自由工作</w:t>
            </w:r>
          </w:p>
        </w:tc>
        <w:tc>
          <w:tcPr>
            <w:tcW w:w="1993" w:type="dxa"/>
            <w:vAlign w:val="center"/>
          </w:tcPr>
          <w:p>
            <w:pPr>
              <w:pStyle w:val="37"/>
            </w:pPr>
            <w:r>
              <w:rPr>
                <w:rFonts w:hint="eastAsia"/>
              </w:rPr>
              <w:t>路口镇牌楼村</w:t>
            </w:r>
          </w:p>
        </w:tc>
        <w:tc>
          <w:tcPr>
            <w:tcW w:w="1408" w:type="dxa"/>
            <w:vAlign w:val="top"/>
          </w:tcPr>
          <w:p>
            <w:pPr>
              <w:pStyle w:val="37"/>
            </w:pPr>
            <w:r>
              <w:t>18390185758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6</w:t>
            </w:r>
          </w:p>
        </w:tc>
        <w:tc>
          <w:tcPr>
            <w:tcW w:w="879" w:type="dxa"/>
            <w:vAlign w:val="top"/>
          </w:tcPr>
          <w:p>
            <w:pPr>
              <w:pStyle w:val="37"/>
            </w:pPr>
            <w:r>
              <w:rPr>
                <w:rFonts w:hint="eastAsia"/>
              </w:rPr>
              <w:t>向老师</w:t>
            </w:r>
          </w:p>
        </w:tc>
        <w:tc>
          <w:tcPr>
            <w:tcW w:w="701" w:type="dxa"/>
            <w:vAlign w:val="center"/>
          </w:tcPr>
          <w:p>
            <w:pPr>
              <w:pStyle w:val="37"/>
              <w:rPr>
                <w:kern w:val="0"/>
              </w:rPr>
            </w:pPr>
            <w:r>
              <w:rPr>
                <w:kern w:val="0"/>
              </w:rPr>
              <w:t>42</w:t>
            </w:r>
          </w:p>
        </w:tc>
        <w:tc>
          <w:tcPr>
            <w:tcW w:w="656" w:type="dxa"/>
            <w:vAlign w:val="center"/>
          </w:tcPr>
          <w:p>
            <w:pPr>
              <w:pStyle w:val="37"/>
            </w:pPr>
            <w:r>
              <w:rPr>
                <w:rFonts w:hint="eastAsia"/>
              </w:rPr>
              <w:t>男</w:t>
            </w:r>
          </w:p>
        </w:tc>
        <w:tc>
          <w:tcPr>
            <w:tcW w:w="1074" w:type="dxa"/>
            <w:vAlign w:val="center"/>
          </w:tcPr>
          <w:p>
            <w:pPr>
              <w:pStyle w:val="37"/>
            </w:pPr>
            <w:r>
              <w:rPr>
                <w:rFonts w:hint="eastAsia"/>
              </w:rPr>
              <w:t>硕士</w:t>
            </w:r>
          </w:p>
        </w:tc>
        <w:tc>
          <w:tcPr>
            <w:tcW w:w="1063" w:type="dxa"/>
            <w:vAlign w:val="top"/>
          </w:tcPr>
          <w:p>
            <w:pPr>
              <w:pStyle w:val="37"/>
            </w:pPr>
            <w:r>
              <w:rPr>
                <w:rFonts w:hint="eastAsia"/>
              </w:rPr>
              <w:t>教师</w:t>
            </w:r>
          </w:p>
        </w:tc>
        <w:tc>
          <w:tcPr>
            <w:tcW w:w="1993" w:type="dxa"/>
            <w:vAlign w:val="center"/>
          </w:tcPr>
          <w:p>
            <w:pPr>
              <w:pStyle w:val="37"/>
            </w:pPr>
            <w:r>
              <w:rPr>
                <w:rFonts w:hint="eastAsia"/>
              </w:rPr>
              <w:t>路口镇牌楼村</w:t>
            </w:r>
          </w:p>
        </w:tc>
        <w:tc>
          <w:tcPr>
            <w:tcW w:w="1408" w:type="dxa"/>
            <w:vAlign w:val="top"/>
          </w:tcPr>
          <w:p>
            <w:pPr>
              <w:pStyle w:val="37"/>
            </w:pPr>
            <w:r>
              <w:t>18673013106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7</w:t>
            </w:r>
          </w:p>
        </w:tc>
        <w:tc>
          <w:tcPr>
            <w:tcW w:w="879" w:type="dxa"/>
            <w:vAlign w:val="top"/>
          </w:tcPr>
          <w:p>
            <w:pPr>
              <w:pStyle w:val="37"/>
            </w:pPr>
            <w:r>
              <w:rPr>
                <w:rFonts w:hint="eastAsia"/>
              </w:rPr>
              <w:t>刘平</w:t>
            </w:r>
          </w:p>
        </w:tc>
        <w:tc>
          <w:tcPr>
            <w:tcW w:w="701" w:type="dxa"/>
            <w:vAlign w:val="center"/>
          </w:tcPr>
          <w:p>
            <w:pPr>
              <w:pStyle w:val="37"/>
              <w:rPr>
                <w:kern w:val="0"/>
              </w:rPr>
            </w:pPr>
            <w:r>
              <w:rPr>
                <w:kern w:val="0"/>
              </w:rPr>
              <w:t>34</w:t>
            </w:r>
          </w:p>
        </w:tc>
        <w:tc>
          <w:tcPr>
            <w:tcW w:w="656" w:type="dxa"/>
            <w:vAlign w:val="center"/>
          </w:tcPr>
          <w:p>
            <w:pPr>
              <w:pStyle w:val="37"/>
            </w:pPr>
            <w:r>
              <w:rPr>
                <w:rFonts w:hint="eastAsia"/>
              </w:rPr>
              <w:t>女</w:t>
            </w:r>
          </w:p>
        </w:tc>
        <w:tc>
          <w:tcPr>
            <w:tcW w:w="1074" w:type="dxa"/>
            <w:vAlign w:val="center"/>
          </w:tcPr>
          <w:p>
            <w:pPr>
              <w:pStyle w:val="37"/>
            </w:pPr>
            <w:r>
              <w:rPr>
                <w:rFonts w:hint="eastAsia"/>
              </w:rPr>
              <w:t>大专</w:t>
            </w:r>
          </w:p>
        </w:tc>
        <w:tc>
          <w:tcPr>
            <w:tcW w:w="1063" w:type="dxa"/>
            <w:vAlign w:val="top"/>
          </w:tcPr>
          <w:p>
            <w:pPr>
              <w:pStyle w:val="37"/>
            </w:pPr>
            <w:r>
              <w:rPr>
                <w:rFonts w:hint="eastAsia"/>
              </w:rPr>
              <w:t>医生</w:t>
            </w:r>
          </w:p>
        </w:tc>
        <w:tc>
          <w:tcPr>
            <w:tcW w:w="1993" w:type="dxa"/>
            <w:vAlign w:val="top"/>
          </w:tcPr>
          <w:p>
            <w:pPr>
              <w:pStyle w:val="37"/>
            </w:pPr>
            <w:r>
              <w:rPr>
                <w:rFonts w:hint="eastAsia"/>
              </w:rPr>
              <w:t>路口镇牌楼村</w:t>
            </w:r>
          </w:p>
        </w:tc>
        <w:tc>
          <w:tcPr>
            <w:tcW w:w="1408" w:type="dxa"/>
            <w:vAlign w:val="top"/>
          </w:tcPr>
          <w:p>
            <w:pPr>
              <w:pStyle w:val="37"/>
            </w:pPr>
            <w:r>
              <w:t>13477745915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8</w:t>
            </w:r>
          </w:p>
        </w:tc>
        <w:tc>
          <w:tcPr>
            <w:tcW w:w="879" w:type="dxa"/>
            <w:vAlign w:val="top"/>
          </w:tcPr>
          <w:p>
            <w:pPr>
              <w:pStyle w:val="37"/>
            </w:pPr>
            <w:r>
              <w:rPr>
                <w:rFonts w:hint="eastAsia"/>
              </w:rPr>
              <w:t>刘俊邑</w:t>
            </w:r>
          </w:p>
        </w:tc>
        <w:tc>
          <w:tcPr>
            <w:tcW w:w="701" w:type="dxa"/>
            <w:vAlign w:val="center"/>
          </w:tcPr>
          <w:p>
            <w:pPr>
              <w:pStyle w:val="37"/>
            </w:pPr>
            <w:r>
              <w:t>20</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top"/>
          </w:tcPr>
          <w:p>
            <w:pPr>
              <w:pStyle w:val="37"/>
            </w:pPr>
            <w:r>
              <w:rPr>
                <w:rFonts w:hint="eastAsia"/>
              </w:rPr>
              <w:t>营销员</w:t>
            </w:r>
          </w:p>
        </w:tc>
        <w:tc>
          <w:tcPr>
            <w:tcW w:w="1993" w:type="dxa"/>
            <w:vAlign w:val="top"/>
          </w:tcPr>
          <w:p>
            <w:pPr>
              <w:pStyle w:val="37"/>
            </w:pPr>
            <w:r>
              <w:rPr>
                <w:rFonts w:hint="eastAsia"/>
              </w:rPr>
              <w:t>路口镇牌楼村</w:t>
            </w:r>
          </w:p>
        </w:tc>
        <w:tc>
          <w:tcPr>
            <w:tcW w:w="1408" w:type="dxa"/>
            <w:vAlign w:val="top"/>
          </w:tcPr>
          <w:p>
            <w:pPr>
              <w:pStyle w:val="37"/>
            </w:pPr>
            <w:r>
              <w:t>18773361100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9</w:t>
            </w:r>
          </w:p>
        </w:tc>
        <w:tc>
          <w:tcPr>
            <w:tcW w:w="879" w:type="dxa"/>
            <w:vAlign w:val="top"/>
          </w:tcPr>
          <w:p>
            <w:pPr>
              <w:pStyle w:val="37"/>
            </w:pPr>
            <w:r>
              <w:rPr>
                <w:rFonts w:hint="eastAsia"/>
              </w:rPr>
              <w:t>向凯</w:t>
            </w:r>
          </w:p>
        </w:tc>
        <w:tc>
          <w:tcPr>
            <w:tcW w:w="701" w:type="dxa"/>
            <w:vAlign w:val="center"/>
          </w:tcPr>
          <w:p>
            <w:pPr>
              <w:pStyle w:val="37"/>
            </w:pPr>
            <w:r>
              <w:t>30</w:t>
            </w:r>
          </w:p>
        </w:tc>
        <w:tc>
          <w:tcPr>
            <w:tcW w:w="656" w:type="dxa"/>
            <w:vAlign w:val="center"/>
          </w:tcPr>
          <w:p>
            <w:pPr>
              <w:pStyle w:val="37"/>
            </w:pPr>
            <w:r>
              <w:rPr>
                <w:rFonts w:hint="eastAsia"/>
              </w:rPr>
              <w:t>男</w:t>
            </w:r>
          </w:p>
        </w:tc>
        <w:tc>
          <w:tcPr>
            <w:tcW w:w="1074" w:type="dxa"/>
            <w:vAlign w:val="center"/>
          </w:tcPr>
          <w:p>
            <w:pPr>
              <w:pStyle w:val="37"/>
            </w:pPr>
          </w:p>
        </w:tc>
        <w:tc>
          <w:tcPr>
            <w:tcW w:w="1063" w:type="dxa"/>
            <w:vAlign w:val="top"/>
          </w:tcPr>
          <w:p>
            <w:pPr>
              <w:pStyle w:val="37"/>
            </w:pPr>
          </w:p>
        </w:tc>
        <w:tc>
          <w:tcPr>
            <w:tcW w:w="1993" w:type="dxa"/>
            <w:vAlign w:val="top"/>
          </w:tcPr>
          <w:p>
            <w:pPr>
              <w:pStyle w:val="37"/>
            </w:pPr>
            <w:r>
              <w:rPr>
                <w:rFonts w:hint="eastAsia"/>
              </w:rPr>
              <w:t>路口镇牌楼村</w:t>
            </w:r>
          </w:p>
        </w:tc>
        <w:tc>
          <w:tcPr>
            <w:tcW w:w="1408" w:type="dxa"/>
            <w:vAlign w:val="top"/>
          </w:tcPr>
          <w:p>
            <w:pPr>
              <w:pStyle w:val="37"/>
            </w:pPr>
            <w:r>
              <w:t>18867439136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90" w:hRule="atLeast"/>
          <w:jc w:val="center"/>
        </w:trPr>
        <w:tc>
          <w:tcPr>
            <w:tcW w:w="697" w:type="dxa"/>
            <w:vAlign w:val="center"/>
          </w:tcPr>
          <w:p>
            <w:pPr>
              <w:pStyle w:val="37"/>
            </w:pPr>
            <w:r>
              <w:t>10</w:t>
            </w:r>
          </w:p>
        </w:tc>
        <w:tc>
          <w:tcPr>
            <w:tcW w:w="879" w:type="dxa"/>
            <w:vAlign w:val="top"/>
          </w:tcPr>
          <w:p>
            <w:pPr>
              <w:pStyle w:val="37"/>
            </w:pPr>
            <w:r>
              <w:rPr>
                <w:rFonts w:hint="eastAsia"/>
              </w:rPr>
              <w:t>曾雷</w:t>
            </w:r>
          </w:p>
        </w:tc>
        <w:tc>
          <w:tcPr>
            <w:tcW w:w="701" w:type="dxa"/>
            <w:vAlign w:val="center"/>
          </w:tcPr>
          <w:p>
            <w:pPr>
              <w:pStyle w:val="37"/>
            </w:pPr>
            <w:r>
              <w:t>34</w:t>
            </w:r>
          </w:p>
        </w:tc>
        <w:tc>
          <w:tcPr>
            <w:tcW w:w="656" w:type="dxa"/>
            <w:vAlign w:val="center"/>
          </w:tcPr>
          <w:p>
            <w:pPr>
              <w:pStyle w:val="37"/>
            </w:pPr>
            <w:r>
              <w:rPr>
                <w:rFonts w:hint="eastAsia"/>
              </w:rPr>
              <w:t>男</w:t>
            </w:r>
          </w:p>
        </w:tc>
        <w:tc>
          <w:tcPr>
            <w:tcW w:w="1074" w:type="dxa"/>
            <w:vAlign w:val="center"/>
          </w:tcPr>
          <w:p>
            <w:pPr>
              <w:pStyle w:val="37"/>
            </w:pPr>
          </w:p>
        </w:tc>
        <w:tc>
          <w:tcPr>
            <w:tcW w:w="1063" w:type="dxa"/>
            <w:vAlign w:val="top"/>
          </w:tcPr>
          <w:p>
            <w:pPr>
              <w:pStyle w:val="37"/>
            </w:pPr>
            <w:r>
              <w:rPr>
                <w:rFonts w:hint="eastAsia"/>
              </w:rPr>
              <w:t>工程师</w:t>
            </w:r>
          </w:p>
        </w:tc>
        <w:tc>
          <w:tcPr>
            <w:tcW w:w="1993" w:type="dxa"/>
            <w:vAlign w:val="top"/>
          </w:tcPr>
          <w:p>
            <w:pPr>
              <w:pStyle w:val="37"/>
            </w:pPr>
            <w:r>
              <w:rPr>
                <w:rFonts w:hint="eastAsia"/>
              </w:rPr>
              <w:t>路口镇牌楼村</w:t>
            </w:r>
          </w:p>
        </w:tc>
        <w:tc>
          <w:tcPr>
            <w:tcW w:w="1408" w:type="dxa"/>
            <w:vAlign w:val="top"/>
          </w:tcPr>
          <w:p>
            <w:pPr>
              <w:pStyle w:val="37"/>
            </w:pPr>
            <w:r>
              <w:t>15873093917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11</w:t>
            </w:r>
          </w:p>
        </w:tc>
        <w:tc>
          <w:tcPr>
            <w:tcW w:w="879" w:type="dxa"/>
            <w:vAlign w:val="top"/>
          </w:tcPr>
          <w:p>
            <w:pPr>
              <w:pStyle w:val="37"/>
            </w:pPr>
            <w:r>
              <w:rPr>
                <w:rFonts w:hint="eastAsia"/>
              </w:rPr>
              <w:t>潘鹏</w:t>
            </w:r>
          </w:p>
        </w:tc>
        <w:tc>
          <w:tcPr>
            <w:tcW w:w="701" w:type="dxa"/>
            <w:vAlign w:val="center"/>
          </w:tcPr>
          <w:p>
            <w:pPr>
              <w:pStyle w:val="37"/>
            </w:pPr>
            <w:r>
              <w:t>28</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top"/>
          </w:tcPr>
          <w:p>
            <w:pPr>
              <w:pStyle w:val="37"/>
            </w:pPr>
            <w:r>
              <w:t>15618589517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12</w:t>
            </w:r>
          </w:p>
        </w:tc>
        <w:tc>
          <w:tcPr>
            <w:tcW w:w="879" w:type="dxa"/>
            <w:vAlign w:val="center"/>
          </w:tcPr>
          <w:p>
            <w:pPr>
              <w:pStyle w:val="37"/>
            </w:pPr>
            <w:r>
              <w:rPr>
                <w:rFonts w:hint="eastAsia"/>
              </w:rPr>
              <w:t>胡建</w:t>
            </w:r>
          </w:p>
        </w:tc>
        <w:tc>
          <w:tcPr>
            <w:tcW w:w="701" w:type="dxa"/>
            <w:vAlign w:val="top"/>
          </w:tcPr>
          <w:p>
            <w:pPr>
              <w:pStyle w:val="37"/>
            </w:pPr>
            <w:r>
              <w:t>27</w:t>
            </w:r>
          </w:p>
        </w:tc>
        <w:tc>
          <w:tcPr>
            <w:tcW w:w="656" w:type="dxa"/>
            <w:vAlign w:val="center"/>
          </w:tcPr>
          <w:p>
            <w:pPr>
              <w:pStyle w:val="37"/>
            </w:pPr>
            <w:r>
              <w:rPr>
                <w:rFonts w:hint="eastAsia"/>
              </w:rPr>
              <w:t>男</w:t>
            </w:r>
          </w:p>
        </w:tc>
        <w:tc>
          <w:tcPr>
            <w:tcW w:w="1074" w:type="dxa"/>
            <w:vAlign w:val="center"/>
          </w:tcPr>
          <w:p>
            <w:pPr>
              <w:pStyle w:val="37"/>
            </w:pPr>
            <w:r>
              <w:rPr>
                <w:rFonts w:hint="eastAsia"/>
              </w:rPr>
              <w:t>大专</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18771585007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13</w:t>
            </w:r>
          </w:p>
        </w:tc>
        <w:tc>
          <w:tcPr>
            <w:tcW w:w="879" w:type="dxa"/>
            <w:vAlign w:val="center"/>
          </w:tcPr>
          <w:p>
            <w:pPr>
              <w:pStyle w:val="37"/>
            </w:pPr>
            <w:r>
              <w:rPr>
                <w:rFonts w:hint="eastAsia"/>
              </w:rPr>
              <w:t>肖再兴</w:t>
            </w:r>
          </w:p>
        </w:tc>
        <w:tc>
          <w:tcPr>
            <w:tcW w:w="701" w:type="dxa"/>
            <w:vAlign w:val="top"/>
          </w:tcPr>
          <w:p>
            <w:pPr>
              <w:pStyle w:val="37"/>
            </w:pPr>
            <w:r>
              <w:t>56</w:t>
            </w:r>
          </w:p>
        </w:tc>
        <w:tc>
          <w:tcPr>
            <w:tcW w:w="656" w:type="dxa"/>
            <w:vAlign w:val="center"/>
          </w:tcPr>
          <w:p>
            <w:pPr>
              <w:pStyle w:val="37"/>
            </w:pPr>
            <w:r>
              <w:rPr>
                <w:rFonts w:hint="eastAsia"/>
              </w:rPr>
              <w:t>男</w:t>
            </w:r>
          </w:p>
        </w:tc>
        <w:tc>
          <w:tcPr>
            <w:tcW w:w="1074" w:type="dxa"/>
            <w:vAlign w:val="center"/>
          </w:tcPr>
          <w:p>
            <w:pPr>
              <w:pStyle w:val="37"/>
            </w:pPr>
            <w:r>
              <w:rPr>
                <w:rFonts w:hint="eastAsia"/>
              </w:rPr>
              <w:t>初中</w:t>
            </w:r>
          </w:p>
        </w:tc>
        <w:tc>
          <w:tcPr>
            <w:tcW w:w="1063" w:type="dxa"/>
            <w:vAlign w:val="center"/>
          </w:tcPr>
          <w:p>
            <w:pPr>
              <w:pStyle w:val="37"/>
            </w:pPr>
            <w:r>
              <w:rPr>
                <w:rFonts w:hint="eastAsia"/>
              </w:rPr>
              <w:t>工人</w:t>
            </w:r>
          </w:p>
        </w:tc>
        <w:tc>
          <w:tcPr>
            <w:tcW w:w="1993" w:type="dxa"/>
            <w:vAlign w:val="center"/>
          </w:tcPr>
          <w:p>
            <w:pPr>
              <w:pStyle w:val="37"/>
            </w:pPr>
            <w:r>
              <w:rPr>
                <w:rFonts w:hint="eastAsia"/>
              </w:rPr>
              <w:t>路口镇牌楼村</w:t>
            </w:r>
          </w:p>
        </w:tc>
        <w:tc>
          <w:tcPr>
            <w:tcW w:w="1408" w:type="dxa"/>
            <w:vAlign w:val="center"/>
          </w:tcPr>
          <w:p>
            <w:pPr>
              <w:pStyle w:val="37"/>
            </w:pPr>
            <w:r>
              <w:t>15800676315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14</w:t>
            </w:r>
          </w:p>
        </w:tc>
        <w:tc>
          <w:tcPr>
            <w:tcW w:w="879" w:type="dxa"/>
            <w:vAlign w:val="center"/>
          </w:tcPr>
          <w:p>
            <w:pPr>
              <w:pStyle w:val="37"/>
            </w:pPr>
            <w:r>
              <w:rPr>
                <w:rFonts w:hint="eastAsia"/>
              </w:rPr>
              <w:t>杨浩</w:t>
            </w:r>
          </w:p>
        </w:tc>
        <w:tc>
          <w:tcPr>
            <w:tcW w:w="701" w:type="dxa"/>
            <w:vAlign w:val="top"/>
          </w:tcPr>
          <w:p>
            <w:pPr>
              <w:pStyle w:val="37"/>
            </w:pPr>
            <w:r>
              <w:t>25</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r>
              <w:rPr>
                <w:rFonts w:hint="eastAsia"/>
              </w:rPr>
              <w:t>工程师</w:t>
            </w:r>
          </w:p>
        </w:tc>
        <w:tc>
          <w:tcPr>
            <w:tcW w:w="1993" w:type="dxa"/>
            <w:vAlign w:val="center"/>
          </w:tcPr>
          <w:p>
            <w:pPr>
              <w:pStyle w:val="37"/>
            </w:pPr>
            <w:r>
              <w:rPr>
                <w:rFonts w:hint="eastAsia"/>
              </w:rPr>
              <w:t>路口镇牌楼村</w:t>
            </w:r>
          </w:p>
        </w:tc>
        <w:tc>
          <w:tcPr>
            <w:tcW w:w="1408" w:type="dxa"/>
            <w:vAlign w:val="center"/>
          </w:tcPr>
          <w:p>
            <w:pPr>
              <w:pStyle w:val="37"/>
            </w:pPr>
            <w:r>
              <w:t>15200301663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15</w:t>
            </w:r>
          </w:p>
        </w:tc>
        <w:tc>
          <w:tcPr>
            <w:tcW w:w="879" w:type="dxa"/>
            <w:vAlign w:val="center"/>
          </w:tcPr>
          <w:p>
            <w:pPr>
              <w:pStyle w:val="37"/>
            </w:pPr>
            <w:r>
              <w:rPr>
                <w:rFonts w:hint="eastAsia"/>
              </w:rPr>
              <w:t>易思</w:t>
            </w:r>
          </w:p>
        </w:tc>
        <w:tc>
          <w:tcPr>
            <w:tcW w:w="701" w:type="dxa"/>
            <w:vAlign w:val="top"/>
          </w:tcPr>
          <w:p>
            <w:pPr>
              <w:pStyle w:val="37"/>
            </w:pPr>
            <w:r>
              <w:t>50</w:t>
            </w:r>
          </w:p>
        </w:tc>
        <w:tc>
          <w:tcPr>
            <w:tcW w:w="656" w:type="dxa"/>
            <w:vAlign w:val="center"/>
          </w:tcPr>
          <w:p>
            <w:pPr>
              <w:pStyle w:val="37"/>
            </w:pPr>
            <w:r>
              <w:rPr>
                <w:rFonts w:hint="eastAsia"/>
              </w:rPr>
              <w:t>男</w:t>
            </w:r>
          </w:p>
        </w:tc>
        <w:tc>
          <w:tcPr>
            <w:tcW w:w="1074" w:type="dxa"/>
            <w:vAlign w:val="center"/>
          </w:tcPr>
          <w:p>
            <w:pPr>
              <w:pStyle w:val="37"/>
            </w:pPr>
            <w:r>
              <w:rPr>
                <w:rFonts w:hint="eastAsia"/>
              </w:rPr>
              <w:t>初中</w:t>
            </w:r>
          </w:p>
        </w:tc>
        <w:tc>
          <w:tcPr>
            <w:tcW w:w="1063" w:type="dxa"/>
            <w:vAlign w:val="center"/>
          </w:tcPr>
          <w:p>
            <w:pPr>
              <w:pStyle w:val="37"/>
            </w:pPr>
            <w:r>
              <w:rPr>
                <w:rFonts w:hint="eastAsia"/>
              </w:rPr>
              <w:t>农民</w:t>
            </w:r>
          </w:p>
        </w:tc>
        <w:tc>
          <w:tcPr>
            <w:tcW w:w="1993" w:type="dxa"/>
            <w:vAlign w:val="center"/>
          </w:tcPr>
          <w:p>
            <w:pPr>
              <w:pStyle w:val="37"/>
            </w:pPr>
            <w:r>
              <w:rPr>
                <w:rFonts w:hint="eastAsia"/>
              </w:rPr>
              <w:t>路口镇牌楼村</w:t>
            </w:r>
          </w:p>
        </w:tc>
        <w:tc>
          <w:tcPr>
            <w:tcW w:w="1408" w:type="dxa"/>
            <w:vAlign w:val="center"/>
          </w:tcPr>
          <w:p>
            <w:pPr>
              <w:pStyle w:val="37"/>
            </w:pPr>
            <w:r>
              <w:t>1527480401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16</w:t>
            </w:r>
          </w:p>
        </w:tc>
        <w:tc>
          <w:tcPr>
            <w:tcW w:w="879" w:type="dxa"/>
            <w:vAlign w:val="center"/>
          </w:tcPr>
          <w:p>
            <w:pPr>
              <w:pStyle w:val="37"/>
            </w:pPr>
            <w:r>
              <w:rPr>
                <w:rFonts w:hint="eastAsia"/>
              </w:rPr>
              <w:t>易磊</w:t>
            </w:r>
          </w:p>
        </w:tc>
        <w:tc>
          <w:tcPr>
            <w:tcW w:w="701" w:type="dxa"/>
            <w:vAlign w:val="center"/>
          </w:tcPr>
          <w:p>
            <w:pPr>
              <w:pStyle w:val="37"/>
            </w:pPr>
            <w:r>
              <w:t>25</w:t>
            </w:r>
          </w:p>
        </w:tc>
        <w:tc>
          <w:tcPr>
            <w:tcW w:w="656" w:type="dxa"/>
            <w:vAlign w:val="center"/>
          </w:tcPr>
          <w:p>
            <w:pPr>
              <w:pStyle w:val="37"/>
            </w:pPr>
            <w:r>
              <w:rPr>
                <w:rFonts w:hint="eastAsia"/>
              </w:rPr>
              <w:t>男</w:t>
            </w:r>
          </w:p>
        </w:tc>
        <w:tc>
          <w:tcPr>
            <w:tcW w:w="1074" w:type="dxa"/>
            <w:vAlign w:val="center"/>
          </w:tcPr>
          <w:p>
            <w:pPr>
              <w:pStyle w:val="37"/>
            </w:pPr>
            <w:r>
              <w:rPr>
                <w:rFonts w:hint="eastAsia"/>
              </w:rPr>
              <w:t>大专</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15616546664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17</w:t>
            </w:r>
          </w:p>
        </w:tc>
        <w:tc>
          <w:tcPr>
            <w:tcW w:w="879" w:type="dxa"/>
            <w:vAlign w:val="center"/>
          </w:tcPr>
          <w:p>
            <w:pPr>
              <w:pStyle w:val="37"/>
            </w:pPr>
            <w:r>
              <w:rPr>
                <w:rFonts w:hint="eastAsia"/>
              </w:rPr>
              <w:t>周纯</w:t>
            </w:r>
          </w:p>
        </w:tc>
        <w:tc>
          <w:tcPr>
            <w:tcW w:w="701" w:type="dxa"/>
            <w:vAlign w:val="center"/>
          </w:tcPr>
          <w:p>
            <w:pPr>
              <w:pStyle w:val="37"/>
            </w:pPr>
            <w:r>
              <w:t>21</w:t>
            </w:r>
          </w:p>
        </w:tc>
        <w:tc>
          <w:tcPr>
            <w:tcW w:w="656" w:type="dxa"/>
            <w:vAlign w:val="center"/>
          </w:tcPr>
          <w:p>
            <w:pPr>
              <w:pStyle w:val="37"/>
            </w:pPr>
            <w:r>
              <w:rPr>
                <w:rFonts w:hint="eastAsia"/>
              </w:rPr>
              <w:t>女</w:t>
            </w:r>
          </w:p>
        </w:tc>
        <w:tc>
          <w:tcPr>
            <w:tcW w:w="1074" w:type="dxa"/>
            <w:vAlign w:val="center"/>
          </w:tcPr>
          <w:p>
            <w:pPr>
              <w:pStyle w:val="37"/>
            </w:pPr>
            <w:r>
              <w:rPr>
                <w:rFonts w:hint="eastAsia"/>
              </w:rPr>
              <w:t>大专</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15973011117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18</w:t>
            </w:r>
          </w:p>
        </w:tc>
        <w:tc>
          <w:tcPr>
            <w:tcW w:w="879" w:type="dxa"/>
            <w:vAlign w:val="center"/>
          </w:tcPr>
          <w:p>
            <w:pPr>
              <w:pStyle w:val="37"/>
            </w:pPr>
            <w:r>
              <w:rPr>
                <w:rFonts w:hint="eastAsia"/>
              </w:rPr>
              <w:t>李磊</w:t>
            </w:r>
          </w:p>
        </w:tc>
        <w:tc>
          <w:tcPr>
            <w:tcW w:w="701" w:type="dxa"/>
            <w:vAlign w:val="center"/>
          </w:tcPr>
          <w:p>
            <w:pPr>
              <w:pStyle w:val="37"/>
            </w:pPr>
            <w:r>
              <w:t>26</w:t>
            </w:r>
          </w:p>
        </w:tc>
        <w:tc>
          <w:tcPr>
            <w:tcW w:w="656" w:type="dxa"/>
            <w:vAlign w:val="center"/>
          </w:tcPr>
          <w:p>
            <w:pPr>
              <w:pStyle w:val="37"/>
            </w:pPr>
            <w:r>
              <w:rPr>
                <w:rFonts w:hint="eastAsia"/>
              </w:rPr>
              <w:t>男</w:t>
            </w:r>
          </w:p>
        </w:tc>
        <w:tc>
          <w:tcPr>
            <w:tcW w:w="1074" w:type="dxa"/>
            <w:vAlign w:val="center"/>
          </w:tcPr>
          <w:p>
            <w:pPr>
              <w:pStyle w:val="37"/>
            </w:pPr>
            <w:r>
              <w:rPr>
                <w:rFonts w:hint="eastAsia"/>
              </w:rPr>
              <w:t>大专</w:t>
            </w:r>
          </w:p>
        </w:tc>
        <w:tc>
          <w:tcPr>
            <w:tcW w:w="1063" w:type="dxa"/>
            <w:vAlign w:val="center"/>
          </w:tcPr>
          <w:p>
            <w:pPr>
              <w:pStyle w:val="37"/>
            </w:pPr>
            <w:r>
              <w:rPr>
                <w:rFonts w:hint="eastAsia"/>
              </w:rPr>
              <w:t>工人</w:t>
            </w:r>
          </w:p>
        </w:tc>
        <w:tc>
          <w:tcPr>
            <w:tcW w:w="1993" w:type="dxa"/>
            <w:vAlign w:val="center"/>
          </w:tcPr>
          <w:p>
            <w:pPr>
              <w:pStyle w:val="37"/>
            </w:pPr>
            <w:r>
              <w:rPr>
                <w:rFonts w:hint="eastAsia"/>
              </w:rPr>
              <w:t>路口镇牌楼村</w:t>
            </w:r>
          </w:p>
        </w:tc>
        <w:tc>
          <w:tcPr>
            <w:tcW w:w="1408" w:type="dxa"/>
            <w:vAlign w:val="center"/>
          </w:tcPr>
          <w:p>
            <w:pPr>
              <w:pStyle w:val="37"/>
            </w:pPr>
            <w:r>
              <w:t>13901908120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19</w:t>
            </w:r>
          </w:p>
        </w:tc>
        <w:tc>
          <w:tcPr>
            <w:tcW w:w="879" w:type="dxa"/>
            <w:vAlign w:val="center"/>
          </w:tcPr>
          <w:p>
            <w:pPr>
              <w:pStyle w:val="37"/>
            </w:pPr>
            <w:r>
              <w:rPr>
                <w:rFonts w:hint="eastAsia"/>
              </w:rPr>
              <w:t>尚群</w:t>
            </w:r>
          </w:p>
        </w:tc>
        <w:tc>
          <w:tcPr>
            <w:tcW w:w="701" w:type="dxa"/>
            <w:vAlign w:val="center"/>
          </w:tcPr>
          <w:p>
            <w:pPr>
              <w:pStyle w:val="37"/>
            </w:pPr>
            <w:r>
              <w:t>22</w:t>
            </w:r>
          </w:p>
        </w:tc>
        <w:tc>
          <w:tcPr>
            <w:tcW w:w="656" w:type="dxa"/>
            <w:vAlign w:val="center"/>
          </w:tcPr>
          <w:p>
            <w:pPr>
              <w:pStyle w:val="37"/>
            </w:pPr>
            <w:r>
              <w:rPr>
                <w:rFonts w:hint="eastAsia"/>
              </w:rPr>
              <w:t>女</w:t>
            </w:r>
          </w:p>
        </w:tc>
        <w:tc>
          <w:tcPr>
            <w:tcW w:w="1074" w:type="dxa"/>
            <w:vAlign w:val="center"/>
          </w:tcPr>
          <w:p>
            <w:pPr>
              <w:pStyle w:val="37"/>
            </w:pPr>
            <w:r>
              <w:rPr>
                <w:rFonts w:hint="eastAsia"/>
              </w:rPr>
              <w:t>初中</w:t>
            </w:r>
          </w:p>
        </w:tc>
        <w:tc>
          <w:tcPr>
            <w:tcW w:w="1063" w:type="dxa"/>
            <w:vAlign w:val="center"/>
          </w:tcPr>
          <w:p>
            <w:pPr>
              <w:pStyle w:val="37"/>
            </w:pPr>
            <w:r>
              <w:rPr>
                <w:rFonts w:hint="eastAsia"/>
              </w:rPr>
              <w:t>农民</w:t>
            </w:r>
          </w:p>
        </w:tc>
        <w:tc>
          <w:tcPr>
            <w:tcW w:w="1993" w:type="dxa"/>
            <w:vAlign w:val="center"/>
          </w:tcPr>
          <w:p>
            <w:pPr>
              <w:pStyle w:val="37"/>
            </w:pPr>
            <w:r>
              <w:rPr>
                <w:rFonts w:hint="eastAsia"/>
              </w:rPr>
              <w:t>路口镇牌楼村</w:t>
            </w:r>
          </w:p>
        </w:tc>
        <w:tc>
          <w:tcPr>
            <w:tcW w:w="1408" w:type="dxa"/>
            <w:vAlign w:val="center"/>
          </w:tcPr>
          <w:p>
            <w:pPr>
              <w:pStyle w:val="37"/>
            </w:pPr>
            <w:r>
              <w:t>15842867508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20</w:t>
            </w:r>
          </w:p>
        </w:tc>
        <w:tc>
          <w:tcPr>
            <w:tcW w:w="879" w:type="dxa"/>
            <w:vAlign w:val="center"/>
          </w:tcPr>
          <w:p>
            <w:pPr>
              <w:pStyle w:val="37"/>
            </w:pPr>
            <w:r>
              <w:rPr>
                <w:rFonts w:hint="eastAsia"/>
              </w:rPr>
              <w:t>王亮</w:t>
            </w:r>
          </w:p>
        </w:tc>
        <w:tc>
          <w:tcPr>
            <w:tcW w:w="701" w:type="dxa"/>
            <w:vAlign w:val="center"/>
          </w:tcPr>
          <w:p>
            <w:pPr>
              <w:pStyle w:val="37"/>
            </w:pPr>
            <w:r>
              <w:t>34</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13482452833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21</w:t>
            </w:r>
          </w:p>
        </w:tc>
        <w:tc>
          <w:tcPr>
            <w:tcW w:w="879" w:type="dxa"/>
            <w:vAlign w:val="center"/>
          </w:tcPr>
          <w:p>
            <w:pPr>
              <w:pStyle w:val="37"/>
            </w:pPr>
            <w:r>
              <w:rPr>
                <w:rFonts w:hint="eastAsia"/>
              </w:rPr>
              <w:t>易</w:t>
            </w:r>
          </w:p>
        </w:tc>
        <w:tc>
          <w:tcPr>
            <w:tcW w:w="701" w:type="dxa"/>
            <w:vAlign w:val="center"/>
          </w:tcPr>
          <w:p>
            <w:pPr>
              <w:pStyle w:val="37"/>
            </w:pPr>
            <w:r>
              <w:t>27</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15273012150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22</w:t>
            </w:r>
          </w:p>
        </w:tc>
        <w:tc>
          <w:tcPr>
            <w:tcW w:w="879" w:type="dxa"/>
            <w:vAlign w:val="center"/>
          </w:tcPr>
          <w:p>
            <w:pPr>
              <w:pStyle w:val="37"/>
            </w:pPr>
            <w:r>
              <w:rPr>
                <w:rFonts w:hint="eastAsia"/>
              </w:rPr>
              <w:t>刘安</w:t>
            </w:r>
          </w:p>
        </w:tc>
        <w:tc>
          <w:tcPr>
            <w:tcW w:w="701" w:type="dxa"/>
            <w:vAlign w:val="center"/>
          </w:tcPr>
          <w:p>
            <w:pPr>
              <w:pStyle w:val="37"/>
            </w:pPr>
            <w:r>
              <w:t>63</w:t>
            </w:r>
          </w:p>
        </w:tc>
        <w:tc>
          <w:tcPr>
            <w:tcW w:w="656" w:type="dxa"/>
            <w:vAlign w:val="center"/>
          </w:tcPr>
          <w:p>
            <w:pPr>
              <w:pStyle w:val="37"/>
            </w:pPr>
            <w:r>
              <w:rPr>
                <w:rFonts w:hint="eastAsia"/>
              </w:rPr>
              <w:t>男</w:t>
            </w:r>
          </w:p>
        </w:tc>
        <w:tc>
          <w:tcPr>
            <w:tcW w:w="1074" w:type="dxa"/>
            <w:vAlign w:val="center"/>
          </w:tcPr>
          <w:p>
            <w:pPr>
              <w:pStyle w:val="37"/>
            </w:pPr>
            <w:r>
              <w:rPr>
                <w:rFonts w:hint="eastAsia"/>
              </w:rPr>
              <w:t>小学</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13995966118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23</w:t>
            </w:r>
          </w:p>
        </w:tc>
        <w:tc>
          <w:tcPr>
            <w:tcW w:w="879" w:type="dxa"/>
            <w:vAlign w:val="center"/>
          </w:tcPr>
          <w:p>
            <w:pPr>
              <w:pStyle w:val="37"/>
            </w:pPr>
            <w:r>
              <w:rPr>
                <w:rFonts w:hint="eastAsia"/>
              </w:rPr>
              <w:t>刘建平</w:t>
            </w:r>
          </w:p>
        </w:tc>
        <w:tc>
          <w:tcPr>
            <w:tcW w:w="701" w:type="dxa"/>
            <w:vAlign w:val="center"/>
          </w:tcPr>
          <w:p>
            <w:pPr>
              <w:pStyle w:val="37"/>
            </w:pPr>
            <w:r>
              <w:t>28</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r>
              <w:rPr>
                <w:rFonts w:hint="eastAsia"/>
              </w:rPr>
              <w:t>业务员</w:t>
            </w:r>
          </w:p>
        </w:tc>
        <w:tc>
          <w:tcPr>
            <w:tcW w:w="1993" w:type="dxa"/>
            <w:vAlign w:val="center"/>
          </w:tcPr>
          <w:p>
            <w:pPr>
              <w:pStyle w:val="37"/>
            </w:pPr>
            <w:r>
              <w:rPr>
                <w:rFonts w:hint="eastAsia"/>
              </w:rPr>
              <w:t>路口镇牌楼村</w:t>
            </w:r>
          </w:p>
        </w:tc>
        <w:tc>
          <w:tcPr>
            <w:tcW w:w="1408" w:type="dxa"/>
            <w:vAlign w:val="center"/>
          </w:tcPr>
          <w:p>
            <w:pPr>
              <w:pStyle w:val="37"/>
            </w:pPr>
            <w:r>
              <w:t>15692171880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24</w:t>
            </w:r>
          </w:p>
        </w:tc>
        <w:tc>
          <w:tcPr>
            <w:tcW w:w="879" w:type="dxa"/>
            <w:vAlign w:val="center"/>
          </w:tcPr>
          <w:p>
            <w:pPr>
              <w:pStyle w:val="37"/>
            </w:pPr>
            <w:r>
              <w:rPr>
                <w:rFonts w:hint="eastAsia"/>
              </w:rPr>
              <w:t>熊剑</w:t>
            </w:r>
          </w:p>
        </w:tc>
        <w:tc>
          <w:tcPr>
            <w:tcW w:w="701" w:type="dxa"/>
            <w:vAlign w:val="center"/>
          </w:tcPr>
          <w:p>
            <w:pPr>
              <w:pStyle w:val="37"/>
            </w:pPr>
            <w:r>
              <w:t>32</w:t>
            </w:r>
          </w:p>
        </w:tc>
        <w:tc>
          <w:tcPr>
            <w:tcW w:w="656" w:type="dxa"/>
            <w:vAlign w:val="center"/>
          </w:tcPr>
          <w:p>
            <w:pPr>
              <w:pStyle w:val="37"/>
            </w:pPr>
            <w:r>
              <w:rPr>
                <w:rFonts w:hint="eastAsia"/>
              </w:rPr>
              <w:t>男</w:t>
            </w:r>
          </w:p>
        </w:tc>
        <w:tc>
          <w:tcPr>
            <w:tcW w:w="1074" w:type="dxa"/>
            <w:vAlign w:val="center"/>
          </w:tcPr>
          <w:p>
            <w:pPr>
              <w:pStyle w:val="37"/>
            </w:pPr>
            <w:r>
              <w:rPr>
                <w:rFonts w:hint="eastAsia"/>
              </w:rPr>
              <w:t>本科</w:t>
            </w:r>
          </w:p>
        </w:tc>
        <w:tc>
          <w:tcPr>
            <w:tcW w:w="1063" w:type="dxa"/>
            <w:vAlign w:val="center"/>
          </w:tcPr>
          <w:p>
            <w:pPr>
              <w:pStyle w:val="37"/>
            </w:pPr>
            <w:r>
              <w:rPr>
                <w:rFonts w:hint="eastAsia"/>
              </w:rPr>
              <w:t>预算员</w:t>
            </w:r>
          </w:p>
        </w:tc>
        <w:tc>
          <w:tcPr>
            <w:tcW w:w="1993" w:type="dxa"/>
            <w:vAlign w:val="center"/>
          </w:tcPr>
          <w:p>
            <w:pPr>
              <w:pStyle w:val="37"/>
            </w:pPr>
            <w:r>
              <w:rPr>
                <w:rFonts w:hint="eastAsia"/>
              </w:rPr>
              <w:t>路口镇牌楼村</w:t>
            </w:r>
          </w:p>
        </w:tc>
        <w:tc>
          <w:tcPr>
            <w:tcW w:w="1408" w:type="dxa"/>
            <w:vAlign w:val="center"/>
          </w:tcPr>
          <w:p>
            <w:pPr>
              <w:pStyle w:val="37"/>
            </w:pPr>
            <w:r>
              <w:t>18673111511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25</w:t>
            </w:r>
          </w:p>
        </w:tc>
        <w:tc>
          <w:tcPr>
            <w:tcW w:w="879" w:type="dxa"/>
            <w:vAlign w:val="center"/>
          </w:tcPr>
          <w:p>
            <w:pPr>
              <w:pStyle w:val="37"/>
            </w:pPr>
            <w:r>
              <w:rPr>
                <w:rFonts w:hint="eastAsia"/>
              </w:rPr>
              <w:t>陈师傅</w:t>
            </w:r>
          </w:p>
        </w:tc>
        <w:tc>
          <w:tcPr>
            <w:tcW w:w="701" w:type="dxa"/>
            <w:vAlign w:val="center"/>
          </w:tcPr>
          <w:p>
            <w:pPr>
              <w:pStyle w:val="37"/>
            </w:pPr>
            <w:r>
              <w:t>45</w:t>
            </w:r>
          </w:p>
        </w:tc>
        <w:tc>
          <w:tcPr>
            <w:tcW w:w="656" w:type="dxa"/>
            <w:vAlign w:val="center"/>
          </w:tcPr>
          <w:p>
            <w:pPr>
              <w:pStyle w:val="37"/>
            </w:pPr>
            <w:r>
              <w:rPr>
                <w:rFonts w:hint="eastAsia"/>
              </w:rPr>
              <w:t>男</w:t>
            </w:r>
          </w:p>
        </w:tc>
        <w:tc>
          <w:tcPr>
            <w:tcW w:w="1074" w:type="dxa"/>
            <w:vAlign w:val="center"/>
          </w:tcPr>
          <w:p>
            <w:pPr>
              <w:pStyle w:val="37"/>
            </w:pPr>
            <w:r>
              <w:rPr>
                <w:rFonts w:hint="eastAsia"/>
              </w:rPr>
              <w:t>高中</w:t>
            </w:r>
          </w:p>
        </w:tc>
        <w:tc>
          <w:tcPr>
            <w:tcW w:w="1063" w:type="dxa"/>
            <w:vAlign w:val="center"/>
          </w:tcPr>
          <w:p>
            <w:pPr>
              <w:pStyle w:val="37"/>
            </w:pPr>
            <w:r>
              <w:rPr>
                <w:rFonts w:hint="eastAsia"/>
              </w:rPr>
              <w:t>司机</w:t>
            </w:r>
          </w:p>
        </w:tc>
        <w:tc>
          <w:tcPr>
            <w:tcW w:w="1993" w:type="dxa"/>
            <w:vAlign w:val="center"/>
          </w:tcPr>
          <w:p>
            <w:pPr>
              <w:pStyle w:val="37"/>
            </w:pPr>
            <w:r>
              <w:rPr>
                <w:rFonts w:hint="eastAsia"/>
              </w:rPr>
              <w:t>路口镇牌楼村</w:t>
            </w:r>
          </w:p>
        </w:tc>
        <w:tc>
          <w:tcPr>
            <w:tcW w:w="1408" w:type="dxa"/>
            <w:vAlign w:val="center"/>
          </w:tcPr>
          <w:p>
            <w:pPr>
              <w:pStyle w:val="37"/>
            </w:pPr>
            <w:r>
              <w:t>07304531386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atLeast"/>
          <w:jc w:val="center"/>
        </w:trPr>
        <w:tc>
          <w:tcPr>
            <w:tcW w:w="697" w:type="dxa"/>
            <w:vAlign w:val="center"/>
          </w:tcPr>
          <w:p>
            <w:pPr>
              <w:pStyle w:val="37"/>
            </w:pPr>
            <w:r>
              <w:t>26</w:t>
            </w:r>
          </w:p>
        </w:tc>
        <w:tc>
          <w:tcPr>
            <w:tcW w:w="879" w:type="dxa"/>
            <w:vAlign w:val="center"/>
          </w:tcPr>
          <w:p>
            <w:pPr>
              <w:pStyle w:val="37"/>
            </w:pPr>
            <w:r>
              <w:rPr>
                <w:rFonts w:hint="eastAsia"/>
              </w:rPr>
              <w:t>陈杰</w:t>
            </w:r>
          </w:p>
        </w:tc>
        <w:tc>
          <w:tcPr>
            <w:tcW w:w="701" w:type="dxa"/>
            <w:vAlign w:val="center"/>
          </w:tcPr>
          <w:p>
            <w:pPr>
              <w:pStyle w:val="37"/>
            </w:pPr>
            <w:r>
              <w:t>25</w:t>
            </w:r>
          </w:p>
        </w:tc>
        <w:tc>
          <w:tcPr>
            <w:tcW w:w="656" w:type="dxa"/>
            <w:vAlign w:val="center"/>
          </w:tcPr>
          <w:p>
            <w:pPr>
              <w:pStyle w:val="37"/>
            </w:pPr>
            <w:r>
              <w:rPr>
                <w:rFonts w:hint="eastAsia"/>
              </w:rPr>
              <w:t>男</w:t>
            </w:r>
          </w:p>
        </w:tc>
        <w:tc>
          <w:tcPr>
            <w:tcW w:w="1074" w:type="dxa"/>
            <w:vAlign w:val="center"/>
          </w:tcPr>
          <w:p>
            <w:pPr>
              <w:pStyle w:val="37"/>
            </w:pPr>
            <w:r>
              <w:rPr>
                <w:rFonts w:hint="eastAsia"/>
              </w:rPr>
              <w:t>初中</w:t>
            </w:r>
          </w:p>
        </w:tc>
        <w:tc>
          <w:tcPr>
            <w:tcW w:w="1063" w:type="dxa"/>
            <w:vAlign w:val="center"/>
          </w:tcPr>
          <w:p>
            <w:pPr>
              <w:pStyle w:val="37"/>
            </w:pPr>
          </w:p>
        </w:tc>
        <w:tc>
          <w:tcPr>
            <w:tcW w:w="1993" w:type="dxa"/>
            <w:vAlign w:val="center"/>
          </w:tcPr>
          <w:p>
            <w:pPr>
              <w:pStyle w:val="37"/>
            </w:pPr>
            <w:r>
              <w:rPr>
                <w:rFonts w:hint="eastAsia"/>
              </w:rPr>
              <w:t>路口镇牌楼村</w:t>
            </w:r>
          </w:p>
        </w:tc>
        <w:tc>
          <w:tcPr>
            <w:tcW w:w="1408" w:type="dxa"/>
            <w:vAlign w:val="center"/>
          </w:tcPr>
          <w:p>
            <w:pPr>
              <w:pStyle w:val="37"/>
            </w:pPr>
            <w:r>
              <w:t>13874129182</w:t>
            </w:r>
          </w:p>
        </w:tc>
      </w:tr>
    </w:tbl>
    <w:p>
      <w:pPr>
        <w:pStyle w:val="4"/>
      </w:pPr>
      <w:r>
        <w:rPr>
          <w:rFonts w:hint="eastAsia"/>
        </w:rPr>
        <w:t>调查结果统计</w:t>
      </w:r>
      <w:bookmarkEnd w:id="317"/>
      <w:bookmarkEnd w:id="318"/>
    </w:p>
    <w:p>
      <w:pPr>
        <w:ind w:firstLine="480"/>
      </w:pPr>
      <w:r>
        <w:rPr>
          <w:rFonts w:hint="eastAsia"/>
        </w:rPr>
        <w:t>本次问卷调查共发放个人意见征询表共计</w:t>
      </w:r>
      <w:r>
        <w:t>26</w:t>
      </w:r>
      <w:r>
        <w:rPr>
          <w:rFonts w:hint="eastAsia"/>
        </w:rPr>
        <w:t>份，回收</w:t>
      </w:r>
      <w:r>
        <w:t>26</w:t>
      </w:r>
      <w:r>
        <w:rPr>
          <w:rFonts w:hint="eastAsia"/>
        </w:rPr>
        <w:t>份，回收率</w:t>
      </w:r>
      <w:r>
        <w:t>100%</w:t>
      </w:r>
      <w:r>
        <w:rPr>
          <w:rFonts w:hint="eastAsia"/>
        </w:rPr>
        <w:t>，发放团体调查表4份，回收4份，有效4份。公众调查结果见表</w:t>
      </w:r>
      <w:r>
        <w:t>12.3-5</w:t>
      </w:r>
      <w:r>
        <w:rPr>
          <w:rFonts w:hint="eastAsia"/>
          <w:b/>
        </w:rPr>
        <w:t>。</w:t>
      </w:r>
    </w:p>
    <w:p>
      <w:pPr>
        <w:pStyle w:val="14"/>
      </w:pPr>
      <w:r>
        <w:rPr>
          <w:rFonts w:hint="eastAsia"/>
        </w:rPr>
        <w:t>表</w:t>
      </w:r>
      <w:r>
        <w:fldChar w:fldCharType="begin"/>
      </w:r>
      <w:r>
        <w:instrText xml:space="preserve"> STYLEREF 2 \s </w:instrText>
      </w:r>
      <w:r>
        <w:fldChar w:fldCharType="separate"/>
      </w:r>
      <w:r>
        <w:t>11.3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r>
        <w:rPr>
          <w:rFonts w:hint="eastAsia"/>
          <w:bCs/>
        </w:rPr>
        <w:t>公众调查统计结果表</w:t>
      </w:r>
    </w:p>
    <w:tbl>
      <w:tblPr>
        <w:tblStyle w:val="35"/>
        <w:tblW w:w="84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8"/>
        <w:gridCol w:w="2767"/>
        <w:gridCol w:w="1782"/>
        <w:gridCol w:w="1643"/>
        <w:gridCol w:w="1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rFonts w:hint="eastAsia"/>
                <w:kern w:val="0"/>
              </w:rPr>
              <w:t>序号</w:t>
            </w:r>
          </w:p>
        </w:tc>
        <w:tc>
          <w:tcPr>
            <w:tcW w:w="2767" w:type="dxa"/>
            <w:vMerge w:val="restart"/>
            <w:vAlign w:val="center"/>
          </w:tcPr>
          <w:p>
            <w:pPr>
              <w:pStyle w:val="37"/>
              <w:rPr>
                <w:kern w:val="0"/>
              </w:rPr>
            </w:pPr>
            <w:r>
              <w:rPr>
                <w:rFonts w:hint="eastAsia"/>
                <w:kern w:val="0"/>
              </w:rPr>
              <w:t>调查内容</w:t>
            </w:r>
          </w:p>
        </w:tc>
        <w:tc>
          <w:tcPr>
            <w:tcW w:w="1782" w:type="dxa"/>
            <w:vMerge w:val="restart"/>
            <w:vAlign w:val="center"/>
          </w:tcPr>
          <w:p>
            <w:pPr>
              <w:pStyle w:val="37"/>
              <w:rPr>
                <w:kern w:val="0"/>
              </w:rPr>
            </w:pPr>
            <w:r>
              <w:rPr>
                <w:rFonts w:hint="eastAsia"/>
                <w:kern w:val="0"/>
              </w:rPr>
              <w:t>选择内容</w:t>
            </w:r>
          </w:p>
        </w:tc>
        <w:tc>
          <w:tcPr>
            <w:tcW w:w="3034" w:type="dxa"/>
            <w:gridSpan w:val="2"/>
            <w:vAlign w:val="center"/>
          </w:tcPr>
          <w:p>
            <w:pPr>
              <w:pStyle w:val="37"/>
              <w:rPr>
                <w:kern w:val="0"/>
              </w:rPr>
            </w:pPr>
            <w:r>
              <w:rPr>
                <w:rFonts w:hint="eastAsia"/>
                <w:kern w:val="0"/>
              </w:rPr>
              <w:t>个人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Merge w:val="continue"/>
            <w:vAlign w:val="center"/>
          </w:tcPr>
          <w:p>
            <w:pPr>
              <w:pStyle w:val="37"/>
              <w:rPr>
                <w:kern w:val="0"/>
              </w:rPr>
            </w:pPr>
          </w:p>
        </w:tc>
        <w:tc>
          <w:tcPr>
            <w:tcW w:w="1643" w:type="dxa"/>
            <w:vAlign w:val="center"/>
          </w:tcPr>
          <w:p>
            <w:pPr>
              <w:pStyle w:val="37"/>
              <w:rPr>
                <w:kern w:val="0"/>
              </w:rPr>
            </w:pPr>
            <w:r>
              <w:rPr>
                <w:rFonts w:hint="eastAsia"/>
                <w:kern w:val="0"/>
              </w:rPr>
              <w:t>人数</w:t>
            </w:r>
          </w:p>
        </w:tc>
        <w:tc>
          <w:tcPr>
            <w:tcW w:w="1391" w:type="dxa"/>
            <w:vAlign w:val="center"/>
          </w:tcPr>
          <w:p>
            <w:pPr>
              <w:pStyle w:val="37"/>
              <w:rPr>
                <w:kern w:val="0"/>
              </w:rPr>
            </w:pPr>
            <w:r>
              <w:rPr>
                <w:rFonts w:hint="eastAsia"/>
                <w:kern w:val="0"/>
              </w:rPr>
              <w:t>比例</w:t>
            </w:r>
            <w:r>
              <w:rPr>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1</w:t>
            </w:r>
          </w:p>
        </w:tc>
        <w:tc>
          <w:tcPr>
            <w:tcW w:w="2767" w:type="dxa"/>
            <w:vMerge w:val="restart"/>
            <w:vAlign w:val="center"/>
          </w:tcPr>
          <w:p>
            <w:pPr>
              <w:pStyle w:val="37"/>
              <w:rPr>
                <w:kern w:val="0"/>
              </w:rPr>
            </w:pPr>
            <w:r>
              <w:rPr>
                <w:rFonts w:hint="eastAsia"/>
                <w:kern w:val="0"/>
              </w:rPr>
              <w:t>了解程度</w:t>
            </w:r>
          </w:p>
        </w:tc>
        <w:tc>
          <w:tcPr>
            <w:tcW w:w="1782" w:type="dxa"/>
            <w:vAlign w:val="center"/>
          </w:tcPr>
          <w:p>
            <w:pPr>
              <w:pStyle w:val="37"/>
              <w:rPr>
                <w:kern w:val="0"/>
              </w:rPr>
            </w:pPr>
            <w:r>
              <w:rPr>
                <w:rFonts w:hint="eastAsia"/>
                <w:kern w:val="0"/>
              </w:rPr>
              <w:t>了解</w:t>
            </w:r>
          </w:p>
        </w:tc>
        <w:tc>
          <w:tcPr>
            <w:tcW w:w="1643" w:type="dxa"/>
            <w:vAlign w:val="center"/>
          </w:tcPr>
          <w:p>
            <w:pPr>
              <w:pStyle w:val="37"/>
            </w:pPr>
            <w:r>
              <w:t>13</w:t>
            </w:r>
          </w:p>
        </w:tc>
        <w:tc>
          <w:tcPr>
            <w:tcW w:w="1391" w:type="dxa"/>
            <w:vAlign w:val="center"/>
          </w:tcPr>
          <w:p>
            <w:pPr>
              <w:pStyle w:val="37"/>
            </w:pPr>
            <w:r>
              <w:t>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听说过，但不了解</w:t>
            </w:r>
          </w:p>
        </w:tc>
        <w:tc>
          <w:tcPr>
            <w:tcW w:w="1643" w:type="dxa"/>
            <w:vAlign w:val="center"/>
          </w:tcPr>
          <w:p>
            <w:pPr>
              <w:pStyle w:val="37"/>
            </w:pPr>
            <w:r>
              <w:t>15</w:t>
            </w:r>
          </w:p>
        </w:tc>
        <w:tc>
          <w:tcPr>
            <w:tcW w:w="1391" w:type="dxa"/>
            <w:vAlign w:val="center"/>
          </w:tcPr>
          <w:p>
            <w:pPr>
              <w:pStyle w:val="37"/>
            </w:pPr>
            <w:r>
              <w:t>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不了解</w:t>
            </w:r>
          </w:p>
        </w:tc>
        <w:tc>
          <w:tcPr>
            <w:tcW w:w="1643" w:type="dxa"/>
            <w:vAlign w:val="center"/>
          </w:tcPr>
          <w:p>
            <w:pPr>
              <w:pStyle w:val="37"/>
            </w:pPr>
            <w:r>
              <w:t>1</w:t>
            </w:r>
          </w:p>
        </w:tc>
        <w:tc>
          <w:tcPr>
            <w:tcW w:w="1391" w:type="dxa"/>
            <w:vAlign w:val="center"/>
          </w:tcPr>
          <w:p>
            <w:pPr>
              <w:pStyle w:val="37"/>
            </w:pPr>
            <w: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2</w:t>
            </w:r>
          </w:p>
        </w:tc>
        <w:tc>
          <w:tcPr>
            <w:tcW w:w="2767" w:type="dxa"/>
            <w:vMerge w:val="restart"/>
            <w:vAlign w:val="center"/>
          </w:tcPr>
          <w:p>
            <w:pPr>
              <w:pStyle w:val="37"/>
              <w:rPr>
                <w:kern w:val="0"/>
              </w:rPr>
            </w:pPr>
            <w:r>
              <w:rPr>
                <w:rFonts w:hint="eastAsia"/>
                <w:kern w:val="0"/>
              </w:rPr>
              <w:t>对项目所持态度</w:t>
            </w:r>
          </w:p>
        </w:tc>
        <w:tc>
          <w:tcPr>
            <w:tcW w:w="1782" w:type="dxa"/>
            <w:vAlign w:val="center"/>
          </w:tcPr>
          <w:p>
            <w:pPr>
              <w:pStyle w:val="37"/>
              <w:rPr>
                <w:kern w:val="0"/>
              </w:rPr>
            </w:pPr>
            <w:r>
              <w:rPr>
                <w:rFonts w:hint="eastAsia"/>
                <w:kern w:val="0"/>
              </w:rPr>
              <w:t>赞成</w:t>
            </w:r>
          </w:p>
        </w:tc>
        <w:tc>
          <w:tcPr>
            <w:tcW w:w="1643" w:type="dxa"/>
            <w:vAlign w:val="center"/>
          </w:tcPr>
          <w:p>
            <w:pPr>
              <w:pStyle w:val="37"/>
            </w:pPr>
            <w:r>
              <w:t>28</w:t>
            </w:r>
          </w:p>
        </w:tc>
        <w:tc>
          <w:tcPr>
            <w:tcW w:w="1391" w:type="dxa"/>
            <w:vAlign w:val="center"/>
          </w:tcPr>
          <w:p>
            <w:pPr>
              <w:pStyle w:val="37"/>
            </w:pPr>
            <w:r>
              <w:t>96.6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不赞成</w:t>
            </w:r>
          </w:p>
        </w:tc>
        <w:tc>
          <w:tcPr>
            <w:tcW w:w="1643" w:type="dxa"/>
            <w:vAlign w:val="center"/>
          </w:tcPr>
          <w:p>
            <w:pPr>
              <w:pStyle w:val="37"/>
            </w:pPr>
            <w:r>
              <w:t>0</w:t>
            </w:r>
          </w:p>
        </w:tc>
        <w:tc>
          <w:tcPr>
            <w:tcW w:w="1391"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无所谓</w:t>
            </w:r>
          </w:p>
        </w:tc>
        <w:tc>
          <w:tcPr>
            <w:tcW w:w="1643" w:type="dxa"/>
            <w:vAlign w:val="center"/>
          </w:tcPr>
          <w:p>
            <w:pPr>
              <w:pStyle w:val="37"/>
            </w:pPr>
            <w:r>
              <w:t>1</w:t>
            </w:r>
          </w:p>
        </w:tc>
        <w:tc>
          <w:tcPr>
            <w:tcW w:w="1391" w:type="dxa"/>
            <w:vAlign w:val="center"/>
          </w:tcPr>
          <w:p>
            <w:pPr>
              <w:pStyle w:val="37"/>
            </w:pPr>
            <w: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3</w:t>
            </w:r>
          </w:p>
        </w:tc>
        <w:tc>
          <w:tcPr>
            <w:tcW w:w="2767" w:type="dxa"/>
            <w:vMerge w:val="restart"/>
            <w:vAlign w:val="center"/>
          </w:tcPr>
          <w:p>
            <w:pPr>
              <w:pStyle w:val="37"/>
              <w:rPr>
                <w:kern w:val="0"/>
              </w:rPr>
            </w:pPr>
            <w:r>
              <w:rPr>
                <w:rFonts w:hint="eastAsia"/>
                <w:kern w:val="0"/>
              </w:rPr>
              <w:t>项目建成后对居住、生活交通影响如何</w:t>
            </w:r>
          </w:p>
        </w:tc>
        <w:tc>
          <w:tcPr>
            <w:tcW w:w="1782" w:type="dxa"/>
            <w:vAlign w:val="center"/>
          </w:tcPr>
          <w:p>
            <w:pPr>
              <w:pStyle w:val="37"/>
              <w:rPr>
                <w:kern w:val="0"/>
              </w:rPr>
            </w:pPr>
            <w:r>
              <w:rPr>
                <w:rFonts w:hint="eastAsia"/>
                <w:kern w:val="0"/>
              </w:rPr>
              <w:t>有利影响</w:t>
            </w:r>
          </w:p>
        </w:tc>
        <w:tc>
          <w:tcPr>
            <w:tcW w:w="1643" w:type="dxa"/>
            <w:vAlign w:val="center"/>
          </w:tcPr>
          <w:p>
            <w:pPr>
              <w:pStyle w:val="37"/>
            </w:pPr>
            <w:r>
              <w:t>7</w:t>
            </w:r>
          </w:p>
        </w:tc>
        <w:tc>
          <w:tcPr>
            <w:tcW w:w="1391" w:type="dxa"/>
            <w:vAlign w:val="center"/>
          </w:tcPr>
          <w:p>
            <w:pPr>
              <w:pStyle w:val="37"/>
            </w:pPr>
            <w:r>
              <w:t>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无明显影响</w:t>
            </w:r>
          </w:p>
        </w:tc>
        <w:tc>
          <w:tcPr>
            <w:tcW w:w="1643" w:type="dxa"/>
            <w:vAlign w:val="center"/>
          </w:tcPr>
          <w:p>
            <w:pPr>
              <w:pStyle w:val="37"/>
            </w:pPr>
            <w:r>
              <w:t>22</w:t>
            </w:r>
          </w:p>
        </w:tc>
        <w:tc>
          <w:tcPr>
            <w:tcW w:w="1391" w:type="dxa"/>
            <w:vAlign w:val="center"/>
          </w:tcPr>
          <w:p>
            <w:pPr>
              <w:pStyle w:val="37"/>
            </w:pPr>
            <w:r>
              <w:t>75.9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不利影响</w:t>
            </w:r>
          </w:p>
        </w:tc>
        <w:tc>
          <w:tcPr>
            <w:tcW w:w="1643" w:type="dxa"/>
            <w:vAlign w:val="center"/>
          </w:tcPr>
          <w:p>
            <w:pPr>
              <w:pStyle w:val="37"/>
            </w:pPr>
            <w:r>
              <w:t>0</w:t>
            </w:r>
          </w:p>
        </w:tc>
        <w:tc>
          <w:tcPr>
            <w:tcW w:w="1391"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4</w:t>
            </w:r>
          </w:p>
        </w:tc>
        <w:tc>
          <w:tcPr>
            <w:tcW w:w="2767" w:type="dxa"/>
            <w:vMerge w:val="restart"/>
            <w:vAlign w:val="center"/>
          </w:tcPr>
          <w:p>
            <w:pPr>
              <w:pStyle w:val="37"/>
              <w:rPr>
                <w:kern w:val="0"/>
              </w:rPr>
            </w:pPr>
            <w:r>
              <w:rPr>
                <w:rFonts w:hint="eastAsia"/>
                <w:kern w:val="0"/>
              </w:rPr>
              <w:t>是否能接受项目施工期的环境影响</w:t>
            </w:r>
          </w:p>
        </w:tc>
        <w:tc>
          <w:tcPr>
            <w:tcW w:w="1782" w:type="dxa"/>
            <w:vAlign w:val="center"/>
          </w:tcPr>
          <w:p>
            <w:pPr>
              <w:pStyle w:val="37"/>
              <w:rPr>
                <w:kern w:val="0"/>
              </w:rPr>
            </w:pPr>
            <w:r>
              <w:rPr>
                <w:rFonts w:hint="eastAsia"/>
                <w:kern w:val="0"/>
              </w:rPr>
              <w:t>能</w:t>
            </w:r>
          </w:p>
        </w:tc>
        <w:tc>
          <w:tcPr>
            <w:tcW w:w="1643" w:type="dxa"/>
            <w:vAlign w:val="center"/>
          </w:tcPr>
          <w:p>
            <w:pPr>
              <w:pStyle w:val="37"/>
            </w:pPr>
            <w:r>
              <w:t>14</w:t>
            </w:r>
          </w:p>
        </w:tc>
        <w:tc>
          <w:tcPr>
            <w:tcW w:w="1391" w:type="dxa"/>
            <w:vAlign w:val="center"/>
          </w:tcPr>
          <w:p>
            <w:pPr>
              <w:pStyle w:val="37"/>
            </w:pPr>
            <w:r>
              <w:t>48.3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基本能</w:t>
            </w:r>
          </w:p>
        </w:tc>
        <w:tc>
          <w:tcPr>
            <w:tcW w:w="1643" w:type="dxa"/>
            <w:vAlign w:val="center"/>
          </w:tcPr>
          <w:p>
            <w:pPr>
              <w:pStyle w:val="37"/>
            </w:pPr>
            <w:r>
              <w:t>15</w:t>
            </w:r>
          </w:p>
        </w:tc>
        <w:tc>
          <w:tcPr>
            <w:tcW w:w="1391" w:type="dxa"/>
            <w:vAlign w:val="center"/>
          </w:tcPr>
          <w:p>
            <w:pPr>
              <w:pStyle w:val="37"/>
            </w:pPr>
            <w:r>
              <w:t>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不能</w:t>
            </w:r>
          </w:p>
        </w:tc>
        <w:tc>
          <w:tcPr>
            <w:tcW w:w="1643" w:type="dxa"/>
            <w:vAlign w:val="center"/>
          </w:tcPr>
          <w:p>
            <w:pPr>
              <w:pStyle w:val="37"/>
            </w:pPr>
            <w:r>
              <w:t>0</w:t>
            </w:r>
          </w:p>
        </w:tc>
        <w:tc>
          <w:tcPr>
            <w:tcW w:w="1391"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5</w:t>
            </w:r>
          </w:p>
        </w:tc>
        <w:tc>
          <w:tcPr>
            <w:tcW w:w="2767" w:type="dxa"/>
            <w:vMerge w:val="restart"/>
            <w:vAlign w:val="center"/>
          </w:tcPr>
          <w:p>
            <w:pPr>
              <w:pStyle w:val="37"/>
              <w:rPr>
                <w:kern w:val="0"/>
              </w:rPr>
            </w:pPr>
            <w:r>
              <w:rPr>
                <w:rFonts w:hint="eastAsia"/>
                <w:kern w:val="0"/>
              </w:rPr>
              <w:t>项目建成后主要环境污染在哪方面？（多选）</w:t>
            </w:r>
          </w:p>
        </w:tc>
        <w:tc>
          <w:tcPr>
            <w:tcW w:w="1782" w:type="dxa"/>
            <w:vAlign w:val="center"/>
          </w:tcPr>
          <w:p>
            <w:pPr>
              <w:pStyle w:val="37"/>
              <w:rPr>
                <w:kern w:val="0"/>
              </w:rPr>
            </w:pPr>
            <w:r>
              <w:rPr>
                <w:rFonts w:hint="eastAsia"/>
                <w:kern w:val="0"/>
              </w:rPr>
              <w:t>水污染</w:t>
            </w:r>
          </w:p>
        </w:tc>
        <w:tc>
          <w:tcPr>
            <w:tcW w:w="1643" w:type="dxa"/>
            <w:vAlign w:val="center"/>
          </w:tcPr>
          <w:p>
            <w:pPr>
              <w:pStyle w:val="37"/>
            </w:pPr>
            <w:r>
              <w:t>24</w:t>
            </w:r>
          </w:p>
        </w:tc>
        <w:tc>
          <w:tcPr>
            <w:tcW w:w="1391" w:type="dxa"/>
            <w:vAlign w:val="center"/>
          </w:tcPr>
          <w:p>
            <w:pPr>
              <w:pStyle w:val="37"/>
            </w:pPr>
            <w:r>
              <w:t>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废气污染</w:t>
            </w:r>
          </w:p>
        </w:tc>
        <w:tc>
          <w:tcPr>
            <w:tcW w:w="1643" w:type="dxa"/>
            <w:vAlign w:val="center"/>
          </w:tcPr>
          <w:p>
            <w:pPr>
              <w:pStyle w:val="37"/>
            </w:pPr>
            <w:r>
              <w:t>0</w:t>
            </w:r>
          </w:p>
        </w:tc>
        <w:tc>
          <w:tcPr>
            <w:tcW w:w="1391" w:type="dxa"/>
            <w:vAlign w:val="center"/>
          </w:tcPr>
          <w:p>
            <w:pPr>
              <w:pStyle w:val="37"/>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噪声污染</w:t>
            </w:r>
          </w:p>
        </w:tc>
        <w:tc>
          <w:tcPr>
            <w:tcW w:w="1643" w:type="dxa"/>
            <w:vAlign w:val="center"/>
          </w:tcPr>
          <w:p>
            <w:pPr>
              <w:pStyle w:val="37"/>
            </w:pPr>
            <w:r>
              <w:t>1</w:t>
            </w:r>
          </w:p>
        </w:tc>
        <w:tc>
          <w:tcPr>
            <w:tcW w:w="1391" w:type="dxa"/>
            <w:vAlign w:val="center"/>
          </w:tcPr>
          <w:p>
            <w:pPr>
              <w:pStyle w:val="37"/>
            </w:pPr>
            <w:r>
              <w:t>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垃圾问题</w:t>
            </w:r>
          </w:p>
        </w:tc>
        <w:tc>
          <w:tcPr>
            <w:tcW w:w="1643" w:type="dxa"/>
            <w:vAlign w:val="center"/>
          </w:tcPr>
          <w:p>
            <w:pPr>
              <w:pStyle w:val="37"/>
            </w:pPr>
            <w:r>
              <w:t>5</w:t>
            </w:r>
          </w:p>
        </w:tc>
        <w:tc>
          <w:tcPr>
            <w:tcW w:w="1391" w:type="dxa"/>
            <w:vAlign w:val="center"/>
          </w:tcPr>
          <w:p>
            <w:pPr>
              <w:pStyle w:val="37"/>
            </w:pPr>
            <w: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restart"/>
            <w:vAlign w:val="center"/>
          </w:tcPr>
          <w:p>
            <w:pPr>
              <w:pStyle w:val="37"/>
              <w:rPr>
                <w:kern w:val="0"/>
              </w:rPr>
            </w:pPr>
            <w:r>
              <w:rPr>
                <w:kern w:val="0"/>
              </w:rPr>
              <w:t>6</w:t>
            </w:r>
          </w:p>
        </w:tc>
        <w:tc>
          <w:tcPr>
            <w:tcW w:w="2767" w:type="dxa"/>
            <w:vMerge w:val="restart"/>
            <w:vAlign w:val="center"/>
          </w:tcPr>
          <w:p>
            <w:pPr>
              <w:pStyle w:val="37"/>
              <w:rPr>
                <w:kern w:val="0"/>
              </w:rPr>
            </w:pPr>
            <w:r>
              <w:rPr>
                <w:rFonts w:hint="eastAsia"/>
                <w:kern w:val="0"/>
              </w:rPr>
              <w:t>对项目造成生态环境影响有什么意见？</w:t>
            </w:r>
          </w:p>
        </w:tc>
        <w:tc>
          <w:tcPr>
            <w:tcW w:w="1782" w:type="dxa"/>
            <w:vAlign w:val="center"/>
          </w:tcPr>
          <w:p>
            <w:pPr>
              <w:pStyle w:val="37"/>
              <w:rPr>
                <w:kern w:val="0"/>
              </w:rPr>
            </w:pPr>
            <w:r>
              <w:rPr>
                <w:rFonts w:hint="eastAsia"/>
                <w:kern w:val="0"/>
              </w:rPr>
              <w:t>无意见</w:t>
            </w:r>
          </w:p>
        </w:tc>
        <w:tc>
          <w:tcPr>
            <w:tcW w:w="1643" w:type="dxa"/>
            <w:vAlign w:val="center"/>
          </w:tcPr>
          <w:p>
            <w:pPr>
              <w:pStyle w:val="37"/>
            </w:pPr>
            <w:r>
              <w:t>29</w:t>
            </w:r>
          </w:p>
        </w:tc>
        <w:tc>
          <w:tcPr>
            <w:tcW w:w="1391" w:type="dxa"/>
            <w:vAlign w:val="center"/>
          </w:tcPr>
          <w:p>
            <w:pPr>
              <w:pStyle w:val="37"/>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888" w:type="dxa"/>
            <w:vMerge w:val="continue"/>
            <w:vAlign w:val="center"/>
          </w:tcPr>
          <w:p>
            <w:pPr>
              <w:pStyle w:val="37"/>
              <w:rPr>
                <w:kern w:val="0"/>
              </w:rPr>
            </w:pPr>
          </w:p>
        </w:tc>
        <w:tc>
          <w:tcPr>
            <w:tcW w:w="2767" w:type="dxa"/>
            <w:vMerge w:val="continue"/>
            <w:vAlign w:val="center"/>
          </w:tcPr>
          <w:p>
            <w:pPr>
              <w:pStyle w:val="37"/>
              <w:rPr>
                <w:kern w:val="0"/>
              </w:rPr>
            </w:pPr>
          </w:p>
        </w:tc>
        <w:tc>
          <w:tcPr>
            <w:tcW w:w="1782" w:type="dxa"/>
            <w:vAlign w:val="center"/>
          </w:tcPr>
          <w:p>
            <w:pPr>
              <w:pStyle w:val="37"/>
              <w:rPr>
                <w:kern w:val="0"/>
              </w:rPr>
            </w:pPr>
            <w:r>
              <w:rPr>
                <w:rFonts w:hint="eastAsia"/>
                <w:kern w:val="0"/>
              </w:rPr>
              <w:t>有意见</w:t>
            </w:r>
          </w:p>
        </w:tc>
        <w:tc>
          <w:tcPr>
            <w:tcW w:w="3034" w:type="dxa"/>
            <w:gridSpan w:val="2"/>
            <w:vAlign w:val="center"/>
          </w:tcPr>
          <w:p>
            <w:pPr>
              <w:pStyle w:val="37"/>
            </w:pPr>
            <w:r>
              <w:rPr>
                <w:rFonts w:hint="eastAsia"/>
              </w:rPr>
              <w:t>农民耕地减少，减少农民收入</w:t>
            </w:r>
          </w:p>
        </w:tc>
      </w:tr>
    </w:tbl>
    <w:p>
      <w:pPr>
        <w:pStyle w:val="4"/>
      </w:pPr>
      <w:r>
        <w:rPr>
          <w:rFonts w:hint="eastAsia"/>
        </w:rPr>
        <w:t>调查结果分析</w:t>
      </w:r>
    </w:p>
    <w:p>
      <w:pPr>
        <w:ind w:firstLine="480"/>
      </w:pPr>
      <w:r>
        <w:rPr>
          <w:rFonts w:hint="eastAsia"/>
        </w:rPr>
        <w:t>由表</w:t>
      </w:r>
      <w:r>
        <w:t>12.3-5</w:t>
      </w:r>
      <w:r>
        <w:rPr>
          <w:rFonts w:hint="eastAsia"/>
        </w:rPr>
        <w:t>可知：</w:t>
      </w:r>
    </w:p>
    <w:p>
      <w:pPr>
        <w:ind w:firstLine="480"/>
      </w:pPr>
      <w:r>
        <w:rPr>
          <w:rFonts w:hint="eastAsia"/>
        </w:rPr>
        <w:t>①公众调查结果表明</w:t>
      </w:r>
      <w:r>
        <w:t>44.8%</w:t>
      </w:r>
      <w:r>
        <w:rPr>
          <w:rFonts w:hint="eastAsia"/>
        </w:rPr>
        <w:t>的居民对该项目工程建设信息了解，</w:t>
      </w:r>
      <w:r>
        <w:t>51.7%</w:t>
      </w:r>
      <w:r>
        <w:rPr>
          <w:rFonts w:hint="eastAsia"/>
        </w:rPr>
        <w:t>听说但不了解以及</w:t>
      </w:r>
      <w:r>
        <w:t>3.4%</w:t>
      </w:r>
      <w:r>
        <w:rPr>
          <w:rFonts w:hint="eastAsia"/>
        </w:rPr>
        <w:t>的公众不了解该项目。</w:t>
      </w:r>
    </w:p>
    <w:p>
      <w:pPr>
        <w:ind w:firstLine="480"/>
      </w:pPr>
      <w:r>
        <w:rPr>
          <w:rFonts w:hint="eastAsia"/>
        </w:rPr>
        <w:t>②</w:t>
      </w:r>
      <w:r>
        <w:t>96.6%</w:t>
      </w:r>
      <w:r>
        <w:rPr>
          <w:rFonts w:hint="eastAsia"/>
        </w:rPr>
        <w:t>公众赞成本项目的建设，少部分人无所谓。</w:t>
      </w:r>
    </w:p>
    <w:p>
      <w:pPr>
        <w:ind w:firstLine="480"/>
      </w:pPr>
      <w:r>
        <w:rPr>
          <w:rFonts w:hint="eastAsia"/>
        </w:rPr>
        <w:t>③公众普遍认为项目建设期的环境问题主要为水污染问题，其次为垃圾、噪声问题。</w:t>
      </w:r>
    </w:p>
    <w:p>
      <w:pPr>
        <w:ind w:firstLine="480"/>
      </w:pPr>
      <w:r>
        <w:rPr>
          <w:rFonts w:hint="eastAsia"/>
        </w:rPr>
        <w:t>④大部分公众认为项目的建设对其生活质量没有变化，部分认为有利，没有公众认为不利。</w:t>
      </w:r>
    </w:p>
    <w:p>
      <w:pPr>
        <w:ind w:firstLine="480"/>
      </w:pPr>
      <w:r>
        <w:rPr>
          <w:rFonts w:hint="eastAsia"/>
        </w:rPr>
        <w:t>⑤</w:t>
      </w:r>
      <w:r>
        <w:t>100%</w:t>
      </w:r>
      <w:r>
        <w:rPr>
          <w:rFonts w:hint="eastAsia"/>
        </w:rPr>
        <w:t>的公众对项目造成的生态环境影响无意见。</w:t>
      </w:r>
    </w:p>
    <w:p>
      <w:pPr>
        <w:ind w:firstLine="480"/>
      </w:pPr>
      <w:r>
        <w:rPr>
          <w:rFonts w:hint="eastAsia"/>
        </w:rPr>
        <w:t>⑥</w:t>
      </w:r>
      <w:r>
        <w:t>100%</w:t>
      </w:r>
      <w:r>
        <w:rPr>
          <w:rFonts w:hint="eastAsia"/>
        </w:rPr>
        <w:t>的公众对项目施工期的影响表示能或者基本能接受。</w:t>
      </w:r>
    </w:p>
    <w:p>
      <w:pPr>
        <w:ind w:firstLine="480"/>
      </w:pPr>
      <w:r>
        <w:rPr>
          <w:rFonts w:hint="eastAsia"/>
        </w:rPr>
        <w:t>建设单位对本工程公众调查的结果很重视，表示在填埋场施工建设过程中，会进一步针对公参反映的群众关注问题，采取相应措施予以避免或降低影响，力争工程在社会效益、经济效益、环境效益方面实现协调统一。</w:t>
      </w:r>
    </w:p>
    <w:p>
      <w:pPr>
        <w:pStyle w:val="3"/>
      </w:pPr>
      <w:bookmarkStart w:id="319" w:name="_Toc22217"/>
      <w:bookmarkStart w:id="320" w:name="_Toc15623"/>
      <w:bookmarkStart w:id="321" w:name="_Toc20703"/>
      <w:bookmarkStart w:id="322" w:name="_Toc462818464"/>
      <w:r>
        <w:rPr>
          <w:rFonts w:hint="eastAsia"/>
        </w:rPr>
        <w:t>公众参与代表性、合法性、真实性及有效性分析</w:t>
      </w:r>
      <w:bookmarkEnd w:id="319"/>
      <w:bookmarkEnd w:id="320"/>
      <w:bookmarkEnd w:id="321"/>
      <w:bookmarkEnd w:id="322"/>
    </w:p>
    <w:p>
      <w:pPr>
        <w:ind w:firstLine="480"/>
      </w:pPr>
      <w:r>
        <w:rPr>
          <w:rFonts w:hint="eastAsia"/>
        </w:rPr>
        <w:t>（</w:t>
      </w:r>
      <w:r>
        <w:t>1</w:t>
      </w:r>
      <w:r>
        <w:rPr>
          <w:rFonts w:hint="eastAsia"/>
        </w:rPr>
        <w:t>）合法性</w:t>
      </w:r>
    </w:p>
    <w:p>
      <w:pPr>
        <w:ind w:firstLine="480"/>
      </w:pPr>
      <w:r>
        <w:rPr>
          <w:rFonts w:hint="eastAsia"/>
        </w:rPr>
        <w:t>在编制环境影响报告的过程中，建设单位严格按照《中华人民共和国环境影响评价法》、《建设项目环境保护管理条例》（国务院第</w:t>
      </w:r>
      <w:r>
        <w:t>253</w:t>
      </w:r>
      <w:r>
        <w:rPr>
          <w:rFonts w:hint="eastAsia"/>
        </w:rPr>
        <w:t>号令）、《环境影响评价公众参与暂行办法》（环发</w:t>
      </w:r>
      <w:r>
        <w:t>2006[28]</w:t>
      </w:r>
      <w:r>
        <w:rPr>
          <w:rFonts w:hint="eastAsia"/>
        </w:rPr>
        <w:t>号）、《建设项目环境影响报告书简本编制要求》（环保部</w:t>
      </w:r>
      <w:r>
        <w:t>2012</w:t>
      </w:r>
      <w:r>
        <w:rPr>
          <w:rFonts w:hint="eastAsia"/>
        </w:rPr>
        <w:t>年第</w:t>
      </w:r>
      <w:r>
        <w:t>51</w:t>
      </w:r>
      <w:r>
        <w:rPr>
          <w:rFonts w:hint="eastAsia"/>
        </w:rPr>
        <w:t>号公告）、《关于进一步加强环境影响评价管理防范环境风险的通知》（环发</w:t>
      </w:r>
      <w:r>
        <w:t>[2012]77</w:t>
      </w:r>
      <w:r>
        <w:rPr>
          <w:rFonts w:hint="eastAsia"/>
        </w:rPr>
        <w:t>号）以及《关于切实加强风险防范严格环境影响评价管理的通知》（环发</w:t>
      </w:r>
      <w:r>
        <w:t>[2012]98</w:t>
      </w:r>
      <w:r>
        <w:rPr>
          <w:rFonts w:hint="eastAsia"/>
        </w:rPr>
        <w:t>号）的相关规定，进行了张贴公示等方式向沿线公众和单位公告项目的基本情况、环境影响信息，并组织发放了问卷调查表，征询公众意见。公众参与工作程序合法。</w:t>
      </w:r>
    </w:p>
    <w:p>
      <w:pPr>
        <w:ind w:firstLine="480"/>
      </w:pPr>
      <w:r>
        <w:rPr>
          <w:rFonts w:hint="eastAsia"/>
        </w:rPr>
        <w:t>（</w:t>
      </w:r>
      <w:r>
        <w:t>2</w:t>
      </w:r>
      <w:r>
        <w:rPr>
          <w:rFonts w:hint="eastAsia"/>
        </w:rPr>
        <w:t>）有效性</w:t>
      </w:r>
    </w:p>
    <w:p>
      <w:pPr>
        <w:ind w:firstLine="480"/>
      </w:pPr>
      <w:r>
        <w:rPr>
          <w:rFonts w:hint="eastAsia"/>
        </w:rPr>
        <w:t>调查时间为项目环评文件编制阶段进行，能准确反映周边单位和群众对项目的态度，调查工作严格按照相关要求进行、公示内容真实、调查范围具有一定的代表性，调查结果合理有效。</w:t>
      </w:r>
    </w:p>
    <w:p>
      <w:pPr>
        <w:ind w:firstLine="480"/>
      </w:pPr>
      <w:r>
        <w:rPr>
          <w:rFonts w:hint="eastAsia"/>
        </w:rPr>
        <w:t>（</w:t>
      </w:r>
      <w:r>
        <w:t>3</w:t>
      </w:r>
      <w:r>
        <w:rPr>
          <w:rFonts w:hint="eastAsia"/>
        </w:rPr>
        <w:t>）代表性</w:t>
      </w:r>
    </w:p>
    <w:p>
      <w:pPr>
        <w:ind w:firstLine="480"/>
      </w:pPr>
      <w:r>
        <w:rPr>
          <w:rFonts w:hint="eastAsia"/>
        </w:rPr>
        <w:t>本次公众参与被调查人员均为项目沿线生活工作的人群，具有一定的代表性。</w:t>
      </w:r>
    </w:p>
    <w:p>
      <w:pPr>
        <w:ind w:firstLine="480"/>
      </w:pPr>
      <w:r>
        <w:rPr>
          <w:rFonts w:hint="eastAsia"/>
        </w:rPr>
        <w:t>（</w:t>
      </w:r>
      <w:r>
        <w:t>4</w:t>
      </w:r>
      <w:r>
        <w:rPr>
          <w:rFonts w:hint="eastAsia"/>
        </w:rPr>
        <w:t>）真实性</w:t>
      </w:r>
    </w:p>
    <w:p>
      <w:pPr>
        <w:ind w:firstLine="480"/>
      </w:pPr>
      <w:r>
        <w:rPr>
          <w:rFonts w:hint="eastAsia"/>
        </w:rPr>
        <w:t>公众意见公示、调查表的发放均严格按照相关要求执行，公示内容准确反映建设项目相关信息，工作过程透明有效、调查结果真实可靠。</w:t>
      </w:r>
    </w:p>
    <w:p>
      <w:pPr>
        <w:pStyle w:val="3"/>
      </w:pPr>
      <w:bookmarkStart w:id="323" w:name="_Toc22813"/>
      <w:bookmarkStart w:id="324" w:name="_Toc17248"/>
      <w:bookmarkStart w:id="325" w:name="_Toc6353"/>
      <w:bookmarkStart w:id="326" w:name="_Toc462818465"/>
      <w:r>
        <w:rPr>
          <w:rFonts w:hint="eastAsia"/>
        </w:rPr>
        <w:t>公众参与结论</w:t>
      </w:r>
      <w:bookmarkEnd w:id="323"/>
      <w:bookmarkEnd w:id="324"/>
      <w:bookmarkEnd w:id="325"/>
      <w:bookmarkEnd w:id="326"/>
    </w:p>
    <w:p>
      <w:pPr>
        <w:ind w:firstLine="480"/>
      </w:pPr>
      <w:r>
        <w:rPr>
          <w:rFonts w:hint="eastAsia"/>
        </w:rPr>
        <w:t>公众参与调查表明：项目建设较了解，大部分公众认为本项目建设有利于居民的居住</w:t>
      </w:r>
      <w:r>
        <w:rPr>
          <w:rFonts w:hint="eastAsia"/>
          <w:kern w:val="0"/>
        </w:rPr>
        <w:t>生活</w:t>
      </w:r>
      <w:r>
        <w:rPr>
          <w:rFonts w:hint="eastAsia"/>
        </w:rPr>
        <w:t>，多数公众对项目的建设持支持。</w:t>
      </w:r>
    </w:p>
    <w:p>
      <w:pPr>
        <w:ind w:firstLine="480"/>
      </w:pPr>
      <w:r>
        <w:rPr>
          <w:rFonts w:hint="eastAsia"/>
        </w:rPr>
        <w:t>公众参与的显著是参与过程就是协调解决项目建设和社会环境影响的过程，希望建设单位认真听取公众意见与建议，接受公众舆论的监督。</w:t>
      </w:r>
    </w:p>
    <w:p>
      <w:pPr>
        <w:pStyle w:val="2"/>
        <w:sectPr>
          <w:headerReference r:id="rId14" w:type="first"/>
          <w:footerReference r:id="rId17" w:type="first"/>
          <w:headerReference r:id="rId12" w:type="default"/>
          <w:footerReference r:id="rId15" w:type="default"/>
          <w:headerReference r:id="rId13" w:type="even"/>
          <w:footerReference r:id="rId16" w:type="even"/>
          <w:pgSz w:w="11906" w:h="16838"/>
          <w:pgMar w:top="1440" w:right="1800" w:bottom="1440" w:left="1800" w:header="851" w:footer="992" w:gutter="0"/>
          <w:cols w:space="720" w:num="1"/>
          <w:docGrid w:type="lines" w:linePitch="312" w:charSpace="0"/>
        </w:sectPr>
      </w:pPr>
      <w:bookmarkStart w:id="327" w:name="_Toc397322871"/>
    </w:p>
    <w:p>
      <w:pPr>
        <w:pStyle w:val="2"/>
      </w:pPr>
      <w:bookmarkStart w:id="328" w:name="_Toc462818466"/>
      <w:r>
        <w:rPr>
          <w:rFonts w:hint="eastAsia"/>
        </w:rPr>
        <w:t>环境管理与监测计划</w:t>
      </w:r>
      <w:bookmarkEnd w:id="327"/>
      <w:bookmarkEnd w:id="328"/>
    </w:p>
    <w:p>
      <w:pPr>
        <w:pStyle w:val="3"/>
      </w:pPr>
      <w:bookmarkStart w:id="329" w:name="_Toc195500059"/>
      <w:bookmarkStart w:id="330" w:name="_Toc346092700"/>
      <w:bookmarkStart w:id="331" w:name="_Toc397322872"/>
      <w:bookmarkStart w:id="332" w:name="_Toc200437615"/>
      <w:bookmarkStart w:id="333" w:name="_Toc344647825"/>
      <w:bookmarkStart w:id="334" w:name="_Toc277522155"/>
      <w:bookmarkStart w:id="335" w:name="_Toc110740047"/>
      <w:bookmarkStart w:id="336" w:name="_Toc209442639"/>
      <w:bookmarkStart w:id="337" w:name="_Toc110740230"/>
      <w:bookmarkStart w:id="338" w:name="_Toc100549923"/>
      <w:bookmarkStart w:id="339" w:name="_Toc110759929"/>
      <w:bookmarkStart w:id="340" w:name="_Toc391370286"/>
      <w:bookmarkStart w:id="341" w:name="_Toc462818467"/>
      <w:r>
        <w:rPr>
          <w:rFonts w:hint="eastAsia"/>
        </w:rPr>
        <w:t>环境管理</w:t>
      </w:r>
      <w:bookmarkEnd w:id="329"/>
      <w:bookmarkEnd w:id="330"/>
      <w:bookmarkEnd w:id="331"/>
      <w:bookmarkEnd w:id="332"/>
      <w:bookmarkEnd w:id="333"/>
      <w:bookmarkEnd w:id="334"/>
      <w:bookmarkEnd w:id="335"/>
      <w:bookmarkEnd w:id="336"/>
      <w:bookmarkEnd w:id="337"/>
      <w:bookmarkEnd w:id="338"/>
      <w:bookmarkEnd w:id="339"/>
      <w:bookmarkEnd w:id="340"/>
      <w:bookmarkEnd w:id="341"/>
    </w:p>
    <w:p>
      <w:pPr>
        <w:pStyle w:val="4"/>
        <w:rPr>
          <w:kern w:val="24"/>
        </w:rPr>
      </w:pPr>
      <w:bookmarkStart w:id="342" w:name="_Toc391370287"/>
      <w:bookmarkStart w:id="343" w:name="_Toc344647826"/>
      <w:bookmarkStart w:id="344" w:name="_Toc346092701"/>
      <w:r>
        <w:rPr>
          <w:rFonts w:hint="eastAsia"/>
          <w:kern w:val="24"/>
        </w:rPr>
        <w:t>环境管理计划</w:t>
      </w:r>
      <w:bookmarkEnd w:id="342"/>
      <w:bookmarkEnd w:id="343"/>
      <w:bookmarkEnd w:id="344"/>
    </w:p>
    <w:p>
      <w:pPr>
        <w:ind w:firstLine="480"/>
      </w:pPr>
      <w:r>
        <w:rPr>
          <w:rFonts w:hint="eastAsia"/>
        </w:rPr>
        <w:t>本项目工程量较大，建设时间较长，为了减轻施工过程对环境的影响，更好的发挥好工程建设的环境保护作用，建议设立专门的环境管理监督机构</w:t>
      </w:r>
      <w:r>
        <w:t>---</w:t>
      </w:r>
      <w:r>
        <w:rPr>
          <w:rFonts w:hint="eastAsia"/>
        </w:rPr>
        <w:t>环境卫生科，负责整个施工期和填埋期工程的环境管理工作，制定详细的环境管理计划，加强工程的环境管理。</w:t>
      </w:r>
    </w:p>
    <w:p>
      <w:pPr>
        <w:ind w:firstLine="480"/>
      </w:pPr>
      <w:r>
        <w:rPr>
          <w:rFonts w:hint="eastAsia"/>
        </w:rPr>
        <w:t>本工程本身就是一项环境保护项目，必须加强对全厂员工的环境保护和卫生防护知识、技能和认识的培训，把环境、卫生意识贯彻到处理工程各个处理系统的生产车间及固体废物处置场等一系列工作中，尤其是产生废水、废气等的生产工序环节更要重视，使每个职工都为改善环境作出贡献，确保固体废物得到妥善处理。</w:t>
      </w:r>
    </w:p>
    <w:p>
      <w:pPr>
        <w:ind w:firstLine="480"/>
      </w:pPr>
      <w:r>
        <w:rPr>
          <w:rFonts w:hint="eastAsia"/>
        </w:rPr>
        <w:t>本工程建成运行后，环境管理第一负责人由厂长承担，分别将与生产直接相关的环境卫生保护目标下放到各生产车间，由各车间负责人负责对目标的实现和上传。环保科负责全厂的环境信息汇总、统计和反馈工作，负责贯彻执行各项环保政策、法规及标准；逐步健全企业环境管理制度，并实施检查和监督；制定并组织企业环境卫生保护规划和计划，协助企业领导实现环境综合整治定量考核目标、指标；检查环保设施的落实和运行情况；领导并组织环境监测工作，建立监控档案；组织开展环保研究和学术交流会，推广应用先进的环保技术。</w:t>
      </w:r>
    </w:p>
    <w:p>
      <w:pPr>
        <w:pStyle w:val="4"/>
        <w:rPr>
          <w:kern w:val="24"/>
        </w:rPr>
      </w:pPr>
      <w:bookmarkStart w:id="345" w:name="_Toc344647827"/>
      <w:bookmarkStart w:id="346" w:name="_Toc346092702"/>
      <w:bookmarkStart w:id="347" w:name="_Toc391370288"/>
      <w:r>
        <w:rPr>
          <w:rFonts w:hint="eastAsia"/>
          <w:kern w:val="24"/>
        </w:rPr>
        <w:t>施工期环境管理</w:t>
      </w:r>
      <w:bookmarkEnd w:id="345"/>
      <w:bookmarkEnd w:id="346"/>
      <w:bookmarkEnd w:id="347"/>
    </w:p>
    <w:p>
      <w:pPr>
        <w:ind w:firstLine="480"/>
      </w:pPr>
      <w:r>
        <w:rPr>
          <w:rFonts w:hint="eastAsia"/>
        </w:rPr>
        <w:t>本工程施工期的环境影响主要是施工扬尘和施工噪声以及厂区、道路建设对生态环境的不利影响，针对这些影响，建设单位和施工单位应签订施工期环境保护的有关协议，将施工对环境的影响降低到最低限度。</w:t>
      </w:r>
    </w:p>
    <w:p>
      <w:pPr>
        <w:ind w:firstLine="480"/>
      </w:pPr>
      <w:r>
        <w:rPr>
          <w:rFonts w:hint="eastAsia"/>
        </w:rPr>
        <w:t>为了保证固体废物处置场防渗工程施工达到要求，必须由专业的防渗施工单位进行施工，施工完成后，建设单位、环保部门和监理单位必须进行试验验收。施工期环境监理计划见表</w:t>
      </w:r>
      <w:r>
        <w:t>13.1-1</w:t>
      </w:r>
      <w:r>
        <w:rPr>
          <w:rFonts w:hint="eastAsia"/>
        </w:rPr>
        <w:t>。</w:t>
      </w:r>
    </w:p>
    <w:p>
      <w:pPr>
        <w:pStyle w:val="14"/>
      </w:pPr>
      <w:r>
        <w:rPr>
          <w:rFonts w:hint="eastAsia"/>
        </w:rPr>
        <w:t>表</w:t>
      </w:r>
      <w:r>
        <w:fldChar w:fldCharType="begin"/>
      </w:r>
      <w:r>
        <w:instrText xml:space="preserve"> STYLEREF 2 \s </w:instrText>
      </w:r>
      <w:r>
        <w:fldChar w:fldCharType="separate"/>
      </w:r>
      <w:r>
        <w:t>12.1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建设工程施工期环保监理计划</w:t>
      </w:r>
    </w:p>
    <w:tbl>
      <w:tblPr>
        <w:tblStyle w:val="35"/>
        <w:tblW w:w="8438"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4"/>
        <w:gridCol w:w="4725"/>
        <w:gridCol w:w="1183"/>
        <w:gridCol w:w="1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7" w:hRule="atLeast"/>
          <w:jc w:val="right"/>
        </w:trPr>
        <w:tc>
          <w:tcPr>
            <w:tcW w:w="1224" w:type="dxa"/>
            <w:vAlign w:val="center"/>
          </w:tcPr>
          <w:p>
            <w:pPr>
              <w:pStyle w:val="37"/>
            </w:pPr>
            <w:r>
              <w:rPr>
                <w:rFonts w:hint="eastAsia"/>
              </w:rPr>
              <w:t>项目</w:t>
            </w:r>
          </w:p>
        </w:tc>
        <w:tc>
          <w:tcPr>
            <w:tcW w:w="4725" w:type="dxa"/>
            <w:vAlign w:val="center"/>
          </w:tcPr>
          <w:p>
            <w:pPr>
              <w:pStyle w:val="37"/>
            </w:pPr>
            <w:r>
              <w:rPr>
                <w:rFonts w:hint="eastAsia"/>
              </w:rPr>
              <w:t>环保要求</w:t>
            </w:r>
          </w:p>
        </w:tc>
        <w:tc>
          <w:tcPr>
            <w:tcW w:w="1183" w:type="dxa"/>
            <w:vAlign w:val="center"/>
          </w:tcPr>
          <w:p>
            <w:pPr>
              <w:pStyle w:val="37"/>
            </w:pPr>
            <w:r>
              <w:rPr>
                <w:rFonts w:hint="eastAsia"/>
              </w:rPr>
              <w:t>实施单位</w:t>
            </w:r>
          </w:p>
        </w:tc>
        <w:tc>
          <w:tcPr>
            <w:tcW w:w="1306" w:type="dxa"/>
            <w:vAlign w:val="center"/>
          </w:tcPr>
          <w:p>
            <w:pPr>
              <w:pStyle w:val="37"/>
            </w:pPr>
            <w:r>
              <w:rPr>
                <w:rFonts w:hint="eastAsia"/>
              </w:rPr>
              <w:t>监理单位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jc w:val="right"/>
        </w:trPr>
        <w:tc>
          <w:tcPr>
            <w:tcW w:w="1224" w:type="dxa"/>
            <w:vAlign w:val="center"/>
          </w:tcPr>
          <w:p>
            <w:pPr>
              <w:pStyle w:val="37"/>
            </w:pPr>
            <w:r>
              <w:rPr>
                <w:rFonts w:hint="eastAsia"/>
              </w:rPr>
              <w:t>噪声控制</w:t>
            </w:r>
          </w:p>
        </w:tc>
        <w:tc>
          <w:tcPr>
            <w:tcW w:w="4725" w:type="dxa"/>
            <w:vAlign w:val="center"/>
          </w:tcPr>
          <w:p>
            <w:pPr>
              <w:pStyle w:val="37"/>
            </w:pPr>
            <w:r>
              <w:rPr>
                <w:rFonts w:hint="eastAsia"/>
              </w:rPr>
              <w:t>在施工过程中，选用效率高、噪声低的机械设备，施工期场界噪声满足《建筑施工场界环境噪声排放标准》（</w:t>
            </w:r>
            <w:r>
              <w:t>GB12523-2011</w:t>
            </w:r>
            <w:r>
              <w:rPr>
                <w:rFonts w:hint="eastAsia"/>
              </w:rPr>
              <w:t>）中要求；</w:t>
            </w:r>
          </w:p>
        </w:tc>
        <w:tc>
          <w:tcPr>
            <w:tcW w:w="1183" w:type="dxa"/>
            <w:vMerge w:val="restart"/>
            <w:vAlign w:val="center"/>
          </w:tcPr>
          <w:p>
            <w:pPr>
              <w:pStyle w:val="37"/>
            </w:pPr>
            <w:r>
              <w:rPr>
                <w:rFonts w:hint="eastAsia"/>
              </w:rPr>
              <w:t>施</w:t>
            </w:r>
          </w:p>
          <w:p>
            <w:pPr>
              <w:pStyle w:val="37"/>
            </w:pPr>
            <w:r>
              <w:rPr>
                <w:rFonts w:hint="eastAsia"/>
              </w:rPr>
              <w:t>工</w:t>
            </w:r>
          </w:p>
          <w:p>
            <w:pPr>
              <w:pStyle w:val="37"/>
            </w:pPr>
            <w:r>
              <w:rPr>
                <w:rFonts w:hint="eastAsia"/>
              </w:rPr>
              <w:t>承</w:t>
            </w:r>
          </w:p>
          <w:p>
            <w:pPr>
              <w:pStyle w:val="37"/>
            </w:pPr>
            <w:r>
              <w:rPr>
                <w:rFonts w:hint="eastAsia"/>
              </w:rPr>
              <w:t>包</w:t>
            </w:r>
          </w:p>
          <w:p>
            <w:pPr>
              <w:pStyle w:val="37"/>
            </w:pPr>
            <w:r>
              <w:rPr>
                <w:rFonts w:hint="eastAsia"/>
              </w:rPr>
              <w:t>商</w:t>
            </w:r>
          </w:p>
        </w:tc>
        <w:tc>
          <w:tcPr>
            <w:tcW w:w="1306" w:type="dxa"/>
            <w:vMerge w:val="restart"/>
            <w:vAlign w:val="center"/>
          </w:tcPr>
          <w:p>
            <w:pPr>
              <w:pStyle w:val="37"/>
            </w:pPr>
            <w:r>
              <w:rPr>
                <w:rFonts w:hint="eastAsia"/>
              </w:rPr>
              <w:t>专</w:t>
            </w:r>
          </w:p>
          <w:p>
            <w:pPr>
              <w:pStyle w:val="37"/>
            </w:pPr>
            <w:r>
              <w:rPr>
                <w:rFonts w:hint="eastAsia"/>
              </w:rPr>
              <w:t>业</w:t>
            </w:r>
          </w:p>
          <w:p>
            <w:pPr>
              <w:pStyle w:val="37"/>
            </w:pPr>
            <w:r>
              <w:rPr>
                <w:rFonts w:hint="eastAsia"/>
              </w:rPr>
              <w:t>环</w:t>
            </w:r>
          </w:p>
          <w:p>
            <w:pPr>
              <w:pStyle w:val="37"/>
            </w:pPr>
            <w:r>
              <w:rPr>
                <w:rFonts w:hint="eastAsia"/>
              </w:rPr>
              <w:t>保</w:t>
            </w:r>
          </w:p>
          <w:p>
            <w:pPr>
              <w:pStyle w:val="37"/>
            </w:pPr>
            <w:r>
              <w:rPr>
                <w:rFonts w:hint="eastAsia"/>
              </w:rPr>
              <w:t>施</w:t>
            </w:r>
          </w:p>
          <w:p>
            <w:pPr>
              <w:pStyle w:val="37"/>
            </w:pPr>
            <w:r>
              <w:rPr>
                <w:rFonts w:hint="eastAsia"/>
              </w:rPr>
              <w:t>工</w:t>
            </w:r>
          </w:p>
          <w:p>
            <w:pPr>
              <w:pStyle w:val="37"/>
            </w:pPr>
            <w:r>
              <w:rPr>
                <w:rFonts w:hint="eastAsia"/>
              </w:rPr>
              <w:t>监</w:t>
            </w:r>
          </w:p>
          <w:p>
            <w:pPr>
              <w:pStyle w:val="37"/>
            </w:pPr>
            <w:r>
              <w:rPr>
                <w:rFonts w:hint="eastAsia"/>
              </w:rPr>
              <w:t>理</w:t>
            </w:r>
          </w:p>
          <w:p>
            <w:pPr>
              <w:pStyle w:val="37"/>
            </w:pPr>
            <w:r>
              <w:rPr>
                <w:rFonts w:hint="eastAsia"/>
              </w:rPr>
              <w:t>公</w:t>
            </w:r>
          </w:p>
          <w:p>
            <w:pPr>
              <w:pStyle w:val="37"/>
            </w:pPr>
            <w:r>
              <w:rPr>
                <w:rFonts w:hint="eastAsia"/>
              </w:rPr>
              <w:t>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7" w:hRule="atLeast"/>
          <w:jc w:val="right"/>
        </w:trPr>
        <w:tc>
          <w:tcPr>
            <w:tcW w:w="1224" w:type="dxa"/>
            <w:vAlign w:val="center"/>
          </w:tcPr>
          <w:p>
            <w:pPr>
              <w:pStyle w:val="37"/>
            </w:pPr>
            <w:r>
              <w:rPr>
                <w:rFonts w:hint="eastAsia"/>
              </w:rPr>
              <w:t>废水处置</w:t>
            </w:r>
          </w:p>
        </w:tc>
        <w:tc>
          <w:tcPr>
            <w:tcW w:w="4725" w:type="dxa"/>
            <w:vAlign w:val="center"/>
          </w:tcPr>
          <w:p>
            <w:pPr>
              <w:pStyle w:val="37"/>
            </w:pPr>
            <w:r>
              <w:t>1.</w:t>
            </w:r>
            <w:r>
              <w:rPr>
                <w:rFonts w:hint="eastAsia"/>
              </w:rPr>
              <w:t>施工过程中产生的生产废水应建集水池储存，废水循环使用、自然蒸发，防止其对土壤形成影响；</w:t>
            </w:r>
            <w:r>
              <w:t>2.</w:t>
            </w:r>
            <w:r>
              <w:rPr>
                <w:rFonts w:hint="eastAsia"/>
              </w:rPr>
              <w:t>厂区道路建设过程中，含有害物质的施工材料等，其存放要采取措施，防止因雨水冲入农田或沟谷。</w:t>
            </w:r>
          </w:p>
        </w:tc>
        <w:tc>
          <w:tcPr>
            <w:tcW w:w="1183" w:type="dxa"/>
            <w:vMerge w:val="continue"/>
            <w:vAlign w:val="center"/>
          </w:tcPr>
          <w:p>
            <w:pPr>
              <w:pStyle w:val="37"/>
            </w:pPr>
          </w:p>
        </w:tc>
        <w:tc>
          <w:tcPr>
            <w:tcW w:w="1306"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4" w:hRule="atLeast"/>
          <w:jc w:val="right"/>
        </w:trPr>
        <w:tc>
          <w:tcPr>
            <w:tcW w:w="1224" w:type="dxa"/>
            <w:vAlign w:val="center"/>
          </w:tcPr>
          <w:p>
            <w:pPr>
              <w:pStyle w:val="37"/>
            </w:pPr>
            <w:r>
              <w:rPr>
                <w:rFonts w:hint="eastAsia"/>
              </w:rPr>
              <w:t>生态环境</w:t>
            </w:r>
          </w:p>
          <w:p>
            <w:pPr>
              <w:pStyle w:val="37"/>
            </w:pPr>
            <w:r>
              <w:rPr>
                <w:rFonts w:hint="eastAsia"/>
              </w:rPr>
              <w:t>与水土保持</w:t>
            </w:r>
          </w:p>
        </w:tc>
        <w:tc>
          <w:tcPr>
            <w:tcW w:w="4725" w:type="dxa"/>
            <w:vAlign w:val="center"/>
          </w:tcPr>
          <w:p>
            <w:pPr>
              <w:pStyle w:val="37"/>
            </w:pPr>
            <w:r>
              <w:t>1.</w:t>
            </w:r>
            <w:r>
              <w:rPr>
                <w:rFonts w:hint="eastAsia"/>
              </w:rPr>
              <w:t>处置场区以及道路等建设过程中，尽量平衡土方量，严格控制施工边界，对施工区域外的土壤植被严禁破坏，施工完成后的道路边、建筑物附近空地及时进行绿化；</w:t>
            </w:r>
            <w:r>
              <w:t>2.</w:t>
            </w:r>
            <w:r>
              <w:rPr>
                <w:rFonts w:hint="eastAsia"/>
              </w:rPr>
              <w:t>加快建设步伐，严禁在大风、大雨天气下施工，防止水土流失；</w:t>
            </w:r>
            <w:r>
              <w:t>3.</w:t>
            </w:r>
            <w:r>
              <w:rPr>
                <w:rFonts w:hint="eastAsia"/>
              </w:rPr>
              <w:t>施工过程中采取适当的工程措施如砌石护坡等，防止沟边、道路旁的边坡发生水土流失；</w:t>
            </w:r>
          </w:p>
        </w:tc>
        <w:tc>
          <w:tcPr>
            <w:tcW w:w="1183" w:type="dxa"/>
            <w:vMerge w:val="continue"/>
            <w:vAlign w:val="center"/>
          </w:tcPr>
          <w:p>
            <w:pPr>
              <w:pStyle w:val="37"/>
            </w:pPr>
          </w:p>
        </w:tc>
        <w:tc>
          <w:tcPr>
            <w:tcW w:w="1306"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 w:hRule="atLeast"/>
          <w:jc w:val="right"/>
        </w:trPr>
        <w:tc>
          <w:tcPr>
            <w:tcW w:w="1224" w:type="dxa"/>
            <w:vAlign w:val="center"/>
          </w:tcPr>
          <w:p>
            <w:pPr>
              <w:pStyle w:val="37"/>
            </w:pPr>
            <w:r>
              <w:rPr>
                <w:rFonts w:hint="eastAsia"/>
              </w:rPr>
              <w:t>环境空气</w:t>
            </w:r>
          </w:p>
        </w:tc>
        <w:tc>
          <w:tcPr>
            <w:tcW w:w="4725" w:type="dxa"/>
            <w:vAlign w:val="center"/>
          </w:tcPr>
          <w:p>
            <w:pPr>
              <w:pStyle w:val="37"/>
            </w:pPr>
            <w:r>
              <w:t>1.</w:t>
            </w:r>
            <w:r>
              <w:rPr>
                <w:rFonts w:hint="eastAsia"/>
              </w:rPr>
              <w:t>施工期，工地应经常洒水降尘，建筑物施工采用密闭施工方式，严禁在大风天气下作业；</w:t>
            </w:r>
            <w:r>
              <w:t>2.</w:t>
            </w:r>
            <w:r>
              <w:rPr>
                <w:rFonts w:hint="eastAsia"/>
              </w:rPr>
              <w:t>施工材料堆放在下风向，并用篷布等遮盖；</w:t>
            </w:r>
            <w:r>
              <w:t>3.</w:t>
            </w:r>
            <w:r>
              <w:rPr>
                <w:rFonts w:hint="eastAsia"/>
              </w:rPr>
              <w:t>运输车辆慢行，严禁抛撒；建设工程采用散装水泥。</w:t>
            </w:r>
          </w:p>
        </w:tc>
        <w:tc>
          <w:tcPr>
            <w:tcW w:w="1183" w:type="dxa"/>
            <w:vMerge w:val="continue"/>
            <w:vAlign w:val="center"/>
          </w:tcPr>
          <w:p>
            <w:pPr>
              <w:pStyle w:val="37"/>
            </w:pPr>
          </w:p>
        </w:tc>
        <w:tc>
          <w:tcPr>
            <w:tcW w:w="1306" w:type="dxa"/>
            <w:vMerge w:val="continue"/>
            <w:vAlign w:val="center"/>
          </w:tcPr>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jc w:val="right"/>
        </w:trPr>
        <w:tc>
          <w:tcPr>
            <w:tcW w:w="1224" w:type="dxa"/>
            <w:vAlign w:val="center"/>
          </w:tcPr>
          <w:p>
            <w:pPr>
              <w:pStyle w:val="37"/>
            </w:pPr>
            <w:r>
              <w:rPr>
                <w:rFonts w:hint="eastAsia"/>
              </w:rPr>
              <w:t>防渗工程</w:t>
            </w:r>
          </w:p>
          <w:p>
            <w:pPr>
              <w:pStyle w:val="37"/>
            </w:pPr>
            <w:r>
              <w:rPr>
                <w:rFonts w:hint="eastAsia"/>
              </w:rPr>
              <w:t>施工</w:t>
            </w:r>
          </w:p>
        </w:tc>
        <w:tc>
          <w:tcPr>
            <w:tcW w:w="4725" w:type="dxa"/>
            <w:vAlign w:val="center"/>
          </w:tcPr>
          <w:p>
            <w:pPr>
              <w:pStyle w:val="37"/>
            </w:pPr>
            <w:r>
              <w:rPr>
                <w:rFonts w:hint="eastAsia"/>
              </w:rPr>
              <w:t>对固体废物处置场、渗滤液收集池、收集污水的渠道、管道底部和池壁进行防渗工程。</w:t>
            </w:r>
          </w:p>
        </w:tc>
        <w:tc>
          <w:tcPr>
            <w:tcW w:w="1183" w:type="dxa"/>
            <w:vMerge w:val="continue"/>
            <w:vAlign w:val="center"/>
          </w:tcPr>
          <w:p>
            <w:pPr>
              <w:pStyle w:val="37"/>
            </w:pPr>
          </w:p>
        </w:tc>
        <w:tc>
          <w:tcPr>
            <w:tcW w:w="1306" w:type="dxa"/>
            <w:vMerge w:val="continue"/>
            <w:vAlign w:val="center"/>
          </w:tcPr>
          <w:p>
            <w:pPr>
              <w:pStyle w:val="37"/>
            </w:pPr>
          </w:p>
        </w:tc>
      </w:tr>
    </w:tbl>
    <w:p>
      <w:pPr>
        <w:pStyle w:val="4"/>
        <w:rPr>
          <w:kern w:val="24"/>
        </w:rPr>
      </w:pPr>
      <w:bookmarkStart w:id="348" w:name="_Toc346092703"/>
      <w:bookmarkStart w:id="349" w:name="_Toc391370289"/>
      <w:bookmarkStart w:id="350" w:name="_Toc344647828"/>
      <w:r>
        <w:rPr>
          <w:rFonts w:hint="eastAsia"/>
          <w:kern w:val="24"/>
        </w:rPr>
        <w:t>填埋期环境管理</w:t>
      </w:r>
      <w:bookmarkEnd w:id="348"/>
      <w:bookmarkEnd w:id="349"/>
      <w:bookmarkEnd w:id="350"/>
    </w:p>
    <w:p>
      <w:pPr>
        <w:ind w:firstLine="480"/>
      </w:pPr>
      <w:r>
        <w:rPr>
          <w:rFonts w:hint="eastAsia"/>
        </w:rPr>
        <w:t>工程建设运营后，其环境管理必须贯穿整个工程的全过程，特别是加强对固体废物处置场渗滤液的处理等环境管理计划，确保本身属于环境保护项目的该工程不产生对环境的二次污染。根据工程污染特征，该工程竣工后，环境管理主要内容列于表</w:t>
      </w:r>
      <w:r>
        <w:t>13.1-2</w:t>
      </w:r>
      <w:r>
        <w:rPr>
          <w:rFonts w:hint="eastAsia"/>
        </w:rPr>
        <w:t>。</w:t>
      </w:r>
    </w:p>
    <w:p>
      <w:pPr>
        <w:pStyle w:val="14"/>
      </w:pPr>
      <w:r>
        <w:rPr>
          <w:rFonts w:hint="eastAsia"/>
        </w:rPr>
        <w:t>表</w:t>
      </w:r>
      <w:r>
        <w:fldChar w:fldCharType="begin"/>
      </w:r>
      <w:r>
        <w:instrText xml:space="preserve"> STYLEREF 2 \s </w:instrText>
      </w:r>
      <w:r>
        <w:fldChar w:fldCharType="separate"/>
      </w:r>
      <w:r>
        <w:t>12.1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填埋期环境管理一览表</w:t>
      </w:r>
    </w:p>
    <w:tbl>
      <w:tblPr>
        <w:tblStyle w:val="35"/>
        <w:tblW w:w="85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2"/>
        <w:gridCol w:w="4027"/>
        <w:gridCol w:w="31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0" w:hRule="atLeast"/>
        </w:trPr>
        <w:tc>
          <w:tcPr>
            <w:tcW w:w="1342" w:type="dxa"/>
            <w:vAlign w:val="center"/>
          </w:tcPr>
          <w:p>
            <w:pPr>
              <w:pStyle w:val="37"/>
            </w:pPr>
            <w:r>
              <w:rPr>
                <w:rFonts w:hint="eastAsia"/>
              </w:rPr>
              <w:t>工程内容</w:t>
            </w:r>
          </w:p>
        </w:tc>
        <w:tc>
          <w:tcPr>
            <w:tcW w:w="4027" w:type="dxa"/>
            <w:vAlign w:val="center"/>
          </w:tcPr>
          <w:p>
            <w:pPr>
              <w:pStyle w:val="37"/>
            </w:pPr>
            <w:r>
              <w:rPr>
                <w:rFonts w:hint="eastAsia"/>
              </w:rPr>
              <w:t>环保验收内容</w:t>
            </w:r>
          </w:p>
        </w:tc>
        <w:tc>
          <w:tcPr>
            <w:tcW w:w="3153" w:type="dxa"/>
            <w:vAlign w:val="center"/>
          </w:tcPr>
          <w:p>
            <w:pPr>
              <w:pStyle w:val="37"/>
            </w:pPr>
            <w:r>
              <w:rPr>
                <w:rFonts w:hint="eastAsia"/>
              </w:rPr>
              <w:t>验收标准和要求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0" w:hRule="atLeast"/>
        </w:trPr>
        <w:tc>
          <w:tcPr>
            <w:tcW w:w="1342" w:type="dxa"/>
            <w:vMerge w:val="restart"/>
            <w:vAlign w:val="center"/>
          </w:tcPr>
          <w:p>
            <w:pPr>
              <w:pStyle w:val="37"/>
            </w:pPr>
            <w:r>
              <w:rPr>
                <w:rFonts w:hint="eastAsia"/>
              </w:rPr>
              <w:t>污水处理</w:t>
            </w:r>
          </w:p>
        </w:tc>
        <w:tc>
          <w:tcPr>
            <w:tcW w:w="4027" w:type="dxa"/>
            <w:vAlign w:val="center"/>
          </w:tcPr>
          <w:p>
            <w:pPr>
              <w:pStyle w:val="37"/>
            </w:pPr>
            <w:r>
              <w:t>1.</w:t>
            </w:r>
            <w:r>
              <w:rPr>
                <w:rFonts w:hint="eastAsia"/>
              </w:rPr>
              <w:t>整个工程做到雨污分流</w:t>
            </w:r>
          </w:p>
        </w:tc>
        <w:tc>
          <w:tcPr>
            <w:tcW w:w="3153" w:type="dxa"/>
            <w:vAlign w:val="center"/>
          </w:tcPr>
          <w:p>
            <w:pPr>
              <w:pStyle w:val="37"/>
            </w:pPr>
            <w:r>
              <w:rPr>
                <w:rFonts w:hint="eastAsia"/>
              </w:rPr>
              <w:t>符合环保要求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trPr>
        <w:tc>
          <w:tcPr>
            <w:tcW w:w="1342" w:type="dxa"/>
            <w:vMerge w:val="continue"/>
            <w:vAlign w:val="center"/>
          </w:tcPr>
          <w:p>
            <w:pPr>
              <w:pStyle w:val="37"/>
            </w:pPr>
          </w:p>
        </w:tc>
        <w:tc>
          <w:tcPr>
            <w:tcW w:w="4027" w:type="dxa"/>
            <w:vAlign w:val="center"/>
          </w:tcPr>
          <w:p>
            <w:pPr>
              <w:pStyle w:val="37"/>
            </w:pPr>
            <w:r>
              <w:t>2.</w:t>
            </w:r>
            <w:r>
              <w:rPr>
                <w:rFonts w:hint="eastAsia"/>
              </w:rPr>
              <w:t>处置库区、渗滤液收集池池底和侧壁，敷设符合标准的人工防渗层，设置渗滤液导流层，渗滤液收集管收集污水</w:t>
            </w:r>
          </w:p>
        </w:tc>
        <w:tc>
          <w:tcPr>
            <w:tcW w:w="3153" w:type="dxa"/>
            <w:vAlign w:val="center"/>
          </w:tcPr>
          <w:p>
            <w:pPr>
              <w:pStyle w:val="37"/>
            </w:pPr>
            <w:r>
              <w:rPr>
                <w:rFonts w:hint="eastAsia"/>
              </w:rPr>
              <w:t>防渗液渗透系数</w:t>
            </w:r>
            <w:r>
              <w:t>K</w:t>
            </w:r>
            <w:r>
              <w:rPr>
                <w:rFonts w:hint="eastAsia"/>
              </w:rPr>
              <w:t>＜</w:t>
            </w:r>
            <w:r>
              <w:t>10</w:t>
            </w:r>
            <w:r>
              <w:rPr>
                <w:vertAlign w:val="superscript"/>
              </w:rPr>
              <w:t>-7</w:t>
            </w:r>
            <w:r>
              <w:t>cm/s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trPr>
        <w:tc>
          <w:tcPr>
            <w:tcW w:w="1342" w:type="dxa"/>
            <w:vMerge w:val="continue"/>
            <w:vAlign w:val="center"/>
          </w:tcPr>
          <w:p>
            <w:pPr>
              <w:pStyle w:val="37"/>
            </w:pPr>
          </w:p>
        </w:tc>
        <w:tc>
          <w:tcPr>
            <w:tcW w:w="4027" w:type="dxa"/>
            <w:vAlign w:val="center"/>
          </w:tcPr>
          <w:p>
            <w:pPr>
              <w:pStyle w:val="37"/>
            </w:pPr>
            <w:r>
              <w:t>3.</w:t>
            </w:r>
            <w:r>
              <w:rPr>
                <w:rFonts w:hint="eastAsia"/>
              </w:rPr>
              <w:t>渗滤液收集池</w:t>
            </w:r>
          </w:p>
        </w:tc>
        <w:tc>
          <w:tcPr>
            <w:tcW w:w="3153" w:type="dxa"/>
            <w:vAlign w:val="center"/>
          </w:tcPr>
          <w:p>
            <w:pPr>
              <w:pStyle w:val="37"/>
            </w:pPr>
            <w:r>
              <w:rPr>
                <w:rFonts w:hint="eastAsia"/>
              </w:rPr>
              <w:t>池容</w:t>
            </w:r>
            <w:r>
              <w:t>90m</w:t>
            </w:r>
            <w:r>
              <w:rPr>
                <w:vertAlign w:val="superscript"/>
              </w:rPr>
              <w:t>3</w:t>
            </w:r>
            <w:r>
              <w:rPr>
                <w:rFonts w:hint="eastAsia"/>
              </w:rPr>
              <w:t>，定期运送至有资质单位处理</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342" w:type="dxa"/>
            <w:vAlign w:val="center"/>
          </w:tcPr>
          <w:p>
            <w:pPr>
              <w:pStyle w:val="37"/>
            </w:pPr>
            <w:r>
              <w:rPr>
                <w:rFonts w:hint="eastAsia"/>
              </w:rPr>
              <w:t>废气处理</w:t>
            </w:r>
          </w:p>
        </w:tc>
        <w:tc>
          <w:tcPr>
            <w:tcW w:w="4027" w:type="dxa"/>
            <w:vAlign w:val="center"/>
          </w:tcPr>
          <w:p>
            <w:pPr>
              <w:pStyle w:val="37"/>
              <w:rPr>
                <w:u w:val="single"/>
              </w:rPr>
            </w:pPr>
            <w:r>
              <w:rPr>
                <w:rFonts w:hint="eastAsia"/>
                <w:u w:val="single"/>
              </w:rPr>
              <w:t>1、根据情况洒水降尘</w:t>
            </w:r>
          </w:p>
          <w:p>
            <w:pPr>
              <w:pStyle w:val="37"/>
            </w:pPr>
            <w:r>
              <w:rPr>
                <w:rFonts w:hint="eastAsia"/>
                <w:kern w:val="0"/>
                <w:u w:val="single"/>
              </w:rPr>
              <w:t>2、</w:t>
            </w:r>
            <w:r>
              <w:rPr>
                <w:kern w:val="0"/>
                <w:u w:val="single"/>
              </w:rPr>
              <w:t>施工围挡高度应达到2.2m</w:t>
            </w:r>
          </w:p>
        </w:tc>
        <w:tc>
          <w:tcPr>
            <w:tcW w:w="3153" w:type="dxa"/>
            <w:vAlign w:val="center"/>
          </w:tcPr>
          <w:p>
            <w:pPr>
              <w:pStyle w:val="37"/>
            </w:pPr>
            <w:r>
              <w:t>TSP</w:t>
            </w:r>
            <w:r>
              <w:rPr>
                <w:rFonts w:hint="eastAsia"/>
              </w:rPr>
              <w:t>浓度符合《大气污染物排放标准》（</w:t>
            </w:r>
            <w:r>
              <w:t>GB13271-2001</w:t>
            </w:r>
            <w:r>
              <w:rPr>
                <w:rFonts w:hint="eastAsia"/>
              </w:rPr>
              <w:t>）相关要求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trPr>
        <w:tc>
          <w:tcPr>
            <w:tcW w:w="1342" w:type="dxa"/>
            <w:vAlign w:val="center"/>
          </w:tcPr>
          <w:p>
            <w:pPr>
              <w:pStyle w:val="37"/>
            </w:pPr>
            <w:r>
              <w:rPr>
                <w:rFonts w:hint="eastAsia"/>
              </w:rPr>
              <w:t>噪声控制</w:t>
            </w:r>
          </w:p>
        </w:tc>
        <w:tc>
          <w:tcPr>
            <w:tcW w:w="4027" w:type="dxa"/>
            <w:vAlign w:val="center"/>
          </w:tcPr>
          <w:p>
            <w:pPr>
              <w:pStyle w:val="37"/>
            </w:pPr>
            <w:r>
              <w:rPr>
                <w:rFonts w:hint="eastAsia"/>
              </w:rPr>
              <w:t>厂界噪声</w:t>
            </w:r>
            <w:r>
              <w:rPr>
                <w:kern w:val="0"/>
              </w:rPr>
              <w:t>施工采用声屏障</w:t>
            </w:r>
          </w:p>
        </w:tc>
        <w:tc>
          <w:tcPr>
            <w:tcW w:w="3153" w:type="dxa"/>
            <w:vAlign w:val="center"/>
          </w:tcPr>
          <w:p>
            <w:pPr>
              <w:pStyle w:val="37"/>
            </w:pPr>
            <w:r>
              <w:rPr>
                <w:rFonts w:hint="eastAsia"/>
              </w:rPr>
              <w:t>符合《工业企业厂界环境噪声排放标准》（</w:t>
            </w:r>
            <w:r>
              <w:t>GB12348-2008</w:t>
            </w:r>
            <w:r>
              <w:rPr>
                <w:rFonts w:hint="eastAsia"/>
              </w:rPr>
              <w:t>）中</w:t>
            </w:r>
            <w:r>
              <w:t>2</w:t>
            </w:r>
            <w:r>
              <w:rPr>
                <w:rFonts w:hint="eastAsia"/>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1342" w:type="dxa"/>
            <w:vMerge w:val="restart"/>
            <w:vAlign w:val="center"/>
          </w:tcPr>
          <w:p>
            <w:pPr>
              <w:pStyle w:val="37"/>
            </w:pPr>
            <w:r>
              <w:rPr>
                <w:rFonts w:hint="eastAsia"/>
              </w:rPr>
              <w:t>其他</w:t>
            </w:r>
          </w:p>
        </w:tc>
        <w:tc>
          <w:tcPr>
            <w:tcW w:w="4027" w:type="dxa"/>
            <w:vAlign w:val="center"/>
          </w:tcPr>
          <w:p>
            <w:pPr>
              <w:pStyle w:val="37"/>
            </w:pPr>
            <w:r>
              <w:t>1.</w:t>
            </w:r>
            <w:r>
              <w:rPr>
                <w:rFonts w:hint="eastAsia"/>
              </w:rPr>
              <w:t>运转车辆和处置场定期洒水</w:t>
            </w:r>
          </w:p>
        </w:tc>
        <w:tc>
          <w:tcPr>
            <w:tcW w:w="3153" w:type="dxa"/>
            <w:vAlign w:val="center"/>
          </w:tcPr>
          <w:p>
            <w:pPr>
              <w:pStyle w:val="37"/>
            </w:pPr>
            <w:r>
              <w:rPr>
                <w:rFonts w:hint="eastAsia"/>
              </w:rPr>
              <w:t>不对周围人群健康形成不利影响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trPr>
        <w:tc>
          <w:tcPr>
            <w:tcW w:w="1342" w:type="dxa"/>
            <w:vMerge w:val="continue"/>
            <w:vAlign w:val="center"/>
          </w:tcPr>
          <w:p>
            <w:pPr>
              <w:pStyle w:val="37"/>
            </w:pPr>
          </w:p>
        </w:tc>
        <w:tc>
          <w:tcPr>
            <w:tcW w:w="4027" w:type="dxa"/>
            <w:vAlign w:val="center"/>
          </w:tcPr>
          <w:p>
            <w:pPr>
              <w:pStyle w:val="37"/>
            </w:pPr>
            <w:r>
              <w:t>2.</w:t>
            </w:r>
            <w:r>
              <w:rPr>
                <w:rFonts w:hint="eastAsia"/>
              </w:rPr>
              <w:t>设置截排水沟</w:t>
            </w:r>
          </w:p>
        </w:tc>
        <w:tc>
          <w:tcPr>
            <w:tcW w:w="3153" w:type="dxa"/>
            <w:vAlign w:val="center"/>
          </w:tcPr>
          <w:p>
            <w:pPr>
              <w:pStyle w:val="37"/>
            </w:pPr>
            <w:r>
              <w:rPr>
                <w:rFonts w:hint="eastAsia"/>
              </w:rPr>
              <w:t>符合环保设计要求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2" w:hRule="atLeast"/>
        </w:trPr>
        <w:tc>
          <w:tcPr>
            <w:tcW w:w="1342" w:type="dxa"/>
            <w:vMerge w:val="restart"/>
            <w:vAlign w:val="center"/>
          </w:tcPr>
          <w:p>
            <w:pPr>
              <w:pStyle w:val="37"/>
            </w:pPr>
            <w:r>
              <w:rPr>
                <w:rFonts w:hint="eastAsia"/>
              </w:rPr>
              <w:t>生态保护和水土保持</w:t>
            </w:r>
          </w:p>
        </w:tc>
        <w:tc>
          <w:tcPr>
            <w:tcW w:w="4027" w:type="dxa"/>
            <w:vAlign w:val="center"/>
          </w:tcPr>
          <w:p>
            <w:pPr>
              <w:pStyle w:val="37"/>
            </w:pPr>
            <w:r>
              <w:t>1.</w:t>
            </w:r>
            <w:r>
              <w:rPr>
                <w:rFonts w:hint="eastAsia"/>
              </w:rPr>
              <w:t>取土场分块实施，每取完一块，采取覆盖和遮蔽措施</w:t>
            </w:r>
          </w:p>
        </w:tc>
        <w:tc>
          <w:tcPr>
            <w:tcW w:w="3153" w:type="dxa"/>
            <w:vMerge w:val="restart"/>
            <w:vAlign w:val="center"/>
          </w:tcPr>
          <w:p>
            <w:pPr>
              <w:pStyle w:val="37"/>
            </w:pPr>
            <w:r>
              <w:rPr>
                <w:rFonts w:hint="eastAsia"/>
              </w:rPr>
              <w:t>符合环保部门要求</w:t>
            </w:r>
          </w:p>
          <w:p>
            <w:pPr>
              <w:pStyle w:val="37"/>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9" w:hRule="atLeast"/>
        </w:trPr>
        <w:tc>
          <w:tcPr>
            <w:tcW w:w="1342" w:type="dxa"/>
            <w:vMerge w:val="continue"/>
            <w:vAlign w:val="center"/>
          </w:tcPr>
          <w:p>
            <w:pPr>
              <w:pStyle w:val="37"/>
            </w:pPr>
          </w:p>
        </w:tc>
        <w:tc>
          <w:tcPr>
            <w:tcW w:w="4027" w:type="dxa"/>
            <w:vAlign w:val="center"/>
          </w:tcPr>
          <w:p>
            <w:pPr>
              <w:pStyle w:val="37"/>
              <w:rPr>
                <w:u w:val="single"/>
              </w:rPr>
            </w:pPr>
            <w:r>
              <w:rPr>
                <w:u w:val="single"/>
              </w:rPr>
              <w:t>3.</w:t>
            </w:r>
            <w:r>
              <w:rPr>
                <w:rFonts w:hint="eastAsia"/>
                <w:u w:val="single"/>
              </w:rPr>
              <w:t>封场复垦绿化、</w:t>
            </w:r>
            <w:r>
              <w:rPr>
                <w:kern w:val="0"/>
                <w:u w:val="single"/>
              </w:rPr>
              <w:t>安装警示牌</w:t>
            </w:r>
          </w:p>
        </w:tc>
        <w:tc>
          <w:tcPr>
            <w:tcW w:w="3153" w:type="dxa"/>
            <w:vMerge w:val="continue"/>
            <w:vAlign w:val="center"/>
          </w:tcPr>
          <w:p>
            <w:pPr>
              <w:pStyle w:val="37"/>
            </w:pPr>
          </w:p>
        </w:tc>
      </w:tr>
    </w:tbl>
    <w:p>
      <w:pPr>
        <w:pStyle w:val="4"/>
        <w:rPr>
          <w:kern w:val="24"/>
        </w:rPr>
      </w:pPr>
      <w:bookmarkStart w:id="351" w:name="_Toc391370290"/>
      <w:bookmarkStart w:id="352" w:name="_Toc344647829"/>
      <w:bookmarkStart w:id="353" w:name="_Toc346092704"/>
      <w:bookmarkStart w:id="354" w:name="_Toc277522156"/>
      <w:r>
        <w:rPr>
          <w:rFonts w:hint="eastAsia"/>
          <w:kern w:val="24"/>
        </w:rPr>
        <w:t>封场期环境管理</w:t>
      </w:r>
      <w:bookmarkEnd w:id="351"/>
      <w:bookmarkEnd w:id="352"/>
      <w:bookmarkEnd w:id="353"/>
    </w:p>
    <w:p>
      <w:pPr>
        <w:ind w:firstLine="480"/>
      </w:pPr>
      <w:r>
        <w:rPr>
          <w:rFonts w:hint="eastAsia"/>
        </w:rPr>
        <w:t>固体废物处置场在封场后，一般要</w:t>
      </w:r>
      <w:r>
        <w:t>30</w:t>
      </w:r>
      <w:r>
        <w:rPr>
          <w:rFonts w:hint="eastAsia"/>
        </w:rPr>
        <w:t>～</w:t>
      </w:r>
      <w:r>
        <w:t>50</w:t>
      </w:r>
      <w:r>
        <w:rPr>
          <w:rFonts w:hint="eastAsia"/>
        </w:rPr>
        <w:t>年才能完全稳定。在此过程中，将继续产生渗滤液。我国许多固体废物处置场在达到使用寿命后，均未按有关要求进行封场，一般仅对表层进行简单的土壤覆盖处理。采用这种</w:t>
      </w:r>
      <w:r>
        <w:t>“</w:t>
      </w:r>
      <w:r>
        <w:rPr>
          <w:rFonts w:hint="eastAsia"/>
        </w:rPr>
        <w:t>封场</w:t>
      </w:r>
      <w:r>
        <w:t>”</w:t>
      </w:r>
      <w:r>
        <w:rPr>
          <w:rFonts w:hint="eastAsia"/>
        </w:rPr>
        <w:t>方式的固体废物处置场继续对周围环境造成较大的危害。因此，加强固体废物处置场封场后的环境管理，对于削减环境影响具有十分重要的意义，具体包括：</w:t>
      </w:r>
    </w:p>
    <w:p>
      <w:pPr>
        <w:ind w:firstLine="480"/>
      </w:pPr>
      <w:r>
        <w:rPr>
          <w:rFonts w:hint="eastAsia"/>
        </w:rPr>
        <w:t>（</w:t>
      </w:r>
      <w:r>
        <w:t>1</w:t>
      </w:r>
      <w:r>
        <w:rPr>
          <w:rFonts w:hint="eastAsia"/>
        </w:rPr>
        <w:t>）该工程服务期满后，应关闭封场，编制关闭计划，报延云溪区环保局批准，并提出污染防治措施。</w:t>
      </w:r>
    </w:p>
    <w:p>
      <w:pPr>
        <w:ind w:firstLine="480"/>
      </w:pPr>
      <w:r>
        <w:rPr>
          <w:rFonts w:hint="eastAsia"/>
        </w:rPr>
        <w:t>（</w:t>
      </w:r>
      <w:r>
        <w:t>2</w:t>
      </w:r>
      <w:r>
        <w:rPr>
          <w:rFonts w:hint="eastAsia"/>
        </w:rPr>
        <w:t>）封场时最终覆盖厚度为</w:t>
      </w:r>
      <w:r>
        <w:t>1.1m</w:t>
      </w:r>
      <w:r>
        <w:rPr>
          <w:rFonts w:hint="eastAsia"/>
        </w:rPr>
        <w:t>，采用渗透系数小于</w:t>
      </w:r>
      <w:r>
        <w:t>10</w:t>
      </w:r>
      <w:r>
        <w:rPr>
          <w:vertAlign w:val="superscript"/>
        </w:rPr>
        <w:t>-7</w:t>
      </w:r>
      <w:r>
        <w:t>cm/s</w:t>
      </w:r>
      <w:r>
        <w:rPr>
          <w:rFonts w:hint="eastAsia"/>
        </w:rPr>
        <w:t>的粘土或防渗膜，防止雨水下渗、轻质物以及尘土飞扬。终场后的渗滤液主要来源于堆体表面雨水的下渗，国内外有关研究表明，通过在堆体表面覆盖防渗膜，可大幅度减少渗滤液的产生量。</w:t>
      </w:r>
    </w:p>
    <w:p>
      <w:pPr>
        <w:ind w:firstLine="480"/>
      </w:pPr>
      <w:r>
        <w:rPr>
          <w:rFonts w:hint="eastAsia"/>
        </w:rPr>
        <w:t>（</w:t>
      </w:r>
      <w:r>
        <w:t>3</w:t>
      </w:r>
      <w:r>
        <w:rPr>
          <w:rFonts w:hint="eastAsia"/>
        </w:rPr>
        <w:t>）关闭或封场时，表面坡度一般不超过</w:t>
      </w:r>
      <w:r>
        <w:t>33%</w:t>
      </w:r>
      <w:r>
        <w:rPr>
          <w:rFonts w:hint="eastAsia"/>
        </w:rPr>
        <w:t>。标高每升高</w:t>
      </w:r>
      <w:r>
        <w:t>3m</w:t>
      </w:r>
      <w:r>
        <w:rPr>
          <w:rFonts w:hint="eastAsia"/>
        </w:rPr>
        <w:t>～</w:t>
      </w:r>
      <w:r>
        <w:t>5m</w:t>
      </w:r>
      <w:r>
        <w:rPr>
          <w:rFonts w:hint="eastAsia"/>
        </w:rPr>
        <w:t>，需建造一个台阶。台阶应有不小于</w:t>
      </w:r>
      <w:r>
        <w:t>1m</w:t>
      </w:r>
      <w:r>
        <w:rPr>
          <w:rFonts w:hint="eastAsia"/>
        </w:rPr>
        <w:t>的宽度、</w:t>
      </w:r>
      <w:r>
        <w:t>2%</w:t>
      </w:r>
      <w:r>
        <w:rPr>
          <w:rFonts w:hint="eastAsia"/>
        </w:rPr>
        <w:t>～</w:t>
      </w:r>
      <w:r>
        <w:t>3%</w:t>
      </w:r>
      <w:r>
        <w:rPr>
          <w:rFonts w:hint="eastAsia"/>
        </w:rPr>
        <w:t>的坡度和能经受暴雨冲刷的强度。</w:t>
      </w:r>
    </w:p>
    <w:p>
      <w:pPr>
        <w:ind w:firstLine="480"/>
        <w:rPr>
          <w:u w:val="single"/>
        </w:rPr>
      </w:pPr>
      <w:r>
        <w:rPr>
          <w:rFonts w:hint="eastAsia"/>
          <w:u w:val="single"/>
        </w:rPr>
        <w:t>（</w:t>
      </w:r>
      <w:r>
        <w:rPr>
          <w:u w:val="single"/>
        </w:rPr>
        <w:t>4</w:t>
      </w:r>
      <w:r>
        <w:rPr>
          <w:rFonts w:hint="eastAsia"/>
          <w:u w:val="single"/>
        </w:rPr>
        <w:t>）关闭或封场后，仍需继续维护管理，直到稳定为止。以防止覆土层下沉、开裂，致使渗滤液量增加，防止一般工业固体废物堆体失稳而造成滑坡等事故。</w:t>
      </w:r>
    </w:p>
    <w:p>
      <w:pPr>
        <w:ind w:firstLine="480"/>
      </w:pPr>
      <w:r>
        <w:rPr>
          <w:rFonts w:hint="eastAsia"/>
          <w:u w:val="single"/>
        </w:rPr>
        <w:t>（</w:t>
      </w:r>
      <w:r>
        <w:rPr>
          <w:u w:val="single"/>
        </w:rPr>
        <w:t>5</w:t>
      </w:r>
      <w:r>
        <w:rPr>
          <w:rFonts w:hint="eastAsia"/>
          <w:u w:val="single"/>
        </w:rPr>
        <w:t>）关闭或封场后，应设置标志物，注明关闭或封场时间，以及使用该土地时应</w:t>
      </w:r>
      <w:r>
        <w:rPr>
          <w:rFonts w:hint="eastAsia"/>
        </w:rPr>
        <w:t>注意的事项。</w:t>
      </w:r>
    </w:p>
    <w:p>
      <w:pPr>
        <w:ind w:firstLine="480"/>
        <w:rPr>
          <w:u w:val="single"/>
        </w:rPr>
      </w:pPr>
      <w:r>
        <w:rPr>
          <w:rFonts w:hint="eastAsia"/>
          <w:u w:val="single"/>
        </w:rPr>
        <w:t>（</w:t>
      </w:r>
      <w:r>
        <w:rPr>
          <w:u w:val="single"/>
        </w:rPr>
        <w:t>6</w:t>
      </w:r>
      <w:r>
        <w:rPr>
          <w:rFonts w:hint="eastAsia"/>
          <w:u w:val="single"/>
        </w:rPr>
        <w:t>）对固体废物处置场进行绿化，复垦率为</w:t>
      </w:r>
      <w:r>
        <w:rPr>
          <w:u w:val="single"/>
        </w:rPr>
        <w:t>100%</w:t>
      </w:r>
      <w:r>
        <w:rPr>
          <w:rFonts w:hint="eastAsia"/>
          <w:u w:val="single"/>
        </w:rPr>
        <w:t>。</w:t>
      </w:r>
    </w:p>
    <w:p>
      <w:pPr>
        <w:ind w:firstLine="480"/>
        <w:rPr>
          <w:u w:val="single"/>
        </w:rPr>
      </w:pPr>
      <w:r>
        <w:rPr>
          <w:rFonts w:hint="eastAsia"/>
          <w:u w:val="single"/>
        </w:rPr>
        <w:t>（</w:t>
      </w:r>
      <w:r>
        <w:rPr>
          <w:u w:val="single"/>
        </w:rPr>
        <w:t>7</w:t>
      </w:r>
      <w:r>
        <w:rPr>
          <w:rFonts w:hint="eastAsia"/>
          <w:u w:val="single"/>
        </w:rPr>
        <w:t>）封场后，渗滤液及其处理后的排放水的监测系统应继续维持正常运转，直至水质稳定为止，地下水监测应继续，直至水质稳定为止。</w:t>
      </w:r>
    </w:p>
    <w:p>
      <w:pPr>
        <w:pStyle w:val="3"/>
      </w:pPr>
      <w:bookmarkStart w:id="355" w:name="_Toc346092705"/>
      <w:bookmarkStart w:id="356" w:name="_Toc391370291"/>
      <w:bookmarkStart w:id="357" w:name="_Toc397322873"/>
      <w:bookmarkStart w:id="358" w:name="_Toc344647830"/>
      <w:bookmarkStart w:id="359" w:name="_Toc462818468"/>
      <w:r>
        <w:rPr>
          <w:rFonts w:hint="eastAsia"/>
        </w:rPr>
        <w:t>环境监测</w:t>
      </w:r>
      <w:bookmarkEnd w:id="354"/>
      <w:bookmarkEnd w:id="355"/>
      <w:bookmarkEnd w:id="356"/>
      <w:bookmarkEnd w:id="357"/>
      <w:bookmarkEnd w:id="358"/>
      <w:bookmarkEnd w:id="359"/>
    </w:p>
    <w:p>
      <w:pPr>
        <w:ind w:firstLine="480"/>
        <w:rPr>
          <w:u w:val="single"/>
        </w:rPr>
      </w:pPr>
      <w:r>
        <w:rPr>
          <w:rFonts w:hint="eastAsia"/>
          <w:u w:val="single"/>
        </w:rPr>
        <w:t>本项目环境监测参照</w:t>
      </w:r>
      <w:r>
        <w:rPr>
          <w:rFonts w:hint="eastAsia"/>
          <w:kern w:val="0"/>
          <w:u w:val="single"/>
        </w:rPr>
        <w:t>《一般工业固体废物贮存、处置</w:t>
      </w:r>
      <w:r>
        <w:rPr>
          <w:rFonts w:hint="eastAsia"/>
          <w:u w:val="single"/>
        </w:rPr>
        <w:t>污染物控制标准</w:t>
      </w:r>
      <w:r>
        <w:rPr>
          <w:rFonts w:hint="eastAsia"/>
          <w:kern w:val="0"/>
          <w:u w:val="single"/>
        </w:rPr>
        <w:t>》（</w:t>
      </w:r>
      <w:r>
        <w:rPr>
          <w:kern w:val="0"/>
          <w:u w:val="single"/>
        </w:rPr>
        <w:t>GB18599-2008</w:t>
      </w:r>
      <w:r>
        <w:rPr>
          <w:rFonts w:hint="eastAsia"/>
          <w:kern w:val="0"/>
          <w:u w:val="single"/>
        </w:rPr>
        <w:t>）</w:t>
      </w:r>
      <w:r>
        <w:rPr>
          <w:rFonts w:hint="eastAsia"/>
          <w:u w:val="single"/>
        </w:rPr>
        <w:t>进行。</w:t>
      </w:r>
    </w:p>
    <w:p>
      <w:pPr>
        <w:pStyle w:val="4"/>
        <w:rPr>
          <w:kern w:val="24"/>
        </w:rPr>
      </w:pPr>
      <w:bookmarkStart w:id="360" w:name="_Toc344647831"/>
      <w:bookmarkStart w:id="361" w:name="_Toc346092706"/>
      <w:bookmarkStart w:id="362" w:name="_Toc391370292"/>
      <w:r>
        <w:rPr>
          <w:rFonts w:hint="eastAsia"/>
          <w:kern w:val="24"/>
        </w:rPr>
        <w:t>污染控制项目</w:t>
      </w:r>
      <w:bookmarkEnd w:id="360"/>
      <w:bookmarkEnd w:id="361"/>
      <w:bookmarkEnd w:id="362"/>
    </w:p>
    <w:p>
      <w:pPr>
        <w:ind w:firstLine="480"/>
      </w:pPr>
      <w:r>
        <w:rPr>
          <w:rFonts w:hint="eastAsia"/>
        </w:rPr>
        <w:t>（</w:t>
      </w:r>
      <w:r>
        <w:t>1</w:t>
      </w:r>
      <w:r>
        <w:rPr>
          <w:rFonts w:hint="eastAsia"/>
        </w:rPr>
        <w:t>）渗滤液及其处理后的排放水</w:t>
      </w:r>
    </w:p>
    <w:p>
      <w:pPr>
        <w:ind w:firstLine="480"/>
      </w:pPr>
      <w:r>
        <w:rPr>
          <w:rFonts w:hint="eastAsia"/>
        </w:rPr>
        <w:t>应选择本</w:t>
      </w:r>
      <w:r>
        <w:t>项目工业固体废物的特征组分砷作为控制项目。</w:t>
      </w:r>
    </w:p>
    <w:p>
      <w:pPr>
        <w:ind w:firstLine="480"/>
      </w:pPr>
      <w:r>
        <w:t>（2）地下水</w:t>
      </w:r>
    </w:p>
    <w:p>
      <w:pPr>
        <w:ind w:firstLine="480"/>
        <w:rPr>
          <w:kern w:val="0"/>
        </w:rPr>
      </w:pPr>
      <w:r>
        <w:rPr>
          <w:kern w:val="0"/>
        </w:rPr>
        <w:t>贮存、处置场投入使用前，以GB/T14848地下水环境质量标准规定的</w:t>
      </w:r>
      <w:r>
        <w:rPr>
          <w:sz w:val="23"/>
          <w:szCs w:val="23"/>
          <w:shd w:val="clear" w:color="auto" w:fill="FFFFFF"/>
        </w:rPr>
        <w:t>As、Pb、Cr</w:t>
      </w:r>
      <w:r>
        <w:rPr>
          <w:sz w:val="23"/>
          <w:szCs w:val="23"/>
          <w:shd w:val="clear" w:color="auto" w:fill="FFFFFF"/>
          <w:vertAlign w:val="superscript"/>
        </w:rPr>
        <w:t>6+</w:t>
      </w:r>
      <w:r>
        <w:rPr>
          <w:kern w:val="0"/>
        </w:rPr>
        <w:t>等重金属作为控制目标，使用过程中和关闭或封场后的控制目标，选择所贮存、处置的固体废物的特征组分</w:t>
      </w:r>
      <w:r>
        <w:rPr>
          <w:sz w:val="23"/>
          <w:szCs w:val="23"/>
          <w:shd w:val="clear" w:color="auto" w:fill="FFFFFF"/>
        </w:rPr>
        <w:t>As、Pb、Cr</w:t>
      </w:r>
      <w:r>
        <w:rPr>
          <w:sz w:val="23"/>
          <w:szCs w:val="23"/>
          <w:shd w:val="clear" w:color="auto" w:fill="FFFFFF"/>
          <w:vertAlign w:val="superscript"/>
        </w:rPr>
        <w:t>6+</w:t>
      </w:r>
      <w:r>
        <w:rPr>
          <w:kern w:val="0"/>
        </w:rPr>
        <w:t>等作为控制项目。</w:t>
      </w:r>
    </w:p>
    <w:p>
      <w:pPr>
        <w:ind w:firstLine="480"/>
        <w:rPr>
          <w:kern w:val="0"/>
        </w:rPr>
      </w:pPr>
      <w:r>
        <w:rPr>
          <w:kern w:val="0"/>
        </w:rPr>
        <w:t>（3）大气</w:t>
      </w:r>
    </w:p>
    <w:p>
      <w:pPr>
        <w:ind w:firstLine="480"/>
        <w:rPr>
          <w:kern w:val="0"/>
        </w:rPr>
      </w:pPr>
      <w:r>
        <w:rPr>
          <w:kern w:val="0"/>
        </w:rPr>
        <w:t>本项目填埋场以颗粒物为控制项目。</w:t>
      </w:r>
    </w:p>
    <w:p>
      <w:pPr>
        <w:pStyle w:val="4"/>
        <w:rPr>
          <w:kern w:val="24"/>
        </w:rPr>
      </w:pPr>
      <w:bookmarkStart w:id="363" w:name="_Toc344647832"/>
      <w:bookmarkStart w:id="364" w:name="_Toc391370293"/>
      <w:bookmarkStart w:id="365" w:name="_Toc346092707"/>
      <w:r>
        <w:rPr>
          <w:kern w:val="24"/>
        </w:rPr>
        <w:t>监测项目及监测方法</w:t>
      </w:r>
      <w:bookmarkEnd w:id="363"/>
      <w:bookmarkEnd w:id="364"/>
      <w:bookmarkEnd w:id="365"/>
    </w:p>
    <w:p>
      <w:pPr>
        <w:ind w:firstLine="480"/>
        <w:rPr>
          <w:kern w:val="0"/>
        </w:rPr>
      </w:pPr>
      <w:r>
        <w:rPr>
          <w:kern w:val="0"/>
        </w:rPr>
        <w:t>（1）大气污染物监测</w:t>
      </w:r>
    </w:p>
    <w:p>
      <w:pPr>
        <w:ind w:firstLine="480"/>
        <w:rPr>
          <w:kern w:val="0"/>
        </w:rPr>
      </w:pPr>
      <w:r>
        <w:rPr>
          <w:kern w:val="0"/>
        </w:rPr>
        <w:t>①采样点的布设：作业区上风向500m处布1 点，下风向500m处布1点，作业区内按面积大小确定采样点数，处置场大气监测点不应少于4 点。</w:t>
      </w:r>
    </w:p>
    <w:p>
      <w:pPr>
        <w:ind w:firstLine="480"/>
        <w:rPr>
          <w:kern w:val="0"/>
        </w:rPr>
      </w:pPr>
      <w:r>
        <w:rPr>
          <w:kern w:val="0"/>
        </w:rPr>
        <w:t>②监测频率：每月一次。</w:t>
      </w:r>
    </w:p>
    <w:p>
      <w:pPr>
        <w:ind w:firstLine="480"/>
        <w:rPr>
          <w:kern w:val="0"/>
        </w:rPr>
      </w:pPr>
      <w:r>
        <w:rPr>
          <w:kern w:val="0"/>
        </w:rPr>
        <w:t>③采样方法：大气污染物监测采样方法，应按《环境空气质量手工监测技术规范》（HJ/T194-2005）执行。</w:t>
      </w:r>
    </w:p>
    <w:p>
      <w:pPr>
        <w:ind w:firstLine="480"/>
        <w:rPr>
          <w:kern w:val="0"/>
        </w:rPr>
      </w:pPr>
      <w:r>
        <w:rPr>
          <w:kern w:val="0"/>
        </w:rPr>
        <w:t>④监测项目：TSP。</w:t>
      </w:r>
    </w:p>
    <w:p>
      <w:pPr>
        <w:ind w:firstLine="480"/>
        <w:rPr>
          <w:kern w:val="0"/>
        </w:rPr>
      </w:pPr>
      <w:r>
        <w:rPr>
          <w:kern w:val="0"/>
        </w:rPr>
        <w:t>（2）渗滤液监测</w:t>
      </w:r>
    </w:p>
    <w:p>
      <w:pPr>
        <w:ind w:firstLine="480"/>
        <w:rPr>
          <w:color w:val="FF0000"/>
          <w:kern w:val="0"/>
        </w:rPr>
      </w:pPr>
      <w:r>
        <w:rPr>
          <w:kern w:val="0"/>
        </w:rPr>
        <w:t>①采样点的布设：采样点设在渗滤液收集池入口。</w:t>
      </w:r>
    </w:p>
    <w:p>
      <w:pPr>
        <w:ind w:firstLine="480"/>
        <w:rPr>
          <w:kern w:val="0"/>
        </w:rPr>
      </w:pPr>
      <w:r>
        <w:rPr>
          <w:kern w:val="0"/>
        </w:rPr>
        <w:t>②采样频率：根据污水处理工艺设计的要求和浆水情况，每月监测一次</w:t>
      </w:r>
    </w:p>
    <w:p>
      <w:pPr>
        <w:ind w:firstLine="480"/>
        <w:rPr>
          <w:kern w:val="0"/>
        </w:rPr>
      </w:pPr>
      <w:r>
        <w:rPr>
          <w:kern w:val="0"/>
        </w:rPr>
        <w:t>③采样方法：用采样器提取渗滤液，弃去前3 次渗滤液，用第4 次渗滤液作为分析样品，采样量和固定方法，应按《地表水和污水监测技术规范》（HJ/T91-2002）执行。</w:t>
      </w:r>
    </w:p>
    <w:p>
      <w:pPr>
        <w:ind w:firstLine="480"/>
        <w:rPr>
          <w:kern w:val="0"/>
        </w:rPr>
      </w:pPr>
      <w:r>
        <w:rPr>
          <w:kern w:val="0"/>
        </w:rPr>
        <w:t>④监测项目：包括pH、</w:t>
      </w:r>
      <w:r>
        <w:rPr>
          <w:sz w:val="23"/>
          <w:szCs w:val="23"/>
          <w:shd w:val="clear" w:color="auto" w:fill="FFFFFF"/>
        </w:rPr>
        <w:t>As、Pb、Cr</w:t>
      </w:r>
      <w:r>
        <w:rPr>
          <w:sz w:val="23"/>
          <w:szCs w:val="23"/>
          <w:shd w:val="clear" w:color="auto" w:fill="FFFFFF"/>
          <w:vertAlign w:val="superscript"/>
        </w:rPr>
        <w:t>6+</w:t>
      </w:r>
      <w:r>
        <w:rPr>
          <w:kern w:val="0"/>
        </w:rPr>
        <w:t>等。</w:t>
      </w:r>
    </w:p>
    <w:p>
      <w:pPr>
        <w:ind w:firstLine="480" w:firstLineChars="0"/>
        <w:rPr>
          <w:kern w:val="0"/>
        </w:rPr>
      </w:pPr>
      <w:r>
        <w:rPr>
          <w:rFonts w:hint="eastAsia"/>
          <w:kern w:val="0"/>
        </w:rPr>
        <w:t>（3）地下水监测</w:t>
      </w:r>
    </w:p>
    <w:p>
      <w:pPr>
        <w:ind w:firstLine="480" w:firstLineChars="0"/>
        <w:rPr>
          <w:kern w:val="0"/>
          <w:u w:val="single"/>
        </w:rPr>
      </w:pPr>
      <w:r>
        <w:rPr>
          <w:rFonts w:hint="eastAsia"/>
          <w:kern w:val="0"/>
          <w:u w:val="single"/>
        </w:rPr>
        <w:t>根据《一般工业固体废物贮存、处置</w:t>
      </w:r>
      <w:r>
        <w:rPr>
          <w:rFonts w:hint="eastAsia"/>
          <w:u w:val="single"/>
        </w:rPr>
        <w:t>污染物控制标准</w:t>
      </w:r>
      <w:r>
        <w:rPr>
          <w:rFonts w:hint="eastAsia"/>
          <w:kern w:val="0"/>
          <w:u w:val="single"/>
        </w:rPr>
        <w:t>》（</w:t>
      </w:r>
      <w:r>
        <w:rPr>
          <w:kern w:val="0"/>
          <w:u w:val="single"/>
        </w:rPr>
        <w:t>GB18599-2008</w:t>
      </w:r>
      <w:r>
        <w:rPr>
          <w:rFonts w:hint="eastAsia"/>
          <w:kern w:val="0"/>
          <w:u w:val="single"/>
        </w:rPr>
        <w:t>）中相关要求设置监测井。</w:t>
      </w:r>
    </w:p>
    <w:p>
      <w:pPr>
        <w:ind w:firstLine="480"/>
        <w:rPr>
          <w:kern w:val="0"/>
          <w:u w:val="single"/>
        </w:rPr>
      </w:pPr>
      <w:r>
        <w:rPr>
          <w:rFonts w:hint="eastAsia"/>
          <w:kern w:val="0"/>
          <w:u w:val="single"/>
        </w:rPr>
        <w:t>①采样点的布设：地下水采样点布设</w:t>
      </w:r>
      <w:r>
        <w:rPr>
          <w:kern w:val="0"/>
          <w:u w:val="single"/>
        </w:rPr>
        <w:t>3</w:t>
      </w:r>
      <w:r>
        <w:rPr>
          <w:rFonts w:hint="eastAsia"/>
          <w:kern w:val="0"/>
          <w:u w:val="single"/>
        </w:rPr>
        <w:t>点；</w:t>
      </w:r>
    </w:p>
    <w:p>
      <w:pPr>
        <w:ind w:firstLine="480"/>
        <w:rPr>
          <w:u w:val="single"/>
        </w:rPr>
      </w:pPr>
      <w:r>
        <w:rPr>
          <w:rFonts w:hint="eastAsia"/>
          <w:u w:val="single"/>
        </w:rPr>
        <w:t>污染扩散井</w:t>
      </w:r>
      <w:r>
        <w:rPr>
          <w:u w:val="single"/>
        </w:rPr>
        <w:t>2</w:t>
      </w:r>
      <w:r>
        <w:rPr>
          <w:rFonts w:hint="eastAsia"/>
          <w:u w:val="single"/>
        </w:rPr>
        <w:t>眼：各设在地面水流向东西两侧</w:t>
      </w:r>
      <w:r>
        <w:rPr>
          <w:u w:val="single"/>
        </w:rPr>
        <w:t>50m</w:t>
      </w:r>
      <w:r>
        <w:rPr>
          <w:rFonts w:hint="eastAsia"/>
          <w:u w:val="single"/>
        </w:rPr>
        <w:t>处；污染监视井</w:t>
      </w:r>
      <w:r>
        <w:rPr>
          <w:u w:val="single"/>
        </w:rPr>
        <w:t>1</w:t>
      </w:r>
      <w:r>
        <w:rPr>
          <w:rFonts w:hint="eastAsia"/>
          <w:u w:val="single"/>
        </w:rPr>
        <w:t>眼：设在处置场地下水流向下游</w:t>
      </w:r>
      <w:r>
        <w:rPr>
          <w:u w:val="single"/>
        </w:rPr>
        <w:t>50m</w:t>
      </w:r>
      <w:r>
        <w:rPr>
          <w:rFonts w:hint="eastAsia"/>
          <w:u w:val="single"/>
        </w:rPr>
        <w:t>处，监测井设置合理。</w:t>
      </w:r>
    </w:p>
    <w:p>
      <w:pPr>
        <w:ind w:firstLine="480"/>
        <w:rPr>
          <w:kern w:val="0"/>
        </w:rPr>
      </w:pPr>
      <w:r>
        <w:rPr>
          <w:rFonts w:hint="eastAsia"/>
          <w:kern w:val="0"/>
        </w:rPr>
        <w:t>②采样频率：在处置场投入运行前应监测本底水平一次，运行期间每年按丰、平、枯水期各监测一次。</w:t>
      </w:r>
    </w:p>
    <w:p>
      <w:pPr>
        <w:ind w:firstLine="480"/>
        <w:rPr>
          <w:kern w:val="0"/>
        </w:rPr>
      </w:pPr>
      <w:r>
        <w:rPr>
          <w:rFonts w:hint="eastAsia"/>
          <w:kern w:val="0"/>
        </w:rPr>
        <w:t>③采样方法：用特制的小水桶提取水样，严禁用泵抽吸水样，弃去前</w:t>
      </w:r>
      <w:r>
        <w:rPr>
          <w:kern w:val="0"/>
        </w:rPr>
        <w:t>3</w:t>
      </w:r>
      <w:r>
        <w:rPr>
          <w:rFonts w:hint="eastAsia"/>
          <w:kern w:val="0"/>
        </w:rPr>
        <w:t>次水样，用第</w:t>
      </w:r>
      <w:r>
        <w:rPr>
          <w:kern w:val="0"/>
        </w:rPr>
        <w:t>4</w:t>
      </w:r>
      <w:r>
        <w:rPr>
          <w:rFonts w:hint="eastAsia"/>
          <w:kern w:val="0"/>
        </w:rPr>
        <w:t>次水样作为分析样品，每个样品采集</w:t>
      </w:r>
      <w:r>
        <w:rPr>
          <w:kern w:val="0"/>
        </w:rPr>
        <w:t>2000mL</w:t>
      </w:r>
      <w:r>
        <w:rPr>
          <w:rFonts w:hint="eastAsia"/>
          <w:kern w:val="0"/>
        </w:rPr>
        <w:t>，特殊项目的采样量和固定方法按其所监测项目的分析方法要求进行。</w:t>
      </w:r>
    </w:p>
    <w:p>
      <w:pPr>
        <w:ind w:firstLine="480"/>
        <w:rPr>
          <w:kern w:val="0"/>
          <w:u w:val="single"/>
        </w:rPr>
      </w:pPr>
      <w:r>
        <w:rPr>
          <w:kern w:val="0"/>
          <w:u w:val="single"/>
        </w:rPr>
        <w:t>④监测项目：包括pH、</w:t>
      </w:r>
      <w:r>
        <w:rPr>
          <w:sz w:val="23"/>
          <w:szCs w:val="23"/>
          <w:u w:val="single"/>
          <w:shd w:val="clear" w:color="auto" w:fill="FFFFFF"/>
        </w:rPr>
        <w:t>As、Pb、Cr</w:t>
      </w:r>
      <w:r>
        <w:rPr>
          <w:sz w:val="23"/>
          <w:szCs w:val="23"/>
          <w:u w:val="single"/>
          <w:shd w:val="clear" w:color="auto" w:fill="FFFFFF"/>
          <w:vertAlign w:val="superscript"/>
        </w:rPr>
        <w:t>6+</w:t>
      </w:r>
      <w:r>
        <w:rPr>
          <w:kern w:val="0"/>
          <w:u w:val="single"/>
        </w:rPr>
        <w:t>。</w:t>
      </w:r>
    </w:p>
    <w:p>
      <w:pPr>
        <w:ind w:firstLine="480"/>
        <w:rPr>
          <w:kern w:val="0"/>
        </w:rPr>
      </w:pPr>
      <w:r>
        <w:rPr>
          <w:rFonts w:hint="eastAsia"/>
          <w:kern w:val="0"/>
        </w:rPr>
        <w:t>（</w:t>
      </w:r>
      <w:r>
        <w:rPr>
          <w:kern w:val="0"/>
        </w:rPr>
        <w:t>4</w:t>
      </w:r>
      <w:r>
        <w:rPr>
          <w:rFonts w:hint="eastAsia"/>
          <w:kern w:val="0"/>
        </w:rPr>
        <w:t>）噪声监测</w:t>
      </w:r>
    </w:p>
    <w:p>
      <w:pPr>
        <w:ind w:firstLine="480"/>
        <w:rPr>
          <w:kern w:val="0"/>
        </w:rPr>
      </w:pPr>
      <w:r>
        <w:rPr>
          <w:rFonts w:hint="eastAsia"/>
          <w:kern w:val="0"/>
        </w:rPr>
        <w:t>噪声监测应按《工业企业厂界噪声测量方法》（</w:t>
      </w:r>
      <w:r>
        <w:rPr>
          <w:kern w:val="0"/>
        </w:rPr>
        <w:t>GB12349-1990</w:t>
      </w:r>
      <w:r>
        <w:rPr>
          <w:rFonts w:hint="eastAsia"/>
          <w:kern w:val="0"/>
        </w:rPr>
        <w:t>）规定执行。</w:t>
      </w:r>
    </w:p>
    <w:p>
      <w:pPr>
        <w:pStyle w:val="4"/>
        <w:rPr>
          <w:kern w:val="24"/>
        </w:rPr>
      </w:pPr>
      <w:bookmarkStart w:id="366" w:name="_Toc346092708"/>
      <w:bookmarkStart w:id="367" w:name="_Toc391370294"/>
      <w:bookmarkStart w:id="368" w:name="_Toc344647833"/>
      <w:r>
        <w:rPr>
          <w:rFonts w:hint="eastAsia"/>
          <w:kern w:val="24"/>
        </w:rPr>
        <w:t>跟踪维护与跟踪监测</w:t>
      </w:r>
      <w:bookmarkEnd w:id="366"/>
      <w:bookmarkEnd w:id="367"/>
      <w:bookmarkEnd w:id="368"/>
    </w:p>
    <w:p>
      <w:pPr>
        <w:ind w:firstLine="480"/>
      </w:pPr>
      <w:r>
        <w:rPr>
          <w:rFonts w:hint="eastAsia"/>
        </w:rPr>
        <w:t>（</w:t>
      </w:r>
      <w:r>
        <w:t>1</w:t>
      </w:r>
      <w:r>
        <w:rPr>
          <w:rFonts w:hint="eastAsia"/>
        </w:rPr>
        <w:t>）处置场终场之后，要设专人维护有关设备，处理有关问题。</w:t>
      </w:r>
    </w:p>
    <w:p>
      <w:pPr>
        <w:ind w:firstLine="480"/>
      </w:pPr>
      <w:r>
        <w:rPr>
          <w:rFonts w:hint="eastAsia"/>
        </w:rPr>
        <w:t>（</w:t>
      </w:r>
      <w:r>
        <w:t>2</w:t>
      </w:r>
      <w:r>
        <w:rPr>
          <w:rFonts w:hint="eastAsia"/>
        </w:rPr>
        <w:t>）固体废物处置场</w:t>
      </w:r>
      <w:r>
        <w:rPr>
          <w:rFonts w:hint="eastAsia"/>
          <w:kern w:val="0"/>
        </w:rPr>
        <w:t>管理机构和地方环境保护行政主管部门均应对封场后的渗滤液、地下水进行持续监测。封场后要求渗滤液封场后</w:t>
      </w:r>
      <w:r>
        <w:rPr>
          <w:kern w:val="0"/>
        </w:rPr>
        <w:t>3</w:t>
      </w:r>
      <w:r>
        <w:rPr>
          <w:rFonts w:hint="eastAsia"/>
          <w:kern w:val="0"/>
        </w:rPr>
        <w:t>年内应每年监测</w:t>
      </w:r>
      <w:r>
        <w:rPr>
          <w:kern w:val="0"/>
        </w:rPr>
        <w:t>2</w:t>
      </w:r>
      <w:r>
        <w:rPr>
          <w:rFonts w:hint="eastAsia"/>
          <w:kern w:val="0"/>
        </w:rPr>
        <w:t>次，</w:t>
      </w:r>
      <w:r>
        <w:rPr>
          <w:kern w:val="0"/>
        </w:rPr>
        <w:t>3</w:t>
      </w:r>
      <w:r>
        <w:rPr>
          <w:rFonts w:hint="eastAsia"/>
          <w:kern w:val="0"/>
        </w:rPr>
        <w:t>年后应根据出水水质确定采样频次；地下水封场后应每年监测</w:t>
      </w:r>
      <w:r>
        <w:rPr>
          <w:kern w:val="0"/>
        </w:rPr>
        <w:t>1</w:t>
      </w:r>
      <w:r>
        <w:rPr>
          <w:rFonts w:hint="eastAsia"/>
          <w:kern w:val="0"/>
        </w:rPr>
        <w:t>次。</w:t>
      </w:r>
      <w:r>
        <w:rPr>
          <w:rFonts w:hint="eastAsia"/>
        </w:rPr>
        <w:t>当测试结果表明填埋已稳定无害后，应召开专家论证会，宣告结束维护。</w:t>
      </w:r>
    </w:p>
    <w:p>
      <w:pPr>
        <w:ind w:firstLine="480"/>
      </w:pPr>
      <w:r>
        <w:rPr>
          <w:rFonts w:hint="eastAsia"/>
        </w:rPr>
        <w:t>以上监测任务，建设单位可根据情况由建设单位或委托当地环境保护检测单位完成。</w:t>
      </w:r>
    </w:p>
    <w:p>
      <w:pPr>
        <w:pStyle w:val="3"/>
      </w:pPr>
      <w:bookmarkStart w:id="369" w:name="_Toc397322874"/>
      <w:bookmarkStart w:id="370" w:name="_Toc391370295"/>
      <w:bookmarkStart w:id="371" w:name="_Toc462818469"/>
      <w:r>
        <w:rPr>
          <w:rFonts w:hint="eastAsia"/>
        </w:rPr>
        <w:t>建设项目竣工环境保护验收管理</w:t>
      </w:r>
      <w:bookmarkEnd w:id="369"/>
      <w:bookmarkEnd w:id="370"/>
      <w:bookmarkEnd w:id="371"/>
    </w:p>
    <w:p>
      <w:pPr>
        <w:pStyle w:val="4"/>
        <w:rPr>
          <w:kern w:val="24"/>
        </w:rPr>
      </w:pPr>
      <w:bookmarkStart w:id="372" w:name="_Toc347587516"/>
      <w:bookmarkStart w:id="373" w:name="_Toc391370296"/>
      <w:bookmarkStart w:id="374" w:name="_Toc322418751"/>
      <w:r>
        <w:rPr>
          <w:kern w:val="24"/>
        </w:rPr>
        <w:t xml:space="preserve"> “</w:t>
      </w:r>
      <w:r>
        <w:rPr>
          <w:rFonts w:hint="eastAsia"/>
          <w:kern w:val="24"/>
        </w:rPr>
        <w:t>三同时</w:t>
      </w:r>
      <w:r>
        <w:rPr>
          <w:kern w:val="24"/>
        </w:rPr>
        <w:t>”</w:t>
      </w:r>
      <w:r>
        <w:rPr>
          <w:rFonts w:hint="eastAsia"/>
          <w:kern w:val="24"/>
        </w:rPr>
        <w:t>验收管理</w:t>
      </w:r>
      <w:bookmarkEnd w:id="372"/>
      <w:bookmarkEnd w:id="373"/>
      <w:bookmarkEnd w:id="374"/>
    </w:p>
    <w:p>
      <w:pPr>
        <w:ind w:firstLine="480"/>
      </w:pPr>
      <w:r>
        <w:rPr>
          <w:rFonts w:hint="eastAsia"/>
        </w:rPr>
        <w:t>根据</w:t>
      </w:r>
      <w:r>
        <w:t>2002</w:t>
      </w:r>
      <w:r>
        <w:rPr>
          <w:rFonts w:hint="eastAsia"/>
        </w:rPr>
        <w:t>年</w:t>
      </w:r>
      <w:r>
        <w:t>2</w:t>
      </w:r>
      <w:r>
        <w:rPr>
          <w:rFonts w:hint="eastAsia"/>
        </w:rPr>
        <w:t>月</w:t>
      </w:r>
      <w:r>
        <w:t>1</w:t>
      </w:r>
      <w:r>
        <w:rPr>
          <w:rFonts w:hint="eastAsia"/>
        </w:rPr>
        <w:t>日起施行的《建设项目竣工环境保护验收管理办法》中规定，建设项目竣工环境保护验收是指建设项目竣工后，环境保护行政主管部门根据本办法规定，依据环境保护验收监测或调查结果，并通过现场检查等手段，考核该建设项目是否达到环境保护要求的活动。</w:t>
      </w:r>
    </w:p>
    <w:p>
      <w:pPr>
        <w:ind w:firstLine="480"/>
      </w:pPr>
      <w:r>
        <w:rPr>
          <w:rFonts w:hint="eastAsia"/>
        </w:rPr>
        <w:t>验收范围包括：与建设项目有关的各项环境保护设施，包括为防治污染和保护环境所建成或配备的工程、设备、装置和监测手段。建设项目的主体工程完工后，其配套建设的环境保护设施必须与主体工程同时投入生产或者运行。需要进行试生产的，其配套建设的环境保护设施必须与主体工程同时投入试运行，建设单位应当自试运营之日起</w:t>
      </w:r>
      <w:r>
        <w:t>3</w:t>
      </w:r>
      <w:r>
        <w:rPr>
          <w:rFonts w:hint="eastAsia"/>
        </w:rPr>
        <w:t>个月内，向有审批权的环境保护行政主管部门申请该建设项目竣工环境保护验收。</w:t>
      </w:r>
    </w:p>
    <w:p>
      <w:pPr>
        <w:pStyle w:val="4"/>
        <w:rPr>
          <w:kern w:val="24"/>
        </w:rPr>
      </w:pPr>
      <w:bookmarkStart w:id="375" w:name="_Toc322418752"/>
      <w:bookmarkStart w:id="376" w:name="_Toc347587517"/>
      <w:bookmarkStart w:id="377" w:name="_Toc391370297"/>
      <w:r>
        <w:rPr>
          <w:rFonts w:hint="eastAsia"/>
          <w:kern w:val="24"/>
        </w:rPr>
        <w:t>环境保护验收条件</w:t>
      </w:r>
      <w:bookmarkEnd w:id="375"/>
      <w:bookmarkEnd w:id="376"/>
      <w:bookmarkEnd w:id="377"/>
    </w:p>
    <w:p>
      <w:pPr>
        <w:ind w:firstLine="480"/>
      </w:pPr>
      <w:r>
        <w:rPr>
          <w:rFonts w:hint="eastAsia"/>
        </w:rPr>
        <w:t>（</w:t>
      </w:r>
      <w:r>
        <w:t>1</w:t>
      </w:r>
      <w:r>
        <w:rPr>
          <w:rFonts w:hint="eastAsia"/>
        </w:rPr>
        <w:t>）建设前期环境保护审查、审批手续完备，技术资料与环境保护档案资料齐全；</w:t>
      </w:r>
    </w:p>
    <w:p>
      <w:pPr>
        <w:ind w:firstLine="480"/>
      </w:pPr>
      <w:r>
        <w:rPr>
          <w:rFonts w:hint="eastAsia"/>
        </w:rPr>
        <w:t>（</w:t>
      </w:r>
      <w:r>
        <w:t>2</w:t>
      </w:r>
      <w:r>
        <w:rPr>
          <w:rFonts w:hint="eastAsia"/>
        </w:rPr>
        <w:t>）环境保护设施及其它措施等已按批准的环境影响报告书的要求建成或者落实，环境保护设施经负荷试车检测合格，其防治污染能力适应主体工程的需要；</w:t>
      </w:r>
    </w:p>
    <w:p>
      <w:pPr>
        <w:ind w:firstLine="480"/>
      </w:pPr>
      <w:r>
        <w:rPr>
          <w:rFonts w:hint="eastAsia"/>
        </w:rPr>
        <w:t>（</w:t>
      </w:r>
      <w:r>
        <w:t>3</w:t>
      </w:r>
      <w:r>
        <w:rPr>
          <w:rFonts w:hint="eastAsia"/>
        </w:rPr>
        <w:t>）环境保护设施安装质量符合国家和有关部门颁发的专业工程验收规范、规程和检验评定标准；</w:t>
      </w:r>
    </w:p>
    <w:p>
      <w:pPr>
        <w:ind w:firstLine="480"/>
      </w:pPr>
      <w:r>
        <w:rPr>
          <w:rFonts w:hint="eastAsia"/>
        </w:rPr>
        <w:t>（</w:t>
      </w:r>
      <w:r>
        <w:t>4</w:t>
      </w:r>
      <w:r>
        <w:rPr>
          <w:rFonts w:hint="eastAsia"/>
        </w:rPr>
        <w:t>）具备环境保护设施正常运转的条件，包括：经培训合格的操作人员、健全的岗位操作规程及相应的规章制度，原料、动力供应落实，符合交付使用的其他要求；</w:t>
      </w:r>
    </w:p>
    <w:p>
      <w:pPr>
        <w:ind w:firstLine="480"/>
      </w:pPr>
      <w:r>
        <w:rPr>
          <w:rFonts w:hint="eastAsia"/>
        </w:rPr>
        <w:t>（</w:t>
      </w:r>
      <w:r>
        <w:t>5</w:t>
      </w:r>
      <w:r>
        <w:rPr>
          <w:rFonts w:hint="eastAsia"/>
        </w:rPr>
        <w:t>）污染物排放符合环境影响报告书和设计文件中提出的标准及核定的污染物排放总量控制指标的要求；</w:t>
      </w:r>
    </w:p>
    <w:p>
      <w:pPr>
        <w:ind w:firstLine="480"/>
      </w:pPr>
      <w:r>
        <w:rPr>
          <w:rFonts w:hint="eastAsia"/>
        </w:rPr>
        <w:t>（</w:t>
      </w:r>
      <w:r>
        <w:t>6</w:t>
      </w:r>
      <w:r>
        <w:rPr>
          <w:rFonts w:hint="eastAsia"/>
        </w:rPr>
        <w:t>）环境监测项目、点位、机构设置及人员配备，符合环境影响报告书和有关规定的要求。</w:t>
      </w:r>
    </w:p>
    <w:p>
      <w:pPr>
        <w:pStyle w:val="4"/>
        <w:rPr>
          <w:kern w:val="24"/>
        </w:rPr>
      </w:pPr>
      <w:bookmarkStart w:id="378" w:name="_Toc322418753"/>
      <w:bookmarkStart w:id="379" w:name="_Toc391370298"/>
      <w:bookmarkStart w:id="380" w:name="_Toc347587518"/>
      <w:r>
        <w:rPr>
          <w:kern w:val="24"/>
        </w:rPr>
        <w:t>“</w:t>
      </w:r>
      <w:r>
        <w:rPr>
          <w:rFonts w:hint="eastAsia"/>
          <w:kern w:val="24"/>
        </w:rPr>
        <w:t>三同时</w:t>
      </w:r>
      <w:r>
        <w:rPr>
          <w:kern w:val="24"/>
        </w:rPr>
        <w:t>”</w:t>
      </w:r>
      <w:r>
        <w:rPr>
          <w:rFonts w:hint="eastAsia"/>
          <w:kern w:val="24"/>
        </w:rPr>
        <w:t>验收内容</w:t>
      </w:r>
      <w:bookmarkEnd w:id="378"/>
      <w:bookmarkEnd w:id="379"/>
      <w:bookmarkEnd w:id="380"/>
    </w:p>
    <w:p>
      <w:pPr>
        <w:ind w:firstLine="480"/>
      </w:pPr>
      <w:r>
        <w:rPr>
          <w:rFonts w:hint="eastAsia"/>
        </w:rPr>
        <w:t>本项目在试运行</w:t>
      </w:r>
      <w:r>
        <w:t>3</w:t>
      </w:r>
      <w:r>
        <w:rPr>
          <w:rFonts w:hint="eastAsia"/>
        </w:rPr>
        <w:t>个月内，应向岳阳市环境保护局云溪区分局提出验收申请，对项目所采取的环保措施进行竣工验收，项目</w:t>
      </w:r>
      <w:r>
        <w:t>“</w:t>
      </w:r>
      <w:r>
        <w:rPr>
          <w:rFonts w:hint="eastAsia"/>
        </w:rPr>
        <w:t>三同时</w:t>
      </w:r>
      <w:r>
        <w:t>”</w:t>
      </w:r>
      <w:r>
        <w:rPr>
          <w:rFonts w:hint="eastAsia"/>
        </w:rPr>
        <w:t>竣工验收内容见表</w:t>
      </w:r>
      <w:r>
        <w:t>13.3-1</w:t>
      </w:r>
      <w:r>
        <w:rPr>
          <w:rFonts w:hint="eastAsia"/>
        </w:rPr>
        <w:t>。</w:t>
      </w:r>
    </w:p>
    <w:p>
      <w:pPr>
        <w:pStyle w:val="14"/>
      </w:pPr>
      <w:r>
        <w:rPr>
          <w:rFonts w:hint="eastAsia"/>
        </w:rPr>
        <w:t>表</w:t>
      </w:r>
      <w:r>
        <w:fldChar w:fldCharType="begin"/>
      </w:r>
      <w:r>
        <w:instrText xml:space="preserve"> STYLEREF 2 \s </w:instrText>
      </w:r>
      <w:r>
        <w:fldChar w:fldCharType="separate"/>
      </w:r>
      <w:r>
        <w:t>12.3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本项目</w:t>
      </w:r>
      <w:r>
        <w:t>“</w:t>
      </w:r>
      <w:r>
        <w:rPr>
          <w:rFonts w:hint="eastAsia"/>
        </w:rPr>
        <w:t>三同时</w:t>
      </w:r>
      <w:r>
        <w:t>”</w:t>
      </w:r>
      <w:r>
        <w:rPr>
          <w:rFonts w:hint="eastAsia"/>
        </w:rPr>
        <w:t>验收一览表</w:t>
      </w:r>
    </w:p>
    <w:tbl>
      <w:tblPr>
        <w:tblStyle w:val="35"/>
        <w:tblW w:w="8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06"/>
        <w:gridCol w:w="682"/>
        <w:gridCol w:w="812"/>
        <w:gridCol w:w="1153"/>
        <w:gridCol w:w="1256"/>
        <w:gridCol w:w="843"/>
        <w:gridCol w:w="506"/>
        <w:gridCol w:w="1781"/>
        <w:gridCol w:w="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7" w:hRule="atLeast"/>
          <w:jc w:val="center"/>
        </w:trPr>
        <w:tc>
          <w:tcPr>
            <w:tcW w:w="506" w:type="dxa"/>
            <w:vMerge w:val="restart"/>
            <w:vAlign w:val="center"/>
          </w:tcPr>
          <w:p>
            <w:pPr>
              <w:pStyle w:val="37"/>
              <w:rPr>
                <w:snapToGrid w:val="0"/>
              </w:rPr>
            </w:pPr>
            <w:r>
              <w:rPr>
                <w:rFonts w:hint="eastAsia"/>
                <w:snapToGrid w:val="0"/>
              </w:rPr>
              <w:t>项目</w:t>
            </w:r>
          </w:p>
        </w:tc>
        <w:tc>
          <w:tcPr>
            <w:tcW w:w="682" w:type="dxa"/>
            <w:vMerge w:val="restart"/>
            <w:vAlign w:val="center"/>
          </w:tcPr>
          <w:p>
            <w:pPr>
              <w:pStyle w:val="37"/>
              <w:rPr>
                <w:snapToGrid w:val="0"/>
              </w:rPr>
            </w:pPr>
            <w:r>
              <w:rPr>
                <w:rFonts w:hint="eastAsia"/>
                <w:snapToGrid w:val="0"/>
              </w:rPr>
              <w:t>工序</w:t>
            </w:r>
          </w:p>
        </w:tc>
        <w:tc>
          <w:tcPr>
            <w:tcW w:w="812" w:type="dxa"/>
            <w:vMerge w:val="restart"/>
            <w:vAlign w:val="center"/>
          </w:tcPr>
          <w:p>
            <w:pPr>
              <w:pStyle w:val="37"/>
              <w:rPr>
                <w:snapToGrid w:val="0"/>
              </w:rPr>
            </w:pPr>
            <w:r>
              <w:rPr>
                <w:rFonts w:hint="eastAsia"/>
                <w:snapToGrid w:val="0"/>
              </w:rPr>
              <w:t>污染源</w:t>
            </w:r>
          </w:p>
        </w:tc>
        <w:tc>
          <w:tcPr>
            <w:tcW w:w="1153" w:type="dxa"/>
            <w:vMerge w:val="restart"/>
            <w:vAlign w:val="center"/>
          </w:tcPr>
          <w:p>
            <w:pPr>
              <w:pStyle w:val="37"/>
              <w:rPr>
                <w:snapToGrid w:val="0"/>
              </w:rPr>
            </w:pPr>
            <w:r>
              <w:rPr>
                <w:rFonts w:hint="eastAsia"/>
                <w:snapToGrid w:val="0"/>
              </w:rPr>
              <w:t>污染物</w:t>
            </w:r>
          </w:p>
        </w:tc>
        <w:tc>
          <w:tcPr>
            <w:tcW w:w="1256" w:type="dxa"/>
            <w:vMerge w:val="restart"/>
            <w:vAlign w:val="center"/>
          </w:tcPr>
          <w:p>
            <w:pPr>
              <w:pStyle w:val="37"/>
              <w:rPr>
                <w:snapToGrid w:val="0"/>
              </w:rPr>
            </w:pPr>
            <w:r>
              <w:rPr>
                <w:rFonts w:hint="eastAsia"/>
                <w:snapToGrid w:val="0"/>
              </w:rPr>
              <w:t>处置方式</w:t>
            </w:r>
          </w:p>
        </w:tc>
        <w:tc>
          <w:tcPr>
            <w:tcW w:w="843" w:type="dxa"/>
            <w:vMerge w:val="restart"/>
            <w:vAlign w:val="center"/>
          </w:tcPr>
          <w:p>
            <w:pPr>
              <w:pStyle w:val="37"/>
              <w:rPr>
                <w:snapToGrid w:val="0"/>
              </w:rPr>
            </w:pPr>
            <w:r>
              <w:rPr>
                <w:rFonts w:hint="eastAsia"/>
                <w:snapToGrid w:val="0"/>
              </w:rPr>
              <w:t>规模</w:t>
            </w:r>
          </w:p>
        </w:tc>
        <w:tc>
          <w:tcPr>
            <w:tcW w:w="506" w:type="dxa"/>
            <w:vMerge w:val="restart"/>
            <w:vAlign w:val="center"/>
          </w:tcPr>
          <w:p>
            <w:pPr>
              <w:pStyle w:val="37"/>
              <w:rPr>
                <w:snapToGrid w:val="0"/>
              </w:rPr>
            </w:pPr>
            <w:r>
              <w:rPr>
                <w:rFonts w:hint="eastAsia"/>
                <w:snapToGrid w:val="0"/>
              </w:rPr>
              <w:t>数量</w:t>
            </w:r>
          </w:p>
        </w:tc>
        <w:tc>
          <w:tcPr>
            <w:tcW w:w="1781" w:type="dxa"/>
            <w:vMerge w:val="restart"/>
            <w:vAlign w:val="center"/>
          </w:tcPr>
          <w:p>
            <w:pPr>
              <w:pStyle w:val="37"/>
              <w:rPr>
                <w:snapToGrid w:val="0"/>
              </w:rPr>
            </w:pPr>
            <w:r>
              <w:rPr>
                <w:rFonts w:hint="eastAsia"/>
                <w:snapToGrid w:val="0"/>
              </w:rPr>
              <w:t>要求</w:t>
            </w:r>
          </w:p>
        </w:tc>
        <w:tc>
          <w:tcPr>
            <w:tcW w:w="777" w:type="dxa"/>
            <w:vMerge w:val="restart"/>
            <w:vAlign w:val="center"/>
          </w:tcPr>
          <w:p>
            <w:pPr>
              <w:pStyle w:val="37"/>
              <w:rPr>
                <w:snapToGrid w:val="0"/>
              </w:rPr>
            </w:pPr>
            <w:r>
              <w:rPr>
                <w:rFonts w:hint="eastAsia"/>
                <w:snapToGrid w:val="0"/>
              </w:rPr>
              <w:t>实施时间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7" w:hRule="atLeast"/>
          <w:jc w:val="center"/>
        </w:trPr>
        <w:tc>
          <w:tcPr>
            <w:tcW w:w="506" w:type="dxa"/>
            <w:vMerge w:val="continue"/>
            <w:vAlign w:val="center"/>
          </w:tcPr>
          <w:p>
            <w:pPr>
              <w:pStyle w:val="37"/>
              <w:rPr>
                <w:snapToGrid w:val="0"/>
              </w:rPr>
            </w:pPr>
          </w:p>
        </w:tc>
        <w:tc>
          <w:tcPr>
            <w:tcW w:w="682" w:type="dxa"/>
            <w:vMerge w:val="continue"/>
            <w:vAlign w:val="center"/>
          </w:tcPr>
          <w:p>
            <w:pPr>
              <w:pStyle w:val="37"/>
              <w:rPr>
                <w:snapToGrid w:val="0"/>
              </w:rPr>
            </w:pPr>
          </w:p>
        </w:tc>
        <w:tc>
          <w:tcPr>
            <w:tcW w:w="812" w:type="dxa"/>
            <w:vMerge w:val="continue"/>
            <w:vAlign w:val="center"/>
          </w:tcPr>
          <w:p>
            <w:pPr>
              <w:pStyle w:val="37"/>
              <w:rPr>
                <w:snapToGrid w:val="0"/>
              </w:rPr>
            </w:pPr>
          </w:p>
        </w:tc>
        <w:tc>
          <w:tcPr>
            <w:tcW w:w="1153" w:type="dxa"/>
            <w:vMerge w:val="continue"/>
            <w:vAlign w:val="center"/>
          </w:tcPr>
          <w:p>
            <w:pPr>
              <w:pStyle w:val="37"/>
              <w:rPr>
                <w:snapToGrid w:val="0"/>
              </w:rPr>
            </w:pPr>
          </w:p>
        </w:tc>
        <w:tc>
          <w:tcPr>
            <w:tcW w:w="1256" w:type="dxa"/>
            <w:vMerge w:val="continue"/>
            <w:vAlign w:val="center"/>
          </w:tcPr>
          <w:p>
            <w:pPr>
              <w:pStyle w:val="37"/>
              <w:rPr>
                <w:snapToGrid w:val="0"/>
              </w:rPr>
            </w:pPr>
          </w:p>
        </w:tc>
        <w:tc>
          <w:tcPr>
            <w:tcW w:w="843" w:type="dxa"/>
            <w:vMerge w:val="continue"/>
            <w:vAlign w:val="center"/>
          </w:tcPr>
          <w:p>
            <w:pPr>
              <w:pStyle w:val="37"/>
              <w:rPr>
                <w:snapToGrid w:val="0"/>
              </w:rPr>
            </w:pPr>
          </w:p>
        </w:tc>
        <w:tc>
          <w:tcPr>
            <w:tcW w:w="506" w:type="dxa"/>
            <w:vMerge w:val="continue"/>
            <w:vAlign w:val="center"/>
          </w:tcPr>
          <w:p>
            <w:pPr>
              <w:pStyle w:val="37"/>
              <w:rPr>
                <w:snapToGrid w:val="0"/>
              </w:rPr>
            </w:pPr>
          </w:p>
        </w:tc>
        <w:tc>
          <w:tcPr>
            <w:tcW w:w="1781" w:type="dxa"/>
            <w:vMerge w:val="continue"/>
            <w:vAlign w:val="center"/>
          </w:tcPr>
          <w:p>
            <w:pPr>
              <w:pStyle w:val="37"/>
              <w:rPr>
                <w:snapToGrid w:val="0"/>
              </w:rPr>
            </w:pP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26" w:hRule="atLeast"/>
          <w:jc w:val="center"/>
        </w:trPr>
        <w:tc>
          <w:tcPr>
            <w:tcW w:w="506" w:type="dxa"/>
            <w:vAlign w:val="center"/>
          </w:tcPr>
          <w:p>
            <w:pPr>
              <w:pStyle w:val="37"/>
              <w:rPr>
                <w:snapToGrid w:val="0"/>
              </w:rPr>
            </w:pPr>
            <w:r>
              <w:rPr>
                <w:rFonts w:hint="eastAsia"/>
                <w:snapToGrid w:val="0"/>
              </w:rPr>
              <w:t>废气</w:t>
            </w:r>
          </w:p>
        </w:tc>
        <w:tc>
          <w:tcPr>
            <w:tcW w:w="682" w:type="dxa"/>
            <w:vAlign w:val="center"/>
          </w:tcPr>
          <w:p>
            <w:pPr>
              <w:pStyle w:val="37"/>
              <w:rPr>
                <w:snapToGrid w:val="0"/>
              </w:rPr>
            </w:pPr>
            <w:r>
              <w:rPr>
                <w:rFonts w:hint="eastAsia"/>
                <w:snapToGrid w:val="0"/>
              </w:rPr>
              <w:t>填埋区</w:t>
            </w:r>
          </w:p>
        </w:tc>
        <w:tc>
          <w:tcPr>
            <w:tcW w:w="1965" w:type="dxa"/>
            <w:gridSpan w:val="2"/>
            <w:vAlign w:val="center"/>
          </w:tcPr>
          <w:p>
            <w:pPr>
              <w:pStyle w:val="37"/>
              <w:rPr>
                <w:snapToGrid w:val="0"/>
              </w:rPr>
            </w:pPr>
            <w:r>
              <w:rPr>
                <w:rFonts w:hint="eastAsia"/>
                <w:snapToGrid w:val="0"/>
              </w:rPr>
              <w:t>粉尘</w:t>
            </w:r>
          </w:p>
        </w:tc>
        <w:tc>
          <w:tcPr>
            <w:tcW w:w="1256" w:type="dxa"/>
            <w:vAlign w:val="center"/>
          </w:tcPr>
          <w:p>
            <w:pPr>
              <w:pStyle w:val="37"/>
              <w:rPr>
                <w:snapToGrid w:val="0"/>
              </w:rPr>
            </w:pPr>
            <w:r>
              <w:rPr>
                <w:rFonts w:hint="eastAsia"/>
                <w:snapToGrid w:val="0"/>
              </w:rPr>
              <w:t>洒水降尘</w:t>
            </w:r>
          </w:p>
        </w:tc>
        <w:tc>
          <w:tcPr>
            <w:tcW w:w="843" w:type="dxa"/>
            <w:vAlign w:val="center"/>
          </w:tcPr>
          <w:p>
            <w:pPr>
              <w:pStyle w:val="37"/>
              <w:rPr>
                <w:snapToGrid w:val="0"/>
              </w:rPr>
            </w:pPr>
            <w:r>
              <w:rPr>
                <w:rFonts w:hint="eastAsia"/>
                <w:snapToGrid w:val="0"/>
              </w:rPr>
              <w:t>每天至少一次</w:t>
            </w:r>
          </w:p>
        </w:tc>
        <w:tc>
          <w:tcPr>
            <w:tcW w:w="506" w:type="dxa"/>
            <w:vAlign w:val="center"/>
          </w:tcPr>
          <w:p>
            <w:pPr>
              <w:pStyle w:val="37"/>
              <w:rPr>
                <w:snapToGrid w:val="0"/>
              </w:rPr>
            </w:pPr>
            <w:r>
              <w:rPr>
                <w:snapToGrid w:val="0"/>
              </w:rPr>
              <w:t>/</w:t>
            </w:r>
          </w:p>
        </w:tc>
        <w:tc>
          <w:tcPr>
            <w:tcW w:w="1781" w:type="dxa"/>
            <w:vAlign w:val="center"/>
          </w:tcPr>
          <w:p>
            <w:pPr>
              <w:pStyle w:val="37"/>
              <w:rPr>
                <w:snapToGrid w:val="0"/>
              </w:rPr>
            </w:pPr>
            <w:r>
              <w:rPr>
                <w:rFonts w:hint="eastAsia"/>
                <w:snapToGrid w:val="0"/>
              </w:rPr>
              <w:t>满足环保要求</w:t>
            </w:r>
          </w:p>
        </w:tc>
        <w:tc>
          <w:tcPr>
            <w:tcW w:w="777" w:type="dxa"/>
            <w:vMerge w:val="restart"/>
            <w:vAlign w:val="center"/>
          </w:tcPr>
          <w:p>
            <w:pPr>
              <w:pStyle w:val="37"/>
            </w:pPr>
            <w:r>
              <w:rPr>
                <w:rFonts w:hint="eastAsia"/>
              </w:rPr>
              <w:t>与建设项目主体工程同时设</w:t>
            </w:r>
          </w:p>
          <w:p>
            <w:pPr>
              <w:pStyle w:val="37"/>
              <w:rPr>
                <w:snapToGrid w:val="0"/>
              </w:rPr>
            </w:pPr>
            <w:r>
              <w:rPr>
                <w:rFonts w:hint="eastAsia"/>
              </w:rPr>
              <w:t>计、同时施工、同时投入运行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259" w:hRule="atLeast"/>
          <w:jc w:val="center"/>
        </w:trPr>
        <w:tc>
          <w:tcPr>
            <w:tcW w:w="506" w:type="dxa"/>
            <w:vMerge w:val="restart"/>
            <w:vAlign w:val="center"/>
          </w:tcPr>
          <w:p>
            <w:pPr>
              <w:pStyle w:val="37"/>
              <w:rPr>
                <w:snapToGrid w:val="0"/>
              </w:rPr>
            </w:pPr>
            <w:r>
              <w:rPr>
                <w:rFonts w:hint="eastAsia"/>
                <w:snapToGrid w:val="0"/>
              </w:rPr>
              <w:t>废水</w:t>
            </w:r>
          </w:p>
        </w:tc>
        <w:tc>
          <w:tcPr>
            <w:tcW w:w="682" w:type="dxa"/>
            <w:vAlign w:val="center"/>
          </w:tcPr>
          <w:p>
            <w:pPr>
              <w:pStyle w:val="37"/>
              <w:rPr>
                <w:snapToGrid w:val="0"/>
              </w:rPr>
            </w:pPr>
            <w:r>
              <w:rPr>
                <w:rFonts w:hint="eastAsia"/>
                <w:snapToGrid w:val="0"/>
              </w:rPr>
              <w:t>填埋区</w:t>
            </w:r>
          </w:p>
          <w:p>
            <w:pPr>
              <w:pStyle w:val="37"/>
              <w:rPr>
                <w:snapToGrid w:val="0"/>
              </w:rPr>
            </w:pPr>
          </w:p>
        </w:tc>
        <w:tc>
          <w:tcPr>
            <w:tcW w:w="812" w:type="dxa"/>
            <w:vAlign w:val="center"/>
          </w:tcPr>
          <w:p>
            <w:pPr>
              <w:pStyle w:val="37"/>
              <w:rPr>
                <w:snapToGrid w:val="0"/>
              </w:rPr>
            </w:pPr>
            <w:r>
              <w:rPr>
                <w:rFonts w:hint="eastAsia"/>
                <w:snapToGrid w:val="0"/>
              </w:rPr>
              <w:t>渗滤液</w:t>
            </w:r>
          </w:p>
          <w:p>
            <w:pPr>
              <w:pStyle w:val="37"/>
              <w:jc w:val="both"/>
              <w:rPr>
                <w:snapToGrid w:val="0"/>
              </w:rPr>
            </w:pPr>
          </w:p>
        </w:tc>
        <w:tc>
          <w:tcPr>
            <w:tcW w:w="1153" w:type="dxa"/>
            <w:vAlign w:val="center"/>
          </w:tcPr>
          <w:p>
            <w:pPr>
              <w:pStyle w:val="37"/>
              <w:rPr>
                <w:kern w:val="0"/>
              </w:rPr>
            </w:pPr>
            <w:r>
              <w:rPr>
                <w:kern w:val="0"/>
              </w:rPr>
              <w:t>pH</w:t>
            </w:r>
            <w:r>
              <w:rPr>
                <w:rFonts w:hint="eastAsia"/>
                <w:kern w:val="0"/>
              </w:rPr>
              <w:t>、铅、砷</w:t>
            </w:r>
          </w:p>
          <w:p>
            <w:pPr>
              <w:pStyle w:val="37"/>
              <w:rPr>
                <w:snapToGrid w:val="0"/>
              </w:rPr>
            </w:pPr>
            <w:r>
              <w:rPr>
                <w:rFonts w:hint="eastAsia"/>
                <w:kern w:val="0"/>
              </w:rPr>
              <w:t>铬</w:t>
            </w:r>
          </w:p>
        </w:tc>
        <w:tc>
          <w:tcPr>
            <w:tcW w:w="1256" w:type="dxa"/>
            <w:vAlign w:val="center"/>
          </w:tcPr>
          <w:p>
            <w:pPr>
              <w:pStyle w:val="37"/>
            </w:pPr>
            <w:r>
              <w:rPr>
                <w:rFonts w:hint="eastAsia"/>
              </w:rPr>
              <w:t>渗滤液收集池</w:t>
            </w:r>
          </w:p>
        </w:tc>
        <w:tc>
          <w:tcPr>
            <w:tcW w:w="843" w:type="dxa"/>
            <w:vAlign w:val="center"/>
          </w:tcPr>
          <w:p>
            <w:pPr>
              <w:pStyle w:val="37"/>
              <w:rPr>
                <w:snapToGrid w:val="0"/>
              </w:rPr>
            </w:pPr>
            <w:r>
              <w:t>90m</w:t>
            </w:r>
            <w:r>
              <w:rPr>
                <w:vertAlign w:val="superscript"/>
              </w:rPr>
              <w:t>3</w:t>
            </w:r>
          </w:p>
        </w:tc>
        <w:tc>
          <w:tcPr>
            <w:tcW w:w="506" w:type="dxa"/>
            <w:vAlign w:val="center"/>
          </w:tcPr>
          <w:p>
            <w:pPr>
              <w:pStyle w:val="37"/>
              <w:rPr>
                <w:snapToGrid w:val="0"/>
              </w:rPr>
            </w:pPr>
            <w:r>
              <w:rPr>
                <w:snapToGrid w:val="0"/>
              </w:rPr>
              <w:t>1</w:t>
            </w:r>
            <w:r>
              <w:rPr>
                <w:rFonts w:hint="eastAsia"/>
                <w:snapToGrid w:val="0"/>
              </w:rPr>
              <w:t>座</w:t>
            </w:r>
          </w:p>
        </w:tc>
        <w:tc>
          <w:tcPr>
            <w:tcW w:w="1781" w:type="dxa"/>
            <w:vAlign w:val="center"/>
          </w:tcPr>
          <w:p>
            <w:pPr>
              <w:pStyle w:val="37"/>
            </w:pPr>
            <w:r>
              <w:rPr>
                <w:rFonts w:hint="eastAsia"/>
              </w:rPr>
              <w:t>外运至有资质单位处理</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 w:hRule="atLeast"/>
          <w:jc w:val="center"/>
        </w:trPr>
        <w:tc>
          <w:tcPr>
            <w:tcW w:w="506" w:type="dxa"/>
            <w:vMerge w:val="continue"/>
            <w:vAlign w:val="center"/>
          </w:tcPr>
          <w:p>
            <w:pPr>
              <w:pStyle w:val="37"/>
              <w:rPr>
                <w:snapToGrid w:val="0"/>
              </w:rPr>
            </w:pPr>
          </w:p>
        </w:tc>
        <w:tc>
          <w:tcPr>
            <w:tcW w:w="1494" w:type="dxa"/>
            <w:gridSpan w:val="2"/>
            <w:vAlign w:val="center"/>
          </w:tcPr>
          <w:p>
            <w:pPr>
              <w:pStyle w:val="37"/>
              <w:rPr>
                <w:snapToGrid w:val="0"/>
              </w:rPr>
            </w:pPr>
            <w:r>
              <w:rPr>
                <w:rFonts w:hint="eastAsia"/>
                <w:snapToGrid w:val="0"/>
              </w:rPr>
              <w:t>处置场</w:t>
            </w:r>
          </w:p>
        </w:tc>
        <w:tc>
          <w:tcPr>
            <w:tcW w:w="3758" w:type="dxa"/>
            <w:gridSpan w:val="4"/>
            <w:vAlign w:val="center"/>
          </w:tcPr>
          <w:p>
            <w:pPr>
              <w:pStyle w:val="37"/>
              <w:rPr>
                <w:snapToGrid w:val="0"/>
              </w:rPr>
            </w:pPr>
            <w:r>
              <w:rPr>
                <w:rFonts w:hint="eastAsia"/>
                <w:snapToGrid w:val="0"/>
              </w:rPr>
              <w:t>填埋区防渗工程</w:t>
            </w:r>
          </w:p>
        </w:tc>
        <w:tc>
          <w:tcPr>
            <w:tcW w:w="1781" w:type="dxa"/>
            <w:vAlign w:val="center"/>
          </w:tcPr>
          <w:p>
            <w:pPr>
              <w:pStyle w:val="37"/>
            </w:pPr>
            <w:r>
              <w:rPr>
                <w:rFonts w:hint="eastAsia"/>
              </w:rPr>
              <w:t>符合环保要求</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3" w:hRule="atLeast"/>
          <w:jc w:val="center"/>
        </w:trPr>
        <w:tc>
          <w:tcPr>
            <w:tcW w:w="506" w:type="dxa"/>
            <w:vMerge w:val="continue"/>
            <w:vAlign w:val="center"/>
          </w:tcPr>
          <w:p>
            <w:pPr>
              <w:pStyle w:val="37"/>
              <w:rPr>
                <w:snapToGrid w:val="0"/>
              </w:rPr>
            </w:pPr>
          </w:p>
        </w:tc>
        <w:tc>
          <w:tcPr>
            <w:tcW w:w="1494" w:type="dxa"/>
            <w:gridSpan w:val="2"/>
            <w:vAlign w:val="center"/>
          </w:tcPr>
          <w:p>
            <w:pPr>
              <w:pStyle w:val="37"/>
              <w:rPr>
                <w:snapToGrid w:val="0"/>
              </w:rPr>
            </w:pPr>
            <w:r>
              <w:rPr>
                <w:rFonts w:hint="eastAsia"/>
                <w:snapToGrid w:val="0"/>
              </w:rPr>
              <w:t>地表水、地下水集排系统</w:t>
            </w:r>
          </w:p>
        </w:tc>
        <w:tc>
          <w:tcPr>
            <w:tcW w:w="3758" w:type="dxa"/>
            <w:gridSpan w:val="4"/>
            <w:vAlign w:val="center"/>
          </w:tcPr>
          <w:p>
            <w:pPr>
              <w:pStyle w:val="37"/>
              <w:rPr>
                <w:snapToGrid w:val="0"/>
              </w:rPr>
            </w:pPr>
            <w:r>
              <w:rPr>
                <w:rFonts w:hint="eastAsia"/>
                <w:snapToGrid w:val="0"/>
              </w:rPr>
              <w:t>渗滤液收集池、截排水沟</w:t>
            </w:r>
          </w:p>
        </w:tc>
        <w:tc>
          <w:tcPr>
            <w:tcW w:w="1781" w:type="dxa"/>
            <w:vAlign w:val="center"/>
          </w:tcPr>
          <w:p>
            <w:pPr>
              <w:pStyle w:val="37"/>
            </w:pPr>
            <w:r>
              <w:rPr>
                <w:rFonts w:hint="eastAsia"/>
              </w:rPr>
              <w:t>符合环保要求</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 w:hRule="atLeast"/>
          <w:jc w:val="center"/>
        </w:trPr>
        <w:tc>
          <w:tcPr>
            <w:tcW w:w="506" w:type="dxa"/>
            <w:vAlign w:val="center"/>
          </w:tcPr>
          <w:p>
            <w:pPr>
              <w:pStyle w:val="37"/>
            </w:pPr>
            <w:r>
              <w:rPr>
                <w:rFonts w:hint="eastAsia"/>
              </w:rPr>
              <w:t>固废</w:t>
            </w:r>
          </w:p>
        </w:tc>
        <w:tc>
          <w:tcPr>
            <w:tcW w:w="1494" w:type="dxa"/>
            <w:gridSpan w:val="2"/>
            <w:vAlign w:val="center"/>
          </w:tcPr>
          <w:p>
            <w:pPr>
              <w:pStyle w:val="37"/>
              <w:rPr>
                <w:snapToGrid w:val="0"/>
              </w:rPr>
            </w:pPr>
            <w:r>
              <w:rPr>
                <w:rFonts w:hint="eastAsia"/>
                <w:snapToGrid w:val="0"/>
              </w:rPr>
              <w:t>生活</w:t>
            </w:r>
          </w:p>
        </w:tc>
        <w:tc>
          <w:tcPr>
            <w:tcW w:w="1153" w:type="dxa"/>
            <w:vAlign w:val="center"/>
          </w:tcPr>
          <w:p>
            <w:pPr>
              <w:pStyle w:val="37"/>
              <w:rPr>
                <w:snapToGrid w:val="0"/>
              </w:rPr>
            </w:pPr>
            <w:r>
              <w:rPr>
                <w:rFonts w:hint="eastAsia"/>
                <w:snapToGrid w:val="0"/>
              </w:rPr>
              <w:t>生活垃圾</w:t>
            </w:r>
          </w:p>
        </w:tc>
        <w:tc>
          <w:tcPr>
            <w:tcW w:w="2605" w:type="dxa"/>
            <w:gridSpan w:val="3"/>
            <w:vAlign w:val="center"/>
          </w:tcPr>
          <w:p>
            <w:pPr>
              <w:pStyle w:val="37"/>
              <w:rPr>
                <w:snapToGrid w:val="0"/>
              </w:rPr>
            </w:pPr>
            <w:r>
              <w:rPr>
                <w:rFonts w:hint="eastAsia"/>
                <w:snapToGrid w:val="0"/>
              </w:rPr>
              <w:t>当地环卫收集处置</w:t>
            </w:r>
          </w:p>
        </w:tc>
        <w:tc>
          <w:tcPr>
            <w:tcW w:w="1781" w:type="dxa"/>
            <w:vAlign w:val="center"/>
          </w:tcPr>
          <w:p>
            <w:pPr>
              <w:pStyle w:val="37"/>
            </w:pPr>
            <w:r>
              <w:rPr>
                <w:rFonts w:hint="eastAsia"/>
                <w:snapToGrid w:val="0"/>
              </w:rPr>
              <w:t>满足环保要求</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3" w:hRule="atLeast"/>
          <w:jc w:val="center"/>
        </w:trPr>
        <w:tc>
          <w:tcPr>
            <w:tcW w:w="506" w:type="dxa"/>
            <w:vAlign w:val="center"/>
          </w:tcPr>
          <w:p>
            <w:pPr>
              <w:pStyle w:val="37"/>
              <w:rPr>
                <w:snapToGrid w:val="0"/>
              </w:rPr>
            </w:pPr>
            <w:r>
              <w:rPr>
                <w:rFonts w:hint="eastAsia"/>
                <w:snapToGrid w:val="0"/>
              </w:rPr>
              <w:t>噪声</w:t>
            </w:r>
          </w:p>
        </w:tc>
        <w:tc>
          <w:tcPr>
            <w:tcW w:w="1494" w:type="dxa"/>
            <w:gridSpan w:val="2"/>
            <w:vAlign w:val="center"/>
          </w:tcPr>
          <w:p>
            <w:pPr>
              <w:pStyle w:val="37"/>
              <w:rPr>
                <w:snapToGrid w:val="0"/>
              </w:rPr>
            </w:pPr>
            <w:r>
              <w:rPr>
                <w:rFonts w:hint="eastAsia"/>
                <w:snapToGrid w:val="0"/>
              </w:rPr>
              <w:t>作业机械、水泵等</w:t>
            </w:r>
          </w:p>
        </w:tc>
        <w:tc>
          <w:tcPr>
            <w:tcW w:w="3758" w:type="dxa"/>
            <w:gridSpan w:val="4"/>
            <w:vAlign w:val="center"/>
          </w:tcPr>
          <w:p>
            <w:pPr>
              <w:pStyle w:val="37"/>
              <w:rPr>
                <w:snapToGrid w:val="0"/>
              </w:rPr>
            </w:pPr>
            <w:r>
              <w:rPr>
                <w:rFonts w:hint="eastAsia"/>
                <w:snapToGrid w:val="0"/>
              </w:rPr>
              <w:t>2.5m高隔声屏障、减振、绿化吸声等</w:t>
            </w:r>
          </w:p>
        </w:tc>
        <w:tc>
          <w:tcPr>
            <w:tcW w:w="1781" w:type="dxa"/>
            <w:vAlign w:val="center"/>
          </w:tcPr>
          <w:p>
            <w:pPr>
              <w:pStyle w:val="37"/>
              <w:rPr>
                <w:snapToGrid w:val="0"/>
              </w:rPr>
            </w:pPr>
            <w:r>
              <w:rPr>
                <w:rFonts w:hint="eastAsia"/>
                <w:snapToGrid w:val="0"/>
              </w:rPr>
              <w:t>满足《工业企业厂界环境噪声排放标准》（</w:t>
            </w:r>
            <w:r>
              <w:t>GB12348-2008</w:t>
            </w:r>
            <w:r>
              <w:rPr>
                <w:rFonts w:hint="eastAsia"/>
                <w:snapToGrid w:val="0"/>
              </w:rPr>
              <w:t>）中</w:t>
            </w:r>
            <w:r>
              <w:rPr>
                <w:snapToGrid w:val="0"/>
              </w:rPr>
              <w:t>2</w:t>
            </w:r>
            <w:r>
              <w:rPr>
                <w:rFonts w:hint="eastAsia"/>
                <w:snapToGrid w:val="0"/>
              </w:rPr>
              <w:t>类标准</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3" w:hRule="atLeast"/>
          <w:jc w:val="center"/>
        </w:trPr>
        <w:tc>
          <w:tcPr>
            <w:tcW w:w="506" w:type="dxa"/>
            <w:vMerge w:val="restart"/>
            <w:vAlign w:val="center"/>
          </w:tcPr>
          <w:p>
            <w:pPr>
              <w:pStyle w:val="37"/>
              <w:rPr>
                <w:snapToGrid w:val="0"/>
              </w:rPr>
            </w:pPr>
            <w:r>
              <w:rPr>
                <w:rFonts w:hint="eastAsia"/>
                <w:snapToGrid w:val="0"/>
              </w:rPr>
              <w:t>环境监测</w:t>
            </w:r>
          </w:p>
        </w:tc>
        <w:tc>
          <w:tcPr>
            <w:tcW w:w="5252" w:type="dxa"/>
            <w:gridSpan w:val="6"/>
            <w:vAlign w:val="center"/>
          </w:tcPr>
          <w:p>
            <w:pPr>
              <w:pStyle w:val="37"/>
              <w:rPr>
                <w:snapToGrid w:val="0"/>
              </w:rPr>
            </w:pPr>
            <w:r>
              <w:rPr>
                <w:rFonts w:hint="eastAsia"/>
                <w:snapToGrid w:val="0"/>
              </w:rPr>
              <w:t>环境监测设备</w:t>
            </w:r>
          </w:p>
        </w:tc>
        <w:tc>
          <w:tcPr>
            <w:tcW w:w="1781" w:type="dxa"/>
            <w:vMerge w:val="restart"/>
            <w:vAlign w:val="center"/>
          </w:tcPr>
          <w:p>
            <w:pPr>
              <w:pStyle w:val="37"/>
              <w:rPr>
                <w:snapToGrid w:val="0"/>
              </w:rPr>
            </w:pPr>
            <w:r>
              <w:rPr>
                <w:rFonts w:hint="eastAsia"/>
                <w:snapToGrid w:val="0"/>
              </w:rPr>
              <w:t>满足环保要求</w:t>
            </w: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83" w:hRule="atLeast"/>
          <w:jc w:val="center"/>
        </w:trPr>
        <w:tc>
          <w:tcPr>
            <w:tcW w:w="506" w:type="dxa"/>
            <w:vMerge w:val="continue"/>
            <w:vAlign w:val="center"/>
          </w:tcPr>
          <w:p>
            <w:pPr>
              <w:pStyle w:val="37"/>
              <w:rPr>
                <w:snapToGrid w:val="0"/>
              </w:rPr>
            </w:pPr>
          </w:p>
        </w:tc>
        <w:tc>
          <w:tcPr>
            <w:tcW w:w="5252" w:type="dxa"/>
            <w:gridSpan w:val="6"/>
            <w:vAlign w:val="center"/>
          </w:tcPr>
          <w:p>
            <w:pPr>
              <w:pStyle w:val="37"/>
              <w:rPr>
                <w:snapToGrid w:val="0"/>
              </w:rPr>
            </w:pPr>
            <w:r>
              <w:rPr>
                <w:rFonts w:hint="eastAsia"/>
                <w:snapToGrid w:val="0"/>
              </w:rPr>
              <w:t>地下水监测井（</w:t>
            </w:r>
            <w:r>
              <w:rPr>
                <w:snapToGrid w:val="0"/>
              </w:rPr>
              <w:t>3</w:t>
            </w:r>
            <w:r>
              <w:rPr>
                <w:rFonts w:hint="eastAsia"/>
                <w:snapToGrid w:val="0"/>
              </w:rPr>
              <w:t>眼）</w:t>
            </w:r>
          </w:p>
        </w:tc>
        <w:tc>
          <w:tcPr>
            <w:tcW w:w="1781" w:type="dxa"/>
            <w:vMerge w:val="continue"/>
            <w:vAlign w:val="center"/>
          </w:tcPr>
          <w:p>
            <w:pPr>
              <w:pStyle w:val="37"/>
              <w:rPr>
                <w:snapToGrid w:val="0"/>
              </w:rPr>
            </w:pPr>
          </w:p>
        </w:tc>
        <w:tc>
          <w:tcPr>
            <w:tcW w:w="777" w:type="dxa"/>
            <w:vMerge w:val="continue"/>
            <w:vAlign w:val="center"/>
          </w:tcPr>
          <w:p>
            <w:pPr>
              <w:pStyle w:val="37"/>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 w:hRule="atLeast"/>
          <w:jc w:val="center"/>
        </w:trPr>
        <w:tc>
          <w:tcPr>
            <w:tcW w:w="506" w:type="dxa"/>
            <w:vAlign w:val="center"/>
          </w:tcPr>
          <w:p>
            <w:pPr>
              <w:pStyle w:val="37"/>
              <w:rPr>
                <w:snapToGrid w:val="0"/>
              </w:rPr>
            </w:pPr>
            <w:r>
              <w:rPr>
                <w:rFonts w:hint="eastAsia"/>
                <w:snapToGrid w:val="0"/>
              </w:rPr>
              <w:t>生态</w:t>
            </w:r>
          </w:p>
        </w:tc>
        <w:tc>
          <w:tcPr>
            <w:tcW w:w="5252" w:type="dxa"/>
            <w:gridSpan w:val="6"/>
            <w:vAlign w:val="center"/>
          </w:tcPr>
          <w:p>
            <w:pPr>
              <w:pStyle w:val="37"/>
            </w:pPr>
            <w:r>
              <w:rPr>
                <w:rFonts w:hint="eastAsia"/>
              </w:rPr>
              <w:t>在场区四周设置排水沟，加强边坡、护坡构筑；</w:t>
            </w:r>
          </w:p>
          <w:p>
            <w:pPr>
              <w:pStyle w:val="37"/>
              <w:rPr>
                <w:snapToGrid w:val="0"/>
              </w:rPr>
            </w:pPr>
            <w:r>
              <w:rPr>
                <w:rFonts w:hint="eastAsia"/>
              </w:rPr>
              <w:t>加强绿化，总覆土绿化面积</w:t>
            </w:r>
            <w:r>
              <w:t>2.1</w:t>
            </w:r>
            <w:r>
              <w:rPr>
                <w:rFonts w:hint="eastAsia"/>
              </w:rPr>
              <w:t>万</w:t>
            </w:r>
            <w:r>
              <w:t>m</w:t>
            </w:r>
            <w:r>
              <w:rPr>
                <w:vertAlign w:val="superscript"/>
              </w:rPr>
              <w:t>2</w:t>
            </w:r>
            <w:r>
              <w:rPr>
                <w:rFonts w:hint="eastAsia"/>
              </w:rPr>
              <w:t>。</w:t>
            </w:r>
          </w:p>
        </w:tc>
        <w:tc>
          <w:tcPr>
            <w:tcW w:w="1781" w:type="dxa"/>
            <w:vMerge w:val="continue"/>
            <w:vAlign w:val="center"/>
          </w:tcPr>
          <w:p>
            <w:pPr>
              <w:pStyle w:val="37"/>
              <w:rPr>
                <w:snapToGrid w:val="0"/>
              </w:rPr>
            </w:pPr>
          </w:p>
        </w:tc>
        <w:tc>
          <w:tcPr>
            <w:tcW w:w="777" w:type="dxa"/>
            <w:vMerge w:val="continue"/>
            <w:vAlign w:val="center"/>
          </w:tcPr>
          <w:p>
            <w:pPr>
              <w:pStyle w:val="37"/>
              <w:rPr>
                <w:snapToGrid w:val="0"/>
              </w:rPr>
            </w:pPr>
          </w:p>
        </w:tc>
      </w:tr>
    </w:tbl>
    <w:p>
      <w:pPr>
        <w:pStyle w:val="2"/>
        <w:sectPr>
          <w:pgSz w:w="11906" w:h="16838"/>
          <w:pgMar w:top="1440" w:right="1800" w:bottom="1440" w:left="1800" w:header="851" w:footer="992" w:gutter="0"/>
          <w:cols w:space="720" w:num="1"/>
          <w:docGrid w:type="lines" w:linePitch="312" w:charSpace="0"/>
        </w:sectPr>
      </w:pPr>
      <w:bookmarkStart w:id="381" w:name="_Toc397322875"/>
    </w:p>
    <w:p>
      <w:pPr>
        <w:pStyle w:val="2"/>
      </w:pPr>
      <w:bookmarkStart w:id="382" w:name="_Toc462818470"/>
      <w:r>
        <w:rPr>
          <w:rFonts w:hint="eastAsia"/>
        </w:rPr>
        <w:t>结论与建议</w:t>
      </w:r>
      <w:bookmarkEnd w:id="381"/>
      <w:bookmarkEnd w:id="382"/>
    </w:p>
    <w:p>
      <w:pPr>
        <w:pStyle w:val="3"/>
      </w:pPr>
      <w:bookmarkStart w:id="383" w:name="_Toc397322876"/>
      <w:bookmarkStart w:id="384" w:name="_Toc462818471"/>
      <w:r>
        <w:rPr>
          <w:rFonts w:hint="eastAsia"/>
        </w:rPr>
        <w:t>项目概况</w:t>
      </w:r>
      <w:bookmarkEnd w:id="383"/>
      <w:bookmarkEnd w:id="384"/>
    </w:p>
    <w:p>
      <w:pPr>
        <w:ind w:firstLine="480"/>
        <w:rPr>
          <w:u w:val="single"/>
        </w:rPr>
      </w:pPr>
      <w:r>
        <w:rPr>
          <w:rFonts w:hint="eastAsia"/>
          <w:u w:val="single"/>
        </w:rPr>
        <w:t>（</w:t>
      </w:r>
      <w:r>
        <w:rPr>
          <w:u w:val="single"/>
        </w:rPr>
        <w:t>1</w:t>
      </w:r>
      <w:r>
        <w:rPr>
          <w:rFonts w:hint="eastAsia"/>
          <w:u w:val="single"/>
        </w:rPr>
        <w:t>）项目名称：云溪河下游沿岸工业历史遗留固废渣处置项目（变更）；</w:t>
      </w:r>
    </w:p>
    <w:p>
      <w:pPr>
        <w:ind w:firstLine="480"/>
      </w:pPr>
      <w:r>
        <w:rPr>
          <w:rFonts w:hint="eastAsia"/>
        </w:rPr>
        <w:t>（</w:t>
      </w:r>
      <w:r>
        <w:t>2</w:t>
      </w:r>
      <w:r>
        <w:rPr>
          <w:rFonts w:hint="eastAsia"/>
        </w:rPr>
        <w:t>）建设单位：岳阳市云溪区城市建设投资有限责任公司；</w:t>
      </w:r>
    </w:p>
    <w:p>
      <w:pPr>
        <w:ind w:firstLine="480"/>
      </w:pPr>
      <w:r>
        <w:rPr>
          <w:rFonts w:hint="eastAsia"/>
        </w:rPr>
        <w:t>（</w:t>
      </w:r>
      <w:r>
        <w:t>3</w:t>
      </w:r>
      <w:r>
        <w:rPr>
          <w:rFonts w:hint="eastAsia"/>
        </w:rPr>
        <w:t>）建设性质：新建；行业类别：</w:t>
      </w:r>
      <w:r>
        <w:t xml:space="preserve">N7723  </w:t>
      </w:r>
      <w:r>
        <w:rPr>
          <w:rFonts w:hint="eastAsia"/>
        </w:rPr>
        <w:t>固体废物治理</w:t>
      </w:r>
    </w:p>
    <w:p>
      <w:pPr>
        <w:ind w:firstLine="480"/>
      </w:pPr>
      <w:r>
        <w:rPr>
          <w:rFonts w:hint="eastAsia"/>
        </w:rPr>
        <w:t>（</w:t>
      </w:r>
      <w:r>
        <w:t>4</w:t>
      </w:r>
      <w:r>
        <w:rPr>
          <w:rFonts w:hint="eastAsia"/>
        </w:rPr>
        <w:t>）建设规模：建设一座一般工业固体废物的处置场（简称</w:t>
      </w:r>
      <w:r>
        <w:rPr>
          <w:rFonts w:hint="eastAsia" w:ascii="宋体" w:hAnsi="宋体" w:cs="宋体"/>
        </w:rPr>
        <w:t>Ⅱ</w:t>
      </w:r>
      <w:r>
        <w:rPr>
          <w:rFonts w:hint="eastAsia"/>
        </w:rPr>
        <w:t>类场），设计总库容</w:t>
      </w:r>
      <w:r>
        <w:t>11.5</w:t>
      </w:r>
      <w:r>
        <w:rPr>
          <w:rFonts w:hint="eastAsia"/>
        </w:rPr>
        <w:t>万</w:t>
      </w:r>
      <w:r>
        <w:t>m</w:t>
      </w:r>
      <w:r>
        <w:rPr>
          <w:vertAlign w:val="superscript"/>
        </w:rPr>
        <w:t>3</w:t>
      </w:r>
      <w:r>
        <w:rPr>
          <w:rFonts w:hint="eastAsia"/>
        </w:rPr>
        <w:t>，以及对历史遗留废渣勘测</w:t>
      </w:r>
      <w:r>
        <w:rPr>
          <w:rFonts w:hint="eastAsia"/>
          <w:szCs w:val="24"/>
        </w:rPr>
        <w:t>挖运、</w:t>
      </w:r>
      <w:r>
        <w:rPr>
          <w:rFonts w:hint="eastAsia"/>
        </w:rPr>
        <w:t>处置场进行封场、覆土还绿生态恢复等工程。</w:t>
      </w:r>
    </w:p>
    <w:p>
      <w:pPr>
        <w:ind w:firstLine="480"/>
      </w:pPr>
      <w:r>
        <w:rPr>
          <w:rFonts w:hint="eastAsia"/>
        </w:rPr>
        <w:t>（</w:t>
      </w:r>
      <w:r>
        <w:t>5</w:t>
      </w:r>
      <w:r>
        <w:rPr>
          <w:rFonts w:hint="eastAsia"/>
        </w:rPr>
        <w:t>）工程总投资：</w:t>
      </w:r>
      <w:r>
        <w:t>2294.56</w:t>
      </w:r>
      <w:r>
        <w:rPr>
          <w:rFonts w:hint="eastAsia"/>
        </w:rPr>
        <w:t>万元；</w:t>
      </w:r>
    </w:p>
    <w:p>
      <w:pPr>
        <w:ind w:firstLine="480"/>
      </w:pPr>
      <w:r>
        <w:rPr>
          <w:rFonts w:hint="eastAsia"/>
        </w:rPr>
        <w:t>（</w:t>
      </w:r>
      <w:r>
        <w:t>6</w:t>
      </w:r>
      <w:r>
        <w:rPr>
          <w:rFonts w:hint="eastAsia"/>
        </w:rPr>
        <w:t>）建设进度：本工程建设周期为</w:t>
      </w:r>
      <w:r>
        <w:t>7</w:t>
      </w:r>
      <w:r>
        <w:rPr>
          <w:rFonts w:hint="eastAsia"/>
        </w:rPr>
        <w:t>个月；</w:t>
      </w:r>
      <w:r>
        <w:t>2016</w:t>
      </w:r>
      <w:r>
        <w:rPr>
          <w:rFonts w:hint="eastAsia"/>
        </w:rPr>
        <w:t>年</w:t>
      </w:r>
      <w:r>
        <w:t>8</w:t>
      </w:r>
      <w:r>
        <w:rPr>
          <w:rFonts w:hint="eastAsia"/>
        </w:rPr>
        <w:t>月开始，</w:t>
      </w:r>
      <w:r>
        <w:t>2017</w:t>
      </w:r>
      <w:r>
        <w:rPr>
          <w:rFonts w:hint="eastAsia"/>
        </w:rPr>
        <w:t>年</w:t>
      </w:r>
      <w:r>
        <w:t>2</w:t>
      </w:r>
      <w:r>
        <w:rPr>
          <w:rFonts w:hint="eastAsia"/>
        </w:rPr>
        <w:t>月结束。</w:t>
      </w:r>
    </w:p>
    <w:p>
      <w:pPr>
        <w:ind w:firstLine="480"/>
      </w:pPr>
      <w:r>
        <w:rPr>
          <w:rFonts w:hint="eastAsia"/>
        </w:rPr>
        <w:t>（</w:t>
      </w:r>
      <w:r>
        <w:t>7</w:t>
      </w:r>
      <w:r>
        <w:rPr>
          <w:rFonts w:hint="eastAsia"/>
        </w:rPr>
        <w:t>）占地面积：填埋场库区面积约为</w:t>
      </w:r>
      <w:r>
        <w:t>1.2</w:t>
      </w:r>
      <w:r>
        <w:rPr>
          <w:rFonts w:hint="eastAsia"/>
        </w:rPr>
        <w:t>万</w:t>
      </w:r>
      <w:r>
        <w:t>m</w:t>
      </w:r>
      <w:r>
        <w:rPr>
          <w:vertAlign w:val="superscript"/>
        </w:rPr>
        <w:t>2</w:t>
      </w:r>
      <w:r>
        <w:rPr>
          <w:rFonts w:hint="eastAsia"/>
        </w:rPr>
        <w:t>；</w:t>
      </w:r>
    </w:p>
    <w:p>
      <w:pPr>
        <w:ind w:firstLine="480"/>
      </w:pPr>
      <w:r>
        <w:rPr>
          <w:rFonts w:hint="eastAsia"/>
        </w:rPr>
        <w:t>（</w:t>
      </w:r>
      <w:r>
        <w:t>8</w:t>
      </w:r>
      <w:r>
        <w:rPr>
          <w:rFonts w:hint="eastAsia"/>
        </w:rPr>
        <w:t>）定员：项目定员</w:t>
      </w:r>
      <w:r>
        <w:t>10</w:t>
      </w:r>
      <w:r>
        <w:rPr>
          <w:rFonts w:hint="eastAsia"/>
        </w:rPr>
        <w:t>人。</w:t>
      </w:r>
    </w:p>
    <w:p>
      <w:pPr>
        <w:ind w:firstLine="480"/>
      </w:pPr>
      <w:r>
        <w:rPr>
          <w:rFonts w:hint="eastAsia"/>
        </w:rPr>
        <w:t>（</w:t>
      </w:r>
      <w:r>
        <w:t>9</w:t>
      </w:r>
      <w:r>
        <w:rPr>
          <w:rFonts w:hint="eastAsia"/>
        </w:rPr>
        <w:t>）地理位置：湖南省岳阳市云溪区路口镇牌楼村。</w:t>
      </w:r>
    </w:p>
    <w:p>
      <w:pPr>
        <w:pStyle w:val="3"/>
      </w:pPr>
      <w:bookmarkStart w:id="385" w:name="_Toc391370301"/>
      <w:bookmarkStart w:id="386" w:name="_Toc397322877"/>
      <w:bookmarkStart w:id="387" w:name="_Toc462818472"/>
      <w:bookmarkStart w:id="388" w:name="_Toc209442643"/>
      <w:bookmarkStart w:id="389" w:name="_Toc161136719"/>
      <w:bookmarkStart w:id="390" w:name="_Toc158087691"/>
      <w:bookmarkStart w:id="391" w:name="_Toc151192179"/>
      <w:bookmarkStart w:id="392" w:name="_Toc157948134"/>
      <w:bookmarkStart w:id="393" w:name="_Toc164918054"/>
      <w:r>
        <w:rPr>
          <w:rFonts w:hint="eastAsia"/>
        </w:rPr>
        <w:t>符合国家产业政策</w:t>
      </w:r>
      <w:bookmarkEnd w:id="385"/>
      <w:bookmarkEnd w:id="386"/>
      <w:bookmarkEnd w:id="387"/>
    </w:p>
    <w:p>
      <w:pPr>
        <w:ind w:firstLine="480"/>
      </w:pPr>
      <w:r>
        <w:rPr>
          <w:rFonts w:hint="eastAsia"/>
        </w:rPr>
        <w:t>检索《产业结构调整指导目录</w:t>
      </w:r>
      <w:r>
        <w:t>(2011</w:t>
      </w:r>
      <w:r>
        <w:rPr>
          <w:rFonts w:hint="eastAsia"/>
        </w:rPr>
        <w:t>年本</w:t>
      </w:r>
      <w:r>
        <w:t>)</w:t>
      </w:r>
      <w:r>
        <w:rPr>
          <w:rFonts w:hint="eastAsia"/>
        </w:rPr>
        <w:t>（</w:t>
      </w:r>
      <w:r>
        <w:t>2013</w:t>
      </w:r>
      <w:r>
        <w:rPr>
          <w:rFonts w:hint="eastAsia"/>
        </w:rPr>
        <w:t>修正）》，本项目属于其中的</w:t>
      </w:r>
      <w:r>
        <w:t>“</w:t>
      </w:r>
      <w:r>
        <w:rPr>
          <w:rFonts w:hint="eastAsia"/>
        </w:rPr>
        <w:t>三十八、环境保护与资源节约综合利用</w:t>
      </w:r>
      <w:r>
        <w:t>”</w:t>
      </w:r>
      <w:r>
        <w:rPr>
          <w:rFonts w:hint="eastAsia"/>
        </w:rPr>
        <w:t>：</w:t>
      </w:r>
      <w:r>
        <w:t>20</w:t>
      </w:r>
      <w:r>
        <w:rPr>
          <w:rFonts w:hint="eastAsia"/>
        </w:rPr>
        <w:t>、城镇垃圾及其他固体废物减量化、资源化、无害化处理和综合利用工程，为鼓励类建设项目，符合国家产业政策。</w:t>
      </w:r>
    </w:p>
    <w:p>
      <w:pPr>
        <w:pStyle w:val="3"/>
      </w:pPr>
      <w:bookmarkStart w:id="394" w:name="_Toc322418775"/>
      <w:bookmarkStart w:id="395" w:name="_Toc355852363"/>
      <w:bookmarkStart w:id="396" w:name="_Toc462818473"/>
      <w:bookmarkStart w:id="397" w:name="_Toc391370303"/>
      <w:bookmarkStart w:id="398" w:name="_Toc397322879"/>
      <w:r>
        <w:rPr>
          <w:rFonts w:hint="eastAsia"/>
        </w:rPr>
        <w:t>环境质量现状</w:t>
      </w:r>
      <w:bookmarkEnd w:id="394"/>
      <w:bookmarkEnd w:id="395"/>
      <w:bookmarkEnd w:id="396"/>
      <w:bookmarkEnd w:id="397"/>
      <w:bookmarkEnd w:id="398"/>
    </w:p>
    <w:p>
      <w:pPr>
        <w:pStyle w:val="4"/>
        <w:rPr>
          <w:kern w:val="24"/>
        </w:rPr>
      </w:pPr>
      <w:bookmarkStart w:id="399" w:name="_Toc322418776"/>
      <w:bookmarkStart w:id="400" w:name="_Toc355852364"/>
      <w:bookmarkStart w:id="401" w:name="_Toc391370304"/>
      <w:r>
        <w:rPr>
          <w:rFonts w:hint="eastAsia"/>
          <w:kern w:val="24"/>
        </w:rPr>
        <w:t>环境空气</w:t>
      </w:r>
      <w:bookmarkEnd w:id="399"/>
      <w:bookmarkEnd w:id="400"/>
      <w:bookmarkEnd w:id="401"/>
    </w:p>
    <w:p>
      <w:pPr>
        <w:ind w:firstLine="480"/>
      </w:pPr>
      <w:r>
        <w:rPr>
          <w:rFonts w:hint="eastAsia"/>
        </w:rPr>
        <w:t>项目拟建地所在区域环境空气质量监测中，</w:t>
      </w:r>
      <w:r>
        <w:t>SO</w:t>
      </w:r>
      <w:r>
        <w:rPr>
          <w:vertAlign w:val="subscript"/>
        </w:rPr>
        <w:t>2</w:t>
      </w:r>
      <w:r>
        <w:rPr>
          <w:rFonts w:hint="eastAsia"/>
        </w:rPr>
        <w:t>、</w:t>
      </w:r>
      <w:r>
        <w:t>NO</w:t>
      </w:r>
      <w:r>
        <w:rPr>
          <w:vertAlign w:val="subscript"/>
        </w:rPr>
        <w:t>2</w:t>
      </w:r>
      <w:r>
        <w:rPr>
          <w:rFonts w:hint="eastAsia"/>
        </w:rPr>
        <w:t>小时均值、日均值及</w:t>
      </w:r>
      <w:r>
        <w:t>PM</w:t>
      </w:r>
      <w:r>
        <w:rPr>
          <w:vertAlign w:val="subscript"/>
        </w:rPr>
        <w:t>10</w:t>
      </w:r>
      <w:r>
        <w:rPr>
          <w:rFonts w:hint="eastAsia"/>
        </w:rPr>
        <w:t>日均值均满足《环境空气质量标准》（</w:t>
      </w:r>
      <w:r>
        <w:t>GB3095-1996</w:t>
      </w:r>
      <w:r>
        <w:rPr>
          <w:rFonts w:hint="eastAsia"/>
        </w:rPr>
        <w:t>）中二级标准要求，项目所在地环境空气质量良好。</w:t>
      </w:r>
    </w:p>
    <w:p>
      <w:pPr>
        <w:pStyle w:val="4"/>
        <w:rPr>
          <w:kern w:val="24"/>
        </w:rPr>
      </w:pPr>
      <w:bookmarkStart w:id="402" w:name="_Toc391370305"/>
      <w:bookmarkStart w:id="403" w:name="_Toc322418778"/>
      <w:bookmarkStart w:id="404" w:name="_Toc355852365"/>
      <w:r>
        <w:rPr>
          <w:rFonts w:hint="eastAsia"/>
          <w:kern w:val="24"/>
        </w:rPr>
        <w:t>地表水环境</w:t>
      </w:r>
      <w:bookmarkEnd w:id="402"/>
      <w:bookmarkEnd w:id="403"/>
      <w:bookmarkEnd w:id="404"/>
    </w:p>
    <w:p>
      <w:pPr>
        <w:ind w:firstLine="480"/>
      </w:pPr>
      <w:r>
        <w:rPr>
          <w:rFonts w:hint="eastAsia"/>
        </w:rPr>
        <w:t>郭家冲水库湖心各监测因子均能满足《地表水环境质量标准》（</w:t>
      </w:r>
      <w:r>
        <w:t>GB3838-2002</w:t>
      </w:r>
      <w:r>
        <w:rPr>
          <w:rFonts w:hint="eastAsia"/>
        </w:rPr>
        <w:t>）</w:t>
      </w:r>
      <w:r>
        <w:fldChar w:fldCharType="begin"/>
      </w:r>
      <w:r>
        <w:instrText xml:space="preserve"> = 3 \* ROMAN </w:instrText>
      </w:r>
      <w:r>
        <w:fldChar w:fldCharType="separate"/>
      </w:r>
      <w:r>
        <w:t>III</w:t>
      </w:r>
      <w:r>
        <w:fldChar w:fldCharType="end"/>
      </w:r>
      <w:r>
        <w:rPr>
          <w:rFonts w:hint="eastAsia"/>
        </w:rPr>
        <w:t>类标准要求。说明项目周边地表水体水质较差。</w:t>
      </w:r>
    </w:p>
    <w:p>
      <w:pPr>
        <w:ind w:firstLine="480"/>
      </w:pPr>
    </w:p>
    <w:p>
      <w:pPr>
        <w:pStyle w:val="4"/>
        <w:rPr>
          <w:kern w:val="24"/>
        </w:rPr>
      </w:pPr>
      <w:bookmarkStart w:id="405" w:name="_Toc391370306"/>
      <w:bookmarkStart w:id="406" w:name="_Toc355852366"/>
      <w:r>
        <w:rPr>
          <w:rFonts w:hint="eastAsia"/>
          <w:kern w:val="24"/>
        </w:rPr>
        <w:t>地下水环境</w:t>
      </w:r>
      <w:bookmarkEnd w:id="405"/>
      <w:bookmarkEnd w:id="406"/>
    </w:p>
    <w:p>
      <w:pPr>
        <w:ind w:firstLine="480"/>
      </w:pPr>
      <w:bookmarkStart w:id="407" w:name="_Toc391370307"/>
      <w:bookmarkStart w:id="408" w:name="_Toc355852367"/>
      <w:r>
        <w:rPr>
          <w:rFonts w:hint="eastAsia"/>
        </w:rPr>
        <w:t>项目西北面</w:t>
      </w:r>
      <w:r>
        <w:t>1000m</w:t>
      </w:r>
      <w:r>
        <w:rPr>
          <w:rFonts w:hint="eastAsia"/>
        </w:rPr>
        <w:t>处的地下水氨氮、总大肠菌群超标。项目区域地下水环境不能完全满足《地下水质量标准》（</w:t>
      </w:r>
      <w:r>
        <w:t>GB/T14848-1993</w:t>
      </w:r>
      <w:r>
        <w:rPr>
          <w:rFonts w:hint="eastAsia"/>
        </w:rPr>
        <w:t>）中</w:t>
      </w:r>
      <w:r>
        <w:fldChar w:fldCharType="begin"/>
      </w:r>
      <w:r>
        <w:instrText xml:space="preserve"> = 3 \* ROMAN </w:instrText>
      </w:r>
      <w:r>
        <w:fldChar w:fldCharType="separate"/>
      </w:r>
      <w:r>
        <w:t>III</w:t>
      </w:r>
      <w:r>
        <w:fldChar w:fldCharType="end"/>
      </w:r>
      <w:r>
        <w:rPr>
          <w:rFonts w:hint="eastAsia"/>
        </w:rPr>
        <w:t>类标准。根据现场调查，项目西北面为农田旱地，当地居民使用化粪池中废水作为农肥浇灌，部分未经吸收的浇灌废水渗入地下，造成区域地下水中氨氮、总大肠菌群超标。因此，建议当地居民合理利用农肥浇灌耕地。</w:t>
      </w:r>
    </w:p>
    <w:p>
      <w:pPr>
        <w:pStyle w:val="4"/>
        <w:rPr>
          <w:kern w:val="24"/>
        </w:rPr>
      </w:pPr>
      <w:r>
        <w:rPr>
          <w:rFonts w:hint="eastAsia"/>
          <w:kern w:val="24"/>
        </w:rPr>
        <w:t>声环境</w:t>
      </w:r>
      <w:bookmarkEnd w:id="407"/>
      <w:bookmarkEnd w:id="408"/>
    </w:p>
    <w:p>
      <w:pPr>
        <w:ind w:firstLine="480"/>
      </w:pPr>
      <w:r>
        <w:rPr>
          <w:rFonts w:hint="eastAsia"/>
        </w:rPr>
        <w:t>本项目各场界噪声监测点位昼间噪声值均满足《声环境质量标准》（</w:t>
      </w:r>
      <w:r>
        <w:t>GB3096-2008</w:t>
      </w:r>
      <w:r>
        <w:rPr>
          <w:rFonts w:hint="eastAsia"/>
        </w:rPr>
        <w:t>）</w:t>
      </w:r>
      <w:r>
        <w:t>2</w:t>
      </w:r>
      <w:r>
        <w:rPr>
          <w:rFonts w:hint="eastAsia"/>
        </w:rPr>
        <w:t>类标准要求。但因夜间采石场仍进行生产作业，项目夜间噪声值超过《声环境质量标准》（</w:t>
      </w:r>
      <w:r>
        <w:t>GB3096-2008</w:t>
      </w:r>
      <w:r>
        <w:rPr>
          <w:rFonts w:hint="eastAsia"/>
        </w:rPr>
        <w:t>）</w:t>
      </w:r>
      <w:r>
        <w:t>2</w:t>
      </w:r>
      <w:r>
        <w:rPr>
          <w:rFonts w:hint="eastAsia"/>
        </w:rPr>
        <w:t>类标准要求，建议</w:t>
      </w:r>
    </w:p>
    <w:p>
      <w:pPr>
        <w:ind w:firstLine="480"/>
      </w:pPr>
      <w:r>
        <w:rPr>
          <w:rFonts w:hint="eastAsia"/>
        </w:rPr>
        <w:t>所在地声环境质量良好。</w:t>
      </w:r>
    </w:p>
    <w:p>
      <w:pPr>
        <w:pStyle w:val="4"/>
        <w:rPr>
          <w:kern w:val="24"/>
        </w:rPr>
      </w:pPr>
      <w:bookmarkStart w:id="409" w:name="_Toc391370308"/>
      <w:r>
        <w:rPr>
          <w:rFonts w:hint="eastAsia"/>
          <w:kern w:val="24"/>
        </w:rPr>
        <w:t>土壤环境</w:t>
      </w:r>
      <w:bookmarkEnd w:id="409"/>
    </w:p>
    <w:p>
      <w:pPr>
        <w:ind w:firstLine="480"/>
      </w:pPr>
      <w:r>
        <w:rPr>
          <w:rFonts w:hint="eastAsia"/>
        </w:rPr>
        <w:t>项目拟建地土壤环境质量满足《土壤环境质量标准》（</w:t>
      </w:r>
      <w:r>
        <w:t>GB15618-1995</w:t>
      </w:r>
      <w:r>
        <w:rPr>
          <w:rFonts w:hint="eastAsia"/>
        </w:rPr>
        <w:t>）中二级标准要求，说明项目拟建地土壤环境质量良好。</w:t>
      </w:r>
    </w:p>
    <w:p>
      <w:pPr>
        <w:pStyle w:val="3"/>
      </w:pPr>
      <w:bookmarkStart w:id="410" w:name="_Toc391370309"/>
      <w:bookmarkStart w:id="411" w:name="_Toc397322880"/>
      <w:bookmarkStart w:id="412" w:name="_Toc355852368"/>
      <w:bookmarkStart w:id="413" w:name="_Toc462818474"/>
      <w:r>
        <w:rPr>
          <w:rFonts w:hint="eastAsia"/>
        </w:rPr>
        <w:t>污染物达标排放情况</w:t>
      </w:r>
      <w:bookmarkEnd w:id="410"/>
      <w:bookmarkEnd w:id="411"/>
      <w:bookmarkEnd w:id="412"/>
      <w:bookmarkEnd w:id="413"/>
    </w:p>
    <w:p>
      <w:pPr>
        <w:pStyle w:val="4"/>
        <w:rPr>
          <w:kern w:val="24"/>
        </w:rPr>
      </w:pPr>
      <w:bookmarkStart w:id="414" w:name="_Toc355852369"/>
      <w:bookmarkStart w:id="415" w:name="_Toc391370310"/>
      <w:bookmarkStart w:id="416" w:name="_Toc460253840"/>
      <w:r>
        <w:rPr>
          <w:rFonts w:hint="eastAsia"/>
          <w:kern w:val="24"/>
        </w:rPr>
        <w:t>废气</w:t>
      </w:r>
      <w:bookmarkEnd w:id="414"/>
      <w:bookmarkEnd w:id="415"/>
      <w:bookmarkEnd w:id="416"/>
    </w:p>
    <w:p>
      <w:pPr>
        <w:ind w:firstLine="480"/>
        <w:rPr>
          <w:kern w:val="0"/>
        </w:rPr>
      </w:pPr>
      <w:r>
        <w:rPr>
          <w:rFonts w:hint="eastAsia"/>
        </w:rPr>
        <w:t>填埋过程采取日覆盖土的措施，一层固体废物一层土，每天作业完毕都要压实覆盖。</w:t>
      </w:r>
    </w:p>
    <w:p>
      <w:pPr>
        <w:ind w:firstLine="480"/>
        <w:rPr>
          <w:kern w:val="0"/>
        </w:rPr>
      </w:pPr>
      <w:r>
        <w:rPr>
          <w:rFonts w:hint="eastAsia"/>
          <w:kern w:val="0"/>
        </w:rPr>
        <w:t>项目运营后采取洒水的措施以控制粉尘污染，洒水次数和水量结合当时具体条件，由操作人员和管理人员掌握，把握的原则是不影响处置作业，同时又能达到最佳的控制粉尘的效果。洒水的场所主要是作业区、土源挖掘装运场所、进场和场区道路。</w:t>
      </w:r>
      <w:r>
        <w:rPr>
          <w:rFonts w:hint="eastAsia"/>
        </w:rPr>
        <w:t>采取洒水措施后粉尘大部分在填埋作业区及取土场周围沉降，能够得到有效控制，不会对场区周围环境造成较大影响。</w:t>
      </w:r>
    </w:p>
    <w:p>
      <w:pPr>
        <w:pStyle w:val="4"/>
        <w:rPr>
          <w:kern w:val="24"/>
        </w:rPr>
      </w:pPr>
      <w:bookmarkStart w:id="417" w:name="_Toc355852370"/>
      <w:bookmarkStart w:id="418" w:name="_Toc391370311"/>
      <w:bookmarkStart w:id="419" w:name="_Toc460253841"/>
      <w:r>
        <w:rPr>
          <w:rFonts w:hint="eastAsia"/>
          <w:kern w:val="24"/>
        </w:rPr>
        <w:t>废水</w:t>
      </w:r>
      <w:bookmarkEnd w:id="417"/>
      <w:bookmarkEnd w:id="418"/>
      <w:bookmarkEnd w:id="419"/>
    </w:p>
    <w:p>
      <w:pPr>
        <w:adjustRightInd w:val="0"/>
        <w:snapToGrid w:val="0"/>
        <w:ind w:firstLine="480"/>
        <w:rPr>
          <w:rFonts w:eastAsia="仿宋_GB2312"/>
        </w:rPr>
      </w:pPr>
      <w:bookmarkStart w:id="420" w:name="_Toc355852371"/>
      <w:r>
        <w:rPr>
          <w:rFonts w:hint="eastAsia"/>
          <w:kern w:val="0"/>
        </w:rPr>
        <w:t>按照建设单位规划，本工程建设一套地表水地下水收集系统，即渗滤液通过渗滤液</w:t>
      </w:r>
      <w:r>
        <w:rPr>
          <w:rFonts w:hint="eastAsia"/>
        </w:rPr>
        <w:t>导流层有组织的导入</w:t>
      </w:r>
      <w:r>
        <w:t>90m</w:t>
      </w:r>
      <w:r>
        <w:rPr>
          <w:vertAlign w:val="superscript"/>
        </w:rPr>
        <w:t>3</w:t>
      </w:r>
      <w:r>
        <w:rPr>
          <w:rFonts w:hint="eastAsia"/>
        </w:rPr>
        <w:t>的渗滤液收集池，</w:t>
      </w:r>
      <w:bookmarkStart w:id="421" w:name="_Toc391370312"/>
      <w:r>
        <w:rPr>
          <w:rFonts w:hint="eastAsia"/>
        </w:rPr>
        <w:t>定期运送至有资质单位处理，不外排。生活污水利用当地民房现有化粪池等消解处理后排放，对附近水体的影响不大。</w:t>
      </w:r>
    </w:p>
    <w:p>
      <w:pPr>
        <w:pStyle w:val="4"/>
        <w:rPr>
          <w:kern w:val="24"/>
        </w:rPr>
      </w:pPr>
      <w:bookmarkStart w:id="422" w:name="_Toc460253842"/>
      <w:r>
        <w:rPr>
          <w:rFonts w:hint="eastAsia"/>
          <w:kern w:val="24"/>
        </w:rPr>
        <w:t>噪声</w:t>
      </w:r>
      <w:bookmarkEnd w:id="420"/>
      <w:bookmarkEnd w:id="421"/>
      <w:bookmarkEnd w:id="422"/>
    </w:p>
    <w:p>
      <w:pPr>
        <w:ind w:firstLine="480"/>
        <w:rPr>
          <w:kern w:val="0"/>
        </w:rPr>
      </w:pPr>
      <w:r>
        <w:rPr>
          <w:rFonts w:hint="eastAsia"/>
          <w:kern w:val="0"/>
        </w:rPr>
        <w:t>填埋期对声环境的影响主要为处置场作业区的作业机械运行噪声。针对上述主要噪声源，工程选用低噪声设备，将运行噪声较大的设备置于隔声间内，同时采取密闭隔音处理措施，处置作业机械噪声通过距离衰减等措施后各厂界噪声预测结果均能满足《工业企业厂界环境噪声排放标准》（</w:t>
      </w:r>
      <w:r>
        <w:rPr>
          <w:kern w:val="0"/>
        </w:rPr>
        <w:t>GB 12348-2008</w:t>
      </w:r>
      <w:r>
        <w:rPr>
          <w:rFonts w:hint="eastAsia"/>
          <w:kern w:val="0"/>
        </w:rPr>
        <w:t>）</w:t>
      </w:r>
      <w:r>
        <w:rPr>
          <w:kern w:val="0"/>
        </w:rPr>
        <w:t>2</w:t>
      </w:r>
      <w:r>
        <w:rPr>
          <w:rFonts w:hint="eastAsia"/>
          <w:kern w:val="0"/>
        </w:rPr>
        <w:t>类区标准要求。</w:t>
      </w:r>
    </w:p>
    <w:p>
      <w:pPr>
        <w:pStyle w:val="4"/>
        <w:rPr>
          <w:kern w:val="24"/>
        </w:rPr>
      </w:pPr>
      <w:bookmarkStart w:id="423" w:name="_Toc355852372"/>
      <w:bookmarkStart w:id="424" w:name="_Toc391370313"/>
      <w:bookmarkStart w:id="425" w:name="_Toc460253843"/>
      <w:r>
        <w:rPr>
          <w:rFonts w:hint="eastAsia"/>
          <w:kern w:val="24"/>
        </w:rPr>
        <w:t>固废</w:t>
      </w:r>
      <w:bookmarkEnd w:id="423"/>
      <w:bookmarkEnd w:id="424"/>
      <w:bookmarkEnd w:id="425"/>
    </w:p>
    <w:p>
      <w:pPr>
        <w:ind w:firstLine="480"/>
      </w:pPr>
      <w:bookmarkStart w:id="426" w:name="_Toc355852373"/>
      <w:r>
        <w:rPr>
          <w:rFonts w:hint="eastAsia"/>
        </w:rPr>
        <w:t>项目建成运营后产生的固废主要为作业员工的生活垃圾。本项目生活垃圾由当地环卫部门统一收集处置，固废做到有效的处置，对周围环境产生的影响较小。</w:t>
      </w:r>
    </w:p>
    <w:p>
      <w:pPr>
        <w:pStyle w:val="4"/>
        <w:rPr>
          <w:kern w:val="24"/>
        </w:rPr>
      </w:pPr>
      <w:bookmarkStart w:id="427" w:name="_Toc391370314"/>
      <w:bookmarkStart w:id="428" w:name="_Toc460253844"/>
      <w:r>
        <w:rPr>
          <w:rFonts w:hint="eastAsia"/>
          <w:kern w:val="24"/>
        </w:rPr>
        <w:t>地下水</w:t>
      </w:r>
      <w:bookmarkEnd w:id="426"/>
      <w:bookmarkEnd w:id="427"/>
      <w:bookmarkEnd w:id="428"/>
    </w:p>
    <w:p>
      <w:pPr>
        <w:ind w:firstLine="480"/>
        <w:rPr>
          <w:kern w:val="0"/>
        </w:rPr>
      </w:pPr>
      <w:r>
        <w:rPr>
          <w:rFonts w:hint="eastAsia"/>
          <w:kern w:val="0"/>
        </w:rPr>
        <w:t>固体废物处置场评价区域采石场废弃矿坑土质渗透系数</w:t>
      </w:r>
      <w:r>
        <w:rPr>
          <w:rFonts w:hint="eastAsia"/>
        </w:rPr>
        <w:t>在</w:t>
      </w:r>
      <w:r>
        <w:t>1×10</w:t>
      </w:r>
      <w:r>
        <w:rPr>
          <w:vertAlign w:val="superscript"/>
        </w:rPr>
        <w:t>-5</w:t>
      </w:r>
      <w:r>
        <w:t>cm/s</w:t>
      </w:r>
      <w:r>
        <w:rPr>
          <w:rFonts w:hint="eastAsia"/>
        </w:rPr>
        <w:t>左右，</w:t>
      </w:r>
      <w:r>
        <w:rPr>
          <w:rFonts w:hint="eastAsia"/>
          <w:kern w:val="0"/>
        </w:rPr>
        <w:t>大于《一般工业固体废物贮存、处置</w:t>
      </w:r>
      <w:r>
        <w:rPr>
          <w:rFonts w:hint="eastAsia"/>
        </w:rPr>
        <w:t>污染物控制标准</w:t>
      </w:r>
      <w:r>
        <w:rPr>
          <w:rFonts w:hint="eastAsia"/>
          <w:kern w:val="0"/>
        </w:rPr>
        <w:t>》（</w:t>
      </w:r>
      <w:r>
        <w:rPr>
          <w:kern w:val="0"/>
        </w:rPr>
        <w:t>GB18599-2008</w:t>
      </w:r>
      <w:r>
        <w:rPr>
          <w:rFonts w:hint="eastAsia"/>
          <w:kern w:val="0"/>
        </w:rPr>
        <w:t>）要求的</w:t>
      </w:r>
      <w:r>
        <w:rPr>
          <w:kern w:val="0"/>
        </w:rPr>
        <w:t>1×10</w:t>
      </w:r>
      <w:r>
        <w:rPr>
          <w:kern w:val="0"/>
          <w:vertAlign w:val="superscript"/>
        </w:rPr>
        <w:t>-7</w:t>
      </w:r>
      <w:r>
        <w:rPr>
          <w:kern w:val="0"/>
        </w:rPr>
        <w:t>cm/s</w:t>
      </w:r>
      <w:r>
        <w:rPr>
          <w:rFonts w:hint="eastAsia"/>
          <w:kern w:val="0"/>
        </w:rPr>
        <w:t>，不具备自然防渗条件，应作人工防渗处理。如果渗滤液处理不当形成下渗，会对浅层地下水造成大面积污染且不易控制。</w:t>
      </w:r>
    </w:p>
    <w:p>
      <w:pPr>
        <w:ind w:firstLine="480"/>
        <w:rPr>
          <w:kern w:val="0"/>
        </w:rPr>
      </w:pPr>
      <w:r>
        <w:rPr>
          <w:rFonts w:hint="eastAsia"/>
          <w:kern w:val="0"/>
        </w:rPr>
        <w:t>建设单位拟对处置场底部及边坡、渗滤液收集池均采用复合</w:t>
      </w:r>
      <w:r>
        <w:rPr>
          <w:kern w:val="0"/>
        </w:rPr>
        <w:t>HDPE</w:t>
      </w:r>
      <w:r>
        <w:rPr>
          <w:rFonts w:hint="eastAsia"/>
          <w:kern w:val="0"/>
        </w:rPr>
        <w:t>膜进行人工衬里防渗，复合</w:t>
      </w:r>
      <w:r>
        <w:rPr>
          <w:kern w:val="0"/>
        </w:rPr>
        <w:t>HDPE</w:t>
      </w:r>
      <w:r>
        <w:rPr>
          <w:rFonts w:hint="eastAsia"/>
          <w:kern w:val="0"/>
        </w:rPr>
        <w:t>膜防渗层渗透系数</w:t>
      </w:r>
      <w:r>
        <w:rPr>
          <w:kern w:val="0"/>
        </w:rPr>
        <w:t>K</w:t>
      </w:r>
      <w:r>
        <w:rPr>
          <w:rFonts w:hint="eastAsia"/>
          <w:kern w:val="0"/>
        </w:rPr>
        <w:t>＜</w:t>
      </w:r>
      <w:r>
        <w:rPr>
          <w:kern w:val="0"/>
        </w:rPr>
        <w:t>10</w:t>
      </w:r>
      <w:r>
        <w:rPr>
          <w:kern w:val="0"/>
          <w:vertAlign w:val="superscript"/>
        </w:rPr>
        <w:t>-7</w:t>
      </w:r>
      <w:r>
        <w:rPr>
          <w:kern w:val="0"/>
        </w:rPr>
        <w:t>cm/s</w:t>
      </w:r>
      <w:r>
        <w:rPr>
          <w:rFonts w:hint="eastAsia"/>
          <w:kern w:val="0"/>
        </w:rPr>
        <w:t>，抗压强度高，耐腐蚀性好，具有一定的抗穿刺能力。该措施能保证固体废物处置场在运营和封场后防渗层不渗漏，少有故障运行，基本杜绝了对地下水的污染。</w:t>
      </w:r>
    </w:p>
    <w:p>
      <w:pPr>
        <w:pStyle w:val="3"/>
      </w:pPr>
      <w:bookmarkStart w:id="429" w:name="_Toc397322881"/>
      <w:bookmarkStart w:id="430" w:name="_Toc391370315"/>
      <w:bookmarkStart w:id="431" w:name="_Toc355852374"/>
      <w:bookmarkStart w:id="432" w:name="_Toc462818475"/>
      <w:r>
        <w:rPr>
          <w:rFonts w:hint="eastAsia"/>
        </w:rPr>
        <w:t>符合环境功能区划</w:t>
      </w:r>
      <w:bookmarkEnd w:id="429"/>
      <w:bookmarkEnd w:id="430"/>
      <w:bookmarkEnd w:id="431"/>
      <w:bookmarkEnd w:id="432"/>
    </w:p>
    <w:p>
      <w:pPr>
        <w:ind w:firstLine="480"/>
      </w:pPr>
      <w:r>
        <w:rPr>
          <w:rFonts w:hint="eastAsia"/>
        </w:rPr>
        <w:t>通过分析可知，项目排放的大气污染物对周围大气环境影响较小，不会造成大气质量功能类别下降；渗滤液经处理达标后排放，污水对外环境影响较小；噪声经治理后厂界达标；本项目生活垃圾由当地环卫部门统一收集处置，运至固体废物处置场进行处置，固废做到有效的处置，对周围环境产生的影响较小。</w:t>
      </w:r>
    </w:p>
    <w:p>
      <w:pPr>
        <w:pStyle w:val="3"/>
      </w:pPr>
      <w:bookmarkStart w:id="433" w:name="_Toc397322882"/>
      <w:bookmarkStart w:id="434" w:name="_Toc322418783"/>
      <w:bookmarkStart w:id="435" w:name="_Toc355852375"/>
      <w:bookmarkStart w:id="436" w:name="_Toc391370316"/>
      <w:bookmarkStart w:id="437" w:name="_Toc462818476"/>
      <w:r>
        <w:rPr>
          <w:rFonts w:hint="eastAsia"/>
        </w:rPr>
        <w:t>总量控制</w:t>
      </w:r>
      <w:bookmarkEnd w:id="433"/>
      <w:bookmarkEnd w:id="434"/>
      <w:bookmarkEnd w:id="435"/>
      <w:bookmarkEnd w:id="436"/>
      <w:bookmarkEnd w:id="437"/>
    </w:p>
    <w:p>
      <w:pPr>
        <w:adjustRightInd w:val="0"/>
        <w:snapToGrid w:val="0"/>
        <w:ind w:firstLine="480"/>
        <w:rPr>
          <w:rFonts w:eastAsia="仿宋_GB2312"/>
        </w:rPr>
      </w:pPr>
      <w:r>
        <w:rPr>
          <w:rFonts w:hint="eastAsia"/>
          <w:kern w:val="0"/>
        </w:rPr>
        <w:t>按照建设单位规划，本工程渗滤液通过渗滤液</w:t>
      </w:r>
      <w:r>
        <w:rPr>
          <w:rFonts w:hint="eastAsia"/>
        </w:rPr>
        <w:t>导流层有组织的导入</w:t>
      </w:r>
      <w:r>
        <w:t>90m</w:t>
      </w:r>
      <w:r>
        <w:rPr>
          <w:vertAlign w:val="superscript"/>
        </w:rPr>
        <w:t>3</w:t>
      </w:r>
      <w:r>
        <w:rPr>
          <w:rFonts w:hint="eastAsia"/>
        </w:rPr>
        <w:t>的渗滤液收集池定期运送至有资质单位处理，不外排，生活污水利用当地民房现有化粪池等消解处理后排放，对附近水体的影响不大。本项目不申请污染物排放总量。</w:t>
      </w:r>
    </w:p>
    <w:p>
      <w:pPr>
        <w:pStyle w:val="3"/>
        <w:rPr>
          <w:bCs/>
          <w:szCs w:val="28"/>
        </w:rPr>
      </w:pPr>
      <w:bookmarkStart w:id="438" w:name="_Toc459810563"/>
      <w:bookmarkStart w:id="439" w:name="_Toc29645"/>
      <w:bookmarkStart w:id="440" w:name="_Toc28472"/>
      <w:bookmarkStart w:id="441" w:name="_Toc391370317"/>
      <w:bookmarkStart w:id="442" w:name="_Toc397322883"/>
      <w:bookmarkStart w:id="443" w:name="_Toc355852376"/>
      <w:r>
        <w:fldChar w:fldCharType="begin"/>
      </w:r>
      <w:r>
        <w:instrText xml:space="preserve">HYPERLINK \l "_Toc293899586"</w:instrText>
      </w:r>
      <w:r>
        <w:fldChar w:fldCharType="separate"/>
      </w:r>
      <w:bookmarkStart w:id="444" w:name="_Toc462818477"/>
      <w:r>
        <w:rPr>
          <w:szCs w:val="28"/>
        </w:rPr>
        <w:t>公众参与</w:t>
      </w:r>
      <w:bookmarkEnd w:id="438"/>
      <w:r>
        <w:fldChar w:fldCharType="end"/>
      </w:r>
      <w:bookmarkEnd w:id="439"/>
      <w:bookmarkEnd w:id="440"/>
      <w:r>
        <w:rPr>
          <w:rFonts w:hint="eastAsia"/>
        </w:rPr>
        <w:t>结论</w:t>
      </w:r>
      <w:bookmarkEnd w:id="444"/>
    </w:p>
    <w:p>
      <w:pPr>
        <w:ind w:firstLine="480"/>
      </w:pPr>
      <w:r>
        <w:t>根据以上公众参与调查，大部分公众认为本项目建设有利于增加经济收入，带动区域经济发展，公众对项目的建设均持支持态度。多数人认为本项目的环境问题是</w:t>
      </w:r>
      <w:r>
        <w:rPr>
          <w:rFonts w:hint="eastAsia"/>
        </w:rPr>
        <w:t>水</w:t>
      </w:r>
      <w:r>
        <w:t>污染问题。建设单位应认真采纳或考虑公众意见，在</w:t>
      </w:r>
      <w:r>
        <w:rPr>
          <w:rFonts w:hint="eastAsia"/>
        </w:rPr>
        <w:t>处置场</w:t>
      </w:r>
      <w:r>
        <w:t>建设、运营过程与当地居民协调处理。</w:t>
      </w:r>
    </w:p>
    <w:bookmarkEnd w:id="388"/>
    <w:bookmarkEnd w:id="389"/>
    <w:bookmarkEnd w:id="390"/>
    <w:bookmarkEnd w:id="391"/>
    <w:bookmarkEnd w:id="392"/>
    <w:bookmarkEnd w:id="393"/>
    <w:bookmarkEnd w:id="441"/>
    <w:bookmarkEnd w:id="442"/>
    <w:bookmarkEnd w:id="443"/>
    <w:p>
      <w:pPr>
        <w:pStyle w:val="3"/>
      </w:pPr>
      <w:bookmarkStart w:id="445" w:name="_Toc151192186"/>
      <w:bookmarkStart w:id="446" w:name="_Toc157948142"/>
      <w:bookmarkStart w:id="447" w:name="_Toc277522166"/>
      <w:bookmarkStart w:id="448" w:name="_Toc391370318"/>
      <w:bookmarkStart w:id="449" w:name="_Toc161136727"/>
      <w:bookmarkStart w:id="450" w:name="_Toc344647845"/>
      <w:bookmarkStart w:id="451" w:name="_Toc209442650"/>
      <w:bookmarkStart w:id="452" w:name="_Toc462818478"/>
      <w:bookmarkStart w:id="453" w:name="_Toc164918060"/>
      <w:bookmarkStart w:id="454" w:name="_Toc158087699"/>
      <w:bookmarkStart w:id="455" w:name="_Toc346092720"/>
      <w:bookmarkStart w:id="456" w:name="_Toc397322884"/>
      <w:r>
        <w:rPr>
          <w:rFonts w:hint="eastAsia"/>
        </w:rPr>
        <w:t>总结论</w:t>
      </w:r>
      <w:bookmarkEnd w:id="445"/>
      <w:bookmarkEnd w:id="446"/>
      <w:bookmarkEnd w:id="447"/>
      <w:bookmarkEnd w:id="448"/>
      <w:bookmarkEnd w:id="449"/>
      <w:bookmarkEnd w:id="450"/>
      <w:bookmarkEnd w:id="451"/>
      <w:bookmarkEnd w:id="452"/>
      <w:bookmarkEnd w:id="453"/>
      <w:bookmarkEnd w:id="454"/>
      <w:bookmarkEnd w:id="455"/>
      <w:bookmarkEnd w:id="456"/>
    </w:p>
    <w:p>
      <w:pPr>
        <w:ind w:firstLine="480"/>
      </w:pPr>
      <w:r>
        <w:rPr>
          <w:rFonts w:hint="eastAsia"/>
        </w:rPr>
        <w:t>综上所述，云溪河下游沿岸工业历史遗留固废渣处置项目（变更）是一项改善云溪区环境的环保工程，项目建成后对云溪区环境质量的提高将起到十分重要的作用，其社会环境的正效应很大，而且二次污染的不利影响在采取适当的环保措施后能够得到有效控制。该项目符合国家产业政策，选址适宜，得到了公众的积极支持。只要建设单位认真落实本报告提出的各项污染治理措施特别是废水治理和生态保护措施，切实做好</w:t>
      </w:r>
      <w:r>
        <w:t>“</w:t>
      </w:r>
      <w:r>
        <w:rPr>
          <w:rFonts w:hint="eastAsia"/>
        </w:rPr>
        <w:t>三同时</w:t>
      </w:r>
      <w:r>
        <w:t>”</w:t>
      </w:r>
      <w:r>
        <w:rPr>
          <w:rFonts w:hint="eastAsia"/>
        </w:rPr>
        <w:t>及日常环保管理工作，则工程产生的环境影响较小，可以接受，而且对于改善云溪区的环境质量具有明显的促进作用，从环保角度讲，本工程的建设是可行的。</w:t>
      </w:r>
    </w:p>
    <w:p>
      <w:pPr>
        <w:ind w:firstLine="482"/>
        <w:rPr>
          <w:b/>
          <w:szCs w:val="28"/>
        </w:rPr>
      </w:pPr>
      <w:r>
        <w:rPr>
          <w:rFonts w:hint="eastAsia"/>
          <w:b/>
          <w:szCs w:val="28"/>
        </w:rPr>
        <w:t>建议：</w:t>
      </w:r>
    </w:p>
    <w:p>
      <w:pPr>
        <w:ind w:firstLine="480"/>
        <w:rPr>
          <w:szCs w:val="18"/>
        </w:rPr>
      </w:pPr>
      <w:r>
        <w:t xml:space="preserve"> 1</w:t>
      </w:r>
      <w:r>
        <w:rPr>
          <w:rFonts w:hint="eastAsia"/>
        </w:rPr>
        <w:t>）建设单位应</w:t>
      </w:r>
      <w:r>
        <w:rPr>
          <w:rFonts w:hint="eastAsia"/>
          <w:szCs w:val="18"/>
        </w:rPr>
        <w:t>确保污染治理措施执行</w:t>
      </w:r>
      <w:r>
        <w:rPr>
          <w:szCs w:val="18"/>
        </w:rPr>
        <w:t>“</w:t>
      </w:r>
      <w:r>
        <w:rPr>
          <w:rFonts w:hint="eastAsia"/>
          <w:szCs w:val="18"/>
        </w:rPr>
        <w:t>三同时</w:t>
      </w:r>
      <w:r>
        <w:rPr>
          <w:szCs w:val="18"/>
        </w:rPr>
        <w:t>”</w:t>
      </w:r>
      <w:r>
        <w:rPr>
          <w:rFonts w:hint="eastAsia"/>
          <w:szCs w:val="18"/>
        </w:rPr>
        <w:t>，落实环保投资，使各项治理措施达到设计要求；</w:t>
      </w:r>
    </w:p>
    <w:p>
      <w:pPr>
        <w:ind w:firstLine="480"/>
      </w:pPr>
      <w:r>
        <w:t>2</w:t>
      </w:r>
      <w:r>
        <w:rPr>
          <w:rFonts w:hint="eastAsia"/>
        </w:rPr>
        <w:t>）根据场地，在设计规划固体废物处置场时，统筹考虑，应考虑留有固体废物处置的扩能和综合处理的可能性，以利于将来对固体废物的处理。</w:t>
      </w:r>
    </w:p>
    <w:p>
      <w:pPr>
        <w:ind w:firstLine="480"/>
      </w:pPr>
      <w:r>
        <w:t>3</w:t>
      </w:r>
      <w:r>
        <w:rPr>
          <w:rFonts w:hint="eastAsia"/>
        </w:rPr>
        <w:t>）建议建设单位对原固体废物堆积点污染场地进行土壤修复。</w:t>
      </w:r>
      <w:bookmarkEnd w:id="162"/>
      <w:bookmarkEnd w:id="163"/>
      <w:bookmarkEnd w:id="164"/>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10002FF" w:usb1="4000ACFF" w:usb2="00000009" w:usb3="00000000" w:csb0="2000019F" w:csb1="00000000"/>
  </w:font>
  <w:font w:name="Cambria">
    <w:panose1 w:val="02040503050406030204"/>
    <w:charset w:val="00"/>
    <w:family w:val="auto"/>
    <w:pitch w:val="default"/>
    <w:sig w:usb0="E00002FF" w:usb1="400004FF" w:usb2="00000000" w:usb3="00000000" w:csb0="2000019F" w:csb1="00000000"/>
  </w:font>
  <w:font w:name="等线 Light">
    <w:altName w:val="宋体"/>
    <w:panose1 w:val="00000000000000000000"/>
    <w:charset w:val="86"/>
    <w:family w:val="auto"/>
    <w:pitch w:val="default"/>
    <w:sig w:usb0="00000001" w:usb1="080E0000" w:usb2="00000010" w:usb3="00000000" w:csb0="00040000" w:csb1="00000000"/>
  </w:font>
  <w:font w:name="仿宋_GB2312">
    <w:altName w:val="仿宋"/>
    <w:panose1 w:val="00000000000000000000"/>
    <w:charset w:val="86"/>
    <w:family w:val="auto"/>
    <w:pitch w:val="default"/>
    <w:sig w:usb0="00000000" w:usb1="080E0000" w:usb2="00000010" w:usb3="00000000" w:csb0="00040000" w:csb1="00000000"/>
  </w:font>
  <w:font w:name="方正宋三简体">
    <w:altName w:val="宋体"/>
    <w:panose1 w:val="00000000000000000000"/>
    <w:charset w:val="86"/>
    <w:family w:val="auto"/>
    <w:pitch w:val="default"/>
    <w:sig w:usb0="00000001" w:usb1="080E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p>
  <w:p>
    <w:pPr>
      <w:pStyle w:val="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r>
      <w:fldChar w:fldCharType="begin"/>
    </w:r>
    <w:r>
      <w:instrText xml:space="preserve"> PAGE   \* MERGEFORMAT </w:instrText>
    </w:r>
    <w:r>
      <w:fldChar w:fldCharType="separate"/>
    </w:r>
    <w:r>
      <w:rPr>
        <w:lang w:val="zh-CN"/>
      </w:rPr>
      <w:t>3</w:t>
    </w:r>
    <w:r>
      <w:rPr>
        <w:lang w:val="zh-CN"/>
      </w:rPr>
      <w:fldChar w:fldCharType="end"/>
    </w:r>
  </w:p>
  <w:p>
    <w:pPr>
      <w:pStyle w:val="2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r>
      <w:rPr>
        <w:rStyle w:val="32"/>
      </w:rPr>
      <w:fldChar w:fldCharType="begin"/>
    </w:r>
    <w:r>
      <w:rPr>
        <w:rStyle w:val="32"/>
      </w:rPr>
      <w:instrText xml:space="preserve"> PAGE </w:instrText>
    </w:r>
    <w:r>
      <w:rPr>
        <w:rStyle w:val="32"/>
      </w:rPr>
      <w:fldChar w:fldCharType="separate"/>
    </w:r>
    <w:r>
      <w:rPr>
        <w:rStyle w:val="32"/>
      </w:rPr>
      <w:t>68</w:t>
    </w:r>
    <w:r>
      <w:rPr>
        <w:rStyle w:val="32"/>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r>
      <w:fldChar w:fldCharType="begin"/>
    </w:r>
    <w:r>
      <w:instrText xml:space="preserve"> PAGE   \* MERGEFORMAT </w:instrText>
    </w:r>
    <w:r>
      <w:fldChar w:fldCharType="separate"/>
    </w:r>
    <w:r>
      <w:rPr>
        <w:lang w:val="zh-CN"/>
      </w:rPr>
      <w:t>131</w:t>
    </w:r>
    <w:r>
      <w:rPr>
        <w:lang w:val="zh-CN"/>
      </w:rPr>
      <w:fldChar w:fldCharType="end"/>
    </w:r>
  </w:p>
  <w:p>
    <w:pPr>
      <w:pStyle w:val="20"/>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0"/>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1"/>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1"/>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ind w:firstLine="48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347801045">
    <w:nsid w:val="14BB05D5"/>
    <w:multiLevelType w:val="multilevel"/>
    <w:tmpl w:val="14BB05D5"/>
    <w:lvl w:ilvl="0" w:tentative="1">
      <w:start w:val="1"/>
      <w:numFmt w:val="decimal"/>
      <w:lvlText w:val="（%1）"/>
      <w:lvlJc w:val="left"/>
      <w:pPr>
        <w:ind w:left="1200" w:hanging="720"/>
      </w:pPr>
      <w:rPr>
        <w:rFonts w:hint="default"/>
      </w:r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abstractNum w:abstractNumId="439565787">
    <w:nsid w:val="1A333DDB"/>
    <w:multiLevelType w:val="multilevel"/>
    <w:tmpl w:val="1A333DDB"/>
    <w:lvl w:ilvl="0" w:tentative="1">
      <w:start w:val="1"/>
      <w:numFmt w:val="decimalEnclosedCircle"/>
      <w:lvlText w:val="%1"/>
      <w:lvlJc w:val="left"/>
      <w:pPr>
        <w:ind w:left="840" w:hanging="360"/>
      </w:pPr>
      <w:rPr>
        <w:rFonts w:hint="default"/>
      </w:r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abstractNum w:abstractNumId="1499810553">
    <w:nsid w:val="59654AF9"/>
    <w:multiLevelType w:val="multilevel"/>
    <w:tmpl w:val="59654AF9"/>
    <w:lvl w:ilvl="0" w:tentative="1">
      <w:start w:val="1"/>
      <w:numFmt w:val="decimal"/>
      <w:pStyle w:val="2"/>
      <w:lvlText w:val="%1"/>
      <w:lvlJc w:val="left"/>
      <w:pPr>
        <w:ind w:left="432" w:hanging="432"/>
      </w:pPr>
      <w:rPr>
        <w:rFonts w:cs="Times New Roman"/>
      </w:rPr>
    </w:lvl>
    <w:lvl w:ilvl="1" w:tentative="1">
      <w:start w:val="1"/>
      <w:numFmt w:val="decimal"/>
      <w:pStyle w:val="3"/>
      <w:lvlText w:val="%1.%2"/>
      <w:lvlJc w:val="left"/>
      <w:pPr>
        <w:ind w:left="718" w:hanging="576"/>
      </w:pPr>
      <w:rPr>
        <w:rFonts w:cs="Times New Roman"/>
      </w:rPr>
    </w:lvl>
    <w:lvl w:ilvl="2" w:tentative="1">
      <w:start w:val="1"/>
      <w:numFmt w:val="decimal"/>
      <w:pStyle w:val="4"/>
      <w:lvlText w:val="%1.%2.%3"/>
      <w:lvlJc w:val="left"/>
      <w:pPr>
        <w:ind w:left="720" w:hanging="720"/>
      </w:pPr>
      <w:rPr>
        <w:rFonts w:ascii="Times New Roman" w:hAnsi="Times New Roman" w:cs="Times New Roman"/>
        <w:b w:val="0"/>
        <w:bCs w:val="0"/>
        <w:i w:val="0"/>
        <w:iCs w:val="0"/>
        <w:caps w:val="0"/>
        <w:smallCaps w:val="0"/>
        <w:strike w:val="0"/>
        <w:dstrike w:val="0"/>
        <w:outline w:val="0"/>
        <w:shadow w:val="0"/>
        <w:spacing w:val="0"/>
        <w:position w:val="0"/>
        <w:u w:val="none"/>
      </w:rPr>
    </w:lvl>
    <w:lvl w:ilvl="3" w:tentative="1">
      <w:start w:val="1"/>
      <w:numFmt w:val="decimal"/>
      <w:pStyle w:val="5"/>
      <w:lvlText w:val="%1.%2.%3.%4"/>
      <w:lvlJc w:val="left"/>
      <w:pPr>
        <w:ind w:left="864" w:hanging="864"/>
      </w:pPr>
      <w:rPr>
        <w:rFonts w:cs="Times New Roman"/>
      </w:rPr>
    </w:lvl>
    <w:lvl w:ilvl="4" w:tentative="1">
      <w:start w:val="1"/>
      <w:numFmt w:val="decimal"/>
      <w:pStyle w:val="6"/>
      <w:lvlText w:val="%1.%2.%3.%4.%5"/>
      <w:lvlJc w:val="left"/>
      <w:pPr>
        <w:ind w:left="1008" w:hanging="1008"/>
      </w:pPr>
      <w:rPr>
        <w:rFonts w:cs="Times New Roman"/>
      </w:rPr>
    </w:lvl>
    <w:lvl w:ilvl="5" w:tentative="1">
      <w:start w:val="1"/>
      <w:numFmt w:val="decimal"/>
      <w:pStyle w:val="7"/>
      <w:lvlText w:val="%1.%2.%3.%4.%5.%6"/>
      <w:lvlJc w:val="left"/>
      <w:pPr>
        <w:ind w:left="1152" w:hanging="1152"/>
      </w:pPr>
      <w:rPr>
        <w:rFonts w:cs="Times New Roman"/>
      </w:rPr>
    </w:lvl>
    <w:lvl w:ilvl="6" w:tentative="1">
      <w:start w:val="1"/>
      <w:numFmt w:val="decimal"/>
      <w:pStyle w:val="8"/>
      <w:lvlText w:val="%1.%2.%3.%4.%5.%6.%7"/>
      <w:lvlJc w:val="left"/>
      <w:pPr>
        <w:ind w:left="1296" w:hanging="1296"/>
      </w:pPr>
      <w:rPr>
        <w:rFonts w:cs="Times New Roman"/>
      </w:rPr>
    </w:lvl>
    <w:lvl w:ilvl="7" w:tentative="1">
      <w:start w:val="1"/>
      <w:numFmt w:val="decimal"/>
      <w:pStyle w:val="9"/>
      <w:lvlText w:val="%1.%2.%3.%4.%5.%6.%7.%8"/>
      <w:lvlJc w:val="left"/>
      <w:pPr>
        <w:ind w:left="1440" w:hanging="1440"/>
      </w:pPr>
      <w:rPr>
        <w:rFonts w:cs="Times New Roman"/>
      </w:rPr>
    </w:lvl>
    <w:lvl w:ilvl="8" w:tentative="1">
      <w:start w:val="1"/>
      <w:numFmt w:val="decimal"/>
      <w:pStyle w:val="10"/>
      <w:lvlText w:val="%1.%2.%3.%4.%5.%6.%7.%8.%9"/>
      <w:lvlJc w:val="left"/>
      <w:pPr>
        <w:ind w:left="1584" w:hanging="1584"/>
      </w:pPr>
      <w:rPr>
        <w:rFonts w:cs="Times New Roman"/>
      </w:rPr>
    </w:lvl>
  </w:abstractNum>
  <w:abstractNum w:abstractNumId="1467011235">
    <w:nsid w:val="5770D0A3"/>
    <w:multiLevelType w:val="singleLevel"/>
    <w:tmpl w:val="5770D0A3"/>
    <w:lvl w:ilvl="0" w:tentative="1">
      <w:start w:val="1"/>
      <w:numFmt w:val="decimal"/>
      <w:suff w:val="nothing"/>
      <w:lvlText w:val="（%1）"/>
      <w:lvlJc w:val="left"/>
      <w:rPr>
        <w:rFonts w:cs="Times New Roman"/>
        <w:lang w:val="en-US"/>
      </w:rPr>
    </w:lvl>
  </w:abstractNum>
  <w:abstractNum w:abstractNumId="1973826441">
    <w:nsid w:val="75A63389"/>
    <w:multiLevelType w:val="multilevel"/>
    <w:tmpl w:val="75A63389"/>
    <w:lvl w:ilvl="0" w:tentative="1">
      <w:start w:val="1"/>
      <w:numFmt w:val="decimalEnclosedCircle"/>
      <w:lvlText w:val="%1"/>
      <w:lvlJc w:val="left"/>
      <w:pPr>
        <w:tabs>
          <w:tab w:val="left" w:pos="840"/>
        </w:tabs>
        <w:ind w:left="840" w:hanging="360"/>
      </w:pPr>
      <w:rPr>
        <w:rFonts w:hint="default" w:cs="Times New Roman"/>
      </w:rPr>
    </w:lvl>
    <w:lvl w:ilvl="1" w:tentative="1">
      <w:start w:val="1"/>
      <w:numFmt w:val="lowerLetter"/>
      <w:lvlText w:val="%2)"/>
      <w:lvlJc w:val="left"/>
      <w:pPr>
        <w:tabs>
          <w:tab w:val="left" w:pos="1320"/>
        </w:tabs>
        <w:ind w:left="1320" w:hanging="420"/>
      </w:pPr>
      <w:rPr>
        <w:rFonts w:cs="Times New Roman"/>
      </w:rPr>
    </w:lvl>
    <w:lvl w:ilvl="2" w:tentative="1">
      <w:start w:val="1"/>
      <w:numFmt w:val="lowerRoman"/>
      <w:lvlText w:val="%3."/>
      <w:lvlJc w:val="right"/>
      <w:pPr>
        <w:tabs>
          <w:tab w:val="left" w:pos="1740"/>
        </w:tabs>
        <w:ind w:left="1740" w:hanging="420"/>
      </w:pPr>
      <w:rPr>
        <w:rFonts w:cs="Times New Roman"/>
      </w:rPr>
    </w:lvl>
    <w:lvl w:ilvl="3" w:tentative="1">
      <w:start w:val="1"/>
      <w:numFmt w:val="decimal"/>
      <w:lvlText w:val="%4."/>
      <w:lvlJc w:val="left"/>
      <w:pPr>
        <w:tabs>
          <w:tab w:val="left" w:pos="2160"/>
        </w:tabs>
        <w:ind w:left="2160" w:hanging="420"/>
      </w:pPr>
      <w:rPr>
        <w:rFonts w:cs="Times New Roman"/>
      </w:rPr>
    </w:lvl>
    <w:lvl w:ilvl="4" w:tentative="1">
      <w:start w:val="1"/>
      <w:numFmt w:val="lowerLetter"/>
      <w:lvlText w:val="%5)"/>
      <w:lvlJc w:val="left"/>
      <w:pPr>
        <w:tabs>
          <w:tab w:val="left" w:pos="2580"/>
        </w:tabs>
        <w:ind w:left="2580" w:hanging="420"/>
      </w:pPr>
      <w:rPr>
        <w:rFonts w:cs="Times New Roman"/>
      </w:rPr>
    </w:lvl>
    <w:lvl w:ilvl="5" w:tentative="1">
      <w:start w:val="1"/>
      <w:numFmt w:val="lowerRoman"/>
      <w:lvlText w:val="%6."/>
      <w:lvlJc w:val="right"/>
      <w:pPr>
        <w:tabs>
          <w:tab w:val="left" w:pos="3000"/>
        </w:tabs>
        <w:ind w:left="3000" w:hanging="420"/>
      </w:pPr>
      <w:rPr>
        <w:rFonts w:cs="Times New Roman"/>
      </w:rPr>
    </w:lvl>
    <w:lvl w:ilvl="6" w:tentative="1">
      <w:start w:val="1"/>
      <w:numFmt w:val="decimal"/>
      <w:lvlText w:val="%7."/>
      <w:lvlJc w:val="left"/>
      <w:pPr>
        <w:tabs>
          <w:tab w:val="left" w:pos="3420"/>
        </w:tabs>
        <w:ind w:left="3420" w:hanging="420"/>
      </w:pPr>
      <w:rPr>
        <w:rFonts w:cs="Times New Roman"/>
      </w:rPr>
    </w:lvl>
    <w:lvl w:ilvl="7" w:tentative="1">
      <w:start w:val="1"/>
      <w:numFmt w:val="lowerLetter"/>
      <w:lvlText w:val="%8)"/>
      <w:lvlJc w:val="left"/>
      <w:pPr>
        <w:tabs>
          <w:tab w:val="left" w:pos="3840"/>
        </w:tabs>
        <w:ind w:left="3840" w:hanging="420"/>
      </w:pPr>
      <w:rPr>
        <w:rFonts w:cs="Times New Roman"/>
      </w:rPr>
    </w:lvl>
    <w:lvl w:ilvl="8" w:tentative="1">
      <w:start w:val="1"/>
      <w:numFmt w:val="lowerRoman"/>
      <w:lvlText w:val="%9."/>
      <w:lvlJc w:val="right"/>
      <w:pPr>
        <w:tabs>
          <w:tab w:val="left" w:pos="4260"/>
        </w:tabs>
        <w:ind w:left="4260" w:hanging="420"/>
      </w:pPr>
      <w:rPr>
        <w:rFonts w:cs="Times New Roman"/>
      </w:rPr>
    </w:lvl>
  </w:abstractNum>
  <w:num w:numId="1">
    <w:abstractNumId w:val="1499810553"/>
  </w:num>
  <w:num w:numId="2">
    <w:abstractNumId w:val="439565787"/>
  </w:num>
  <w:num w:numId="3">
    <w:abstractNumId w:val="1467011235"/>
  </w:num>
  <w:num w:numId="4">
    <w:abstractNumId w:val="1973826441"/>
  </w:num>
  <w:num w:numId="5">
    <w:abstractNumId w:val="3478010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HorizontalSpacing w:val="120"/>
  <w:drawingGridVerticalSpacing w:val="381"/>
  <w:displayHorizontalDrawingGridEvery w:val="0"/>
  <w:displayVerticalDrawingGridEvery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DF2EB7"/>
    <w:rsid w:val="0000549E"/>
    <w:rsid w:val="00005DC3"/>
    <w:rsid w:val="00015D64"/>
    <w:rsid w:val="00017EC7"/>
    <w:rsid w:val="00020A66"/>
    <w:rsid w:val="00023D67"/>
    <w:rsid w:val="00035F75"/>
    <w:rsid w:val="00041FA1"/>
    <w:rsid w:val="00042E78"/>
    <w:rsid w:val="000445AF"/>
    <w:rsid w:val="000458F0"/>
    <w:rsid w:val="00046C64"/>
    <w:rsid w:val="000478A8"/>
    <w:rsid w:val="000501CC"/>
    <w:rsid w:val="00054AEC"/>
    <w:rsid w:val="0006153F"/>
    <w:rsid w:val="00064C43"/>
    <w:rsid w:val="00065C82"/>
    <w:rsid w:val="00065DE0"/>
    <w:rsid w:val="00075A9D"/>
    <w:rsid w:val="0008133A"/>
    <w:rsid w:val="00083238"/>
    <w:rsid w:val="00083B3E"/>
    <w:rsid w:val="00092D8A"/>
    <w:rsid w:val="000940A4"/>
    <w:rsid w:val="000942CD"/>
    <w:rsid w:val="0009686E"/>
    <w:rsid w:val="000A035E"/>
    <w:rsid w:val="000A5CDE"/>
    <w:rsid w:val="000B4663"/>
    <w:rsid w:val="000C33CB"/>
    <w:rsid w:val="000C740A"/>
    <w:rsid w:val="000D00D1"/>
    <w:rsid w:val="000D158D"/>
    <w:rsid w:val="000D5E14"/>
    <w:rsid w:val="000E22A7"/>
    <w:rsid w:val="000E3989"/>
    <w:rsid w:val="000E5880"/>
    <w:rsid w:val="000E640E"/>
    <w:rsid w:val="000E77ED"/>
    <w:rsid w:val="000F2039"/>
    <w:rsid w:val="000F58CA"/>
    <w:rsid w:val="000F5FEA"/>
    <w:rsid w:val="000F7B2B"/>
    <w:rsid w:val="00103136"/>
    <w:rsid w:val="00104CF4"/>
    <w:rsid w:val="0010644E"/>
    <w:rsid w:val="0010762F"/>
    <w:rsid w:val="0011784C"/>
    <w:rsid w:val="001205FF"/>
    <w:rsid w:val="001236B0"/>
    <w:rsid w:val="00123BCD"/>
    <w:rsid w:val="00124427"/>
    <w:rsid w:val="00124AAF"/>
    <w:rsid w:val="00125CF7"/>
    <w:rsid w:val="00131338"/>
    <w:rsid w:val="00131B24"/>
    <w:rsid w:val="00142BCA"/>
    <w:rsid w:val="0014319E"/>
    <w:rsid w:val="00146698"/>
    <w:rsid w:val="001473DB"/>
    <w:rsid w:val="00147633"/>
    <w:rsid w:val="0015384A"/>
    <w:rsid w:val="0015476F"/>
    <w:rsid w:val="00160837"/>
    <w:rsid w:val="001615FD"/>
    <w:rsid w:val="00163A70"/>
    <w:rsid w:val="00164376"/>
    <w:rsid w:val="0016686F"/>
    <w:rsid w:val="00167EA7"/>
    <w:rsid w:val="00172905"/>
    <w:rsid w:val="00172D50"/>
    <w:rsid w:val="00174BEA"/>
    <w:rsid w:val="0017631D"/>
    <w:rsid w:val="00180B6A"/>
    <w:rsid w:val="00183AAD"/>
    <w:rsid w:val="001844E8"/>
    <w:rsid w:val="0018698E"/>
    <w:rsid w:val="00187343"/>
    <w:rsid w:val="00187477"/>
    <w:rsid w:val="00187E5F"/>
    <w:rsid w:val="00193C5D"/>
    <w:rsid w:val="001A29DC"/>
    <w:rsid w:val="001A3540"/>
    <w:rsid w:val="001A739B"/>
    <w:rsid w:val="001B3096"/>
    <w:rsid w:val="001B36E5"/>
    <w:rsid w:val="001B5656"/>
    <w:rsid w:val="001C0650"/>
    <w:rsid w:val="001C0926"/>
    <w:rsid w:val="001C255D"/>
    <w:rsid w:val="001C2DCD"/>
    <w:rsid w:val="001D2B44"/>
    <w:rsid w:val="001D4728"/>
    <w:rsid w:val="001D7D10"/>
    <w:rsid w:val="001E22E1"/>
    <w:rsid w:val="001E2880"/>
    <w:rsid w:val="001F1377"/>
    <w:rsid w:val="001F1D24"/>
    <w:rsid w:val="00201BBD"/>
    <w:rsid w:val="00206333"/>
    <w:rsid w:val="002078B6"/>
    <w:rsid w:val="00211D22"/>
    <w:rsid w:val="00217D92"/>
    <w:rsid w:val="00224A96"/>
    <w:rsid w:val="00233F04"/>
    <w:rsid w:val="00234FDE"/>
    <w:rsid w:val="002364D4"/>
    <w:rsid w:val="0023748F"/>
    <w:rsid w:val="00237D22"/>
    <w:rsid w:val="002448E0"/>
    <w:rsid w:val="00244C18"/>
    <w:rsid w:val="00250BF6"/>
    <w:rsid w:val="002520FB"/>
    <w:rsid w:val="00253355"/>
    <w:rsid w:val="00256511"/>
    <w:rsid w:val="0025783D"/>
    <w:rsid w:val="0026022C"/>
    <w:rsid w:val="00262C3A"/>
    <w:rsid w:val="00262D4B"/>
    <w:rsid w:val="00264F9F"/>
    <w:rsid w:val="00272AED"/>
    <w:rsid w:val="00274038"/>
    <w:rsid w:val="002843C4"/>
    <w:rsid w:val="00290EFE"/>
    <w:rsid w:val="00292742"/>
    <w:rsid w:val="002948A1"/>
    <w:rsid w:val="00296D9F"/>
    <w:rsid w:val="002970A6"/>
    <w:rsid w:val="002A323B"/>
    <w:rsid w:val="002A5F74"/>
    <w:rsid w:val="002B55D3"/>
    <w:rsid w:val="002C2D16"/>
    <w:rsid w:val="002C4831"/>
    <w:rsid w:val="002C4B67"/>
    <w:rsid w:val="002C564F"/>
    <w:rsid w:val="002C723E"/>
    <w:rsid w:val="002D41BC"/>
    <w:rsid w:val="002E1440"/>
    <w:rsid w:val="002E2D37"/>
    <w:rsid w:val="002F49E9"/>
    <w:rsid w:val="002F4C89"/>
    <w:rsid w:val="002F5E2A"/>
    <w:rsid w:val="002F63B8"/>
    <w:rsid w:val="003014A7"/>
    <w:rsid w:val="00311B2C"/>
    <w:rsid w:val="00312A73"/>
    <w:rsid w:val="00312C26"/>
    <w:rsid w:val="00315FE4"/>
    <w:rsid w:val="00323EAC"/>
    <w:rsid w:val="00334003"/>
    <w:rsid w:val="00334EF3"/>
    <w:rsid w:val="00335877"/>
    <w:rsid w:val="003415D8"/>
    <w:rsid w:val="0034535C"/>
    <w:rsid w:val="00346143"/>
    <w:rsid w:val="00351E80"/>
    <w:rsid w:val="0035359D"/>
    <w:rsid w:val="00354AA8"/>
    <w:rsid w:val="00357619"/>
    <w:rsid w:val="00362B66"/>
    <w:rsid w:val="00364251"/>
    <w:rsid w:val="00364B3E"/>
    <w:rsid w:val="003706FE"/>
    <w:rsid w:val="00371E74"/>
    <w:rsid w:val="003744D3"/>
    <w:rsid w:val="00374E92"/>
    <w:rsid w:val="003779A6"/>
    <w:rsid w:val="00377FF8"/>
    <w:rsid w:val="00380770"/>
    <w:rsid w:val="00391F59"/>
    <w:rsid w:val="003939B3"/>
    <w:rsid w:val="003950ED"/>
    <w:rsid w:val="00396AD2"/>
    <w:rsid w:val="003A16E6"/>
    <w:rsid w:val="003B6B4E"/>
    <w:rsid w:val="003B749C"/>
    <w:rsid w:val="003C0596"/>
    <w:rsid w:val="003D1F8B"/>
    <w:rsid w:val="003D3010"/>
    <w:rsid w:val="003D7043"/>
    <w:rsid w:val="003D79EB"/>
    <w:rsid w:val="003E3811"/>
    <w:rsid w:val="003E7A58"/>
    <w:rsid w:val="003F15A1"/>
    <w:rsid w:val="003F700B"/>
    <w:rsid w:val="003F7B42"/>
    <w:rsid w:val="00403287"/>
    <w:rsid w:val="00404604"/>
    <w:rsid w:val="004128F3"/>
    <w:rsid w:val="0041477C"/>
    <w:rsid w:val="00415096"/>
    <w:rsid w:val="0041634F"/>
    <w:rsid w:val="00423D29"/>
    <w:rsid w:val="00425287"/>
    <w:rsid w:val="00427059"/>
    <w:rsid w:val="00433763"/>
    <w:rsid w:val="00434ED5"/>
    <w:rsid w:val="0044367B"/>
    <w:rsid w:val="00446319"/>
    <w:rsid w:val="004478B0"/>
    <w:rsid w:val="00463A16"/>
    <w:rsid w:val="00465F50"/>
    <w:rsid w:val="004708D3"/>
    <w:rsid w:val="00474D7F"/>
    <w:rsid w:val="00475B6C"/>
    <w:rsid w:val="004829AB"/>
    <w:rsid w:val="004838EE"/>
    <w:rsid w:val="004950C1"/>
    <w:rsid w:val="00497B45"/>
    <w:rsid w:val="004A452F"/>
    <w:rsid w:val="004A6224"/>
    <w:rsid w:val="004A6F57"/>
    <w:rsid w:val="004B11F1"/>
    <w:rsid w:val="004C72DF"/>
    <w:rsid w:val="004D1B96"/>
    <w:rsid w:val="004D1DAF"/>
    <w:rsid w:val="004D45A2"/>
    <w:rsid w:val="004D7AF0"/>
    <w:rsid w:val="004F17F0"/>
    <w:rsid w:val="004F59FB"/>
    <w:rsid w:val="004F62FF"/>
    <w:rsid w:val="00501C8E"/>
    <w:rsid w:val="005025E9"/>
    <w:rsid w:val="005078F4"/>
    <w:rsid w:val="005136C1"/>
    <w:rsid w:val="00521DAC"/>
    <w:rsid w:val="00525B0A"/>
    <w:rsid w:val="0053101F"/>
    <w:rsid w:val="00542887"/>
    <w:rsid w:val="0054492D"/>
    <w:rsid w:val="00545E8E"/>
    <w:rsid w:val="00552547"/>
    <w:rsid w:val="0056251A"/>
    <w:rsid w:val="00564502"/>
    <w:rsid w:val="00565AF0"/>
    <w:rsid w:val="005672BD"/>
    <w:rsid w:val="0057088D"/>
    <w:rsid w:val="005822A7"/>
    <w:rsid w:val="005832B9"/>
    <w:rsid w:val="005863B6"/>
    <w:rsid w:val="005923A8"/>
    <w:rsid w:val="005977BA"/>
    <w:rsid w:val="005A0D99"/>
    <w:rsid w:val="005A0E9B"/>
    <w:rsid w:val="005A24DF"/>
    <w:rsid w:val="005A316C"/>
    <w:rsid w:val="005A5CEC"/>
    <w:rsid w:val="005A72BD"/>
    <w:rsid w:val="005B2F4C"/>
    <w:rsid w:val="005B44DB"/>
    <w:rsid w:val="005B4D17"/>
    <w:rsid w:val="005B4FEF"/>
    <w:rsid w:val="005C3D2F"/>
    <w:rsid w:val="005D3B8C"/>
    <w:rsid w:val="005D7B61"/>
    <w:rsid w:val="005E5872"/>
    <w:rsid w:val="005F3B4D"/>
    <w:rsid w:val="005F56A6"/>
    <w:rsid w:val="005F6083"/>
    <w:rsid w:val="006014F4"/>
    <w:rsid w:val="00602D9A"/>
    <w:rsid w:val="0060348B"/>
    <w:rsid w:val="00604545"/>
    <w:rsid w:val="006045B5"/>
    <w:rsid w:val="0060695A"/>
    <w:rsid w:val="00612D9D"/>
    <w:rsid w:val="00614F2F"/>
    <w:rsid w:val="006167E9"/>
    <w:rsid w:val="0062306A"/>
    <w:rsid w:val="00636F49"/>
    <w:rsid w:val="00641ADE"/>
    <w:rsid w:val="00642422"/>
    <w:rsid w:val="006457AE"/>
    <w:rsid w:val="00654CFC"/>
    <w:rsid w:val="006574E2"/>
    <w:rsid w:val="00660B6C"/>
    <w:rsid w:val="00661A0F"/>
    <w:rsid w:val="00662B75"/>
    <w:rsid w:val="00665261"/>
    <w:rsid w:val="006678C0"/>
    <w:rsid w:val="006703D2"/>
    <w:rsid w:val="006761F7"/>
    <w:rsid w:val="00677A89"/>
    <w:rsid w:val="00680537"/>
    <w:rsid w:val="00690498"/>
    <w:rsid w:val="00693FEC"/>
    <w:rsid w:val="006A5E55"/>
    <w:rsid w:val="006B611F"/>
    <w:rsid w:val="006C0B41"/>
    <w:rsid w:val="006C449F"/>
    <w:rsid w:val="006C5C55"/>
    <w:rsid w:val="006C6B28"/>
    <w:rsid w:val="006D3C63"/>
    <w:rsid w:val="006F1B5B"/>
    <w:rsid w:val="006F221A"/>
    <w:rsid w:val="006F58EE"/>
    <w:rsid w:val="0070213D"/>
    <w:rsid w:val="00706C8A"/>
    <w:rsid w:val="00711E73"/>
    <w:rsid w:val="00713E13"/>
    <w:rsid w:val="00722430"/>
    <w:rsid w:val="00740380"/>
    <w:rsid w:val="00740C02"/>
    <w:rsid w:val="0075357E"/>
    <w:rsid w:val="007558A0"/>
    <w:rsid w:val="00762044"/>
    <w:rsid w:val="00762B15"/>
    <w:rsid w:val="00764B52"/>
    <w:rsid w:val="00765A98"/>
    <w:rsid w:val="00770E04"/>
    <w:rsid w:val="00782E0C"/>
    <w:rsid w:val="007937A4"/>
    <w:rsid w:val="00793A65"/>
    <w:rsid w:val="00796235"/>
    <w:rsid w:val="007A3766"/>
    <w:rsid w:val="007A4660"/>
    <w:rsid w:val="007A5657"/>
    <w:rsid w:val="007B0B4A"/>
    <w:rsid w:val="007B4CD4"/>
    <w:rsid w:val="007C76A3"/>
    <w:rsid w:val="007C7D68"/>
    <w:rsid w:val="0080184D"/>
    <w:rsid w:val="0080299A"/>
    <w:rsid w:val="00803190"/>
    <w:rsid w:val="00806B73"/>
    <w:rsid w:val="00807F04"/>
    <w:rsid w:val="008139B2"/>
    <w:rsid w:val="00820BC5"/>
    <w:rsid w:val="00823335"/>
    <w:rsid w:val="00831226"/>
    <w:rsid w:val="00832763"/>
    <w:rsid w:val="0083326A"/>
    <w:rsid w:val="00836BED"/>
    <w:rsid w:val="00840C2B"/>
    <w:rsid w:val="00842654"/>
    <w:rsid w:val="00844A8A"/>
    <w:rsid w:val="00845C3D"/>
    <w:rsid w:val="008510DB"/>
    <w:rsid w:val="008516A0"/>
    <w:rsid w:val="008526B9"/>
    <w:rsid w:val="00861338"/>
    <w:rsid w:val="00862F6B"/>
    <w:rsid w:val="00865EBA"/>
    <w:rsid w:val="008668F6"/>
    <w:rsid w:val="0087043E"/>
    <w:rsid w:val="00871F30"/>
    <w:rsid w:val="0087543A"/>
    <w:rsid w:val="008826AB"/>
    <w:rsid w:val="008864C4"/>
    <w:rsid w:val="00887E1F"/>
    <w:rsid w:val="00891267"/>
    <w:rsid w:val="008935F8"/>
    <w:rsid w:val="00896577"/>
    <w:rsid w:val="008A2715"/>
    <w:rsid w:val="008A3746"/>
    <w:rsid w:val="008A7CCD"/>
    <w:rsid w:val="008B6709"/>
    <w:rsid w:val="008C09EA"/>
    <w:rsid w:val="008C589C"/>
    <w:rsid w:val="008C5B0E"/>
    <w:rsid w:val="008C5EDB"/>
    <w:rsid w:val="008D2186"/>
    <w:rsid w:val="008D342E"/>
    <w:rsid w:val="008E02B5"/>
    <w:rsid w:val="008E1918"/>
    <w:rsid w:val="008E1EC5"/>
    <w:rsid w:val="008F04BF"/>
    <w:rsid w:val="008F1FAE"/>
    <w:rsid w:val="008F3F22"/>
    <w:rsid w:val="008F4536"/>
    <w:rsid w:val="009003CC"/>
    <w:rsid w:val="0090444F"/>
    <w:rsid w:val="00911D56"/>
    <w:rsid w:val="00913EB7"/>
    <w:rsid w:val="00915848"/>
    <w:rsid w:val="00916C8C"/>
    <w:rsid w:val="009229F4"/>
    <w:rsid w:val="00924BE4"/>
    <w:rsid w:val="009252E6"/>
    <w:rsid w:val="009270B3"/>
    <w:rsid w:val="00933DD1"/>
    <w:rsid w:val="00933EDF"/>
    <w:rsid w:val="009375A5"/>
    <w:rsid w:val="00937C36"/>
    <w:rsid w:val="00940D5F"/>
    <w:rsid w:val="00940F4F"/>
    <w:rsid w:val="0094186F"/>
    <w:rsid w:val="0094582B"/>
    <w:rsid w:val="009538BC"/>
    <w:rsid w:val="0095407D"/>
    <w:rsid w:val="00955791"/>
    <w:rsid w:val="00955B79"/>
    <w:rsid w:val="00965C43"/>
    <w:rsid w:val="00966CE6"/>
    <w:rsid w:val="00971454"/>
    <w:rsid w:val="00972C25"/>
    <w:rsid w:val="00973AA9"/>
    <w:rsid w:val="009753C7"/>
    <w:rsid w:val="00976C7A"/>
    <w:rsid w:val="00983BF2"/>
    <w:rsid w:val="00984151"/>
    <w:rsid w:val="009869A7"/>
    <w:rsid w:val="00991528"/>
    <w:rsid w:val="009A06AF"/>
    <w:rsid w:val="009A55CD"/>
    <w:rsid w:val="009A69D7"/>
    <w:rsid w:val="009D1C69"/>
    <w:rsid w:val="009E1113"/>
    <w:rsid w:val="009E62DE"/>
    <w:rsid w:val="009E6376"/>
    <w:rsid w:val="009F10B4"/>
    <w:rsid w:val="009F3268"/>
    <w:rsid w:val="009F7326"/>
    <w:rsid w:val="00A020EF"/>
    <w:rsid w:val="00A22A4A"/>
    <w:rsid w:val="00A30D2E"/>
    <w:rsid w:val="00A32506"/>
    <w:rsid w:val="00A33CEA"/>
    <w:rsid w:val="00A35D97"/>
    <w:rsid w:val="00A41A57"/>
    <w:rsid w:val="00A4411F"/>
    <w:rsid w:val="00A5636C"/>
    <w:rsid w:val="00A563F2"/>
    <w:rsid w:val="00A740B6"/>
    <w:rsid w:val="00A80450"/>
    <w:rsid w:val="00A87FDC"/>
    <w:rsid w:val="00A90EEB"/>
    <w:rsid w:val="00AA465A"/>
    <w:rsid w:val="00AA58A4"/>
    <w:rsid w:val="00AA7DE9"/>
    <w:rsid w:val="00AB08A8"/>
    <w:rsid w:val="00AB597D"/>
    <w:rsid w:val="00AC2E71"/>
    <w:rsid w:val="00AC4AA8"/>
    <w:rsid w:val="00AD3A0A"/>
    <w:rsid w:val="00AD7673"/>
    <w:rsid w:val="00AE3AE1"/>
    <w:rsid w:val="00AF5F52"/>
    <w:rsid w:val="00B037C3"/>
    <w:rsid w:val="00B05648"/>
    <w:rsid w:val="00B14456"/>
    <w:rsid w:val="00B15B38"/>
    <w:rsid w:val="00B1634B"/>
    <w:rsid w:val="00B17155"/>
    <w:rsid w:val="00B30479"/>
    <w:rsid w:val="00B349DF"/>
    <w:rsid w:val="00B41CCE"/>
    <w:rsid w:val="00B4479E"/>
    <w:rsid w:val="00B456D3"/>
    <w:rsid w:val="00B46C01"/>
    <w:rsid w:val="00B50493"/>
    <w:rsid w:val="00B50FA2"/>
    <w:rsid w:val="00B5170F"/>
    <w:rsid w:val="00B53280"/>
    <w:rsid w:val="00B54A2E"/>
    <w:rsid w:val="00B57351"/>
    <w:rsid w:val="00B6124B"/>
    <w:rsid w:val="00B73181"/>
    <w:rsid w:val="00B74D9B"/>
    <w:rsid w:val="00B76712"/>
    <w:rsid w:val="00B7736F"/>
    <w:rsid w:val="00B77C7D"/>
    <w:rsid w:val="00B826D2"/>
    <w:rsid w:val="00B83F0E"/>
    <w:rsid w:val="00B84DC0"/>
    <w:rsid w:val="00B85077"/>
    <w:rsid w:val="00B877BF"/>
    <w:rsid w:val="00B95605"/>
    <w:rsid w:val="00BA5BCC"/>
    <w:rsid w:val="00BB273B"/>
    <w:rsid w:val="00BC105E"/>
    <w:rsid w:val="00BC2434"/>
    <w:rsid w:val="00BC3EA1"/>
    <w:rsid w:val="00BC4BDF"/>
    <w:rsid w:val="00BC54E1"/>
    <w:rsid w:val="00BD0B9A"/>
    <w:rsid w:val="00BD2B3F"/>
    <w:rsid w:val="00BD38DB"/>
    <w:rsid w:val="00BD4ACB"/>
    <w:rsid w:val="00BD52EE"/>
    <w:rsid w:val="00BE191B"/>
    <w:rsid w:val="00BE55D9"/>
    <w:rsid w:val="00BF1E20"/>
    <w:rsid w:val="00BF30DF"/>
    <w:rsid w:val="00BF43A3"/>
    <w:rsid w:val="00BF4662"/>
    <w:rsid w:val="00BF6BBA"/>
    <w:rsid w:val="00BF738A"/>
    <w:rsid w:val="00C01D18"/>
    <w:rsid w:val="00C02040"/>
    <w:rsid w:val="00C13484"/>
    <w:rsid w:val="00C14B25"/>
    <w:rsid w:val="00C172FB"/>
    <w:rsid w:val="00C2587D"/>
    <w:rsid w:val="00C30D16"/>
    <w:rsid w:val="00C31056"/>
    <w:rsid w:val="00C33611"/>
    <w:rsid w:val="00C35993"/>
    <w:rsid w:val="00C3652C"/>
    <w:rsid w:val="00C3782C"/>
    <w:rsid w:val="00C379A6"/>
    <w:rsid w:val="00C43AC1"/>
    <w:rsid w:val="00C4516D"/>
    <w:rsid w:val="00C45439"/>
    <w:rsid w:val="00C52710"/>
    <w:rsid w:val="00C53069"/>
    <w:rsid w:val="00C6262F"/>
    <w:rsid w:val="00C76256"/>
    <w:rsid w:val="00C83C77"/>
    <w:rsid w:val="00C9082D"/>
    <w:rsid w:val="00C946E2"/>
    <w:rsid w:val="00C9490F"/>
    <w:rsid w:val="00C97083"/>
    <w:rsid w:val="00CA4947"/>
    <w:rsid w:val="00CB0943"/>
    <w:rsid w:val="00CB135E"/>
    <w:rsid w:val="00CB21E7"/>
    <w:rsid w:val="00CB3AEB"/>
    <w:rsid w:val="00CB3C7C"/>
    <w:rsid w:val="00CC3384"/>
    <w:rsid w:val="00CC7429"/>
    <w:rsid w:val="00CC7B90"/>
    <w:rsid w:val="00CD07DC"/>
    <w:rsid w:val="00CD10E7"/>
    <w:rsid w:val="00CD4D71"/>
    <w:rsid w:val="00CD4DF6"/>
    <w:rsid w:val="00CD50A7"/>
    <w:rsid w:val="00CD5B89"/>
    <w:rsid w:val="00CE69A1"/>
    <w:rsid w:val="00CF4CF9"/>
    <w:rsid w:val="00D061F7"/>
    <w:rsid w:val="00D131B9"/>
    <w:rsid w:val="00D17E21"/>
    <w:rsid w:val="00D217E7"/>
    <w:rsid w:val="00D2399D"/>
    <w:rsid w:val="00D24047"/>
    <w:rsid w:val="00D27AD3"/>
    <w:rsid w:val="00D31708"/>
    <w:rsid w:val="00D337F4"/>
    <w:rsid w:val="00D355C3"/>
    <w:rsid w:val="00D41F9B"/>
    <w:rsid w:val="00D437B7"/>
    <w:rsid w:val="00D504AC"/>
    <w:rsid w:val="00D61E1D"/>
    <w:rsid w:val="00D6242C"/>
    <w:rsid w:val="00D62F33"/>
    <w:rsid w:val="00D83299"/>
    <w:rsid w:val="00D837AC"/>
    <w:rsid w:val="00D85B81"/>
    <w:rsid w:val="00D860B9"/>
    <w:rsid w:val="00D877ED"/>
    <w:rsid w:val="00DA37F8"/>
    <w:rsid w:val="00DA4D81"/>
    <w:rsid w:val="00DA5A4C"/>
    <w:rsid w:val="00DB33EE"/>
    <w:rsid w:val="00DC4912"/>
    <w:rsid w:val="00DC61B5"/>
    <w:rsid w:val="00DD153C"/>
    <w:rsid w:val="00DD514C"/>
    <w:rsid w:val="00DD6647"/>
    <w:rsid w:val="00DE3FCA"/>
    <w:rsid w:val="00DE416D"/>
    <w:rsid w:val="00DE6A37"/>
    <w:rsid w:val="00DF2EB7"/>
    <w:rsid w:val="00DF69BA"/>
    <w:rsid w:val="00E04552"/>
    <w:rsid w:val="00E05C9E"/>
    <w:rsid w:val="00E0778A"/>
    <w:rsid w:val="00E1294F"/>
    <w:rsid w:val="00E1366C"/>
    <w:rsid w:val="00E13A17"/>
    <w:rsid w:val="00E14626"/>
    <w:rsid w:val="00E149AD"/>
    <w:rsid w:val="00E15FD7"/>
    <w:rsid w:val="00E16FB7"/>
    <w:rsid w:val="00E20ACF"/>
    <w:rsid w:val="00E21E8B"/>
    <w:rsid w:val="00E2632D"/>
    <w:rsid w:val="00E32E48"/>
    <w:rsid w:val="00E34A5A"/>
    <w:rsid w:val="00E3632C"/>
    <w:rsid w:val="00E36FFF"/>
    <w:rsid w:val="00E370B8"/>
    <w:rsid w:val="00E41022"/>
    <w:rsid w:val="00E45261"/>
    <w:rsid w:val="00E51734"/>
    <w:rsid w:val="00E550E5"/>
    <w:rsid w:val="00E6447D"/>
    <w:rsid w:val="00E65385"/>
    <w:rsid w:val="00E70EE3"/>
    <w:rsid w:val="00E74B5F"/>
    <w:rsid w:val="00E83856"/>
    <w:rsid w:val="00E85400"/>
    <w:rsid w:val="00EA0AD6"/>
    <w:rsid w:val="00EA3CA7"/>
    <w:rsid w:val="00EA5FAB"/>
    <w:rsid w:val="00EA7417"/>
    <w:rsid w:val="00EB2D14"/>
    <w:rsid w:val="00EB5FC5"/>
    <w:rsid w:val="00EC2201"/>
    <w:rsid w:val="00EC49BE"/>
    <w:rsid w:val="00ED1D53"/>
    <w:rsid w:val="00ED3C0D"/>
    <w:rsid w:val="00ED5B38"/>
    <w:rsid w:val="00EE04E2"/>
    <w:rsid w:val="00EE4428"/>
    <w:rsid w:val="00EF2005"/>
    <w:rsid w:val="00F07FB5"/>
    <w:rsid w:val="00F1304F"/>
    <w:rsid w:val="00F140CC"/>
    <w:rsid w:val="00F15C5A"/>
    <w:rsid w:val="00F16B40"/>
    <w:rsid w:val="00F277BF"/>
    <w:rsid w:val="00F27928"/>
    <w:rsid w:val="00F32D1B"/>
    <w:rsid w:val="00F41AF3"/>
    <w:rsid w:val="00F42BA9"/>
    <w:rsid w:val="00F622D4"/>
    <w:rsid w:val="00F63608"/>
    <w:rsid w:val="00F66482"/>
    <w:rsid w:val="00F70D78"/>
    <w:rsid w:val="00F70FCC"/>
    <w:rsid w:val="00F758B3"/>
    <w:rsid w:val="00F758E8"/>
    <w:rsid w:val="00F83E47"/>
    <w:rsid w:val="00F84FE7"/>
    <w:rsid w:val="00F8715E"/>
    <w:rsid w:val="00F95EF0"/>
    <w:rsid w:val="00FA17AF"/>
    <w:rsid w:val="00FA18B1"/>
    <w:rsid w:val="00FA3940"/>
    <w:rsid w:val="00FA4EAD"/>
    <w:rsid w:val="00FB59BB"/>
    <w:rsid w:val="00FB71E1"/>
    <w:rsid w:val="00FC2798"/>
    <w:rsid w:val="00FC59AB"/>
    <w:rsid w:val="00FD227E"/>
    <w:rsid w:val="00FD2CC3"/>
    <w:rsid w:val="00FD3CE8"/>
    <w:rsid w:val="00FD5CAE"/>
    <w:rsid w:val="00FE3731"/>
    <w:rsid w:val="00FE3F64"/>
    <w:rsid w:val="00FF1F50"/>
    <w:rsid w:val="00FF2335"/>
    <w:rsid w:val="00FF7E21"/>
    <w:rsid w:val="17D23921"/>
    <w:rsid w:val="2A0362FB"/>
    <w:rsid w:val="2D503B82"/>
    <w:rsid w:val="40C6359C"/>
    <w:rsid w:val="462324D4"/>
    <w:rsid w:val="47793FE1"/>
    <w:rsid w:val="48BD0F01"/>
    <w:rsid w:val="5283536B"/>
  </w:rsids>
  <w:doNotAutoCompressPictures/>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39" w:semiHidden="0" w:name="toc 2"/>
    <w:lsdException w:qFormat="1" w:unhideWhenUsed="0" w:uiPriority="99" w:semiHidden="0" w:name="toc 3"/>
    <w:lsdException w:qFormat="1" w:unhideWhenUsed="0" w:uiPriority="99" w:semiHidden="0" w:name="toc 4"/>
    <w:lsdException w:unhideWhenUsed="0" w:uiPriority="99" w:semiHidden="0" w:name="toc 5"/>
    <w:lsdException w:qFormat="1" w:unhideWhenUsed="0" w:uiPriority="99" w:semiHidden="0" w:name="toc 6"/>
    <w:lsdException w:qFormat="1" w:unhideWhenUsed="0" w:uiPriority="99" w:semiHidden="0" w:name="toc 7"/>
    <w:lsdException w:unhideWhenUsed="0" w:uiPriority="99" w:semiHidden="0" w:name="toc 8"/>
    <w:lsdException w:qFormat="1" w:unhideWhenUsed="0" w:uiPriority="99" w:semiHidden="0" w:name="toc 9"/>
    <w:lsdException w:qFormat="1" w:uiPriority="0" w:name="Normal Indent"/>
    <w:lsdException w:uiPriority="0" w:name="footnote text"/>
    <w:lsdException w:unhideWhenUsed="0" w:uiPriority="99" w:semiHidden="0" w:name="annotation text"/>
    <w:lsdException w:unhideWhenUsed="0" w:uiPriority="99" w:semiHidden="0" w:name="header"/>
    <w:lsdException w:unhideWhenUsed="0"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uiPriority="0" w:name="footnote reference"/>
    <w:lsdException w:unhideWhenUsed="0" w:uiPriority="99" w:name="annotation reference"/>
    <w:lsdException w:uiPriority="0" w:name="line number"/>
    <w:lsdException w:unhideWhenUsed="0" w:uiPriority="99" w:semiHidden="0" w:name="page number"/>
    <w:lsdException w:uiPriority="0" w:name="endnote reference"/>
    <w:lsdException w:uiPriority="0" w:name="endnote text"/>
    <w:lsdException w:uiPriority="0" w:name="table of authorities"/>
    <w:lsdException w:uiPriority="0" w:name="macro"/>
    <w:lsdException w:uiPriority="0" w:name="toa heading"/>
    <w:lsdException w:unhideWhenUsed="0" w:uiPriority="99" w:semiHidden="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semiHidden="0" w:name="Default Paragraph Font"/>
    <w:lsdException w:unhideWhenUsed="0" w:uiPriority="0" w:semiHidden="0" w:name="Body Text"/>
    <w:lsdException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11" w:semiHidden="0" w:name="Subtitle"/>
    <w:lsdException w:uiPriority="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nhideWhenUsed="0" w:uiPriority="0" w:semiHidden="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unhideWhenUsed="0" w:uiPriority="0" w:semiHidden="0" w:name="Emphasis" w:locked="1"/>
    <w:lsdException w:unhideWhenUsed="0" w:uiPriority="99" w:semiHidden="0" w:name="Document Map"/>
    <w:lsdException w:uiPriority="0" w:name="Plain Text"/>
    <w:lsdException w:uiPriority="0" w:name="E-mail Signature"/>
    <w:lsdException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nhideWhenUsed="0" w:uiPriority="0" w:semiHidden="0" w:name="HTML Preformatted"/>
    <w:lsdException w:uiPriority="0" w:name="HTML Sample"/>
    <w:lsdException w:uiPriority="0" w:name="HTML Typewriter"/>
    <w:lsdException w:uiPriority="0" w:name="HTML Variable"/>
    <w:lsdException w:uiPriority="99" w:semiHidden="0" w:name="Normal Table"/>
    <w:lsdException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99" w:semiHidden="0" w:name="Balloon Text"/>
    <w:lsdException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imes New Roman"/>
      <w:kern w:val="2"/>
      <w:sz w:val="24"/>
      <w:szCs w:val="21"/>
      <w:lang w:val="en-US" w:eastAsia="zh-CN" w:bidi="ar-SA"/>
    </w:rPr>
  </w:style>
  <w:style w:type="paragraph" w:styleId="2">
    <w:name w:val="heading 1"/>
    <w:basedOn w:val="1"/>
    <w:next w:val="1"/>
    <w:link w:val="45"/>
    <w:qFormat/>
    <w:uiPriority w:val="99"/>
    <w:pPr>
      <w:keepNext/>
      <w:keepLines/>
      <w:numPr>
        <w:ilvl w:val="0"/>
        <w:numId w:val="1"/>
      </w:numPr>
      <w:ind w:firstLine="0" w:firstLineChars="0"/>
      <w:jc w:val="center"/>
      <w:outlineLvl w:val="0"/>
    </w:pPr>
    <w:rPr>
      <w:rFonts w:eastAsia="黑体"/>
      <w:b/>
      <w:kern w:val="44"/>
      <w:sz w:val="32"/>
      <w:szCs w:val="44"/>
    </w:rPr>
  </w:style>
  <w:style w:type="paragraph" w:styleId="3">
    <w:name w:val="heading 2"/>
    <w:basedOn w:val="1"/>
    <w:next w:val="1"/>
    <w:link w:val="46"/>
    <w:qFormat/>
    <w:uiPriority w:val="99"/>
    <w:pPr>
      <w:keepNext/>
      <w:keepLines/>
      <w:numPr>
        <w:ilvl w:val="1"/>
        <w:numId w:val="1"/>
      </w:numPr>
      <w:ind w:left="0" w:firstLine="0" w:firstLineChars="0"/>
      <w:jc w:val="left"/>
      <w:outlineLvl w:val="1"/>
    </w:pPr>
    <w:rPr>
      <w:b/>
      <w:sz w:val="28"/>
      <w:szCs w:val="32"/>
    </w:rPr>
  </w:style>
  <w:style w:type="paragraph" w:styleId="4">
    <w:name w:val="heading 3"/>
    <w:basedOn w:val="1"/>
    <w:next w:val="1"/>
    <w:link w:val="47"/>
    <w:qFormat/>
    <w:uiPriority w:val="99"/>
    <w:pPr>
      <w:keepNext/>
      <w:keepLines/>
      <w:numPr>
        <w:ilvl w:val="2"/>
        <w:numId w:val="1"/>
      </w:numPr>
      <w:ind w:left="0" w:firstLine="0" w:firstLineChars="0"/>
      <w:jc w:val="left"/>
      <w:outlineLvl w:val="2"/>
    </w:pPr>
    <w:rPr>
      <w:b/>
      <w:szCs w:val="32"/>
    </w:rPr>
  </w:style>
  <w:style w:type="paragraph" w:styleId="5">
    <w:name w:val="heading 4"/>
    <w:basedOn w:val="1"/>
    <w:next w:val="1"/>
    <w:link w:val="48"/>
    <w:qFormat/>
    <w:uiPriority w:val="99"/>
    <w:pPr>
      <w:keepNext/>
      <w:keepLines/>
      <w:numPr>
        <w:ilvl w:val="3"/>
        <w:numId w:val="1"/>
      </w:numPr>
      <w:ind w:left="0" w:firstLine="0" w:firstLineChars="0"/>
      <w:outlineLvl w:val="3"/>
    </w:pPr>
    <w:rPr>
      <w:b/>
      <w:bCs/>
      <w:szCs w:val="28"/>
    </w:rPr>
  </w:style>
  <w:style w:type="paragraph" w:styleId="6">
    <w:name w:val="heading 5"/>
    <w:basedOn w:val="1"/>
    <w:next w:val="1"/>
    <w:link w:val="49"/>
    <w:qFormat/>
    <w:uiPriority w:val="99"/>
    <w:pPr>
      <w:keepNext/>
      <w:keepLines/>
      <w:numPr>
        <w:ilvl w:val="4"/>
        <w:numId w:val="1"/>
      </w:numPr>
      <w:spacing w:before="280" w:after="290" w:line="376" w:lineRule="auto"/>
      <w:ind w:firstLine="0" w:firstLineChars="0"/>
      <w:outlineLvl w:val="4"/>
    </w:pPr>
    <w:rPr>
      <w:b/>
      <w:bCs/>
      <w:sz w:val="28"/>
      <w:szCs w:val="28"/>
    </w:rPr>
  </w:style>
  <w:style w:type="paragraph" w:styleId="7">
    <w:name w:val="heading 6"/>
    <w:basedOn w:val="1"/>
    <w:next w:val="1"/>
    <w:link w:val="50"/>
    <w:qFormat/>
    <w:uiPriority w:val="99"/>
    <w:pPr>
      <w:keepNext/>
      <w:keepLines/>
      <w:numPr>
        <w:ilvl w:val="5"/>
        <w:numId w:val="1"/>
      </w:numPr>
      <w:spacing w:before="240" w:after="64" w:line="320" w:lineRule="auto"/>
      <w:ind w:firstLine="0" w:firstLineChars="0"/>
      <w:outlineLvl w:val="5"/>
    </w:pPr>
    <w:rPr>
      <w:rFonts w:ascii="Cambria" w:hAnsi="Cambria"/>
      <w:b/>
      <w:bCs/>
      <w:szCs w:val="24"/>
    </w:rPr>
  </w:style>
  <w:style w:type="paragraph" w:styleId="8">
    <w:name w:val="heading 7"/>
    <w:basedOn w:val="1"/>
    <w:next w:val="1"/>
    <w:link w:val="51"/>
    <w:qFormat/>
    <w:uiPriority w:val="99"/>
    <w:pPr>
      <w:keepNext/>
      <w:keepLines/>
      <w:numPr>
        <w:ilvl w:val="6"/>
        <w:numId w:val="1"/>
      </w:numPr>
      <w:spacing w:before="240" w:after="64" w:line="320" w:lineRule="auto"/>
      <w:ind w:firstLine="0" w:firstLineChars="0"/>
      <w:outlineLvl w:val="6"/>
    </w:pPr>
    <w:rPr>
      <w:b/>
      <w:bCs/>
      <w:szCs w:val="24"/>
    </w:rPr>
  </w:style>
  <w:style w:type="paragraph" w:styleId="9">
    <w:name w:val="heading 8"/>
    <w:basedOn w:val="1"/>
    <w:next w:val="1"/>
    <w:link w:val="52"/>
    <w:qFormat/>
    <w:uiPriority w:val="99"/>
    <w:pPr>
      <w:keepNext/>
      <w:keepLines/>
      <w:numPr>
        <w:ilvl w:val="7"/>
        <w:numId w:val="1"/>
      </w:numPr>
      <w:spacing w:before="240" w:after="64" w:line="320" w:lineRule="auto"/>
      <w:ind w:firstLine="0" w:firstLineChars="0"/>
      <w:outlineLvl w:val="7"/>
    </w:pPr>
    <w:rPr>
      <w:rFonts w:ascii="Cambria" w:hAnsi="Cambria"/>
      <w:szCs w:val="24"/>
    </w:rPr>
  </w:style>
  <w:style w:type="paragraph" w:styleId="10">
    <w:name w:val="heading 9"/>
    <w:basedOn w:val="1"/>
    <w:next w:val="1"/>
    <w:link w:val="53"/>
    <w:qFormat/>
    <w:uiPriority w:val="99"/>
    <w:pPr>
      <w:keepNext/>
      <w:keepLines/>
      <w:numPr>
        <w:ilvl w:val="8"/>
        <w:numId w:val="1"/>
      </w:numPr>
      <w:spacing w:before="240" w:after="64" w:line="320" w:lineRule="auto"/>
      <w:ind w:firstLine="0" w:firstLineChars="0"/>
      <w:outlineLvl w:val="8"/>
    </w:pPr>
    <w:rPr>
      <w:rFonts w:ascii="Cambria" w:hAnsi="Cambria"/>
      <w:sz w:val="21"/>
    </w:rPr>
  </w:style>
  <w:style w:type="character" w:default="1" w:styleId="31">
    <w:name w:val="Default Paragraph Font"/>
    <w:unhideWhenUsed/>
    <w:uiPriority w:val="1"/>
  </w:style>
  <w:style w:type="table" w:default="1" w:styleId="35">
    <w:name w:val="Normal Table"/>
    <w:unhideWhenUsed/>
    <w:uiPriority w:val="99"/>
    <w:tblPr>
      <w:tblStyle w:val="35"/>
      <w:tblLayout w:type="fixed"/>
      <w:tblCellMar>
        <w:top w:w="0" w:type="dxa"/>
        <w:left w:w="108" w:type="dxa"/>
        <w:bottom w:w="0" w:type="dxa"/>
        <w:right w:w="108" w:type="dxa"/>
      </w:tblCellMar>
    </w:tblPr>
    <w:tcPr>
      <w:textDirection w:val="lrTb"/>
    </w:tcPr>
  </w:style>
  <w:style w:type="paragraph" w:styleId="11">
    <w:name w:val="annotation subject"/>
    <w:basedOn w:val="12"/>
    <w:next w:val="12"/>
    <w:link w:val="55"/>
    <w:uiPriority w:val="99"/>
    <w:rPr>
      <w:b/>
      <w:bCs/>
    </w:rPr>
  </w:style>
  <w:style w:type="paragraph" w:styleId="12">
    <w:name w:val="annotation text"/>
    <w:basedOn w:val="1"/>
    <w:link w:val="54"/>
    <w:uiPriority w:val="99"/>
    <w:pPr>
      <w:jc w:val="left"/>
    </w:pPr>
  </w:style>
  <w:style w:type="paragraph" w:styleId="13">
    <w:name w:val="toc 7"/>
    <w:basedOn w:val="1"/>
    <w:next w:val="1"/>
    <w:qFormat/>
    <w:uiPriority w:val="99"/>
    <w:pPr>
      <w:spacing w:line="240" w:lineRule="auto"/>
      <w:ind w:left="2520" w:leftChars="1200" w:firstLine="0" w:firstLineChars="0"/>
    </w:pPr>
    <w:rPr>
      <w:rFonts w:ascii="Calibri" w:hAnsi="Calibri"/>
      <w:sz w:val="21"/>
      <w:szCs w:val="22"/>
    </w:rPr>
  </w:style>
  <w:style w:type="paragraph" w:styleId="14">
    <w:name w:val="caption"/>
    <w:basedOn w:val="1"/>
    <w:next w:val="1"/>
    <w:qFormat/>
    <w:uiPriority w:val="0"/>
    <w:pPr>
      <w:spacing w:line="240" w:lineRule="auto"/>
      <w:ind w:firstLine="0" w:firstLineChars="0"/>
      <w:jc w:val="center"/>
    </w:pPr>
    <w:rPr>
      <w:b/>
      <w:sz w:val="21"/>
      <w:szCs w:val="20"/>
    </w:rPr>
  </w:style>
  <w:style w:type="paragraph" w:styleId="15">
    <w:name w:val="Document Map"/>
    <w:basedOn w:val="1"/>
    <w:link w:val="56"/>
    <w:uiPriority w:val="99"/>
    <w:rPr>
      <w:rFonts w:ascii="宋体"/>
      <w:sz w:val="18"/>
      <w:szCs w:val="18"/>
    </w:rPr>
  </w:style>
  <w:style w:type="paragraph" w:styleId="16">
    <w:name w:val="toc 5"/>
    <w:basedOn w:val="1"/>
    <w:next w:val="1"/>
    <w:uiPriority w:val="99"/>
    <w:pPr>
      <w:spacing w:line="240" w:lineRule="auto"/>
      <w:ind w:left="1680" w:leftChars="800" w:firstLine="0" w:firstLineChars="0"/>
    </w:pPr>
    <w:rPr>
      <w:rFonts w:ascii="Calibri" w:hAnsi="Calibri"/>
      <w:sz w:val="21"/>
      <w:szCs w:val="22"/>
    </w:rPr>
  </w:style>
  <w:style w:type="paragraph" w:styleId="17">
    <w:name w:val="toc 3"/>
    <w:basedOn w:val="1"/>
    <w:next w:val="1"/>
    <w:qFormat/>
    <w:uiPriority w:val="99"/>
    <w:pPr>
      <w:spacing w:line="240" w:lineRule="auto"/>
      <w:ind w:left="840" w:leftChars="400" w:firstLine="0" w:firstLineChars="0"/>
    </w:pPr>
    <w:rPr>
      <w:rFonts w:ascii="Calibri" w:hAnsi="Calibri"/>
      <w:sz w:val="21"/>
      <w:szCs w:val="22"/>
    </w:rPr>
  </w:style>
  <w:style w:type="paragraph" w:styleId="18">
    <w:name w:val="toc 8"/>
    <w:basedOn w:val="1"/>
    <w:next w:val="1"/>
    <w:uiPriority w:val="99"/>
    <w:pPr>
      <w:spacing w:line="240" w:lineRule="auto"/>
      <w:ind w:left="2940" w:leftChars="1400" w:firstLine="0" w:firstLineChars="0"/>
    </w:pPr>
    <w:rPr>
      <w:rFonts w:ascii="Calibri" w:hAnsi="Calibri"/>
      <w:sz w:val="21"/>
      <w:szCs w:val="22"/>
    </w:rPr>
  </w:style>
  <w:style w:type="paragraph" w:styleId="19">
    <w:name w:val="Balloon Text"/>
    <w:basedOn w:val="1"/>
    <w:link w:val="57"/>
    <w:uiPriority w:val="99"/>
    <w:pPr>
      <w:spacing w:line="240" w:lineRule="auto"/>
    </w:pPr>
    <w:rPr>
      <w:sz w:val="18"/>
      <w:szCs w:val="18"/>
    </w:rPr>
  </w:style>
  <w:style w:type="paragraph" w:styleId="20">
    <w:name w:val="footer"/>
    <w:basedOn w:val="1"/>
    <w:link w:val="58"/>
    <w:uiPriority w:val="99"/>
    <w:pPr>
      <w:tabs>
        <w:tab w:val="center" w:pos="4153"/>
        <w:tab w:val="right" w:pos="8306"/>
      </w:tabs>
      <w:snapToGrid w:val="0"/>
      <w:spacing w:line="240" w:lineRule="auto"/>
      <w:jc w:val="center"/>
    </w:pPr>
    <w:rPr>
      <w:sz w:val="18"/>
      <w:szCs w:val="18"/>
    </w:rPr>
  </w:style>
  <w:style w:type="paragraph" w:styleId="21">
    <w:name w:val="header"/>
    <w:basedOn w:val="1"/>
    <w:link w:val="59"/>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22">
    <w:name w:val="toc 1"/>
    <w:basedOn w:val="1"/>
    <w:next w:val="1"/>
    <w:uiPriority w:val="39"/>
    <w:pPr>
      <w:spacing w:before="120" w:after="120"/>
      <w:jc w:val="left"/>
    </w:pPr>
    <w:rPr>
      <w:rFonts w:ascii="Calibri" w:hAnsi="Calibri" w:cs="Calibri"/>
      <w:b/>
      <w:bCs/>
      <w:caps/>
      <w:sz w:val="20"/>
      <w:szCs w:val="20"/>
    </w:rPr>
  </w:style>
  <w:style w:type="paragraph" w:styleId="23">
    <w:name w:val="toc 4"/>
    <w:basedOn w:val="1"/>
    <w:next w:val="1"/>
    <w:qFormat/>
    <w:uiPriority w:val="99"/>
    <w:pPr>
      <w:spacing w:line="240" w:lineRule="auto"/>
      <w:ind w:left="1260" w:leftChars="600" w:firstLine="0" w:firstLineChars="0"/>
    </w:pPr>
    <w:rPr>
      <w:rFonts w:ascii="Calibri" w:hAnsi="Calibri"/>
      <w:sz w:val="21"/>
      <w:szCs w:val="22"/>
    </w:rPr>
  </w:style>
  <w:style w:type="paragraph" w:styleId="24">
    <w:name w:val="List"/>
    <w:basedOn w:val="1"/>
    <w:uiPriority w:val="99"/>
    <w:pPr>
      <w:ind w:left="200" w:hanging="200" w:hangingChars="200"/>
      <w:contextualSpacing/>
    </w:pPr>
  </w:style>
  <w:style w:type="paragraph" w:styleId="25">
    <w:name w:val="toc 6"/>
    <w:basedOn w:val="1"/>
    <w:next w:val="1"/>
    <w:qFormat/>
    <w:uiPriority w:val="99"/>
    <w:pPr>
      <w:spacing w:line="240" w:lineRule="auto"/>
      <w:ind w:left="2100" w:leftChars="1000" w:firstLine="0" w:firstLineChars="0"/>
    </w:pPr>
    <w:rPr>
      <w:rFonts w:ascii="Calibri" w:hAnsi="Calibri"/>
      <w:sz w:val="21"/>
      <w:szCs w:val="22"/>
    </w:rPr>
  </w:style>
  <w:style w:type="paragraph" w:styleId="26">
    <w:name w:val="table of figures"/>
    <w:basedOn w:val="1"/>
    <w:next w:val="1"/>
    <w:qFormat/>
    <w:uiPriority w:val="99"/>
    <w:pPr>
      <w:spacing w:line="240" w:lineRule="auto"/>
      <w:ind w:left="200" w:leftChars="200" w:hanging="200" w:hangingChars="200"/>
    </w:pPr>
    <w:rPr>
      <w:sz w:val="21"/>
      <w:szCs w:val="24"/>
    </w:rPr>
  </w:style>
  <w:style w:type="paragraph" w:styleId="27">
    <w:name w:val="toc 2"/>
    <w:basedOn w:val="1"/>
    <w:next w:val="1"/>
    <w:uiPriority w:val="39"/>
    <w:pPr>
      <w:ind w:left="240"/>
      <w:jc w:val="left"/>
    </w:pPr>
    <w:rPr>
      <w:rFonts w:ascii="Calibri" w:hAnsi="Calibri" w:cs="Calibri"/>
      <w:smallCaps/>
      <w:sz w:val="20"/>
      <w:szCs w:val="20"/>
    </w:rPr>
  </w:style>
  <w:style w:type="paragraph" w:styleId="28">
    <w:name w:val="toc 9"/>
    <w:basedOn w:val="1"/>
    <w:next w:val="1"/>
    <w:qFormat/>
    <w:uiPriority w:val="99"/>
    <w:pPr>
      <w:spacing w:line="240" w:lineRule="auto"/>
      <w:ind w:left="3360" w:leftChars="1600" w:firstLine="0" w:firstLineChars="0"/>
    </w:pPr>
    <w:rPr>
      <w:rFonts w:ascii="Calibri" w:hAnsi="Calibri"/>
      <w:sz w:val="21"/>
      <w:szCs w:val="22"/>
    </w:rPr>
  </w:style>
  <w:style w:type="paragraph" w:styleId="29">
    <w:name w:val="Normal (Web)"/>
    <w:basedOn w:val="1"/>
    <w:unhideWhenUsed/>
    <w:uiPriority w:val="99"/>
    <w:pPr>
      <w:widowControl/>
      <w:spacing w:before="100" w:beforeAutospacing="1" w:after="100" w:afterAutospacing="1" w:line="240" w:lineRule="auto"/>
      <w:ind w:firstLine="0" w:firstLineChars="0"/>
      <w:jc w:val="left"/>
    </w:pPr>
    <w:rPr>
      <w:rFonts w:ascii="宋体" w:hAnsi="宋体" w:cs="宋体"/>
      <w:kern w:val="0"/>
      <w:szCs w:val="24"/>
    </w:rPr>
  </w:style>
  <w:style w:type="paragraph" w:styleId="30">
    <w:name w:val="index 1"/>
    <w:basedOn w:val="1"/>
    <w:next w:val="1"/>
    <w:semiHidden/>
    <w:qFormat/>
    <w:uiPriority w:val="99"/>
    <w:pPr>
      <w:ind w:firstLine="0" w:firstLineChars="0"/>
      <w:jc w:val="left"/>
    </w:pPr>
    <w:rPr>
      <w:sz w:val="21"/>
      <w:szCs w:val="24"/>
    </w:rPr>
  </w:style>
  <w:style w:type="character" w:styleId="32">
    <w:name w:val="page number"/>
    <w:basedOn w:val="31"/>
    <w:uiPriority w:val="99"/>
    <w:rPr>
      <w:rFonts w:cs="Times New Roman"/>
    </w:rPr>
  </w:style>
  <w:style w:type="character" w:styleId="33">
    <w:name w:val="Hyperlink"/>
    <w:basedOn w:val="31"/>
    <w:qFormat/>
    <w:uiPriority w:val="99"/>
    <w:rPr>
      <w:rFonts w:cs="Times New Roman"/>
      <w:color w:val="0000FF"/>
      <w:u w:val="single"/>
    </w:rPr>
  </w:style>
  <w:style w:type="character" w:styleId="34">
    <w:name w:val="annotation reference"/>
    <w:basedOn w:val="31"/>
    <w:semiHidden/>
    <w:uiPriority w:val="99"/>
    <w:rPr>
      <w:rFonts w:cs="Times New Roman"/>
      <w:sz w:val="21"/>
    </w:rPr>
  </w:style>
  <w:style w:type="table" w:styleId="36">
    <w:name w:val="Table Grid"/>
    <w:basedOn w:val="35"/>
    <w:uiPriority w:val="99"/>
    <w:pPr/>
    <w:rPr>
      <w:rFonts w:ascii="Times New Roman" w:hAnsi="Times New Roman"/>
    </w:rPr>
    <w:tblPr>
      <w:tblStyle w:val="35"/>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cPr>
      <w:textDirection w:val="lrTb"/>
    </w:tcPr>
  </w:style>
  <w:style w:type="paragraph" w:customStyle="1" w:styleId="37">
    <w:name w:val="表格样式"/>
    <w:basedOn w:val="38"/>
    <w:qFormat/>
    <w:uiPriority w:val="99"/>
    <w:pPr>
      <w:ind w:firstLine="0" w:firstLineChars="0"/>
      <w:jc w:val="center"/>
    </w:pPr>
    <w:rPr>
      <w:sz w:val="21"/>
    </w:rPr>
  </w:style>
  <w:style w:type="paragraph" w:customStyle="1" w:styleId="38">
    <w:name w:val="No Spacing1"/>
    <w:semiHidden/>
    <w:uiPriority w:val="99"/>
    <w:pPr>
      <w:widowControl w:val="0"/>
      <w:ind w:firstLine="200" w:firstLineChars="200"/>
      <w:jc w:val="both"/>
    </w:pPr>
    <w:rPr>
      <w:rFonts w:ascii="Times New Roman" w:hAnsi="Times New Roman" w:eastAsia="宋体" w:cs="Times New Roman"/>
      <w:kern w:val="2"/>
      <w:sz w:val="24"/>
      <w:szCs w:val="21"/>
      <w:lang w:val="en-US" w:eastAsia="zh-CN" w:bidi="ar-SA"/>
    </w:rPr>
  </w:style>
  <w:style w:type="paragraph" w:customStyle="1" w:styleId="39">
    <w:name w:val="List Paragraph1"/>
    <w:basedOn w:val="1"/>
    <w:semiHidden/>
    <w:qFormat/>
    <w:uiPriority w:val="99"/>
    <w:pPr>
      <w:ind w:firstLine="420"/>
    </w:pPr>
  </w:style>
  <w:style w:type="paragraph" w:customStyle="1" w:styleId="40">
    <w:name w:val="TOC Heading1"/>
    <w:basedOn w:val="2"/>
    <w:next w:val="1"/>
    <w:uiPriority w:val="99"/>
    <w:pPr>
      <w:widowControl/>
      <w:numPr>
        <w:ilvl w:val="0"/>
        <w:numId w:val="0"/>
      </w:numPr>
      <w:spacing w:before="480" w:line="276" w:lineRule="auto"/>
      <w:jc w:val="left"/>
      <w:outlineLvl w:val="9"/>
    </w:pPr>
    <w:rPr>
      <w:rFonts w:ascii="Cambria" w:hAnsi="Cambria" w:eastAsia="宋体"/>
      <w:bCs/>
      <w:color w:val="365F91"/>
      <w:kern w:val="0"/>
      <w:sz w:val="28"/>
      <w:szCs w:val="28"/>
    </w:rPr>
  </w:style>
  <w:style w:type="paragraph" w:customStyle="1" w:styleId="41">
    <w:name w:val="文本"/>
    <w:basedOn w:val="1"/>
    <w:semiHidden/>
    <w:qFormat/>
    <w:uiPriority w:val="99"/>
    <w:rPr>
      <w:szCs w:val="24"/>
    </w:rPr>
  </w:style>
  <w:style w:type="paragraph" w:customStyle="1" w:styleId="42">
    <w:name w:val="正文，文本"/>
    <w:basedOn w:val="41"/>
    <w:uiPriority w:val="99"/>
    <w:pPr>
      <w:ind w:firstLine="480"/>
    </w:pPr>
    <w:rPr>
      <w:rFonts w:cs="宋体"/>
      <w:szCs w:val="20"/>
    </w:rPr>
  </w:style>
  <w:style w:type="paragraph" w:customStyle="1" w:styleId="43">
    <w:name w:val="List Paragraph"/>
    <w:basedOn w:val="1"/>
    <w:unhideWhenUsed/>
    <w:uiPriority w:val="99"/>
    <w:pPr>
      <w:ind w:firstLine="420"/>
    </w:pPr>
  </w:style>
  <w:style w:type="paragraph" w:customStyle="1" w:styleId="44">
    <w:name w:val="Char"/>
    <w:basedOn w:val="1"/>
    <w:semiHidden/>
    <w:uiPriority w:val="0"/>
    <w:rPr>
      <w:rFonts w:ascii="宋体" w:cs="宋体"/>
      <w:sz w:val="28"/>
      <w:szCs w:val="28"/>
    </w:rPr>
  </w:style>
  <w:style w:type="character" w:customStyle="1" w:styleId="45">
    <w:name w:val="标题 1 Char"/>
    <w:basedOn w:val="31"/>
    <w:link w:val="2"/>
    <w:locked/>
    <w:uiPriority w:val="99"/>
    <w:rPr>
      <w:rFonts w:ascii="Times New Roman" w:hAnsi="Times New Roman" w:eastAsia="黑体" w:cs="Times New Roman"/>
      <w:b/>
      <w:kern w:val="44"/>
      <w:sz w:val="44"/>
      <w:szCs w:val="44"/>
    </w:rPr>
  </w:style>
  <w:style w:type="character" w:customStyle="1" w:styleId="46">
    <w:name w:val="标题 2 Char"/>
    <w:basedOn w:val="31"/>
    <w:link w:val="3"/>
    <w:locked/>
    <w:uiPriority w:val="99"/>
    <w:rPr>
      <w:rFonts w:ascii="Times New Roman" w:hAnsi="Times New Roman" w:eastAsia="宋体" w:cs="Times New Roman"/>
      <w:b/>
      <w:sz w:val="32"/>
      <w:szCs w:val="32"/>
    </w:rPr>
  </w:style>
  <w:style w:type="character" w:customStyle="1" w:styleId="47">
    <w:name w:val="标题 3 Char"/>
    <w:basedOn w:val="31"/>
    <w:link w:val="4"/>
    <w:qFormat/>
    <w:locked/>
    <w:uiPriority w:val="99"/>
    <w:rPr>
      <w:rFonts w:ascii="Times New Roman" w:hAnsi="Times New Roman" w:eastAsia="宋体" w:cs="Times New Roman"/>
      <w:b/>
      <w:sz w:val="32"/>
      <w:szCs w:val="32"/>
    </w:rPr>
  </w:style>
  <w:style w:type="character" w:customStyle="1" w:styleId="48">
    <w:name w:val="标题 4 Char"/>
    <w:basedOn w:val="31"/>
    <w:link w:val="5"/>
    <w:locked/>
    <w:uiPriority w:val="99"/>
    <w:rPr>
      <w:rFonts w:ascii="Times New Roman" w:hAnsi="Times New Roman" w:eastAsia="宋体" w:cs="Times New Roman"/>
      <w:b/>
      <w:bCs/>
      <w:sz w:val="28"/>
      <w:szCs w:val="28"/>
    </w:rPr>
  </w:style>
  <w:style w:type="character" w:customStyle="1" w:styleId="49">
    <w:name w:val="标题 5 Char"/>
    <w:basedOn w:val="31"/>
    <w:link w:val="6"/>
    <w:locked/>
    <w:uiPriority w:val="99"/>
    <w:rPr>
      <w:rFonts w:cs="Times New Roman"/>
      <w:b/>
      <w:bCs/>
      <w:sz w:val="28"/>
      <w:szCs w:val="28"/>
    </w:rPr>
  </w:style>
  <w:style w:type="character" w:customStyle="1" w:styleId="50">
    <w:name w:val="标题 6 Char"/>
    <w:basedOn w:val="31"/>
    <w:link w:val="7"/>
    <w:semiHidden/>
    <w:locked/>
    <w:uiPriority w:val="99"/>
    <w:rPr>
      <w:rFonts w:ascii="Cambria" w:hAnsi="Cambria" w:eastAsia="宋体" w:cs="Times New Roman"/>
      <w:b/>
      <w:bCs/>
      <w:sz w:val="24"/>
      <w:szCs w:val="24"/>
    </w:rPr>
  </w:style>
  <w:style w:type="character" w:customStyle="1" w:styleId="51">
    <w:name w:val="标题 7 Char"/>
    <w:basedOn w:val="31"/>
    <w:link w:val="8"/>
    <w:semiHidden/>
    <w:locked/>
    <w:uiPriority w:val="99"/>
    <w:rPr>
      <w:rFonts w:cs="Times New Roman"/>
      <w:b/>
      <w:bCs/>
      <w:sz w:val="24"/>
      <w:szCs w:val="24"/>
    </w:rPr>
  </w:style>
  <w:style w:type="character" w:customStyle="1" w:styleId="52">
    <w:name w:val="标题 8 Char"/>
    <w:basedOn w:val="31"/>
    <w:link w:val="9"/>
    <w:semiHidden/>
    <w:locked/>
    <w:uiPriority w:val="99"/>
    <w:rPr>
      <w:rFonts w:ascii="Cambria" w:hAnsi="Cambria" w:eastAsia="宋体" w:cs="Times New Roman"/>
      <w:sz w:val="24"/>
      <w:szCs w:val="24"/>
    </w:rPr>
  </w:style>
  <w:style w:type="character" w:customStyle="1" w:styleId="53">
    <w:name w:val="标题 9 Char"/>
    <w:basedOn w:val="31"/>
    <w:link w:val="10"/>
    <w:semiHidden/>
    <w:locked/>
    <w:uiPriority w:val="99"/>
    <w:rPr>
      <w:rFonts w:ascii="Cambria" w:hAnsi="Cambria" w:eastAsia="宋体" w:cs="Times New Roman"/>
    </w:rPr>
  </w:style>
  <w:style w:type="character" w:customStyle="1" w:styleId="54">
    <w:name w:val="批注文字 Char"/>
    <w:basedOn w:val="31"/>
    <w:link w:val="12"/>
    <w:semiHidden/>
    <w:locked/>
    <w:uiPriority w:val="99"/>
    <w:rPr>
      <w:rFonts w:ascii="Times New Roman" w:hAnsi="Times New Roman" w:eastAsia="宋体" w:cs="Times New Roman"/>
      <w:sz w:val="24"/>
    </w:rPr>
  </w:style>
  <w:style w:type="character" w:customStyle="1" w:styleId="55">
    <w:name w:val="批注主题 Char"/>
    <w:basedOn w:val="54"/>
    <w:link w:val="11"/>
    <w:semiHidden/>
    <w:locked/>
    <w:uiPriority w:val="99"/>
    <w:rPr>
      <w:rFonts w:ascii="Times New Roman" w:hAnsi="Times New Roman" w:eastAsia="宋体" w:cs="Times New Roman"/>
      <w:b/>
      <w:bCs/>
      <w:sz w:val="24"/>
    </w:rPr>
  </w:style>
  <w:style w:type="character" w:customStyle="1" w:styleId="56">
    <w:name w:val="文档结构图 Char"/>
    <w:basedOn w:val="31"/>
    <w:link w:val="15"/>
    <w:semiHidden/>
    <w:locked/>
    <w:uiPriority w:val="99"/>
    <w:rPr>
      <w:rFonts w:ascii="宋体" w:hAnsi="Times New Roman" w:eastAsia="宋体" w:cs="Times New Roman"/>
      <w:sz w:val="18"/>
      <w:szCs w:val="18"/>
    </w:rPr>
  </w:style>
  <w:style w:type="character" w:customStyle="1" w:styleId="57">
    <w:name w:val="批注框文本 Char"/>
    <w:basedOn w:val="31"/>
    <w:link w:val="19"/>
    <w:semiHidden/>
    <w:locked/>
    <w:uiPriority w:val="99"/>
    <w:rPr>
      <w:rFonts w:ascii="Times New Roman" w:hAnsi="Times New Roman" w:eastAsia="宋体" w:cs="Times New Roman"/>
      <w:sz w:val="18"/>
      <w:szCs w:val="18"/>
    </w:rPr>
  </w:style>
  <w:style w:type="character" w:customStyle="1" w:styleId="58">
    <w:name w:val="页脚 Char"/>
    <w:basedOn w:val="31"/>
    <w:link w:val="20"/>
    <w:locked/>
    <w:uiPriority w:val="99"/>
    <w:rPr>
      <w:rFonts w:ascii="Times New Roman" w:hAnsi="Times New Roman" w:eastAsia="宋体" w:cs="Times New Roman"/>
      <w:sz w:val="18"/>
      <w:szCs w:val="18"/>
    </w:rPr>
  </w:style>
  <w:style w:type="character" w:customStyle="1" w:styleId="59">
    <w:name w:val="页眉 Char"/>
    <w:basedOn w:val="31"/>
    <w:link w:val="21"/>
    <w:qFormat/>
    <w:locked/>
    <w:uiPriority w:val="99"/>
    <w:rPr>
      <w:rFonts w:ascii="Times New Roman" w:hAnsi="Times New Roman" w:eastAsia="宋体" w:cs="Times New Roman"/>
      <w:sz w:val="18"/>
      <w:szCs w:val="18"/>
    </w:rPr>
  </w:style>
  <w:style w:type="character" w:customStyle="1" w:styleId="60">
    <w:name w:val="页眉 字符"/>
    <w:qFormat/>
    <w:uiPriority w:val="99"/>
    <w:rPr>
      <w:kern w:val="2"/>
      <w:sz w:val="18"/>
    </w:rPr>
  </w:style>
  <w:style w:type="character" w:customStyle="1" w:styleId="61">
    <w:name w:val="页脚 字符"/>
    <w:qFormat/>
    <w:uiPriority w:val="99"/>
    <w:rPr>
      <w:kern w:val="2"/>
      <w:sz w:val="18"/>
    </w:rPr>
  </w:style>
  <w:style w:type="character" w:customStyle="1" w:styleId="62">
    <w:name w:val="标题 3 字符"/>
    <w:semiHidden/>
    <w:uiPriority w:val="99"/>
    <w:rPr>
      <w:b/>
      <w:kern w:val="2"/>
      <w:sz w:val="32"/>
    </w:rPr>
  </w:style>
  <w:style w:type="character" w:customStyle="1" w:styleId="63">
    <w:name w:val="标题 4 字符"/>
    <w:semiHidden/>
    <w:qFormat/>
    <w:uiPriority w:val="99"/>
    <w:rPr>
      <w:rFonts w:ascii="等线 Light" w:hAnsi="等线 Light" w:eastAsia="等线 Light"/>
      <w:b/>
      <w:kern w:val="2"/>
      <w:sz w:val="28"/>
    </w:rPr>
  </w:style>
  <w:style w:type="character" w:customStyle="1" w:styleId="64">
    <w:name w:val="文档结构图 字符"/>
    <w:semiHidden/>
    <w:qFormat/>
    <w:uiPriority w:val="99"/>
    <w:rPr>
      <w:kern w:val="2"/>
      <w:sz w:val="24"/>
      <w:shd w:val="clear" w:color="auto" w:fill="000080"/>
    </w:rPr>
  </w:style>
  <w:style w:type="character" w:customStyle="1" w:styleId="65">
    <w:name w:val="批注文字 字符"/>
    <w:semiHidden/>
    <w:qFormat/>
    <w:uiPriority w:val="99"/>
    <w:rPr>
      <w:kern w:val="2"/>
      <w:sz w:val="21"/>
    </w:rPr>
  </w:style>
  <w:style w:type="character" w:customStyle="1" w:styleId="66">
    <w:name w:val="批注主题 字符"/>
    <w:semiHidden/>
    <w:qFormat/>
    <w:uiPriority w:val="99"/>
    <w:rPr>
      <w:b/>
      <w:kern w:val="2"/>
      <w:sz w:val="21"/>
    </w:rPr>
  </w:style>
  <w:style w:type="character" w:customStyle="1" w:styleId="67">
    <w:name w:val="批注框文本 字符"/>
    <w:semiHidden/>
    <w:uiPriority w:val="99"/>
    <w:rPr>
      <w:kern w:val="2"/>
      <w:sz w:val="18"/>
    </w:rPr>
  </w:style>
  <w:style w:type="table" w:customStyle="1" w:styleId="68">
    <w:name w:val="网格型1"/>
    <w:qFormat/>
    <w:uiPriority w:val="99"/>
    <w:tblPr>
      <w:tblStyle w:val="35"/>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cPr>
      <w:textDirection w:val="lrTb"/>
    </w:tcPr>
  </w:style>
  <w:style w:type="table" w:customStyle="1" w:styleId="69">
    <w:name w:val="网格型2"/>
    <w:uiPriority w:val="99"/>
    <w:tblPr>
      <w:tblStyle w:val="35"/>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cPr>
      <w:textDirection w:val="lrTb"/>
    </w:tc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0" Type="http://schemas.openxmlformats.org/officeDocument/2006/relationships/numbering" Target="numbering.xml"/><Relationship Id="rId7" Type="http://schemas.openxmlformats.org/officeDocument/2006/relationships/footer" Target="footer1.xml"/><Relationship Id="rId69" Type="http://schemas.openxmlformats.org/officeDocument/2006/relationships/customXml" Target="../customXml/item1.xml"/><Relationship Id="rId68" Type="http://schemas.openxmlformats.org/officeDocument/2006/relationships/image" Target="media/image38.jpeg"/><Relationship Id="rId67" Type="http://schemas.openxmlformats.org/officeDocument/2006/relationships/image" Target="media/image37.jpeg"/><Relationship Id="rId66" Type="http://schemas.openxmlformats.org/officeDocument/2006/relationships/image" Target="media/image36.jpeg"/><Relationship Id="rId65" Type="http://schemas.openxmlformats.org/officeDocument/2006/relationships/image" Target="media/image35.jpeg"/><Relationship Id="rId64" Type="http://schemas.openxmlformats.org/officeDocument/2006/relationships/image" Target="media/image34.wmf"/><Relationship Id="rId63" Type="http://schemas.openxmlformats.org/officeDocument/2006/relationships/oleObject" Target="embeddings/oleObject12.bin"/><Relationship Id="rId62" Type="http://schemas.openxmlformats.org/officeDocument/2006/relationships/image" Target="media/image33.wmf"/><Relationship Id="rId61" Type="http://schemas.openxmlformats.org/officeDocument/2006/relationships/oleObject" Target="embeddings/oleObject11.bin"/><Relationship Id="rId60" Type="http://schemas.openxmlformats.org/officeDocument/2006/relationships/image" Target="media/image32.wmf"/><Relationship Id="rId6" Type="http://schemas.openxmlformats.org/officeDocument/2006/relationships/header" Target="header3.xml"/><Relationship Id="rId59" Type="http://schemas.openxmlformats.org/officeDocument/2006/relationships/image" Target="media/image31.wmf"/><Relationship Id="rId58" Type="http://schemas.openxmlformats.org/officeDocument/2006/relationships/oleObject" Target="embeddings/oleObject10.bin"/><Relationship Id="rId57" Type="http://schemas.openxmlformats.org/officeDocument/2006/relationships/image" Target="media/image30.wmf"/><Relationship Id="rId56" Type="http://schemas.openxmlformats.org/officeDocument/2006/relationships/oleObject" Target="embeddings/oleObject9.bin"/><Relationship Id="rId55" Type="http://schemas.openxmlformats.org/officeDocument/2006/relationships/image" Target="media/image29.png"/><Relationship Id="rId54" Type="http://schemas.openxmlformats.org/officeDocument/2006/relationships/image" Target="media/image28.jpeg"/><Relationship Id="rId53" Type="http://schemas.openxmlformats.org/officeDocument/2006/relationships/image" Target="media/image27.jpeg"/><Relationship Id="rId52" Type="http://schemas.openxmlformats.org/officeDocument/2006/relationships/image" Target="media/image26.png"/><Relationship Id="rId51" Type="http://schemas.openxmlformats.org/officeDocument/2006/relationships/image" Target="media/image25.jpeg"/><Relationship Id="rId50" Type="http://schemas.openxmlformats.org/officeDocument/2006/relationships/image" Target="media/image24.jpeg"/><Relationship Id="rId5" Type="http://schemas.openxmlformats.org/officeDocument/2006/relationships/header" Target="header2.xml"/><Relationship Id="rId49" Type="http://schemas.openxmlformats.org/officeDocument/2006/relationships/image" Target="media/image23.jpeg"/><Relationship Id="rId48" Type="http://schemas.openxmlformats.org/officeDocument/2006/relationships/image" Target="media/image22.jpeg"/><Relationship Id="rId47" Type="http://schemas.openxmlformats.org/officeDocument/2006/relationships/image" Target="media/image21.jpeg"/><Relationship Id="rId46" Type="http://schemas.openxmlformats.org/officeDocument/2006/relationships/image" Target="media/image20.jpeg"/><Relationship Id="rId45" Type="http://schemas.openxmlformats.org/officeDocument/2006/relationships/image" Target="media/image19.jpeg"/><Relationship Id="rId44" Type="http://schemas.openxmlformats.org/officeDocument/2006/relationships/image" Target="media/image18.png"/><Relationship Id="rId43" Type="http://schemas.openxmlformats.org/officeDocument/2006/relationships/image" Target="media/image17.png"/><Relationship Id="rId42" Type="http://schemas.openxmlformats.org/officeDocument/2006/relationships/image" Target="media/image16.png"/><Relationship Id="rId41" Type="http://schemas.openxmlformats.org/officeDocument/2006/relationships/image" Target="media/image15.wmf"/><Relationship Id="rId40" Type="http://schemas.openxmlformats.org/officeDocument/2006/relationships/oleObject" Target="embeddings/oleObject8.bin"/><Relationship Id="rId4" Type="http://schemas.openxmlformats.org/officeDocument/2006/relationships/header" Target="header1.xml"/><Relationship Id="rId39" Type="http://schemas.openxmlformats.org/officeDocument/2006/relationships/image" Target="media/image14.wmf"/><Relationship Id="rId38" Type="http://schemas.openxmlformats.org/officeDocument/2006/relationships/oleObject" Target="embeddings/oleObject7.bin"/><Relationship Id="rId37" Type="http://schemas.openxmlformats.org/officeDocument/2006/relationships/image" Target="media/image13.png"/><Relationship Id="rId36" Type="http://schemas.openxmlformats.org/officeDocument/2006/relationships/image" Target="media/image12.wmf"/><Relationship Id="rId35" Type="http://schemas.openxmlformats.org/officeDocument/2006/relationships/image" Target="media/image11.wmf"/><Relationship Id="rId34" Type="http://schemas.openxmlformats.org/officeDocument/2006/relationships/oleObject" Target="embeddings/oleObject6.bin"/><Relationship Id="rId33" Type="http://schemas.openxmlformats.org/officeDocument/2006/relationships/image" Target="media/image10.png"/><Relationship Id="rId32" Type="http://schemas.openxmlformats.org/officeDocument/2006/relationships/oleObject" Target="embeddings/oleObject5.bin"/><Relationship Id="rId31" Type="http://schemas.openxmlformats.org/officeDocument/2006/relationships/image" Target="media/image9.wmf"/><Relationship Id="rId30" Type="http://schemas.openxmlformats.org/officeDocument/2006/relationships/oleObject" Target="embeddings/oleObject4.bin"/><Relationship Id="rId3" Type="http://schemas.openxmlformats.org/officeDocument/2006/relationships/settings" Target="settings.xml"/><Relationship Id="rId29" Type="http://schemas.openxmlformats.org/officeDocument/2006/relationships/image" Target="media/image8.wmf"/><Relationship Id="rId28" Type="http://schemas.openxmlformats.org/officeDocument/2006/relationships/oleObject" Target="embeddings/oleObject3.bin"/><Relationship Id="rId27" Type="http://schemas.openxmlformats.org/officeDocument/2006/relationships/oleObject" Target="embeddings/oleObject2.bin"/><Relationship Id="rId26" Type="http://schemas.openxmlformats.org/officeDocument/2006/relationships/image" Target="media/image7.wmf"/><Relationship Id="rId25" Type="http://schemas.openxmlformats.org/officeDocument/2006/relationships/oleObject" Target="embeddings/oleObject1.bin"/><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tyles" Target="style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135</Pages>
  <Words>70664</Words>
  <Characters>30867</Characters>
  <Lines>257</Lines>
  <Paragraphs>202</Paragraphs>
  <ScaleCrop>false</ScaleCrop>
  <LinksUpToDate>false</LinksUpToDate>
  <CharactersWithSpaces>0</CharactersWithSpaces>
  <Application>WPS Office_9.1.0.5111_{F1E327BC-269C-435d-A152-05C5408002CA}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2016-09-19T03:57:00Z</dcterms:created>
  <dc:creator>微软用户</dc:creator>
  <cp:lastModifiedBy>Administrator</cp:lastModifiedBy>
  <dcterms:modified xsi:type="dcterms:W3CDTF">2016-10-19T02:00:51Z</dcterms:modified>
  <dc:title>目录</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2052-9.1.0.5111</vt:lpwstr>
  </property>
</Properties>
</file>