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sz w:val="48"/>
        </w:rPr>
      </w:pPr>
      <w:r>
        <w:rPr>
          <w:rFonts w:hint="eastAsia"/>
          <w:sz w:val="48"/>
        </w:rPr>
        <w:t xml:space="preserve">                                                       </w:t>
      </w:r>
    </w:p>
    <w:p>
      <w:pPr>
        <w:pStyle w:val="14"/>
        <w:rPr>
          <w:rFonts w:hint="eastAsia" w:ascii="黑体" w:hAnsi="黑体" w:eastAsia="黑体" w:cs="黑体"/>
          <w:b/>
          <w:bCs/>
          <w:sz w:val="32"/>
          <w:szCs w:val="32"/>
        </w:rPr>
      </w:pPr>
      <w:bookmarkStart w:id="0" w:name="OLE_LINK3"/>
      <w:r>
        <w:rPr>
          <w:rFonts w:hint="eastAsia" w:ascii="黑体" w:hAnsi="黑体" w:eastAsia="黑体" w:cs="黑体"/>
          <w:b/>
          <w:bCs/>
          <w:sz w:val="32"/>
          <w:szCs w:val="32"/>
        </w:rPr>
        <w:t>汨罗市沐斯家俱厂</w:t>
      </w:r>
    </w:p>
    <w:p>
      <w:pPr>
        <w:pStyle w:val="14"/>
        <w:rPr>
          <w:rFonts w:hint="eastAsia" w:ascii="黑体" w:hAnsi="黑体" w:eastAsia="黑体" w:cs="黑体"/>
          <w:b/>
          <w:bCs/>
          <w:sz w:val="32"/>
          <w:szCs w:val="32"/>
        </w:rPr>
      </w:pPr>
      <w:r>
        <w:rPr>
          <w:rFonts w:hint="eastAsia" w:ascii="黑体" w:hAnsi="黑体" w:eastAsia="黑体" w:cs="黑体"/>
          <w:b/>
          <w:bCs/>
          <w:sz w:val="32"/>
          <w:szCs w:val="32"/>
        </w:rPr>
        <w:t>年产5000套卫生洁具及民用家具整治项目</w:t>
      </w:r>
      <w:bookmarkEnd w:id="0"/>
    </w:p>
    <w:p>
      <w:pPr>
        <w:pStyle w:val="14"/>
        <w:rPr>
          <w:rFonts w:hint="eastAsia" w:ascii="黑体" w:hAnsi="黑体" w:eastAsia="黑体" w:cs="黑体"/>
          <w:b/>
          <w:bCs/>
          <w:sz w:val="32"/>
          <w:szCs w:val="32"/>
        </w:rPr>
      </w:pPr>
      <w:r>
        <w:rPr>
          <w:rFonts w:hint="eastAsia" w:ascii="黑体" w:hAnsi="黑体" w:eastAsia="黑体" w:cs="黑体"/>
          <w:b/>
          <w:bCs/>
          <w:sz w:val="32"/>
          <w:szCs w:val="32"/>
        </w:rPr>
        <w:t>环境影响报告书专家技术评估意见</w:t>
      </w:r>
    </w:p>
    <w:p>
      <w:pPr>
        <w:adjustRightInd w:val="0"/>
        <w:snapToGrid w:val="0"/>
        <w:spacing w:line="312" w:lineRule="auto"/>
        <w:jc w:val="center"/>
        <w:rPr>
          <w:b/>
          <w:bCs/>
          <w:sz w:val="48"/>
        </w:rPr>
      </w:pPr>
    </w:p>
    <w:p>
      <w:pPr>
        <w:autoSpaceDE w:val="0"/>
        <w:autoSpaceDN w:val="0"/>
        <w:snapToGrid w:val="0"/>
        <w:spacing w:line="360" w:lineRule="auto"/>
        <w:ind w:firstLine="480" w:firstLineChars="200"/>
        <w:textAlignment w:val="bottom"/>
        <w:rPr>
          <w:sz w:val="24"/>
        </w:rPr>
      </w:pPr>
      <w:r>
        <w:rPr>
          <w:rFonts w:hint="eastAsia"/>
          <w:sz w:val="24"/>
        </w:rPr>
        <w:t>岳阳市环境保护局于2016年11月28日在汨罗市主持召开了《</w:t>
      </w:r>
      <w:r>
        <w:rPr>
          <w:sz w:val="24"/>
        </w:rPr>
        <w:t>汨罗市沐斯家俱厂年产5000套卫生洁具及民用家具整治项目</w:t>
      </w:r>
      <w:r>
        <w:rPr>
          <w:rFonts w:hint="eastAsia"/>
          <w:sz w:val="24"/>
        </w:rPr>
        <w:t>环境影响报告书》技术评估会。参加会议的有汨罗市环境保护局、评价单位</w:t>
      </w:r>
      <w:r>
        <w:rPr>
          <w:sz w:val="24"/>
        </w:rPr>
        <w:t>湖南志远环境咨询服务有限公司</w:t>
      </w:r>
      <w:r>
        <w:rPr>
          <w:rFonts w:hint="eastAsia"/>
          <w:sz w:val="24"/>
        </w:rPr>
        <w:t>、建设单位</w:t>
      </w:r>
      <w:r>
        <w:rPr>
          <w:sz w:val="24"/>
        </w:rPr>
        <w:t>汨罗市沐斯家俱厂</w:t>
      </w:r>
      <w:r>
        <w:rPr>
          <w:rFonts w:hint="eastAsia"/>
          <w:sz w:val="24"/>
        </w:rPr>
        <w:t>等单位的代表，会议邀请了5名专家（名单附后）组成专家评估小组。与会专家和代表踏看了项目现场，听取了建设单位对项目情况的介绍，评价单位对项目报告书进行了详细说明，经与会专家和代表认真审核评议，形成技术评估会专家评审意见如下：</w:t>
      </w:r>
    </w:p>
    <w:p>
      <w:pPr>
        <w:numPr>
          <w:ilvl w:val="0"/>
          <w:numId w:val="1"/>
        </w:numPr>
        <w:rPr>
          <w:b/>
          <w:bCs/>
          <w:sz w:val="32"/>
        </w:rPr>
      </w:pPr>
      <w:r>
        <w:rPr>
          <w:rFonts w:hint="eastAsia"/>
          <w:b/>
          <w:bCs/>
          <w:sz w:val="32"/>
        </w:rPr>
        <w:t>项目概况</w:t>
      </w:r>
    </w:p>
    <w:p>
      <w:pPr>
        <w:autoSpaceDE w:val="0"/>
        <w:autoSpaceDN w:val="0"/>
        <w:snapToGrid w:val="0"/>
        <w:spacing w:line="360" w:lineRule="auto"/>
        <w:ind w:firstLine="480" w:firstLineChars="200"/>
        <w:textAlignment w:val="bottom"/>
        <w:rPr>
          <w:sz w:val="24"/>
        </w:rPr>
      </w:pPr>
      <w:r>
        <w:rPr>
          <w:sz w:val="24"/>
        </w:rPr>
        <w:t>汨罗市沐斯家俱厂</w:t>
      </w:r>
      <w:r>
        <w:rPr>
          <w:sz w:val="24"/>
          <w:lang w:val="zh-CN"/>
        </w:rPr>
        <w:t>在</w:t>
      </w:r>
      <w:r>
        <w:rPr>
          <w:sz w:val="24"/>
        </w:rPr>
        <w:t>汨罗市黄柏镇团山舒村已</w:t>
      </w:r>
      <w:r>
        <w:rPr>
          <w:sz w:val="24"/>
          <w:lang w:val="zh-CN"/>
        </w:rPr>
        <w:t>投资</w:t>
      </w:r>
      <w:r>
        <w:rPr>
          <w:sz w:val="24"/>
        </w:rPr>
        <w:t>230</w:t>
      </w:r>
      <w:r>
        <w:rPr>
          <w:sz w:val="24"/>
          <w:lang w:val="zh-CN"/>
        </w:rPr>
        <w:t>万，并计划追加投资</w:t>
      </w:r>
      <w:r>
        <w:rPr>
          <w:sz w:val="24"/>
        </w:rPr>
        <w:t>30万元进行相关环保设施建设</w:t>
      </w:r>
      <w:r>
        <w:rPr>
          <w:sz w:val="24"/>
          <w:lang w:val="zh-CN"/>
        </w:rPr>
        <w:t>，占地面积为</w:t>
      </w:r>
      <w:r>
        <w:rPr>
          <w:sz w:val="24"/>
        </w:rPr>
        <w:t>1100㎡，总建筑面积约为1000㎡。汨罗市沐斯家俱厂</w:t>
      </w:r>
      <w:r>
        <w:rPr>
          <w:sz w:val="24"/>
          <w:lang w:val="zh-CN"/>
        </w:rPr>
        <w:t>建设</w:t>
      </w:r>
      <w:r>
        <w:rPr>
          <w:sz w:val="24"/>
        </w:rPr>
        <w:t>年产5000套卫生洁具及民用家具项目已经投产运营，至今未进行环境影响评价工作。相关环保部门对该公司进行了污染源现场检查，并进行了环保法律法规的宣传，要求其尽快对现有相关污染源进行整治，并补办环评审批手续。</w:t>
      </w:r>
    </w:p>
    <w:p>
      <w:pPr>
        <w:autoSpaceDE w:val="0"/>
        <w:autoSpaceDN w:val="0"/>
        <w:snapToGrid w:val="0"/>
        <w:spacing w:line="360" w:lineRule="auto"/>
        <w:ind w:firstLine="480" w:firstLineChars="200"/>
        <w:textAlignment w:val="bottom"/>
        <w:rPr>
          <w:sz w:val="24"/>
        </w:rPr>
      </w:pPr>
      <w:r>
        <w:rPr>
          <w:sz w:val="24"/>
        </w:rPr>
        <w:t>根据《中共湖南省委湖南省人民政府关于大力发展循环经济建设资源节约型和环境友好型社会的意见》湘发[2006]14号文件精神以及《汨罗市人民政府办公室关于清理整治环保违规建设项目的通知》汨政办发[2016]5号文件，对汨罗市沐斯家俱厂相关环境问题进行整治，主要整治内容为：①本项目无应急池，缺乏一定的应急废水收集能力，可能造成消防废水、事故废水等外流导致环境污染事故；②生产过程中产生的粉尘无相关废气收集处理装置，一方面对生产员工的身体健康造成影响，另一方面则可能会对周边环境造成影响；③喷漆房废气无收集处理装置，二甲苯、VOCs等可被作业员工吸入，危险员工身体健康，另一方面废气向厂界扩散对周边大气环境造成不利影响；④本项目的固废处理处置过程中未按《国家危险废物名录》（2016年）进行区分，危险废物也未移交给相关资质单位处理，对环卫部门造成一定的处理压力</w:t>
      </w:r>
      <w:r>
        <w:rPr>
          <w:rStyle w:val="7"/>
        </w:rPr>
        <w:t>；</w:t>
      </w:r>
      <w:r>
        <w:rPr>
          <w:sz w:val="24"/>
        </w:rPr>
        <w:t>⑤无消防水池，缺乏一定消防应对能力。</w:t>
      </w:r>
    </w:p>
    <w:p>
      <w:pPr>
        <w:keepNext w:val="0"/>
        <w:keepLines w:val="0"/>
        <w:pageBreakBefore w:val="0"/>
        <w:widowControl w:val="0"/>
        <w:kinsoku/>
        <w:wordWrap/>
        <w:overflowPunct/>
        <w:topLinePunct w:val="0"/>
        <w:autoSpaceDE/>
        <w:autoSpaceDN/>
        <w:bidi w:val="0"/>
        <w:adjustRightInd/>
        <w:snapToGrid/>
        <w:spacing w:line="360" w:lineRule="auto"/>
        <w:ind w:right="0" w:rightChars="0"/>
        <w:jc w:val="left"/>
        <w:textAlignment w:val="auto"/>
        <w:outlineLvl w:val="9"/>
        <w:rPr>
          <w:rFonts w:hint="default" w:ascii="Times New Roman" w:hAnsi="Times New Roman" w:eastAsia="宋体" w:cs="Times New Roman"/>
          <w:b/>
          <w:color w:val="FF0000"/>
          <w:sz w:val="32"/>
          <w:szCs w:val="32"/>
        </w:rPr>
      </w:pPr>
      <w:r>
        <w:rPr>
          <w:rFonts w:hint="default" w:ascii="Times New Roman" w:hAnsi="Times New Roman" w:eastAsia="宋体" w:cs="Times New Roman"/>
          <w:b/>
          <w:color w:val="FF0000"/>
          <w:sz w:val="32"/>
          <w:szCs w:val="32"/>
        </w:rPr>
        <w:t>评估认为：</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647" w:firstLineChars="230"/>
        <w:textAlignment w:val="auto"/>
        <w:outlineLvl w:val="9"/>
        <w:rPr>
          <w:rFonts w:hint="default" w:ascii="Times New Roman" w:hAnsi="Times New Roman" w:eastAsia="宋体" w:cs="Times New Roman"/>
          <w:b/>
          <w:color w:val="FF0000"/>
          <w:sz w:val="32"/>
          <w:szCs w:val="32"/>
        </w:rPr>
      </w:pPr>
      <w:r>
        <w:rPr>
          <w:rFonts w:hint="default" w:ascii="Times New Roman" w:hAnsi="Times New Roman" w:eastAsia="宋体" w:cs="Times New Roman"/>
          <w:b/>
          <w:color w:val="FF0000"/>
          <w:sz w:val="32"/>
          <w:szCs w:val="32"/>
        </w:rPr>
        <w:t>1、完善项目周边评价范围用地、人居、饮水、地表水现状调查，明确项目用地性质。核实项目建设背景。</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647" w:firstLineChars="230"/>
        <w:textAlignment w:val="auto"/>
        <w:outlineLvl w:val="9"/>
        <w:rPr>
          <w:rFonts w:hint="default" w:ascii="Times New Roman" w:hAnsi="Times New Roman" w:eastAsia="宋体" w:cs="Times New Roman"/>
          <w:b/>
          <w:color w:val="FF0000"/>
          <w:sz w:val="32"/>
          <w:szCs w:val="32"/>
        </w:rPr>
      </w:pPr>
      <w:r>
        <w:rPr>
          <w:rFonts w:hint="default" w:ascii="Times New Roman" w:hAnsi="Times New Roman" w:eastAsia="宋体" w:cs="Times New Roman"/>
          <w:b/>
          <w:color w:val="FF0000"/>
          <w:sz w:val="32"/>
          <w:szCs w:val="32"/>
        </w:rPr>
        <w:t>2、核实项目原辅材料使用情况，给出原辅材料理化性质、来源、用量及储存量。根据“气十条”、挥发性有机物防治技术政策等要求，说明项目使用水性油漆的可行性，以此提出改进建议。</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647" w:firstLineChars="230"/>
        <w:textAlignment w:val="auto"/>
        <w:outlineLvl w:val="9"/>
        <w:rPr>
          <w:rFonts w:hint="default" w:ascii="Times New Roman" w:hAnsi="Times New Roman" w:eastAsia="宋体" w:cs="Times New Roman"/>
          <w:b/>
          <w:color w:val="FF0000"/>
          <w:sz w:val="32"/>
          <w:szCs w:val="32"/>
        </w:rPr>
      </w:pPr>
      <w:r>
        <w:rPr>
          <w:rFonts w:hint="default" w:ascii="Times New Roman" w:hAnsi="Times New Roman" w:eastAsia="宋体" w:cs="Times New Roman"/>
          <w:b/>
          <w:color w:val="FF0000"/>
          <w:sz w:val="32"/>
          <w:szCs w:val="32"/>
        </w:rPr>
        <w:t>3、强化项目已建成工艺设备描叙，调查污染防治设施建设情况、效果及周边居民投诉情况，以现有国家产业政策、环保政策为依据，核实项目存在问题。</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551" w:firstLineChars="196"/>
        <w:textAlignment w:val="auto"/>
        <w:outlineLvl w:val="9"/>
        <w:rPr>
          <w:rFonts w:hint="default" w:ascii="Times New Roman" w:hAnsi="Times New Roman" w:eastAsia="宋体" w:cs="Times New Roman"/>
          <w:b/>
          <w:color w:val="FF0000"/>
          <w:sz w:val="32"/>
          <w:szCs w:val="32"/>
        </w:rPr>
      </w:pPr>
      <w:r>
        <w:rPr>
          <w:rFonts w:hint="default" w:ascii="Times New Roman" w:hAnsi="Times New Roman" w:eastAsia="宋体" w:cs="Times New Roman"/>
          <w:b/>
          <w:color w:val="FF0000"/>
          <w:sz w:val="32"/>
          <w:szCs w:val="32"/>
        </w:rPr>
        <w:t>4、完善类比企业规模、工艺、污染物产生处理排放情况，以此校核项目污染源强。</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551" w:firstLineChars="196"/>
        <w:textAlignment w:val="auto"/>
        <w:outlineLvl w:val="9"/>
        <w:rPr>
          <w:rFonts w:hint="default" w:ascii="Times New Roman" w:hAnsi="Times New Roman" w:eastAsia="宋体" w:cs="Times New Roman"/>
          <w:b/>
          <w:color w:val="FF0000"/>
          <w:sz w:val="32"/>
          <w:szCs w:val="32"/>
        </w:rPr>
      </w:pPr>
      <w:r>
        <w:rPr>
          <w:rFonts w:hint="default" w:ascii="Times New Roman" w:hAnsi="Times New Roman" w:eastAsia="宋体" w:cs="Times New Roman"/>
          <w:b/>
          <w:color w:val="FF0000"/>
          <w:sz w:val="32"/>
          <w:szCs w:val="32"/>
        </w:rPr>
        <w:t>5、完善物料平衡及水平衡，以核实的污染源强及存在问题，完善提出项目整治内容。</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551" w:firstLineChars="196"/>
        <w:textAlignment w:val="auto"/>
        <w:outlineLvl w:val="9"/>
        <w:rPr>
          <w:rFonts w:hint="default" w:ascii="Times New Roman" w:hAnsi="Times New Roman" w:eastAsia="宋体" w:cs="Times New Roman"/>
          <w:b/>
          <w:color w:val="FF0000"/>
          <w:sz w:val="32"/>
          <w:szCs w:val="32"/>
        </w:rPr>
      </w:pPr>
      <w:r>
        <w:rPr>
          <w:rFonts w:hint="default" w:ascii="Times New Roman" w:hAnsi="Times New Roman" w:eastAsia="宋体" w:cs="Times New Roman"/>
          <w:b/>
          <w:color w:val="FF0000"/>
          <w:sz w:val="32"/>
          <w:szCs w:val="32"/>
        </w:rPr>
        <w:t>6、补充项目污染源监测数据。</w:t>
      </w:r>
    </w:p>
    <w:p>
      <w:pPr>
        <w:numPr>
          <w:ilvl w:val="0"/>
          <w:numId w:val="1"/>
        </w:numPr>
        <w:rPr>
          <w:rFonts w:hint="eastAsia"/>
          <w:b/>
          <w:bCs/>
          <w:sz w:val="32"/>
        </w:rPr>
      </w:pPr>
      <w:r>
        <w:rPr>
          <w:rFonts w:hint="eastAsia"/>
          <w:b/>
          <w:bCs/>
          <w:sz w:val="32"/>
        </w:rPr>
        <w:t>环境质量现状及环境保护目标</w:t>
      </w:r>
    </w:p>
    <w:p>
      <w:pPr>
        <w:keepNext w:val="0"/>
        <w:keepLines w:val="0"/>
        <w:pageBreakBefore w:val="0"/>
        <w:widowControl w:val="0"/>
        <w:kinsoku/>
        <w:wordWrap/>
        <w:overflowPunct/>
        <w:topLinePunct w:val="0"/>
        <w:autoSpaceDE/>
        <w:autoSpaceDN/>
        <w:bidi w:val="0"/>
        <w:adjustRightInd/>
        <w:snapToGrid/>
        <w:spacing w:line="360" w:lineRule="auto"/>
        <w:ind w:right="0" w:rightChars="0"/>
        <w:textAlignment w:val="auto"/>
        <w:outlineLvl w:val="9"/>
        <w:rPr>
          <w:rFonts w:hint="default" w:ascii="Times New Roman" w:hAnsi="Times New Roman" w:eastAsia="宋体" w:cs="Times New Roman"/>
          <w:b/>
          <w:color w:val="FF0000"/>
          <w:sz w:val="32"/>
          <w:szCs w:val="32"/>
        </w:rPr>
      </w:pPr>
      <w:r>
        <w:rPr>
          <w:rFonts w:hint="eastAsia" w:ascii="Times New Roman" w:hAnsi="Times New Roman" w:eastAsia="宋体" w:cs="Times New Roman"/>
          <w:b/>
          <w:color w:val="FF0000"/>
          <w:sz w:val="32"/>
          <w:szCs w:val="32"/>
        </w:rPr>
        <w:t>评估认为：</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551" w:firstLineChars="196"/>
        <w:textAlignment w:val="auto"/>
        <w:outlineLvl w:val="9"/>
        <w:rPr>
          <w:rFonts w:hint="default" w:ascii="Times New Roman" w:hAnsi="Times New Roman" w:eastAsia="宋体" w:cs="Times New Roman"/>
          <w:b/>
          <w:color w:val="FF0000"/>
          <w:sz w:val="32"/>
          <w:szCs w:val="32"/>
        </w:rPr>
      </w:pPr>
      <w:r>
        <w:rPr>
          <w:rFonts w:hint="eastAsia" w:ascii="Times New Roman" w:hAnsi="Times New Roman" w:eastAsia="宋体" w:cs="Times New Roman"/>
          <w:b/>
          <w:color w:val="FF0000"/>
          <w:sz w:val="32"/>
          <w:szCs w:val="32"/>
        </w:rPr>
        <w:t>1、完善项目环境保护标准及规范。</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551" w:firstLineChars="196"/>
        <w:textAlignment w:val="auto"/>
        <w:outlineLvl w:val="9"/>
        <w:rPr>
          <w:rFonts w:hint="default" w:ascii="Times New Roman" w:hAnsi="Times New Roman" w:eastAsia="宋体" w:cs="Times New Roman"/>
          <w:b/>
          <w:color w:val="FF0000"/>
          <w:sz w:val="32"/>
          <w:szCs w:val="32"/>
        </w:rPr>
      </w:pPr>
      <w:r>
        <w:rPr>
          <w:rFonts w:hint="eastAsia" w:ascii="Times New Roman" w:hAnsi="Times New Roman" w:eastAsia="宋体" w:cs="Times New Roman"/>
          <w:b/>
          <w:color w:val="FF0000"/>
          <w:sz w:val="32"/>
          <w:szCs w:val="32"/>
        </w:rPr>
        <w:t>2、核实环境保护目标。</w:t>
      </w:r>
    </w:p>
    <w:p>
      <w:pPr>
        <w:numPr>
          <w:ilvl w:val="0"/>
          <w:numId w:val="1"/>
        </w:numPr>
        <w:rPr>
          <w:rFonts w:hint="eastAsia"/>
          <w:b/>
          <w:bCs/>
          <w:sz w:val="32"/>
        </w:rPr>
      </w:pPr>
      <w:r>
        <w:rPr>
          <w:rFonts w:hint="eastAsia"/>
          <w:b/>
          <w:bCs/>
          <w:sz w:val="32"/>
        </w:rPr>
        <w:t>拟采取的环保措施</w:t>
      </w:r>
    </w:p>
    <w:p>
      <w:pPr>
        <w:spacing w:line="240" w:lineRule="atLeast"/>
        <w:rPr>
          <w:b/>
          <w:color w:val="FF0000"/>
          <w:sz w:val="32"/>
          <w:szCs w:val="32"/>
        </w:rPr>
      </w:pPr>
      <w:r>
        <w:rPr>
          <w:rFonts w:hint="eastAsia"/>
          <w:b/>
          <w:color w:val="FF0000"/>
          <w:sz w:val="32"/>
          <w:szCs w:val="32"/>
        </w:rPr>
        <w:t>评估认为：</w:t>
      </w:r>
    </w:p>
    <w:p>
      <w:pPr>
        <w:ind w:firstLine="616"/>
        <w:rPr>
          <w:b/>
          <w:color w:val="FF0000"/>
          <w:sz w:val="32"/>
          <w:szCs w:val="32"/>
        </w:rPr>
      </w:pPr>
      <w:r>
        <w:rPr>
          <w:rFonts w:hint="eastAsia"/>
          <w:b/>
          <w:color w:val="FF0000"/>
          <w:sz w:val="32"/>
          <w:szCs w:val="32"/>
        </w:rPr>
        <w:t>1、给出</w:t>
      </w:r>
      <w:r>
        <w:rPr>
          <w:rFonts w:hint="eastAsia"/>
          <w:b/>
          <w:color w:val="FF0000"/>
          <w:sz w:val="32"/>
          <w:szCs w:val="32"/>
          <w:lang w:val="en-US" w:eastAsia="zh-CN"/>
        </w:rPr>
        <w:t>接纳本项目污水处理单位的</w:t>
      </w:r>
      <w:r>
        <w:rPr>
          <w:rFonts w:hint="eastAsia"/>
          <w:b/>
          <w:color w:val="FF0000"/>
          <w:sz w:val="32"/>
          <w:szCs w:val="32"/>
        </w:rPr>
        <w:t>污水处理工艺、规模，说明接纳本项目喷淋废水的可行性</w:t>
      </w:r>
      <w:r>
        <w:rPr>
          <w:rFonts w:hint="eastAsia"/>
          <w:b/>
          <w:color w:val="FF0000"/>
          <w:sz w:val="32"/>
          <w:szCs w:val="36"/>
        </w:rPr>
        <w:t>。</w:t>
      </w:r>
      <w:r>
        <w:rPr>
          <w:rFonts w:hint="eastAsia"/>
          <w:b/>
          <w:color w:val="FF0000"/>
          <w:sz w:val="32"/>
          <w:szCs w:val="32"/>
        </w:rPr>
        <w:t>补充其接纳本项目废水的接纳标准。</w:t>
      </w:r>
    </w:p>
    <w:p>
      <w:pPr>
        <w:spacing w:line="240" w:lineRule="atLeast"/>
        <w:ind w:firstLine="562" w:firstLineChars="200"/>
        <w:jc w:val="left"/>
        <w:rPr>
          <w:b/>
          <w:color w:val="FF0000"/>
          <w:sz w:val="32"/>
          <w:szCs w:val="32"/>
        </w:rPr>
      </w:pPr>
      <w:r>
        <w:rPr>
          <w:rFonts w:hint="eastAsia"/>
          <w:b/>
          <w:color w:val="FF0000"/>
          <w:sz w:val="32"/>
          <w:szCs w:val="32"/>
        </w:rPr>
        <w:t>2、核实项目</w:t>
      </w:r>
      <w:r>
        <w:rPr>
          <w:rFonts w:hint="eastAsia"/>
          <w:b/>
          <w:color w:val="FF0000"/>
          <w:sz w:val="32"/>
          <w:szCs w:val="36"/>
        </w:rPr>
        <w:t>废气</w:t>
      </w:r>
      <w:r>
        <w:rPr>
          <w:rFonts w:hint="eastAsia"/>
          <w:b/>
          <w:color w:val="FF0000"/>
          <w:sz w:val="32"/>
          <w:szCs w:val="32"/>
        </w:rPr>
        <w:t>产生点数量、收集方式及污染物排放浓度，按污染物的不同，分别采取污染防治措施。根据影响预测及项目周边环境，校核排气筒高度。</w:t>
      </w:r>
    </w:p>
    <w:p>
      <w:pPr>
        <w:spacing w:line="240" w:lineRule="atLeast"/>
        <w:ind w:firstLine="562" w:firstLineChars="200"/>
        <w:jc w:val="left"/>
        <w:rPr>
          <w:b/>
          <w:color w:val="FF0000"/>
          <w:sz w:val="32"/>
          <w:szCs w:val="32"/>
        </w:rPr>
      </w:pPr>
      <w:r>
        <w:rPr>
          <w:rFonts w:hint="eastAsia"/>
          <w:b/>
          <w:color w:val="FF0000"/>
          <w:sz w:val="32"/>
          <w:szCs w:val="32"/>
        </w:rPr>
        <w:t>3、根据固废的属性，完善各类固废处置、暂存措施及要求。补充利用企业资质、处置能力情况及利用意向协议。</w:t>
      </w:r>
    </w:p>
    <w:p>
      <w:pPr>
        <w:ind w:firstLine="551" w:firstLineChars="196"/>
        <w:rPr>
          <w:b/>
          <w:color w:val="FF0000"/>
          <w:sz w:val="32"/>
          <w:szCs w:val="36"/>
        </w:rPr>
      </w:pPr>
      <w:r>
        <w:rPr>
          <w:rFonts w:hint="eastAsia"/>
          <w:b/>
          <w:color w:val="FF0000"/>
          <w:sz w:val="32"/>
          <w:szCs w:val="32"/>
        </w:rPr>
        <w:t>4</w:t>
      </w:r>
      <w:r>
        <w:rPr>
          <w:rFonts w:hint="eastAsia"/>
          <w:b/>
          <w:color w:val="FF0000"/>
          <w:sz w:val="32"/>
          <w:szCs w:val="36"/>
        </w:rPr>
        <w:t>、分析项目设备噪声产生情况，提出可行的防治措施。</w:t>
      </w:r>
    </w:p>
    <w:p>
      <w:pPr>
        <w:ind w:firstLine="616"/>
        <w:rPr>
          <w:b/>
          <w:color w:val="FF0000"/>
          <w:sz w:val="32"/>
          <w:szCs w:val="36"/>
        </w:rPr>
      </w:pPr>
      <w:r>
        <w:rPr>
          <w:rFonts w:hint="eastAsia"/>
          <w:b/>
          <w:color w:val="FF0000"/>
          <w:sz w:val="32"/>
          <w:szCs w:val="32"/>
        </w:rPr>
        <w:t>5、核实项目清污分流、雨污分流等工程措施，以此提出改进建议</w:t>
      </w:r>
      <w:r>
        <w:rPr>
          <w:rFonts w:hint="eastAsia"/>
          <w:b/>
          <w:color w:val="FF0000"/>
          <w:sz w:val="32"/>
          <w:szCs w:val="36"/>
        </w:rPr>
        <w:t>。</w:t>
      </w:r>
    </w:p>
    <w:p>
      <w:pPr>
        <w:numPr>
          <w:ilvl w:val="0"/>
          <w:numId w:val="1"/>
        </w:numPr>
        <w:rPr>
          <w:rFonts w:hint="eastAsia"/>
          <w:b/>
          <w:bCs/>
          <w:sz w:val="32"/>
        </w:rPr>
      </w:pPr>
      <w:r>
        <w:rPr>
          <w:rFonts w:hint="eastAsia"/>
          <w:b/>
          <w:bCs/>
          <w:sz w:val="32"/>
        </w:rPr>
        <w:t>环境影响预测与环境风险</w:t>
      </w:r>
    </w:p>
    <w:p>
      <w:pPr>
        <w:ind w:firstLine="551" w:firstLineChars="196"/>
        <w:rPr>
          <w:rFonts w:hint="eastAsia"/>
          <w:b/>
          <w:color w:val="FF0000"/>
          <w:sz w:val="32"/>
          <w:szCs w:val="32"/>
        </w:rPr>
      </w:pPr>
      <w:r>
        <w:rPr>
          <w:rFonts w:hint="eastAsia"/>
          <w:b/>
          <w:color w:val="FF0000"/>
          <w:sz w:val="32"/>
          <w:szCs w:val="32"/>
        </w:rPr>
        <w:t>1、根据排气筒高度及位置，结合项目污染物排放对评价范围内的影响分析，卫生防护距离内人居和单位分布，提出改进措施及控建要求。</w:t>
      </w:r>
    </w:p>
    <w:p>
      <w:pPr>
        <w:ind w:firstLine="551" w:firstLineChars="196"/>
        <w:rPr>
          <w:rFonts w:hint="eastAsia"/>
          <w:b/>
          <w:color w:val="FF0000"/>
          <w:sz w:val="32"/>
          <w:szCs w:val="32"/>
        </w:rPr>
      </w:pPr>
      <w:r>
        <w:rPr>
          <w:rFonts w:hint="eastAsia"/>
          <w:b/>
          <w:color w:val="FF0000"/>
          <w:sz w:val="32"/>
          <w:szCs w:val="32"/>
        </w:rPr>
        <w:t>2、根据原辅材料、产品储存情况，核实完善风险防范措施。</w:t>
      </w:r>
    </w:p>
    <w:p>
      <w:pPr>
        <w:ind w:firstLine="551" w:firstLineChars="196"/>
        <w:rPr>
          <w:rFonts w:hint="eastAsia"/>
          <w:b/>
          <w:color w:val="FF0000"/>
          <w:sz w:val="32"/>
          <w:szCs w:val="32"/>
        </w:rPr>
      </w:pPr>
      <w:r>
        <w:rPr>
          <w:rFonts w:hint="eastAsia"/>
          <w:b/>
          <w:color w:val="FF0000"/>
          <w:sz w:val="32"/>
          <w:szCs w:val="32"/>
        </w:rPr>
        <w:t>3、核实喷漆工艺尾气有组织、无组织排放情况，完善对环境的影响及采取的防范措施分析，根据相关规范，核实大气环境防护距离及卫生防护</w:t>
      </w:r>
      <w:r>
        <w:rPr>
          <w:rFonts w:hint="eastAsia"/>
          <w:b/>
          <w:color w:val="FF0000"/>
          <w:sz w:val="32"/>
          <w:szCs w:val="32"/>
          <w:lang w:val="en-US" w:eastAsia="zh-CN"/>
        </w:rPr>
        <w:t>距离</w:t>
      </w:r>
      <w:r>
        <w:rPr>
          <w:rFonts w:hint="eastAsia"/>
          <w:b/>
          <w:color w:val="FF0000"/>
          <w:sz w:val="32"/>
          <w:szCs w:val="32"/>
        </w:rPr>
        <w:t>。</w:t>
      </w:r>
    </w:p>
    <w:p>
      <w:pPr>
        <w:numPr>
          <w:ilvl w:val="0"/>
          <w:numId w:val="1"/>
        </w:numPr>
        <w:rPr>
          <w:rFonts w:hint="eastAsia"/>
          <w:b/>
          <w:bCs/>
          <w:sz w:val="32"/>
        </w:rPr>
      </w:pPr>
      <w:r>
        <w:rPr>
          <w:rFonts w:hint="eastAsia"/>
          <w:b/>
          <w:bCs/>
          <w:sz w:val="32"/>
        </w:rPr>
        <w:t>项目建设的环境可行性</w:t>
      </w:r>
    </w:p>
    <w:p>
      <w:pPr>
        <w:ind w:firstLine="551" w:firstLineChars="196"/>
        <w:rPr>
          <w:rFonts w:hint="eastAsia"/>
          <w:b/>
          <w:color w:val="FF0000"/>
          <w:sz w:val="32"/>
          <w:szCs w:val="32"/>
        </w:rPr>
      </w:pPr>
      <w:r>
        <w:rPr>
          <w:rFonts w:hint="eastAsia"/>
          <w:b/>
          <w:color w:val="FF0000"/>
          <w:sz w:val="32"/>
          <w:szCs w:val="32"/>
        </w:rPr>
        <w:t>1、强化项目与《挥发性有机物（VOCs）污染防治技术政策》的相符性分析。</w:t>
      </w:r>
    </w:p>
    <w:p>
      <w:pPr>
        <w:ind w:firstLine="551" w:firstLineChars="196"/>
        <w:rPr>
          <w:rFonts w:hint="eastAsia"/>
          <w:b/>
          <w:color w:val="FF0000"/>
          <w:sz w:val="32"/>
          <w:szCs w:val="32"/>
        </w:rPr>
      </w:pPr>
      <w:r>
        <w:rPr>
          <w:rFonts w:hint="eastAsia"/>
          <w:b/>
          <w:color w:val="FF0000"/>
          <w:sz w:val="32"/>
          <w:szCs w:val="32"/>
        </w:rPr>
        <w:t>2、校核清洁生产分析相关结论，提出项目生产密闭化要求。</w:t>
      </w:r>
    </w:p>
    <w:p>
      <w:pPr>
        <w:ind w:firstLine="551" w:firstLineChars="196"/>
        <w:rPr>
          <w:rFonts w:hint="eastAsia"/>
          <w:b/>
          <w:color w:val="FF0000"/>
          <w:sz w:val="32"/>
          <w:szCs w:val="32"/>
        </w:rPr>
      </w:pPr>
      <w:r>
        <w:rPr>
          <w:rFonts w:hint="eastAsia"/>
          <w:b/>
          <w:color w:val="FF0000"/>
          <w:sz w:val="32"/>
          <w:szCs w:val="32"/>
        </w:rPr>
        <w:t>3、依据项目具体情况及建设地环境的敏感度，强化平面布局分析，根据项目地标高和周边敏感点、居民分布情况、喷漆房设置位置等，提出优化厂区平面布局的建议。</w:t>
      </w:r>
    </w:p>
    <w:p>
      <w:pPr>
        <w:ind w:firstLine="551" w:firstLineChars="196"/>
        <w:rPr>
          <w:rFonts w:hint="eastAsia"/>
          <w:b/>
          <w:color w:val="FF0000"/>
          <w:sz w:val="32"/>
          <w:szCs w:val="32"/>
        </w:rPr>
      </w:pPr>
      <w:r>
        <w:rPr>
          <w:rFonts w:hint="eastAsia"/>
          <w:b/>
          <w:color w:val="FF0000"/>
          <w:sz w:val="32"/>
          <w:szCs w:val="32"/>
          <w:lang w:val="en-US" w:eastAsia="zh-CN"/>
        </w:rPr>
        <w:t>4</w:t>
      </w:r>
      <w:r>
        <w:rPr>
          <w:rFonts w:hint="eastAsia"/>
          <w:b/>
          <w:color w:val="FF0000"/>
          <w:sz w:val="32"/>
          <w:szCs w:val="32"/>
        </w:rPr>
        <w:t>、根据项目核实的污染物排放情况，核实TVOC总量。</w:t>
      </w:r>
    </w:p>
    <w:p>
      <w:pPr>
        <w:autoSpaceDE w:val="0"/>
        <w:autoSpaceDN w:val="0"/>
        <w:adjustRightInd w:val="0"/>
        <w:spacing w:line="500" w:lineRule="exact"/>
        <w:ind w:firstLine="539"/>
        <w:jc w:val="left"/>
        <w:rPr>
          <w:rFonts w:ascii="黑体" w:hAnsi="Calibri" w:eastAsia="黑体" w:cs="仿宋_GB2312"/>
          <w:b/>
          <w:color w:val="FF0000"/>
          <w:sz w:val="32"/>
          <w:szCs w:val="32"/>
        </w:rPr>
      </w:pPr>
    </w:p>
    <w:p>
      <w:pPr>
        <w:autoSpaceDE w:val="0"/>
        <w:autoSpaceDN w:val="0"/>
        <w:adjustRightInd w:val="0"/>
        <w:spacing w:line="500" w:lineRule="exact"/>
        <w:ind w:firstLine="539"/>
        <w:jc w:val="left"/>
        <w:rPr>
          <w:rFonts w:ascii="黑体" w:hAnsi="Calibri" w:eastAsia="黑体" w:cs="仿宋_GB2312"/>
          <w:b/>
          <w:color w:val="FF0000"/>
          <w:sz w:val="32"/>
          <w:szCs w:val="32"/>
        </w:rPr>
      </w:pPr>
    </w:p>
    <w:p>
      <w:pPr>
        <w:autoSpaceDE w:val="0"/>
        <w:autoSpaceDN w:val="0"/>
        <w:adjustRightInd w:val="0"/>
        <w:spacing w:line="500" w:lineRule="exact"/>
        <w:ind w:firstLine="539"/>
        <w:jc w:val="left"/>
        <w:rPr>
          <w:rFonts w:ascii="黑体" w:hAnsi="Calibri" w:eastAsia="黑体" w:cs="仿宋_GB2312"/>
          <w:b/>
          <w:color w:val="FF0000"/>
          <w:sz w:val="32"/>
          <w:szCs w:val="32"/>
        </w:rPr>
      </w:pPr>
    </w:p>
    <w:p>
      <w:pPr>
        <w:autoSpaceDE w:val="0"/>
        <w:autoSpaceDN w:val="0"/>
        <w:adjustRightInd w:val="0"/>
        <w:spacing w:line="500" w:lineRule="exact"/>
        <w:ind w:firstLine="539"/>
        <w:jc w:val="left"/>
        <w:rPr>
          <w:rFonts w:ascii="黑体" w:hAnsi="Calibri" w:eastAsia="黑体" w:cs="仿宋_GB2312"/>
          <w:b/>
          <w:color w:val="FF0000"/>
          <w:sz w:val="32"/>
          <w:szCs w:val="32"/>
        </w:rPr>
      </w:pPr>
    </w:p>
    <w:p>
      <w:pPr>
        <w:autoSpaceDE w:val="0"/>
        <w:autoSpaceDN w:val="0"/>
        <w:adjustRightInd w:val="0"/>
        <w:spacing w:line="500" w:lineRule="exact"/>
        <w:ind w:firstLine="539"/>
        <w:jc w:val="left"/>
        <w:rPr>
          <w:rFonts w:ascii="黑体" w:hAnsi="Calibri" w:eastAsia="黑体" w:cs="仿宋_GB2312"/>
          <w:b/>
          <w:color w:val="FF0000"/>
          <w:sz w:val="32"/>
          <w:szCs w:val="32"/>
        </w:rPr>
      </w:pPr>
    </w:p>
    <w:p>
      <w:pPr>
        <w:autoSpaceDE w:val="0"/>
        <w:autoSpaceDN w:val="0"/>
        <w:adjustRightInd w:val="0"/>
        <w:spacing w:line="500" w:lineRule="exact"/>
        <w:ind w:firstLine="539"/>
        <w:jc w:val="left"/>
        <w:rPr>
          <w:rFonts w:ascii="黑体" w:hAnsi="Calibri" w:eastAsia="黑体" w:cs="仿宋_GB2312"/>
          <w:b/>
          <w:color w:val="FF0000"/>
          <w:sz w:val="32"/>
          <w:szCs w:val="32"/>
        </w:rPr>
      </w:pPr>
    </w:p>
    <w:p>
      <w:pPr>
        <w:autoSpaceDE w:val="0"/>
        <w:autoSpaceDN w:val="0"/>
        <w:adjustRightInd w:val="0"/>
        <w:spacing w:line="500" w:lineRule="exact"/>
        <w:ind w:firstLine="539"/>
        <w:jc w:val="left"/>
        <w:rPr>
          <w:rFonts w:ascii="黑体" w:hAnsi="Calibri" w:eastAsia="黑体" w:cs="仿宋_GB2312"/>
          <w:b/>
          <w:color w:val="FF0000"/>
          <w:sz w:val="32"/>
          <w:szCs w:val="32"/>
        </w:rPr>
      </w:pPr>
    </w:p>
    <w:p>
      <w:pPr>
        <w:autoSpaceDE w:val="0"/>
        <w:autoSpaceDN w:val="0"/>
        <w:adjustRightInd w:val="0"/>
        <w:spacing w:line="500" w:lineRule="exact"/>
        <w:ind w:firstLine="539"/>
        <w:jc w:val="left"/>
        <w:rPr>
          <w:rFonts w:ascii="黑体" w:hAnsi="Calibri" w:eastAsia="黑体" w:cs="仿宋_GB2312"/>
          <w:b/>
          <w:color w:val="FF0000"/>
          <w:sz w:val="32"/>
          <w:szCs w:val="32"/>
        </w:rPr>
      </w:pPr>
    </w:p>
    <w:p>
      <w:pPr>
        <w:autoSpaceDE w:val="0"/>
        <w:autoSpaceDN w:val="0"/>
        <w:adjustRightInd w:val="0"/>
        <w:spacing w:line="500" w:lineRule="exact"/>
        <w:ind w:firstLine="539"/>
        <w:jc w:val="left"/>
        <w:rPr>
          <w:rFonts w:ascii="黑体" w:hAnsi="Calibri" w:eastAsia="黑体" w:cs="仿宋_GB2312"/>
          <w:b/>
          <w:color w:val="FF0000"/>
          <w:sz w:val="32"/>
          <w:szCs w:val="32"/>
        </w:rPr>
      </w:pPr>
    </w:p>
    <w:p>
      <w:pPr>
        <w:autoSpaceDE w:val="0"/>
        <w:autoSpaceDN w:val="0"/>
        <w:adjustRightInd w:val="0"/>
        <w:spacing w:line="500" w:lineRule="exact"/>
        <w:ind w:firstLine="539"/>
        <w:jc w:val="left"/>
        <w:rPr>
          <w:rFonts w:ascii="黑体" w:hAnsi="Calibri" w:eastAsia="黑体" w:cs="仿宋_GB2312"/>
          <w:b/>
          <w:color w:val="FF0000"/>
          <w:sz w:val="32"/>
          <w:szCs w:val="32"/>
        </w:rPr>
      </w:pPr>
    </w:p>
    <w:p>
      <w:pPr>
        <w:autoSpaceDE w:val="0"/>
        <w:autoSpaceDN w:val="0"/>
        <w:adjustRightInd w:val="0"/>
        <w:spacing w:line="500" w:lineRule="exact"/>
        <w:ind w:firstLine="539"/>
        <w:jc w:val="left"/>
        <w:rPr>
          <w:rFonts w:ascii="黑体" w:hAnsi="Calibri" w:eastAsia="黑体" w:cs="仿宋_GB2312"/>
          <w:b/>
          <w:color w:val="FF0000"/>
          <w:sz w:val="32"/>
          <w:szCs w:val="32"/>
        </w:rPr>
      </w:pPr>
    </w:p>
    <w:p>
      <w:pPr>
        <w:autoSpaceDE w:val="0"/>
        <w:autoSpaceDN w:val="0"/>
        <w:adjustRightInd w:val="0"/>
        <w:spacing w:line="500" w:lineRule="exact"/>
        <w:ind w:firstLine="539"/>
        <w:jc w:val="left"/>
        <w:rPr>
          <w:rFonts w:ascii="黑体" w:hAnsi="Calibri" w:eastAsia="黑体" w:cs="仿宋_GB2312"/>
          <w:b/>
          <w:color w:val="FF0000"/>
          <w:sz w:val="32"/>
          <w:szCs w:val="32"/>
        </w:rPr>
      </w:pPr>
    </w:p>
    <w:p>
      <w:pPr>
        <w:autoSpaceDE w:val="0"/>
        <w:autoSpaceDN w:val="0"/>
        <w:adjustRightInd w:val="0"/>
        <w:spacing w:line="500" w:lineRule="exact"/>
        <w:ind w:firstLine="539"/>
        <w:jc w:val="left"/>
        <w:rPr>
          <w:rFonts w:ascii="黑体" w:hAnsi="Calibri" w:eastAsia="黑体" w:cs="仿宋_GB2312"/>
          <w:b/>
          <w:color w:val="FF0000"/>
          <w:sz w:val="32"/>
          <w:szCs w:val="32"/>
        </w:rPr>
      </w:pPr>
    </w:p>
    <w:p>
      <w:pPr>
        <w:snapToGrid w:val="0"/>
        <w:spacing w:line="360" w:lineRule="auto"/>
        <w:jc w:val="right"/>
        <w:rPr>
          <w:rFonts w:hint="eastAsia" w:ascii="宋体" w:hAnsi="宋体"/>
          <w:color w:val="000000"/>
          <w:sz w:val="32"/>
          <w:szCs w:val="32"/>
        </w:rPr>
      </w:pPr>
      <w:r>
        <w:rPr>
          <w:rFonts w:hint="eastAsia" w:ascii="宋体" w:hAnsi="宋体"/>
          <w:color w:val="000000"/>
          <w:sz w:val="32"/>
          <w:szCs w:val="32"/>
          <w:lang w:val="en-US" w:eastAsia="zh-CN"/>
        </w:rPr>
        <w:t xml:space="preserve">                     </w:t>
      </w:r>
      <w:r>
        <w:rPr>
          <w:rFonts w:hint="eastAsia" w:ascii="宋体" w:hAnsi="宋体"/>
          <w:color w:val="000000"/>
          <w:sz w:val="32"/>
          <w:szCs w:val="32"/>
          <w:lang w:eastAsia="zh-CN"/>
        </w:rPr>
        <w:t>评审</w:t>
      </w:r>
      <w:r>
        <w:rPr>
          <w:rFonts w:hint="eastAsia" w:ascii="宋体" w:hAnsi="宋体"/>
          <w:color w:val="000000"/>
          <w:sz w:val="32"/>
          <w:szCs w:val="32"/>
        </w:rPr>
        <w:t>专家：</w:t>
      </w:r>
      <w:r>
        <w:rPr>
          <w:rFonts w:hint="eastAsia" w:ascii="宋体" w:hAnsi="宋体"/>
          <w:color w:val="000000"/>
          <w:sz w:val="32"/>
          <w:szCs w:val="32"/>
          <w:lang w:val="en-US" w:eastAsia="zh-CN"/>
        </w:rPr>
        <w:t xml:space="preserve">        </w:t>
      </w:r>
      <w:r>
        <w:rPr>
          <w:rFonts w:hint="eastAsia" w:ascii="宋体" w:hAnsi="宋体"/>
          <w:color w:val="000000"/>
          <w:sz w:val="32"/>
          <w:szCs w:val="32"/>
        </w:rPr>
        <w:t xml:space="preserve">程育芝（组长） </w:t>
      </w:r>
    </w:p>
    <w:p>
      <w:pPr>
        <w:snapToGrid w:val="0"/>
        <w:spacing w:line="360" w:lineRule="auto"/>
        <w:rPr>
          <w:rFonts w:hint="eastAsia" w:ascii="宋体" w:hAnsi="宋体"/>
          <w:color w:val="000000"/>
          <w:sz w:val="32"/>
          <w:szCs w:val="32"/>
        </w:rPr>
      </w:pPr>
      <w:r>
        <w:rPr>
          <w:rFonts w:hint="eastAsia" w:ascii="宋体" w:hAnsi="宋体"/>
          <w:color w:val="000000"/>
          <w:sz w:val="32"/>
          <w:szCs w:val="32"/>
          <w:lang w:val="en-US" w:eastAsia="zh-CN"/>
        </w:rPr>
        <w:t xml:space="preserve">                              </w:t>
      </w:r>
      <w:r>
        <w:rPr>
          <w:rFonts w:hint="eastAsia" w:ascii="宋体" w:hAnsi="宋体"/>
          <w:color w:val="000000"/>
          <w:sz w:val="32"/>
          <w:szCs w:val="32"/>
        </w:rPr>
        <w:t xml:space="preserve">万四良  徐小云  万 群  </w:t>
      </w:r>
    </w:p>
    <w:p>
      <w:pPr>
        <w:snapToGrid w:val="0"/>
        <w:spacing w:line="360" w:lineRule="auto"/>
        <w:jc w:val="right"/>
        <w:rPr>
          <w:rFonts w:hint="eastAsia" w:ascii="宋体" w:hAnsi="宋体"/>
          <w:color w:val="000000"/>
          <w:sz w:val="32"/>
          <w:szCs w:val="32"/>
        </w:rPr>
      </w:pPr>
      <w:r>
        <w:rPr>
          <w:rFonts w:hint="eastAsia" w:ascii="宋体" w:hAnsi="宋体"/>
          <w:color w:val="000000"/>
          <w:sz w:val="32"/>
          <w:szCs w:val="32"/>
        </w:rPr>
        <w:t>熊朝晖（执笔）</w:t>
      </w:r>
    </w:p>
    <w:p>
      <w:pPr>
        <w:snapToGrid w:val="0"/>
        <w:spacing w:line="360" w:lineRule="auto"/>
        <w:jc w:val="right"/>
        <w:rPr>
          <w:rFonts w:hint="default" w:ascii="Times New Roman" w:hAnsi="Times New Roman" w:cs="Times New Roman"/>
          <w:color w:val="000000"/>
          <w:sz w:val="32"/>
          <w:szCs w:val="32"/>
          <w:lang w:val="en-US" w:eastAsia="zh-CN"/>
        </w:rPr>
      </w:pPr>
      <w:r>
        <w:rPr>
          <w:rFonts w:hint="default" w:ascii="Times New Roman" w:hAnsi="Times New Roman" w:cs="Times New Roman"/>
          <w:color w:val="000000"/>
          <w:sz w:val="32"/>
          <w:szCs w:val="32"/>
          <w:lang w:val="en-US" w:eastAsia="zh-CN"/>
        </w:rPr>
        <w:t>2016年11月28日</w:t>
      </w:r>
    </w:p>
    <w:p>
      <w:pPr>
        <w:snapToGrid w:val="0"/>
        <w:spacing w:line="360" w:lineRule="auto"/>
        <w:jc w:val="right"/>
        <w:rPr>
          <w:rFonts w:hint="default" w:ascii="Times New Roman" w:hAnsi="Times New Roman" w:cs="Times New Roman"/>
          <w:color w:val="000000"/>
          <w:sz w:val="32"/>
          <w:szCs w:val="32"/>
          <w:lang w:val="en-US" w:eastAsia="zh-CN"/>
        </w:rPr>
      </w:pPr>
      <w:r>
        <w:rPr>
          <w:rFonts w:hint="default" w:ascii="Times New Roman" w:hAnsi="Times New Roman" w:cs="Times New Roman"/>
          <w:color w:val="000000"/>
          <w:sz w:val="32"/>
          <w:szCs w:val="32"/>
          <w:lang w:val="en-US" w:eastAsia="zh-CN"/>
        </w:rPr>
        <w:drawing>
          <wp:inline distT="0" distB="0" distL="114300" distR="114300">
            <wp:extent cx="5271135" cy="7450455"/>
            <wp:effectExtent l="0" t="0" r="5715" b="17145"/>
            <wp:docPr id="3" name="图片 3" descr="Scan_20161219_15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Scan_20161219_151413"/>
                    <pic:cNvPicPr>
                      <a:picLocks noChangeAspect="1"/>
                    </pic:cNvPicPr>
                  </pic:nvPicPr>
                  <pic:blipFill>
                    <a:blip r:embed="rId5"/>
                    <a:stretch>
                      <a:fillRect/>
                    </a:stretch>
                  </pic:blipFill>
                  <pic:spPr>
                    <a:xfrm>
                      <a:off x="0" y="0"/>
                      <a:ext cx="5271135" cy="7450455"/>
                    </a:xfrm>
                    <a:prstGeom prst="rect">
                      <a:avLst/>
                    </a:prstGeom>
                  </pic:spPr>
                </pic:pic>
              </a:graphicData>
            </a:graphic>
          </wp:inline>
        </w:drawing>
      </w:r>
      <w:r>
        <w:rPr>
          <w:rFonts w:hint="default" w:ascii="Times New Roman" w:hAnsi="Times New Roman" w:cs="Times New Roman"/>
          <w:color w:val="000000"/>
          <w:sz w:val="32"/>
          <w:szCs w:val="32"/>
          <w:lang w:val="en-US" w:eastAsia="zh-CN"/>
        </w:rPr>
        <w:br w:type="page"/>
      </w:r>
    </w:p>
    <w:p>
      <w:pPr>
        <w:snapToGrid w:val="0"/>
        <w:spacing w:line="360" w:lineRule="auto"/>
        <w:jc w:val="right"/>
        <w:rPr>
          <w:rFonts w:hint="default" w:ascii="Times New Roman" w:hAnsi="Times New Roman" w:cs="Times New Roman"/>
          <w:color w:val="000000"/>
          <w:sz w:val="32"/>
          <w:szCs w:val="32"/>
          <w:lang w:val="en-US" w:eastAsia="zh-CN"/>
        </w:rPr>
      </w:pPr>
    </w:p>
    <w:p>
      <w:pPr>
        <w:snapToGrid w:val="0"/>
        <w:spacing w:line="360" w:lineRule="auto"/>
        <w:jc w:val="right"/>
        <w:rPr>
          <w:rFonts w:hint="default" w:ascii="Times New Roman" w:hAnsi="Times New Roman" w:cs="Times New Roman"/>
          <w:color w:val="000000"/>
          <w:sz w:val="32"/>
          <w:szCs w:val="32"/>
          <w:lang w:val="en-US" w:eastAsia="zh-CN"/>
        </w:rPr>
      </w:pPr>
      <w:r>
        <w:rPr>
          <w:rFonts w:hint="default" w:ascii="Times New Roman" w:hAnsi="Times New Roman" w:cs="Times New Roman"/>
          <w:color w:val="000000"/>
          <w:sz w:val="32"/>
          <w:szCs w:val="32"/>
          <w:lang w:val="en-US" w:eastAsia="zh-CN"/>
        </w:rPr>
        <w:drawing>
          <wp:inline distT="0" distB="0" distL="114300" distR="114300">
            <wp:extent cx="5271135" cy="7450455"/>
            <wp:effectExtent l="0" t="0" r="5715" b="17145"/>
            <wp:docPr id="4" name="图片 4" descr="Scan_20161219_151413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Scan_20161219_151413_002"/>
                    <pic:cNvPicPr>
                      <a:picLocks noChangeAspect="1"/>
                    </pic:cNvPicPr>
                  </pic:nvPicPr>
                  <pic:blipFill>
                    <a:blip r:embed="rId6"/>
                    <a:stretch>
                      <a:fillRect/>
                    </a:stretch>
                  </pic:blipFill>
                  <pic:spPr>
                    <a:xfrm>
                      <a:off x="0" y="0"/>
                      <a:ext cx="5271135" cy="7450455"/>
                    </a:xfrm>
                    <a:prstGeom prst="rect">
                      <a:avLst/>
                    </a:prstGeom>
                  </pic:spPr>
                </pic:pic>
              </a:graphicData>
            </a:graphic>
          </wp:inline>
        </w:drawing>
      </w:r>
      <w:r>
        <w:rPr>
          <w:rFonts w:hint="default" w:ascii="Times New Roman" w:hAnsi="Times New Roman" w:cs="Times New Roman"/>
          <w:color w:val="000000"/>
          <w:sz w:val="32"/>
          <w:szCs w:val="32"/>
          <w:lang w:val="en-US" w:eastAsia="zh-CN"/>
        </w:rPr>
        <w:drawing>
          <wp:inline distT="0" distB="0" distL="114300" distR="114300">
            <wp:extent cx="5271135" cy="7450455"/>
            <wp:effectExtent l="0" t="0" r="5715" b="17145"/>
            <wp:docPr id="5" name="图片 5" descr="Scan_20161219_151413_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Scan_20161219_151413_003"/>
                    <pic:cNvPicPr>
                      <a:picLocks noChangeAspect="1"/>
                    </pic:cNvPicPr>
                  </pic:nvPicPr>
                  <pic:blipFill>
                    <a:blip r:embed="rId7"/>
                    <a:stretch>
                      <a:fillRect/>
                    </a:stretch>
                  </pic:blipFill>
                  <pic:spPr>
                    <a:xfrm>
                      <a:off x="0" y="0"/>
                      <a:ext cx="5271135" cy="7450455"/>
                    </a:xfrm>
                    <a:prstGeom prst="rect">
                      <a:avLst/>
                    </a:prstGeom>
                  </pic:spPr>
                </pic:pic>
              </a:graphicData>
            </a:graphic>
          </wp:inline>
        </w:drawing>
      </w:r>
      <w:r>
        <w:rPr>
          <w:rFonts w:hint="default" w:ascii="Times New Roman" w:hAnsi="Times New Roman" w:cs="Times New Roman"/>
          <w:color w:val="000000"/>
          <w:sz w:val="32"/>
          <w:szCs w:val="32"/>
          <w:lang w:val="en-US" w:eastAsia="zh-CN"/>
        </w:rPr>
        <w:br w:type="page"/>
      </w:r>
    </w:p>
    <w:p>
      <w:pPr>
        <w:snapToGrid w:val="0"/>
        <w:spacing w:line="360" w:lineRule="auto"/>
        <w:jc w:val="right"/>
        <w:rPr>
          <w:rFonts w:hint="default" w:ascii="Times New Roman" w:hAnsi="Times New Roman" w:cs="Times New Roman"/>
          <w:color w:val="000000"/>
          <w:sz w:val="32"/>
          <w:szCs w:val="32"/>
          <w:lang w:val="en-US" w:eastAsia="zh-CN"/>
        </w:rPr>
      </w:pPr>
      <w:r>
        <w:rPr>
          <w:rFonts w:hint="default" w:ascii="Times New Roman" w:hAnsi="Times New Roman" w:cs="Times New Roman"/>
          <w:color w:val="000000"/>
          <w:sz w:val="32"/>
          <w:szCs w:val="32"/>
          <w:lang w:val="en-US" w:eastAsia="zh-CN"/>
        </w:rPr>
        <w:drawing>
          <wp:inline distT="0" distB="0" distL="114300" distR="114300">
            <wp:extent cx="5271135" cy="7450455"/>
            <wp:effectExtent l="0" t="0" r="5715" b="17145"/>
            <wp:docPr id="6" name="图片 6" descr="Scan_20161219_151413_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Scan_20161219_151413_004"/>
                    <pic:cNvPicPr>
                      <a:picLocks noChangeAspect="1"/>
                    </pic:cNvPicPr>
                  </pic:nvPicPr>
                  <pic:blipFill>
                    <a:blip r:embed="rId8"/>
                    <a:stretch>
                      <a:fillRect/>
                    </a:stretch>
                  </pic:blipFill>
                  <pic:spPr>
                    <a:xfrm>
                      <a:off x="0" y="0"/>
                      <a:ext cx="5271135" cy="7450455"/>
                    </a:xfrm>
                    <a:prstGeom prst="rect">
                      <a:avLst/>
                    </a:prstGeom>
                  </pic:spPr>
                </pic:pic>
              </a:graphicData>
            </a:graphic>
          </wp:inline>
        </w:drawing>
      </w:r>
      <w:r>
        <w:rPr>
          <w:rFonts w:hint="default" w:ascii="Times New Roman" w:hAnsi="Times New Roman" w:cs="Times New Roman"/>
          <w:color w:val="000000"/>
          <w:sz w:val="32"/>
          <w:szCs w:val="32"/>
          <w:lang w:val="en-US" w:eastAsia="zh-CN"/>
        </w:rPr>
        <w:drawing>
          <wp:inline distT="0" distB="0" distL="114300" distR="114300">
            <wp:extent cx="5271135" cy="7450455"/>
            <wp:effectExtent l="0" t="0" r="5715" b="17145"/>
            <wp:docPr id="7" name="图片 7" descr="Scan_20161219_151413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Scan_20161219_151413_001"/>
                    <pic:cNvPicPr>
                      <a:picLocks noChangeAspect="1"/>
                    </pic:cNvPicPr>
                  </pic:nvPicPr>
                  <pic:blipFill>
                    <a:blip r:embed="rId9"/>
                    <a:stretch>
                      <a:fillRect/>
                    </a:stretch>
                  </pic:blipFill>
                  <pic:spPr>
                    <a:xfrm>
                      <a:off x="0" y="0"/>
                      <a:ext cx="5271135" cy="7450455"/>
                    </a:xfrm>
                    <a:prstGeom prst="rect">
                      <a:avLst/>
                    </a:prstGeom>
                  </pic:spPr>
                </pic:pic>
              </a:graphicData>
            </a:graphic>
          </wp:inline>
        </w:drawing>
      </w:r>
      <w:bookmarkStart w:id="1" w:name="_GoBack"/>
      <w:bookmarkEnd w:id="1"/>
    </w:p>
    <w:sectPr>
      <w:headerReference r:id="rId3"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RomanS">
    <w:altName w:val="Segoe UI Semilight"/>
    <w:panose1 w:val="02000400000000000000"/>
    <w:charset w:val="00"/>
    <w:family w:val="auto"/>
    <w:pitch w:val="default"/>
    <w:sig w:usb0="00000000" w:usb1="00000000" w:usb2="00000000" w:usb3="00000000" w:csb0="000001FF" w:csb1="00000000"/>
  </w:font>
  <w:font w:name="Lucida Sans Unicode">
    <w:panose1 w:val="020B0602030504020204"/>
    <w:charset w:val="00"/>
    <w:family w:val="auto"/>
    <w:pitch w:val="default"/>
    <w:sig w:usb0="80001AFF" w:usb1="0000396B" w:usb2="00000000" w:usb3="00000000" w:csb0="200000BF" w:csb1="D7F7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Courier New">
    <w:panose1 w:val="02070309020205020404"/>
    <w:charset w:val="00"/>
    <w:family w:val="modern"/>
    <w:pitch w:val="default"/>
    <w:sig w:usb0="E0002AFF" w:usb1="C0007843" w:usb2="00000009" w:usb3="00000000" w:csb0="400001FF" w:csb1="FFFF0000"/>
  </w:font>
  <w:font w:name="CG Times (WN)">
    <w:altName w:val="Times New Roman"/>
    <w:panose1 w:val="00000000000000000000"/>
    <w:charset w:val="00"/>
    <w:family w:val="roman"/>
    <w:pitch w:val="default"/>
    <w:sig w:usb0="00000000" w:usb1="00000000" w:usb2="00000000" w:usb3="00000000" w:csb0="00000001" w:csb1="00000000"/>
  </w:font>
  <w:font w:name="楷体_GB2312">
    <w:altName w:val="楷体"/>
    <w:panose1 w:val="02010609030101010101"/>
    <w:charset w:val="86"/>
    <w:family w:val="modern"/>
    <w:pitch w:val="default"/>
    <w:sig w:usb0="00000000" w:usb1="0000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Segoe UI Semilight">
    <w:panose1 w:val="020B0402040204020203"/>
    <w:charset w:val="00"/>
    <w:family w:val="auto"/>
    <w:pitch w:val="default"/>
    <w:sig w:usb0="E4002EFF" w:usb1="C000E47F" w:usb2="00000009" w:usb3="00000000" w:csb0="200001FF" w:csb1="00000000"/>
  </w:font>
  <w:font w:name="楷体">
    <w:panose1 w:val="02010609060101010101"/>
    <w:charset w:val="86"/>
    <w:family w:val="auto"/>
    <w:pitch w:val="default"/>
    <w:sig w:usb0="800002BF" w:usb1="38CF7CFA" w:usb2="00000016" w:usb3="00000000" w:csb0="0004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4D734BD"/>
    <w:multiLevelType w:val="multilevel"/>
    <w:tmpl w:val="44D734BD"/>
    <w:lvl w:ilvl="0" w:tentative="0">
      <w:start w:val="1"/>
      <w:numFmt w:val="japaneseCounting"/>
      <w:lvlText w:val="%1、"/>
      <w:lvlJc w:val="left"/>
      <w:pPr>
        <w:tabs>
          <w:tab w:val="left" w:pos="720"/>
        </w:tabs>
        <w:ind w:left="720" w:hanging="7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5119FB"/>
    <w:rsid w:val="00015430"/>
    <w:rsid w:val="00091372"/>
    <w:rsid w:val="00110570"/>
    <w:rsid w:val="001D1E7E"/>
    <w:rsid w:val="00281D56"/>
    <w:rsid w:val="00344551"/>
    <w:rsid w:val="005119FB"/>
    <w:rsid w:val="006F07B1"/>
    <w:rsid w:val="009F526B"/>
    <w:rsid w:val="00CC2FFC"/>
    <w:rsid w:val="00EC2640"/>
    <w:rsid w:val="00F928F4"/>
    <w:rsid w:val="193F14CC"/>
    <w:rsid w:val="2B5035CA"/>
    <w:rsid w:val="34865115"/>
    <w:rsid w:val="3F2224D2"/>
    <w:rsid w:val="44D91661"/>
    <w:rsid w:val="4DFE3DC3"/>
    <w:rsid w:val="69C0317A"/>
  </w:rsids>
  <m:mathPr>
    <m:lMargin m:val="0"/>
    <m:mathFont m:val="Cambria Math"/>
    <m:rMargin m:val="0"/>
    <m:wrapIndent m:val="1440"/>
    <m:brkBin m:val="before"/>
    <m:brkBinSub m:val="--"/>
    <m:defJc m:val="centerGroup"/>
    <m:intLim m:val="subSup"/>
    <m:naryLim m:val="undOvr"/>
    <m:smallFrac m:val="off"/>
    <m:dispDef/>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0"/>
      <w:lang w:val="en-US" w:eastAsia="zh-CN" w:bidi="ar-SA"/>
    </w:rPr>
  </w:style>
  <w:style w:type="character" w:default="1" w:styleId="6">
    <w:name w:val="Default Paragraph Font"/>
    <w:unhideWhenUsed/>
    <w:qFormat/>
    <w:uiPriority w:val="1"/>
  </w:style>
  <w:style w:type="table" w:default="1" w:styleId="8">
    <w:name w:val="Normal Table"/>
    <w:unhideWhenUsed/>
    <w:qFormat/>
    <w:uiPriority w:val="99"/>
    <w:tblPr>
      <w:tblLayout w:type="fixed"/>
      <w:tblCellMar>
        <w:top w:w="0" w:type="dxa"/>
        <w:left w:w="108" w:type="dxa"/>
        <w:bottom w:w="0" w:type="dxa"/>
        <w:right w:w="108" w:type="dxa"/>
      </w:tblCellMar>
    </w:tblPr>
  </w:style>
  <w:style w:type="paragraph" w:styleId="2">
    <w:name w:val="Body Text First Indent"/>
    <w:basedOn w:val="3"/>
    <w:link w:val="16"/>
    <w:qFormat/>
    <w:uiPriority w:val="0"/>
    <w:pPr>
      <w:adjustRightInd w:val="0"/>
      <w:snapToGrid w:val="0"/>
      <w:spacing w:after="0" w:line="360" w:lineRule="auto"/>
      <w:ind w:firstLine="200" w:firstLineChars="200"/>
    </w:pPr>
    <w:rPr>
      <w:sz w:val="24"/>
    </w:rPr>
  </w:style>
  <w:style w:type="paragraph" w:styleId="3">
    <w:name w:val="Body Text"/>
    <w:basedOn w:val="1"/>
    <w:link w:val="15"/>
    <w:unhideWhenUsed/>
    <w:qFormat/>
    <w:uiPriority w:val="99"/>
    <w:pPr>
      <w:spacing w:after="120"/>
    </w:pPr>
  </w:style>
  <w:style w:type="paragraph" w:styleId="4">
    <w:name w:val="footer"/>
    <w:basedOn w:val="1"/>
    <w:link w:val="20"/>
    <w:unhideWhenUsed/>
    <w:qFormat/>
    <w:uiPriority w:val="99"/>
    <w:pPr>
      <w:tabs>
        <w:tab w:val="center" w:pos="4153"/>
        <w:tab w:val="right" w:pos="8306"/>
      </w:tabs>
      <w:snapToGrid w:val="0"/>
      <w:jc w:val="left"/>
    </w:pPr>
    <w:rPr>
      <w:sz w:val="18"/>
      <w:szCs w:val="18"/>
    </w:rPr>
  </w:style>
  <w:style w:type="paragraph" w:styleId="5">
    <w:name w:val="header"/>
    <w:basedOn w:val="1"/>
    <w:link w:val="9"/>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annotation reference"/>
    <w:qFormat/>
    <w:uiPriority w:val="0"/>
    <w:rPr>
      <w:sz w:val="21"/>
      <w:szCs w:val="21"/>
    </w:rPr>
  </w:style>
  <w:style w:type="character" w:customStyle="1" w:styleId="9">
    <w:name w:val="页眉 Char"/>
    <w:basedOn w:val="6"/>
    <w:link w:val="5"/>
    <w:qFormat/>
    <w:uiPriority w:val="0"/>
    <w:rPr>
      <w:rFonts w:ascii="Times New Roman" w:hAnsi="Times New Roman" w:eastAsia="宋体" w:cs="Times New Roman"/>
      <w:sz w:val="18"/>
      <w:szCs w:val="20"/>
    </w:rPr>
  </w:style>
  <w:style w:type="paragraph" w:customStyle="1" w:styleId="10">
    <w:name w:val="正文001"/>
    <w:basedOn w:val="1"/>
    <w:qFormat/>
    <w:uiPriority w:val="0"/>
    <w:pPr>
      <w:spacing w:before="60" w:line="420" w:lineRule="exact"/>
      <w:ind w:firstLine="482"/>
    </w:pPr>
    <w:rPr>
      <w:sz w:val="24"/>
    </w:rPr>
  </w:style>
  <w:style w:type="paragraph" w:customStyle="1" w:styleId="11">
    <w:name w:val="正缩1"/>
    <w:basedOn w:val="1"/>
    <w:link w:val="17"/>
    <w:qFormat/>
    <w:uiPriority w:val="0"/>
    <w:pPr>
      <w:widowControl/>
      <w:snapToGrid w:val="0"/>
      <w:spacing w:line="500" w:lineRule="exact"/>
      <w:ind w:firstLine="567"/>
    </w:pPr>
    <w:rPr>
      <w:rFonts w:ascii="仿宋_GB2312" w:hAnsi="宋体" w:eastAsia="仿宋_GB2312" w:cs="宋体"/>
      <w:snapToGrid w:val="0"/>
      <w:sz w:val="28"/>
      <w:szCs w:val="28"/>
    </w:rPr>
  </w:style>
  <w:style w:type="paragraph" w:customStyle="1" w:styleId="12">
    <w:name w:val="样式1"/>
    <w:next w:val="2"/>
    <w:qFormat/>
    <w:uiPriority w:val="0"/>
    <w:pPr>
      <w:widowControl w:val="0"/>
      <w:adjustRightInd w:val="0"/>
      <w:spacing w:line="312" w:lineRule="atLeast"/>
      <w:jc w:val="center"/>
      <w:textAlignment w:val="baseline"/>
    </w:pPr>
    <w:rPr>
      <w:rFonts w:ascii="Times New Roman" w:hAnsi="Times New Roman" w:eastAsia="宋体" w:cs="Times New Roman"/>
      <w:kern w:val="2"/>
      <w:sz w:val="28"/>
      <w:szCs w:val="24"/>
      <w:lang w:val="en-US" w:eastAsia="zh-CN" w:bidi="ar-SA"/>
    </w:rPr>
  </w:style>
  <w:style w:type="paragraph" w:customStyle="1" w:styleId="13">
    <w:name w:val="Char Char Char Char Char Char Char"/>
    <w:basedOn w:val="1"/>
    <w:next w:val="1"/>
    <w:qFormat/>
    <w:uiPriority w:val="0"/>
    <w:pPr>
      <w:spacing w:line="360" w:lineRule="auto"/>
      <w:ind w:firstLine="200" w:firstLineChars="200"/>
    </w:pPr>
  </w:style>
  <w:style w:type="paragraph" w:customStyle="1" w:styleId="14">
    <w:name w:val="表文字"/>
    <w:basedOn w:val="1"/>
    <w:qFormat/>
    <w:uiPriority w:val="0"/>
    <w:pPr>
      <w:overflowPunct w:val="0"/>
      <w:autoSpaceDE w:val="0"/>
      <w:autoSpaceDN w:val="0"/>
      <w:adjustRightInd w:val="0"/>
      <w:spacing w:line="240" w:lineRule="atLeast"/>
      <w:jc w:val="center"/>
      <w:textAlignment w:val="baseline"/>
    </w:pPr>
    <w:rPr>
      <w:kern w:val="0"/>
      <w:sz w:val="24"/>
    </w:rPr>
  </w:style>
  <w:style w:type="character" w:customStyle="1" w:styleId="15">
    <w:name w:val="正文文本 Char"/>
    <w:basedOn w:val="6"/>
    <w:link w:val="3"/>
    <w:semiHidden/>
    <w:qFormat/>
    <w:uiPriority w:val="99"/>
    <w:rPr>
      <w:rFonts w:ascii="Times New Roman" w:hAnsi="Times New Roman" w:eastAsia="宋体" w:cs="Times New Roman"/>
      <w:szCs w:val="20"/>
    </w:rPr>
  </w:style>
  <w:style w:type="character" w:customStyle="1" w:styleId="16">
    <w:name w:val="正文首行缩进 Char"/>
    <w:basedOn w:val="15"/>
    <w:link w:val="2"/>
    <w:qFormat/>
    <w:uiPriority w:val="0"/>
    <w:rPr>
      <w:sz w:val="24"/>
    </w:rPr>
  </w:style>
  <w:style w:type="character" w:customStyle="1" w:styleId="17">
    <w:name w:val="正缩1 Char"/>
    <w:basedOn w:val="6"/>
    <w:link w:val="11"/>
    <w:qFormat/>
    <w:uiPriority w:val="0"/>
    <w:rPr>
      <w:rFonts w:ascii="仿宋_GB2312" w:hAnsi="宋体" w:eastAsia="仿宋_GB2312" w:cs="宋体"/>
      <w:snapToGrid w:val="0"/>
      <w:sz w:val="28"/>
      <w:szCs w:val="28"/>
    </w:rPr>
  </w:style>
  <w:style w:type="paragraph" w:customStyle="1" w:styleId="18">
    <w:name w:val="默认段落字体 Para Char"/>
    <w:basedOn w:val="1"/>
    <w:qFormat/>
    <w:uiPriority w:val="0"/>
    <w:pPr>
      <w:spacing w:line="360" w:lineRule="auto"/>
      <w:ind w:firstLine="200" w:firstLineChars="200"/>
    </w:pPr>
    <w:rPr>
      <w:szCs w:val="24"/>
    </w:rPr>
  </w:style>
  <w:style w:type="paragraph" w:customStyle="1" w:styleId="19">
    <w:name w:val="List Paragraph"/>
    <w:basedOn w:val="1"/>
    <w:qFormat/>
    <w:uiPriority w:val="34"/>
    <w:pPr>
      <w:ind w:firstLine="420" w:firstLineChars="200"/>
    </w:pPr>
  </w:style>
  <w:style w:type="character" w:customStyle="1" w:styleId="20">
    <w:name w:val="页脚 Char"/>
    <w:basedOn w:val="6"/>
    <w:link w:val="4"/>
    <w:semiHidden/>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Pages>
  <Words>295</Words>
  <Characters>1682</Characters>
  <Lines>14</Lines>
  <Paragraphs>3</Paragraphs>
  <ScaleCrop>false</ScaleCrop>
  <LinksUpToDate>false</LinksUpToDate>
  <CharactersWithSpaces>1974</CharactersWithSpaces>
  <Application>WPS Office_10.1.0.6065_F1E327BC-269C-435d-A152-05C5408002CA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2016-11-27T09:41:00Z</dcterms:created>
  <dc:creator>admin</dc:creator>
  <cp:lastModifiedBy>Waverly</cp:lastModifiedBy>
  <dcterms:modified xsi:type="dcterms:W3CDTF">2016-12-19T08:45:58Z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2052-10.1.0.6065</vt:lpwstr>
  </property>
</Properties>
</file>