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440" w:lineRule="exact"/>
        <w:ind w:left="0" w:leftChars="0" w:right="0" w:rightChars="0" w:firstLine="0" w:firstLineChars="0"/>
        <w:jc w:val="center"/>
        <w:textAlignment w:val="auto"/>
        <w:outlineLvl w:val="9"/>
        <w:rPr>
          <w:rFonts w:hint="eastAsia"/>
          <w:color w:val="auto"/>
          <w:sz w:val="28"/>
          <w:szCs w:val="28"/>
          <w:lang w:val="en-US" w:eastAsia="zh-CN"/>
        </w:rPr>
      </w:pPr>
      <w:r>
        <w:rPr>
          <w:rFonts w:hint="eastAsia"/>
          <w:color w:val="auto"/>
          <w:sz w:val="28"/>
          <w:szCs w:val="28"/>
          <w:lang w:val="en-US" w:eastAsia="zh-CN"/>
        </w:rPr>
        <w:t>目  录.</w:t>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 w:val="24"/>
          <w:szCs w:val="24"/>
          <w:lang w:val="en-US" w:eastAsia="zh-CN"/>
        </w:rPr>
        <w:fldChar w:fldCharType="begin"/>
      </w:r>
      <w:r>
        <w:rPr>
          <w:rFonts w:hint="eastAsia"/>
          <w:color w:val="auto"/>
          <w:sz w:val="24"/>
          <w:szCs w:val="24"/>
          <w:lang w:val="en-US" w:eastAsia="zh-CN"/>
        </w:rPr>
        <w:instrText xml:space="preserve">TOC \o "1-2" \h \u </w:instrText>
      </w:r>
      <w:r>
        <w:rPr>
          <w:rFonts w:hint="eastAsia"/>
          <w:color w:val="auto"/>
          <w:sz w:val="24"/>
          <w:szCs w:val="24"/>
          <w:lang w:val="en-US" w:eastAsia="zh-CN"/>
        </w:rPr>
        <w:fldChar w:fldCharType="separate"/>
      </w:r>
      <w:r>
        <w:rPr>
          <w:rFonts w:hint="eastAsia"/>
          <w:color w:val="auto"/>
          <w:szCs w:val="24"/>
          <w:lang w:val="en-US" w:eastAsia="zh-CN"/>
        </w:rPr>
        <w:fldChar w:fldCharType="begin"/>
      </w:r>
      <w:r>
        <w:rPr>
          <w:rFonts w:hint="eastAsia"/>
          <w:szCs w:val="24"/>
          <w:lang w:val="en-US" w:eastAsia="zh-CN"/>
        </w:rPr>
        <w:instrText xml:space="preserve"> HYPERLINK \l _Toc7667 </w:instrText>
      </w:r>
      <w:r>
        <w:rPr>
          <w:rFonts w:hint="eastAsia"/>
          <w:szCs w:val="24"/>
          <w:lang w:val="en-US" w:eastAsia="zh-CN"/>
        </w:rPr>
        <w:fldChar w:fldCharType="separate"/>
      </w:r>
      <w:r>
        <w:rPr>
          <w:rFonts w:hint="eastAsia"/>
          <w:lang w:val="en-US" w:eastAsia="zh-CN"/>
        </w:rPr>
        <w:t>1、 概述</w:t>
      </w:r>
      <w:r>
        <w:tab/>
      </w:r>
      <w:r>
        <w:fldChar w:fldCharType="begin"/>
      </w:r>
      <w:r>
        <w:instrText xml:space="preserve"> PAGEREF _Toc7667 </w:instrText>
      </w:r>
      <w:r>
        <w:fldChar w:fldCharType="separate"/>
      </w:r>
      <w:r>
        <w:t>1</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_Toc14395 </w:instrText>
      </w:r>
      <w:r>
        <w:rPr>
          <w:rFonts w:hint="eastAsia"/>
          <w:szCs w:val="24"/>
          <w:lang w:val="en-US" w:eastAsia="zh-CN"/>
        </w:rPr>
        <w:fldChar w:fldCharType="separate"/>
      </w:r>
      <w:r>
        <w:rPr>
          <w:rFonts w:hint="eastAsia"/>
          <w:lang w:val="en-US" w:eastAsia="zh-CN"/>
        </w:rPr>
        <w:t>1.1项目由来</w:t>
      </w:r>
      <w:r>
        <w:tab/>
      </w:r>
      <w:r>
        <w:fldChar w:fldCharType="begin"/>
      </w:r>
      <w:r>
        <w:instrText xml:space="preserve"> PAGEREF _Toc14395 </w:instrText>
      </w:r>
      <w:r>
        <w:fldChar w:fldCharType="separate"/>
      </w:r>
      <w:r>
        <w:t>1</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_Toc26118 </w:instrText>
      </w:r>
      <w:r>
        <w:rPr>
          <w:rFonts w:hint="eastAsia"/>
          <w:szCs w:val="24"/>
          <w:lang w:val="en-US" w:eastAsia="zh-CN"/>
        </w:rPr>
        <w:fldChar w:fldCharType="separate"/>
      </w:r>
      <w:r>
        <w:rPr>
          <w:rFonts w:hint="eastAsia"/>
          <w:lang w:val="en-US" w:eastAsia="zh-CN"/>
        </w:rPr>
        <w:t>1.2环评工作过程</w:t>
      </w:r>
      <w:r>
        <w:tab/>
      </w:r>
      <w:r>
        <w:fldChar w:fldCharType="begin"/>
      </w:r>
      <w:r>
        <w:instrText xml:space="preserve"> PAGEREF _Toc26118 </w:instrText>
      </w:r>
      <w:r>
        <w:fldChar w:fldCharType="separate"/>
      </w:r>
      <w:r>
        <w:t>3</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_Toc31024 </w:instrText>
      </w:r>
      <w:r>
        <w:rPr>
          <w:rFonts w:hint="eastAsia"/>
          <w:szCs w:val="24"/>
          <w:lang w:val="en-US" w:eastAsia="zh-CN"/>
        </w:rPr>
        <w:fldChar w:fldCharType="separate"/>
      </w:r>
      <w:r>
        <w:rPr>
          <w:rFonts w:hint="eastAsia"/>
          <w:lang w:val="en-US" w:eastAsia="zh-CN"/>
        </w:rPr>
        <w:t>1.3主要环境问题及影响</w:t>
      </w:r>
      <w:r>
        <w:tab/>
      </w:r>
      <w:r>
        <w:fldChar w:fldCharType="begin"/>
      </w:r>
      <w:r>
        <w:instrText xml:space="preserve"> PAGEREF _Toc31024 </w:instrText>
      </w:r>
      <w:r>
        <w:fldChar w:fldCharType="separate"/>
      </w:r>
      <w:r>
        <w:t>3</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_Toc29379 </w:instrText>
      </w:r>
      <w:r>
        <w:rPr>
          <w:rFonts w:hint="eastAsia"/>
          <w:szCs w:val="24"/>
          <w:lang w:val="en-US" w:eastAsia="zh-CN"/>
        </w:rPr>
        <w:fldChar w:fldCharType="separate"/>
      </w:r>
      <w:r>
        <w:rPr>
          <w:rFonts w:hint="eastAsia"/>
          <w:lang w:val="en-US" w:eastAsia="zh-CN"/>
        </w:rPr>
        <w:t>1.4主要结论</w:t>
      </w:r>
      <w:r>
        <w:tab/>
      </w:r>
      <w:r>
        <w:fldChar w:fldCharType="begin"/>
      </w:r>
      <w:r>
        <w:instrText xml:space="preserve"> PAGEREF _Toc29379 </w:instrText>
      </w:r>
      <w:r>
        <w:fldChar w:fldCharType="separate"/>
      </w:r>
      <w:r>
        <w:t>3</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_Toc4806 </w:instrText>
      </w:r>
      <w:r>
        <w:rPr>
          <w:rFonts w:hint="eastAsia"/>
          <w:szCs w:val="24"/>
          <w:lang w:val="en-US" w:eastAsia="zh-CN"/>
        </w:rPr>
        <w:fldChar w:fldCharType="separate"/>
      </w:r>
      <w:r>
        <w:rPr>
          <w:rFonts w:hint="eastAsia"/>
          <w:lang w:val="en-US" w:eastAsia="zh-CN"/>
        </w:rPr>
        <w:t>2、总则</w:t>
      </w:r>
      <w:r>
        <w:tab/>
      </w:r>
      <w:r>
        <w:fldChar w:fldCharType="begin"/>
      </w:r>
      <w:r>
        <w:instrText xml:space="preserve"> PAGEREF _Toc4806 </w:instrText>
      </w:r>
      <w:r>
        <w:fldChar w:fldCharType="separate"/>
      </w:r>
      <w:r>
        <w:t>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_Toc23220 </w:instrText>
      </w:r>
      <w:r>
        <w:rPr>
          <w:rFonts w:hint="eastAsia"/>
          <w:szCs w:val="24"/>
          <w:lang w:val="en-US" w:eastAsia="zh-CN"/>
        </w:rPr>
        <w:fldChar w:fldCharType="separate"/>
      </w:r>
      <w:r>
        <w:rPr>
          <w:rFonts w:hint="eastAsia"/>
          <w:lang w:val="en-US" w:eastAsia="zh-CN"/>
        </w:rPr>
        <w:t>2.1编制依据</w:t>
      </w:r>
      <w:r>
        <w:tab/>
      </w:r>
      <w:r>
        <w:fldChar w:fldCharType="begin"/>
      </w:r>
      <w:r>
        <w:instrText xml:space="preserve"> PAGEREF _Toc23220 </w:instrText>
      </w:r>
      <w:r>
        <w:fldChar w:fldCharType="separate"/>
      </w:r>
      <w:r>
        <w:t>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_Toc24695 </w:instrText>
      </w:r>
      <w:r>
        <w:rPr>
          <w:rFonts w:hint="eastAsia"/>
          <w:szCs w:val="24"/>
          <w:lang w:val="en-US" w:eastAsia="zh-CN"/>
        </w:rPr>
        <w:fldChar w:fldCharType="separate"/>
      </w:r>
      <w:r>
        <w:rPr>
          <w:rFonts w:hint="eastAsia"/>
          <w:lang w:val="en-US" w:eastAsia="zh-CN"/>
        </w:rPr>
        <w:t>2.2环境功能区划</w:t>
      </w:r>
      <w:r>
        <w:tab/>
      </w:r>
      <w:r>
        <w:fldChar w:fldCharType="begin"/>
      </w:r>
      <w:r>
        <w:instrText xml:space="preserve"> PAGEREF _Toc24695 </w:instrText>
      </w:r>
      <w:r>
        <w:fldChar w:fldCharType="separate"/>
      </w:r>
      <w:r>
        <w:t>7</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_Toc30266 </w:instrText>
      </w:r>
      <w:r>
        <w:rPr>
          <w:rFonts w:hint="eastAsia"/>
          <w:szCs w:val="24"/>
          <w:lang w:val="en-US" w:eastAsia="zh-CN"/>
        </w:rPr>
        <w:fldChar w:fldCharType="separate"/>
      </w:r>
      <w:r>
        <w:rPr>
          <w:rFonts w:hint="eastAsia"/>
          <w:lang w:val="en-US" w:eastAsia="zh-CN"/>
        </w:rPr>
        <w:t>2.3评价标准及评价因子</w:t>
      </w:r>
      <w:r>
        <w:tab/>
      </w:r>
      <w:r>
        <w:fldChar w:fldCharType="begin"/>
      </w:r>
      <w:r>
        <w:instrText xml:space="preserve"> PAGEREF _Toc30266 </w:instrText>
      </w:r>
      <w:r>
        <w:fldChar w:fldCharType="separate"/>
      </w:r>
      <w:r>
        <w:t>8</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480" w:leftChars="200" w:right="0" w:rightChars="0" w:firstLine="0" w:firstLineChars="0"/>
        <w:jc w:val="both"/>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_Toc16575 </w:instrText>
      </w:r>
      <w:r>
        <w:rPr>
          <w:rFonts w:hint="eastAsia"/>
          <w:szCs w:val="24"/>
          <w:lang w:val="en-US" w:eastAsia="zh-CN"/>
        </w:rPr>
        <w:fldChar w:fldCharType="separate"/>
      </w:r>
      <w:r>
        <w:rPr>
          <w:rFonts w:hint="eastAsia"/>
          <w:lang w:val="en-US" w:eastAsia="zh-CN"/>
        </w:rPr>
        <w:t>2.4评价工作等级</w:t>
      </w:r>
      <w:r>
        <w:tab/>
      </w:r>
      <w:r>
        <w:fldChar w:fldCharType="begin"/>
      </w:r>
      <w:r>
        <w:instrText xml:space="preserve"> PAGEREF _Toc16575 </w:instrText>
      </w:r>
      <w:r>
        <w:fldChar w:fldCharType="separate"/>
      </w:r>
      <w:r>
        <w:t>12</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_Toc31478 </w:instrText>
      </w:r>
      <w:r>
        <w:rPr>
          <w:rFonts w:hint="eastAsia"/>
          <w:szCs w:val="24"/>
          <w:lang w:val="en-US" w:eastAsia="zh-CN"/>
        </w:rPr>
        <w:fldChar w:fldCharType="separate"/>
      </w:r>
      <w:r>
        <w:rPr>
          <w:rFonts w:hint="eastAsia"/>
          <w:lang w:val="en-US" w:eastAsia="zh-CN"/>
        </w:rPr>
        <w:t>2.5环境保护目标</w:t>
      </w:r>
      <w:r>
        <w:tab/>
      </w:r>
      <w:r>
        <w:fldChar w:fldCharType="begin"/>
      </w:r>
      <w:r>
        <w:instrText xml:space="preserve"> PAGEREF _Toc31478 </w:instrText>
      </w:r>
      <w:r>
        <w:fldChar w:fldCharType="separate"/>
      </w:r>
      <w:r>
        <w:t>14</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_Toc1901 </w:instrText>
      </w:r>
      <w:r>
        <w:rPr>
          <w:rFonts w:hint="eastAsia"/>
          <w:szCs w:val="24"/>
          <w:lang w:val="en-US" w:eastAsia="zh-CN"/>
        </w:rPr>
        <w:fldChar w:fldCharType="separate"/>
      </w:r>
      <w:r>
        <w:rPr>
          <w:rFonts w:hint="eastAsia"/>
          <w:lang w:val="en-US" w:eastAsia="zh-CN"/>
        </w:rPr>
        <w:t>3、 现有工程</w:t>
      </w:r>
      <w:r>
        <w:tab/>
      </w:r>
      <w:r>
        <w:fldChar w:fldCharType="begin"/>
      </w:r>
      <w:r>
        <w:instrText xml:space="preserve"> PAGEREF _Toc1901 </w:instrText>
      </w:r>
      <w:r>
        <w:fldChar w:fldCharType="separate"/>
      </w:r>
      <w:r>
        <w:t>17</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_Toc22378 </w:instrText>
      </w:r>
      <w:r>
        <w:rPr>
          <w:rFonts w:hint="eastAsia"/>
          <w:szCs w:val="24"/>
          <w:lang w:val="en-US" w:eastAsia="zh-CN"/>
        </w:rPr>
        <w:fldChar w:fldCharType="separate"/>
      </w:r>
      <w:r>
        <w:rPr>
          <w:rFonts w:hint="eastAsia"/>
          <w:lang w:val="en-US" w:eastAsia="zh-CN"/>
        </w:rPr>
        <w:t>3.1现有工程概况</w:t>
      </w:r>
      <w:r>
        <w:tab/>
      </w:r>
      <w:r>
        <w:fldChar w:fldCharType="begin"/>
      </w:r>
      <w:r>
        <w:instrText xml:space="preserve"> PAGEREF _Toc22378 </w:instrText>
      </w:r>
      <w:r>
        <w:fldChar w:fldCharType="separate"/>
      </w:r>
      <w:r>
        <w:t>17</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_Toc21308 </w:instrText>
      </w:r>
      <w:r>
        <w:rPr>
          <w:rFonts w:hint="eastAsia"/>
          <w:szCs w:val="24"/>
          <w:lang w:val="en-US" w:eastAsia="zh-CN"/>
        </w:rPr>
        <w:fldChar w:fldCharType="separate"/>
      </w:r>
      <w:r>
        <w:rPr>
          <w:rFonts w:hint="eastAsia"/>
          <w:lang w:val="en-US" w:eastAsia="zh-CN"/>
        </w:rPr>
        <w:t>3.2现有工程工艺流程</w:t>
      </w:r>
      <w:r>
        <w:tab/>
      </w:r>
      <w:r>
        <w:fldChar w:fldCharType="begin"/>
      </w:r>
      <w:r>
        <w:instrText xml:space="preserve"> PAGEREF _Toc21308 </w:instrText>
      </w:r>
      <w:r>
        <w:fldChar w:fldCharType="separate"/>
      </w:r>
      <w:r>
        <w:t>19</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_Toc30873 </w:instrText>
      </w:r>
      <w:r>
        <w:rPr>
          <w:rFonts w:hint="eastAsia"/>
          <w:szCs w:val="24"/>
          <w:lang w:val="en-US" w:eastAsia="zh-CN"/>
        </w:rPr>
        <w:fldChar w:fldCharType="separate"/>
      </w:r>
      <w:r>
        <w:rPr>
          <w:rFonts w:hint="eastAsia"/>
          <w:lang w:val="en-US" w:eastAsia="zh-CN"/>
        </w:rPr>
        <w:t>3.3现有工程封场覆盖系统</w:t>
      </w:r>
      <w:r>
        <w:tab/>
      </w:r>
      <w:r>
        <w:fldChar w:fldCharType="begin"/>
      </w:r>
      <w:r>
        <w:instrText xml:space="preserve"> PAGEREF _Toc30873 </w:instrText>
      </w:r>
      <w:r>
        <w:fldChar w:fldCharType="separate"/>
      </w:r>
      <w:r>
        <w:t>21</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_Toc26999 </w:instrText>
      </w:r>
      <w:r>
        <w:rPr>
          <w:rFonts w:hint="eastAsia"/>
          <w:szCs w:val="24"/>
          <w:lang w:val="en-US" w:eastAsia="zh-CN"/>
        </w:rPr>
        <w:fldChar w:fldCharType="separate"/>
      </w:r>
      <w:r>
        <w:rPr>
          <w:rFonts w:hint="eastAsia"/>
          <w:lang w:val="en-US" w:eastAsia="zh-CN"/>
        </w:rPr>
        <w:t>3.4现有工程污染源分析</w:t>
      </w:r>
      <w:r>
        <w:tab/>
      </w:r>
      <w:r>
        <w:fldChar w:fldCharType="begin"/>
      </w:r>
      <w:r>
        <w:instrText xml:space="preserve"> PAGEREF _Toc26999 </w:instrText>
      </w:r>
      <w:r>
        <w:fldChar w:fldCharType="separate"/>
      </w:r>
      <w:r>
        <w:t>21</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_Toc12721 </w:instrText>
      </w:r>
      <w:r>
        <w:rPr>
          <w:rFonts w:hint="eastAsia"/>
          <w:szCs w:val="24"/>
          <w:lang w:val="en-US" w:eastAsia="zh-CN"/>
        </w:rPr>
        <w:fldChar w:fldCharType="separate"/>
      </w:r>
      <w:r>
        <w:rPr>
          <w:rFonts w:hint="eastAsia"/>
          <w:lang w:val="en-US" w:eastAsia="zh-CN"/>
        </w:rPr>
        <w:t>3.5现有工程污染物排放汇总</w:t>
      </w:r>
      <w:r>
        <w:tab/>
      </w:r>
      <w:r>
        <w:fldChar w:fldCharType="begin"/>
      </w:r>
      <w:r>
        <w:instrText xml:space="preserve"> PAGEREF _Toc12721 </w:instrText>
      </w:r>
      <w:r>
        <w:fldChar w:fldCharType="separate"/>
      </w:r>
      <w:r>
        <w:t>25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_Toc3956 </w:instrText>
      </w:r>
      <w:r>
        <w:rPr>
          <w:rFonts w:hint="eastAsia"/>
          <w:szCs w:val="24"/>
          <w:lang w:val="en-US" w:eastAsia="zh-CN"/>
        </w:rPr>
        <w:fldChar w:fldCharType="separate"/>
      </w:r>
      <w:r>
        <w:rPr>
          <w:rFonts w:hint="eastAsia"/>
          <w:lang w:val="en-US" w:eastAsia="zh-CN"/>
        </w:rPr>
        <w:t>3.6现有工程存在的主要问题及改进措施</w:t>
      </w:r>
      <w:r>
        <w:tab/>
      </w:r>
      <w:r>
        <w:fldChar w:fldCharType="begin"/>
      </w:r>
      <w:r>
        <w:instrText xml:space="preserve"> PAGEREF _Toc3956 </w:instrText>
      </w:r>
      <w:r>
        <w:fldChar w:fldCharType="separate"/>
      </w:r>
      <w:r>
        <w:t>26</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_Toc32263 </w:instrText>
      </w:r>
      <w:r>
        <w:rPr>
          <w:rFonts w:hint="eastAsia"/>
          <w:szCs w:val="24"/>
          <w:lang w:val="en-US" w:eastAsia="zh-CN"/>
        </w:rPr>
        <w:fldChar w:fldCharType="separate"/>
      </w:r>
      <w:r>
        <w:rPr>
          <w:rFonts w:hint="eastAsia"/>
          <w:lang w:val="en-US" w:eastAsia="zh-CN"/>
        </w:rPr>
        <w:t>4、建设项目概况</w:t>
      </w:r>
      <w:r>
        <w:tab/>
      </w:r>
      <w:r>
        <w:fldChar w:fldCharType="begin"/>
      </w:r>
      <w:r>
        <w:instrText xml:space="preserve"> PAGEREF _Toc32263 </w:instrText>
      </w:r>
      <w:r>
        <w:fldChar w:fldCharType="separate"/>
      </w:r>
      <w:r>
        <w:t>29</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_Toc22823 </w:instrText>
      </w:r>
      <w:r>
        <w:rPr>
          <w:rFonts w:hint="eastAsia"/>
          <w:szCs w:val="24"/>
          <w:lang w:val="en-US" w:eastAsia="zh-CN"/>
        </w:rPr>
        <w:fldChar w:fldCharType="separate"/>
      </w:r>
      <w:r>
        <w:rPr>
          <w:rFonts w:hint="eastAsia"/>
          <w:lang w:val="en-US" w:eastAsia="zh-CN"/>
        </w:rPr>
        <w:t>4.1建设项目基本情况</w:t>
      </w:r>
      <w:r>
        <w:tab/>
      </w:r>
      <w:r>
        <w:fldChar w:fldCharType="begin"/>
      </w:r>
      <w:r>
        <w:instrText xml:space="preserve"> PAGEREF _Toc22823 </w:instrText>
      </w:r>
      <w:r>
        <w:fldChar w:fldCharType="separate"/>
      </w:r>
      <w:r>
        <w:t>29</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_Toc22507 </w:instrText>
      </w:r>
      <w:r>
        <w:rPr>
          <w:rFonts w:hint="eastAsia"/>
          <w:szCs w:val="24"/>
          <w:lang w:val="en-US" w:eastAsia="zh-CN"/>
        </w:rPr>
        <w:fldChar w:fldCharType="separate"/>
      </w:r>
      <w:r>
        <w:rPr>
          <w:rFonts w:hint="eastAsia"/>
          <w:lang w:val="en-US" w:eastAsia="zh-CN"/>
        </w:rPr>
        <w:t>4.2技改内容</w:t>
      </w:r>
      <w:r>
        <w:tab/>
      </w:r>
      <w:r>
        <w:fldChar w:fldCharType="begin"/>
      </w:r>
      <w:r>
        <w:instrText xml:space="preserve"> PAGEREF _Toc22507 </w:instrText>
      </w:r>
      <w:r>
        <w:fldChar w:fldCharType="separate"/>
      </w:r>
      <w:r>
        <w:t>29</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_Toc23844 </w:instrText>
      </w:r>
      <w:r>
        <w:rPr>
          <w:rFonts w:hint="eastAsia"/>
          <w:szCs w:val="24"/>
          <w:lang w:val="en-US" w:eastAsia="zh-CN"/>
        </w:rPr>
        <w:fldChar w:fldCharType="separate"/>
      </w:r>
      <w:r>
        <w:rPr>
          <w:rFonts w:hint="eastAsia"/>
          <w:lang w:val="en-US" w:eastAsia="zh-CN"/>
        </w:rPr>
        <w:t>4.3改扩建工程方案</w:t>
      </w:r>
      <w:r>
        <w:tab/>
      </w:r>
      <w:r>
        <w:fldChar w:fldCharType="begin"/>
      </w:r>
      <w:r>
        <w:instrText xml:space="preserve"> PAGEREF _Toc23844 </w:instrText>
      </w:r>
      <w:r>
        <w:fldChar w:fldCharType="separate"/>
      </w:r>
      <w:r>
        <w:t>32</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_Toc29468 </w:instrText>
      </w:r>
      <w:r>
        <w:rPr>
          <w:rFonts w:hint="eastAsia"/>
          <w:szCs w:val="24"/>
          <w:lang w:val="en-US" w:eastAsia="zh-CN"/>
        </w:rPr>
        <w:fldChar w:fldCharType="separate"/>
      </w:r>
      <w:r>
        <w:rPr>
          <w:rFonts w:hint="eastAsia"/>
          <w:lang w:val="en-US" w:eastAsia="zh-CN"/>
        </w:rPr>
        <w:t>4.4封场覆盖</w:t>
      </w:r>
      <w:r>
        <w:tab/>
      </w:r>
      <w:r>
        <w:fldChar w:fldCharType="begin"/>
      </w:r>
      <w:r>
        <w:instrText xml:space="preserve"> PAGEREF _Toc29468 </w:instrText>
      </w:r>
      <w:r>
        <w:fldChar w:fldCharType="separate"/>
      </w:r>
      <w:r>
        <w:t>43</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_Toc446 </w:instrText>
      </w:r>
      <w:r>
        <w:rPr>
          <w:rFonts w:hint="eastAsia"/>
          <w:szCs w:val="24"/>
          <w:lang w:val="en-US" w:eastAsia="zh-CN"/>
        </w:rPr>
        <w:fldChar w:fldCharType="separate"/>
      </w:r>
      <w:r>
        <w:rPr>
          <w:rFonts w:hint="eastAsia"/>
          <w:lang w:val="en-US" w:eastAsia="zh-CN"/>
        </w:rPr>
        <w:t>4.5公用工程</w:t>
      </w:r>
      <w:r>
        <w:tab/>
      </w:r>
      <w:r>
        <w:fldChar w:fldCharType="begin"/>
      </w:r>
      <w:r>
        <w:instrText xml:space="preserve"> PAGEREF _Toc446 </w:instrText>
      </w:r>
      <w:r>
        <w:fldChar w:fldCharType="separate"/>
      </w:r>
      <w:r>
        <w:t>44</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_Toc24551 </w:instrText>
      </w:r>
      <w:r>
        <w:rPr>
          <w:rFonts w:hint="eastAsia"/>
          <w:szCs w:val="24"/>
          <w:lang w:val="en-US" w:eastAsia="zh-CN"/>
        </w:rPr>
        <w:fldChar w:fldCharType="separate"/>
      </w:r>
      <w:r>
        <w:rPr>
          <w:rFonts w:hint="eastAsia"/>
          <w:lang w:val="en-US" w:eastAsia="zh-CN"/>
        </w:rPr>
        <w:t>5、工程分析</w:t>
      </w:r>
      <w:r>
        <w:tab/>
      </w:r>
      <w:r>
        <w:fldChar w:fldCharType="begin"/>
      </w:r>
      <w:r>
        <w:instrText xml:space="preserve"> PAGEREF _Toc24551 </w:instrText>
      </w:r>
      <w:r>
        <w:fldChar w:fldCharType="separate"/>
      </w:r>
      <w:r>
        <w:t>45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_Toc29745 </w:instrText>
      </w:r>
      <w:r>
        <w:rPr>
          <w:rFonts w:hint="eastAsia"/>
          <w:szCs w:val="24"/>
          <w:lang w:val="en-US" w:eastAsia="zh-CN"/>
        </w:rPr>
        <w:fldChar w:fldCharType="separate"/>
      </w:r>
      <w:r>
        <w:rPr>
          <w:rFonts w:hint="eastAsia"/>
          <w:lang w:val="en-US" w:eastAsia="zh-CN"/>
        </w:rPr>
        <w:t>5.1工艺流程</w:t>
      </w:r>
      <w:r>
        <w:tab/>
      </w:r>
      <w:r>
        <w:fldChar w:fldCharType="begin"/>
      </w:r>
      <w:r>
        <w:instrText xml:space="preserve"> PAGEREF _Toc29745 </w:instrText>
      </w:r>
      <w:r>
        <w:fldChar w:fldCharType="separate"/>
      </w:r>
      <w:r>
        <w:t>45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_Toc1078 </w:instrText>
      </w:r>
      <w:r>
        <w:rPr>
          <w:rFonts w:hint="eastAsia"/>
          <w:szCs w:val="24"/>
          <w:lang w:val="en-US" w:eastAsia="zh-CN"/>
        </w:rPr>
        <w:fldChar w:fldCharType="separate"/>
      </w:r>
      <w:r>
        <w:rPr>
          <w:rFonts w:hint="eastAsia"/>
          <w:lang w:val="en-US" w:eastAsia="zh-CN"/>
        </w:rPr>
        <w:t>5.2施工期污染源分析</w:t>
      </w:r>
      <w:r>
        <w:tab/>
      </w:r>
      <w:r>
        <w:fldChar w:fldCharType="begin"/>
      </w:r>
      <w:r>
        <w:instrText xml:space="preserve"> PAGEREF _Toc1078 </w:instrText>
      </w:r>
      <w:r>
        <w:fldChar w:fldCharType="separate"/>
      </w:r>
      <w:r>
        <w:t>47</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_Toc8687 </w:instrText>
      </w:r>
      <w:r>
        <w:rPr>
          <w:rFonts w:hint="eastAsia"/>
          <w:szCs w:val="24"/>
          <w:lang w:val="en-US" w:eastAsia="zh-CN"/>
        </w:rPr>
        <w:fldChar w:fldCharType="separate"/>
      </w:r>
      <w:r>
        <w:rPr>
          <w:rFonts w:hint="eastAsia"/>
          <w:lang w:val="en-US" w:eastAsia="zh-CN"/>
        </w:rPr>
        <w:t>5.4营运期及封场期污染源分析</w:t>
      </w:r>
      <w:r>
        <w:tab/>
      </w:r>
      <w:r>
        <w:fldChar w:fldCharType="begin"/>
      </w:r>
      <w:r>
        <w:instrText xml:space="preserve"> PAGEREF _Toc8687 </w:instrText>
      </w:r>
      <w:r>
        <w:fldChar w:fldCharType="separate"/>
      </w:r>
      <w:r>
        <w:t>50</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_Toc536 </w:instrText>
      </w:r>
      <w:r>
        <w:rPr>
          <w:rFonts w:hint="eastAsia"/>
          <w:szCs w:val="24"/>
          <w:lang w:val="en-US" w:eastAsia="zh-CN"/>
        </w:rPr>
        <w:fldChar w:fldCharType="separate"/>
      </w:r>
      <w:r>
        <w:rPr>
          <w:rFonts w:hint="eastAsia"/>
          <w:lang w:val="en-US" w:eastAsia="zh-CN"/>
        </w:rPr>
        <w:t>5.5技改前后污染物排放情况汇总</w:t>
      </w:r>
      <w:r>
        <w:tab/>
      </w:r>
      <w:r>
        <w:fldChar w:fldCharType="begin"/>
      </w:r>
      <w:r>
        <w:instrText xml:space="preserve"> PAGEREF _Toc536 </w:instrText>
      </w:r>
      <w:r>
        <w:fldChar w:fldCharType="separate"/>
      </w:r>
      <w:r>
        <w:t>57</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_Toc3470 </w:instrText>
      </w:r>
      <w:r>
        <w:rPr>
          <w:rFonts w:hint="eastAsia"/>
          <w:szCs w:val="24"/>
          <w:lang w:val="en-US" w:eastAsia="zh-CN"/>
        </w:rPr>
        <w:fldChar w:fldCharType="separate"/>
      </w:r>
      <w:r>
        <w:rPr>
          <w:rFonts w:hint="eastAsia"/>
          <w:lang w:val="en-US" w:eastAsia="zh-CN"/>
        </w:rPr>
        <w:t>6、 环境现状调查及评价内容</w:t>
      </w:r>
      <w:r>
        <w:tab/>
      </w:r>
      <w:r>
        <w:fldChar w:fldCharType="begin"/>
      </w:r>
      <w:r>
        <w:instrText xml:space="preserve"> PAGEREF _Toc3470 </w:instrText>
      </w:r>
      <w:r>
        <w:fldChar w:fldCharType="separate"/>
      </w:r>
      <w:r>
        <w:t>58</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_Toc8075 </w:instrText>
      </w:r>
      <w:r>
        <w:rPr>
          <w:rFonts w:hint="eastAsia"/>
          <w:szCs w:val="24"/>
          <w:lang w:val="en-US" w:eastAsia="zh-CN"/>
        </w:rPr>
        <w:fldChar w:fldCharType="separate"/>
      </w:r>
      <w:r>
        <w:rPr>
          <w:rFonts w:hint="eastAsia"/>
          <w:lang w:val="en-US" w:eastAsia="zh-CN"/>
        </w:rPr>
        <w:t>6.1自然环境现状调查与评价</w:t>
      </w:r>
      <w:r>
        <w:tab/>
      </w:r>
      <w:r>
        <w:fldChar w:fldCharType="begin"/>
      </w:r>
      <w:r>
        <w:instrText xml:space="preserve"> PAGEREF _Toc8075 </w:instrText>
      </w:r>
      <w:r>
        <w:fldChar w:fldCharType="separate"/>
      </w:r>
      <w:r>
        <w:t>58</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_Toc25574 </w:instrText>
      </w:r>
      <w:r>
        <w:rPr>
          <w:rFonts w:hint="eastAsia"/>
          <w:szCs w:val="24"/>
          <w:lang w:val="en-US" w:eastAsia="zh-CN"/>
        </w:rPr>
        <w:fldChar w:fldCharType="separate"/>
      </w:r>
      <w:r>
        <w:rPr>
          <w:rFonts w:hint="eastAsia"/>
          <w:lang w:val="en-US" w:eastAsia="zh-CN"/>
        </w:rPr>
        <w:t>6.2环境现状调查与评价</w:t>
      </w:r>
      <w:r>
        <w:tab/>
      </w:r>
      <w:r>
        <w:fldChar w:fldCharType="begin"/>
      </w:r>
      <w:r>
        <w:instrText xml:space="preserve"> PAGEREF _Toc25574 </w:instrText>
      </w:r>
      <w:r>
        <w:fldChar w:fldCharType="separate"/>
      </w:r>
      <w:r>
        <w:t>60</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_Toc8589 </w:instrText>
      </w:r>
      <w:r>
        <w:rPr>
          <w:rFonts w:hint="eastAsia"/>
          <w:szCs w:val="24"/>
          <w:lang w:val="en-US" w:eastAsia="zh-CN"/>
        </w:rPr>
        <w:fldChar w:fldCharType="separate"/>
      </w:r>
      <w:r>
        <w:rPr>
          <w:rFonts w:hint="eastAsia"/>
          <w:lang w:val="en-US" w:eastAsia="zh-CN"/>
        </w:rPr>
        <w:t>7、 环境影响预测与评价</w:t>
      </w:r>
      <w:r>
        <w:tab/>
      </w:r>
      <w:r>
        <w:fldChar w:fldCharType="begin"/>
      </w:r>
      <w:r>
        <w:instrText xml:space="preserve"> PAGEREF _Toc8589 </w:instrText>
      </w:r>
      <w:r>
        <w:fldChar w:fldCharType="separate"/>
      </w:r>
      <w:r>
        <w:t>74</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_Toc7008 </w:instrText>
      </w:r>
      <w:r>
        <w:rPr>
          <w:rFonts w:hint="eastAsia"/>
          <w:szCs w:val="24"/>
          <w:lang w:val="en-US" w:eastAsia="zh-CN"/>
        </w:rPr>
        <w:fldChar w:fldCharType="separate"/>
      </w:r>
      <w:r>
        <w:rPr>
          <w:rFonts w:hint="eastAsia"/>
          <w:lang w:val="en-US" w:eastAsia="zh-CN"/>
        </w:rPr>
        <w:t>7.1施工期环境影响预测与评价</w:t>
      </w:r>
      <w:r>
        <w:tab/>
      </w:r>
      <w:r>
        <w:fldChar w:fldCharType="begin"/>
      </w:r>
      <w:r>
        <w:instrText xml:space="preserve"> PAGEREF _Toc7008 </w:instrText>
      </w:r>
      <w:r>
        <w:fldChar w:fldCharType="separate"/>
      </w:r>
      <w:r>
        <w:t>74</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_Toc23744 </w:instrText>
      </w:r>
      <w:r>
        <w:rPr>
          <w:rFonts w:hint="eastAsia"/>
          <w:szCs w:val="24"/>
          <w:lang w:val="en-US" w:eastAsia="zh-CN"/>
        </w:rPr>
        <w:fldChar w:fldCharType="separate"/>
      </w:r>
      <w:r>
        <w:rPr>
          <w:rFonts w:hint="eastAsia"/>
          <w:lang w:val="en-US" w:eastAsia="zh-CN"/>
        </w:rPr>
        <w:t>7.2营运期环境影响预测与评价</w:t>
      </w:r>
      <w:r>
        <w:tab/>
      </w:r>
      <w:r>
        <w:fldChar w:fldCharType="begin"/>
      </w:r>
      <w:r>
        <w:instrText xml:space="preserve"> PAGEREF _Toc23744 </w:instrText>
      </w:r>
      <w:r>
        <w:fldChar w:fldCharType="separate"/>
      </w:r>
      <w:r>
        <w:t>75</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_Toc30345 </w:instrText>
      </w:r>
      <w:r>
        <w:rPr>
          <w:rFonts w:hint="eastAsia"/>
          <w:szCs w:val="24"/>
          <w:lang w:val="en-US" w:eastAsia="zh-CN"/>
        </w:rPr>
        <w:fldChar w:fldCharType="separate"/>
      </w:r>
      <w:r>
        <w:rPr>
          <w:rFonts w:hint="eastAsia"/>
          <w:lang w:val="en-US" w:eastAsia="zh-CN"/>
        </w:rPr>
        <w:t>8、 环境风险影响分析</w:t>
      </w:r>
      <w:r>
        <w:tab/>
      </w:r>
      <w:r>
        <w:fldChar w:fldCharType="begin"/>
      </w:r>
      <w:r>
        <w:instrText xml:space="preserve"> PAGEREF _Toc30345 </w:instrText>
      </w:r>
      <w:r>
        <w:fldChar w:fldCharType="separate"/>
      </w:r>
      <w:r>
        <w:t>92</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_Toc4131 </w:instrText>
      </w:r>
      <w:r>
        <w:rPr>
          <w:rFonts w:hint="eastAsia"/>
          <w:szCs w:val="24"/>
          <w:lang w:val="en-US" w:eastAsia="zh-CN"/>
        </w:rPr>
        <w:fldChar w:fldCharType="separate"/>
      </w:r>
      <w:r>
        <w:rPr>
          <w:rFonts w:hint="eastAsia"/>
          <w:lang w:val="en-US" w:eastAsia="zh-CN"/>
        </w:rPr>
        <w:t>8.1目的和意义</w:t>
      </w:r>
      <w:r>
        <w:tab/>
      </w:r>
      <w:r>
        <w:fldChar w:fldCharType="begin"/>
      </w:r>
      <w:r>
        <w:instrText xml:space="preserve"> PAGEREF _Toc4131 </w:instrText>
      </w:r>
      <w:r>
        <w:fldChar w:fldCharType="separate"/>
      </w:r>
      <w:r>
        <w:t>92</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_Toc19552 </w:instrText>
      </w:r>
      <w:r>
        <w:rPr>
          <w:rFonts w:hint="eastAsia"/>
          <w:szCs w:val="24"/>
          <w:lang w:val="en-US" w:eastAsia="zh-CN"/>
        </w:rPr>
        <w:fldChar w:fldCharType="separate"/>
      </w:r>
      <w:r>
        <w:rPr>
          <w:rFonts w:hint="eastAsia"/>
          <w:lang w:val="en-US" w:eastAsia="zh-CN"/>
        </w:rPr>
        <w:t>8.2环境风险类型与识别</w:t>
      </w:r>
      <w:r>
        <w:tab/>
      </w:r>
      <w:r>
        <w:fldChar w:fldCharType="begin"/>
      </w:r>
      <w:r>
        <w:instrText xml:space="preserve"> PAGEREF _Toc19552 </w:instrText>
      </w:r>
      <w:r>
        <w:fldChar w:fldCharType="separate"/>
      </w:r>
      <w:r>
        <w:t>92</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_Toc695 </w:instrText>
      </w:r>
      <w:r>
        <w:rPr>
          <w:rFonts w:hint="eastAsia"/>
          <w:szCs w:val="24"/>
          <w:lang w:val="en-US" w:eastAsia="zh-CN"/>
        </w:rPr>
        <w:fldChar w:fldCharType="separate"/>
      </w:r>
      <w:r>
        <w:rPr>
          <w:rFonts w:hint="eastAsia"/>
          <w:lang w:val="en-US" w:eastAsia="zh-CN"/>
        </w:rPr>
        <w:t>8.3事故影响分析</w:t>
      </w:r>
      <w:r>
        <w:tab/>
      </w:r>
      <w:r>
        <w:fldChar w:fldCharType="begin"/>
      </w:r>
      <w:r>
        <w:instrText xml:space="preserve"> PAGEREF _Toc695 </w:instrText>
      </w:r>
      <w:r>
        <w:fldChar w:fldCharType="separate"/>
      </w:r>
      <w:r>
        <w:t>93</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_Toc19454 </w:instrText>
      </w:r>
      <w:r>
        <w:rPr>
          <w:rFonts w:hint="eastAsia"/>
          <w:szCs w:val="24"/>
          <w:lang w:val="en-US" w:eastAsia="zh-CN"/>
        </w:rPr>
        <w:fldChar w:fldCharType="separate"/>
      </w:r>
      <w:r>
        <w:rPr>
          <w:rFonts w:hint="eastAsia"/>
          <w:lang w:val="en-US" w:eastAsia="zh-CN"/>
        </w:rPr>
        <w:t>8.9风险事故防范措施及管理措施</w:t>
      </w:r>
      <w:r>
        <w:tab/>
      </w:r>
      <w:r>
        <w:fldChar w:fldCharType="begin"/>
      </w:r>
      <w:r>
        <w:instrText xml:space="preserve"> PAGEREF _Toc19454 </w:instrText>
      </w:r>
      <w:r>
        <w:fldChar w:fldCharType="separate"/>
      </w:r>
      <w:r>
        <w:t>105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_Toc25338 </w:instrText>
      </w:r>
      <w:r>
        <w:rPr>
          <w:rFonts w:hint="eastAsia"/>
          <w:szCs w:val="24"/>
          <w:lang w:val="en-US" w:eastAsia="zh-CN"/>
        </w:rPr>
        <w:fldChar w:fldCharType="separate"/>
      </w:r>
      <w:r>
        <w:rPr>
          <w:rFonts w:hint="eastAsia"/>
          <w:lang w:val="en-US" w:eastAsia="zh-CN"/>
        </w:rPr>
        <w:t>8.10</w:t>
      </w:r>
      <w:r>
        <w:t>风险评价结论</w:t>
      </w:r>
      <w:r>
        <w:tab/>
      </w:r>
      <w:r>
        <w:fldChar w:fldCharType="begin"/>
      </w:r>
      <w:r>
        <w:instrText xml:space="preserve"> PAGEREF _Toc25338 </w:instrText>
      </w:r>
      <w:r>
        <w:fldChar w:fldCharType="separate"/>
      </w:r>
      <w:r>
        <w:t>109</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_Toc24193 </w:instrText>
      </w:r>
      <w:r>
        <w:rPr>
          <w:rFonts w:hint="eastAsia"/>
          <w:szCs w:val="24"/>
          <w:lang w:val="en-US" w:eastAsia="zh-CN"/>
        </w:rPr>
        <w:fldChar w:fldCharType="separate"/>
      </w:r>
      <w:r>
        <w:rPr>
          <w:rFonts w:hint="eastAsia"/>
          <w:lang w:val="en-US" w:eastAsia="zh-CN"/>
        </w:rPr>
        <w:t>9、 环境保护措施可行性分析</w:t>
      </w:r>
      <w:r>
        <w:tab/>
      </w:r>
      <w:r>
        <w:fldChar w:fldCharType="begin"/>
      </w:r>
      <w:r>
        <w:instrText xml:space="preserve"> PAGEREF _Toc24193 </w:instrText>
      </w:r>
      <w:r>
        <w:fldChar w:fldCharType="separate"/>
      </w:r>
      <w:r>
        <w:t>110</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_Toc8104 </w:instrText>
      </w:r>
      <w:r>
        <w:rPr>
          <w:rFonts w:hint="eastAsia"/>
          <w:szCs w:val="24"/>
          <w:lang w:val="en-US" w:eastAsia="zh-CN"/>
        </w:rPr>
        <w:fldChar w:fldCharType="separate"/>
      </w:r>
      <w:r>
        <w:rPr>
          <w:rFonts w:hint="eastAsia"/>
          <w:lang w:val="en-US" w:eastAsia="zh-CN"/>
        </w:rPr>
        <w:t>9.1施工期环境保护措施可行性分析</w:t>
      </w:r>
      <w:r>
        <w:tab/>
      </w:r>
      <w:r>
        <w:fldChar w:fldCharType="begin"/>
      </w:r>
      <w:r>
        <w:instrText xml:space="preserve"> PAGEREF _Toc8104 </w:instrText>
      </w:r>
      <w:r>
        <w:fldChar w:fldCharType="separate"/>
      </w:r>
      <w:r>
        <w:t>110</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_Toc8557 </w:instrText>
      </w:r>
      <w:r>
        <w:rPr>
          <w:rFonts w:hint="eastAsia"/>
          <w:szCs w:val="24"/>
          <w:lang w:val="en-US" w:eastAsia="zh-CN"/>
        </w:rPr>
        <w:fldChar w:fldCharType="separate"/>
      </w:r>
      <w:r>
        <w:rPr>
          <w:rFonts w:hint="eastAsia"/>
          <w:lang w:val="en-US" w:eastAsia="zh-CN"/>
        </w:rPr>
        <w:t>9.2营运期污染防治措施可行性分析</w:t>
      </w:r>
      <w:r>
        <w:tab/>
      </w:r>
      <w:r>
        <w:fldChar w:fldCharType="begin"/>
      </w:r>
      <w:r>
        <w:instrText xml:space="preserve"> PAGEREF _Toc8557 </w:instrText>
      </w:r>
      <w:r>
        <w:fldChar w:fldCharType="separate"/>
      </w:r>
      <w:r>
        <w:t>112</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_Toc27429 </w:instrText>
      </w:r>
      <w:r>
        <w:rPr>
          <w:rFonts w:hint="eastAsia"/>
          <w:szCs w:val="24"/>
          <w:lang w:val="en-US" w:eastAsia="zh-CN"/>
        </w:rPr>
        <w:fldChar w:fldCharType="separate"/>
      </w:r>
      <w:r>
        <w:rPr>
          <w:rFonts w:hint="eastAsia"/>
          <w:lang w:val="en-US" w:eastAsia="zh-CN"/>
        </w:rPr>
        <w:t>10、 清洁生产和总量控制</w:t>
      </w:r>
      <w:r>
        <w:tab/>
      </w:r>
      <w:r>
        <w:fldChar w:fldCharType="begin"/>
      </w:r>
      <w:r>
        <w:instrText xml:space="preserve"> PAGEREF _Toc27429 </w:instrText>
      </w:r>
      <w:r>
        <w:fldChar w:fldCharType="separate"/>
      </w:r>
      <w:r>
        <w:t>115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_Toc1236 </w:instrText>
      </w:r>
      <w:r>
        <w:rPr>
          <w:rFonts w:hint="eastAsia"/>
          <w:szCs w:val="24"/>
          <w:lang w:val="en-US" w:eastAsia="zh-CN"/>
        </w:rPr>
        <w:fldChar w:fldCharType="separate"/>
      </w:r>
      <w:r>
        <w:rPr>
          <w:rFonts w:hint="eastAsia"/>
          <w:lang w:val="en-US" w:eastAsia="zh-CN"/>
        </w:rPr>
        <w:t>10.1</w:t>
      </w:r>
      <w:r>
        <w:t>清洁生产分析</w:t>
      </w:r>
      <w:r>
        <w:tab/>
      </w:r>
      <w:r>
        <w:fldChar w:fldCharType="begin"/>
      </w:r>
      <w:r>
        <w:instrText xml:space="preserve"> PAGEREF _Toc1236 </w:instrText>
      </w:r>
      <w:r>
        <w:fldChar w:fldCharType="separate"/>
      </w:r>
      <w:r>
        <w:t>115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_Toc26483 </w:instrText>
      </w:r>
      <w:r>
        <w:rPr>
          <w:rFonts w:hint="eastAsia"/>
          <w:szCs w:val="24"/>
          <w:lang w:val="en-US" w:eastAsia="zh-CN"/>
        </w:rPr>
        <w:fldChar w:fldCharType="separate"/>
      </w:r>
      <w:r>
        <w:rPr>
          <w:rFonts w:hint="eastAsia"/>
          <w:lang w:val="en-US" w:eastAsia="zh-CN"/>
        </w:rPr>
        <w:t>10.2</w:t>
      </w:r>
      <w:r>
        <w:t>总量控制</w:t>
      </w:r>
      <w:r>
        <w:tab/>
      </w:r>
      <w:r>
        <w:fldChar w:fldCharType="begin"/>
      </w:r>
      <w:r>
        <w:instrText xml:space="preserve"> PAGEREF _Toc26483 </w:instrText>
      </w:r>
      <w:r>
        <w:fldChar w:fldCharType="separate"/>
      </w:r>
      <w:r>
        <w:t>117</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_Toc13319 </w:instrText>
      </w:r>
      <w:r>
        <w:rPr>
          <w:rFonts w:hint="eastAsia"/>
          <w:szCs w:val="24"/>
          <w:lang w:val="en-US" w:eastAsia="zh-CN"/>
        </w:rPr>
        <w:fldChar w:fldCharType="separate"/>
      </w:r>
      <w:r>
        <w:rPr>
          <w:rFonts w:hint="eastAsia"/>
          <w:lang w:val="en-US" w:eastAsia="zh-CN"/>
        </w:rPr>
        <w:t>11、 环境经济损益分析</w:t>
      </w:r>
      <w:r>
        <w:tab/>
      </w:r>
      <w:r>
        <w:fldChar w:fldCharType="begin"/>
      </w:r>
      <w:r>
        <w:instrText xml:space="preserve"> PAGEREF _Toc13319 </w:instrText>
      </w:r>
      <w:r>
        <w:fldChar w:fldCharType="separate"/>
      </w:r>
      <w:r>
        <w:t>118</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_Toc9894 </w:instrText>
      </w:r>
      <w:r>
        <w:rPr>
          <w:rFonts w:hint="eastAsia"/>
          <w:szCs w:val="24"/>
          <w:lang w:val="en-US" w:eastAsia="zh-CN"/>
        </w:rPr>
        <w:fldChar w:fldCharType="separate"/>
      </w:r>
      <w:r>
        <w:rPr>
          <w:rFonts w:hint="eastAsia"/>
          <w:lang w:val="en-US" w:eastAsia="zh-CN"/>
        </w:rPr>
        <w:t>11.1</w:t>
      </w:r>
      <w:r>
        <w:rPr>
          <w:lang w:eastAsia="zh-CN"/>
        </w:rPr>
        <w:t>环境</w:t>
      </w:r>
      <w:r>
        <w:t>经济</w:t>
      </w:r>
      <w:r>
        <w:rPr>
          <w:lang w:eastAsia="zh-CN"/>
        </w:rPr>
        <w:t>损益</w:t>
      </w:r>
      <w:r>
        <w:t>分析</w:t>
      </w:r>
      <w:r>
        <w:tab/>
      </w:r>
      <w:r>
        <w:fldChar w:fldCharType="begin"/>
      </w:r>
      <w:r>
        <w:instrText xml:space="preserve"> PAGEREF _Toc9894 </w:instrText>
      </w:r>
      <w:r>
        <w:fldChar w:fldCharType="separate"/>
      </w:r>
      <w:r>
        <w:t>118</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_Toc25768 </w:instrText>
      </w:r>
      <w:r>
        <w:rPr>
          <w:rFonts w:hint="eastAsia"/>
          <w:szCs w:val="24"/>
          <w:lang w:val="en-US" w:eastAsia="zh-CN"/>
        </w:rPr>
        <w:fldChar w:fldCharType="separate"/>
      </w:r>
      <w:r>
        <w:rPr>
          <w:rFonts w:hint="eastAsia"/>
          <w:lang w:val="en-US" w:eastAsia="zh-CN"/>
        </w:rPr>
        <w:t>11.2</w:t>
      </w:r>
      <w:r>
        <w:t>社会环境效益分析</w:t>
      </w:r>
      <w:r>
        <w:tab/>
      </w:r>
      <w:r>
        <w:fldChar w:fldCharType="begin"/>
      </w:r>
      <w:r>
        <w:instrText xml:space="preserve"> PAGEREF _Toc25768 </w:instrText>
      </w:r>
      <w:r>
        <w:fldChar w:fldCharType="separate"/>
      </w:r>
      <w:r>
        <w:t>118</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_Toc19508 </w:instrText>
      </w:r>
      <w:r>
        <w:rPr>
          <w:rFonts w:hint="eastAsia"/>
          <w:szCs w:val="24"/>
          <w:lang w:val="en-US" w:eastAsia="zh-CN"/>
        </w:rPr>
        <w:fldChar w:fldCharType="separate"/>
      </w:r>
      <w:r>
        <w:rPr>
          <w:rFonts w:hint="eastAsia"/>
          <w:lang w:val="en-US" w:eastAsia="zh-CN"/>
        </w:rPr>
        <w:t>12</w:t>
      </w:r>
      <w:r>
        <w:t>环境管理</w:t>
      </w:r>
      <w:r>
        <w:rPr>
          <w:rFonts w:hint="eastAsia"/>
          <w:lang w:eastAsia="zh-CN"/>
        </w:rPr>
        <w:t>与监测计划</w:t>
      </w:r>
      <w:r>
        <w:tab/>
      </w:r>
      <w:r>
        <w:fldChar w:fldCharType="begin"/>
      </w:r>
      <w:r>
        <w:instrText xml:space="preserve"> PAGEREF _Toc19508 </w:instrText>
      </w:r>
      <w:r>
        <w:fldChar w:fldCharType="separate"/>
      </w:r>
      <w:r>
        <w:t>120</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_Toc18247 </w:instrText>
      </w:r>
      <w:r>
        <w:rPr>
          <w:rFonts w:hint="eastAsia"/>
          <w:szCs w:val="24"/>
          <w:lang w:val="en-US" w:eastAsia="zh-CN"/>
        </w:rPr>
        <w:fldChar w:fldCharType="separate"/>
      </w:r>
      <w:r>
        <w:rPr>
          <w:rFonts w:hint="eastAsia"/>
          <w:lang w:val="en-US" w:eastAsia="zh-CN"/>
        </w:rPr>
        <w:t>12.1环境管理</w:t>
      </w:r>
      <w:r>
        <w:tab/>
      </w:r>
      <w:r>
        <w:fldChar w:fldCharType="begin"/>
      </w:r>
      <w:r>
        <w:instrText xml:space="preserve"> PAGEREF _Toc18247 </w:instrText>
      </w:r>
      <w:r>
        <w:fldChar w:fldCharType="separate"/>
      </w:r>
      <w:r>
        <w:t>120</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_Toc15769 </w:instrText>
      </w:r>
      <w:r>
        <w:rPr>
          <w:rFonts w:hint="eastAsia"/>
          <w:szCs w:val="24"/>
          <w:lang w:val="en-US" w:eastAsia="zh-CN"/>
        </w:rPr>
        <w:fldChar w:fldCharType="separate"/>
      </w:r>
      <w:r>
        <w:rPr>
          <w:rFonts w:hint="eastAsia"/>
          <w:lang w:val="en-US" w:eastAsia="zh-CN"/>
        </w:rPr>
        <w:t>12.2</w:t>
      </w:r>
      <w:r>
        <w:t>环境监测计划</w:t>
      </w:r>
      <w:r>
        <w:tab/>
      </w:r>
      <w:r>
        <w:fldChar w:fldCharType="begin"/>
      </w:r>
      <w:r>
        <w:instrText xml:space="preserve"> PAGEREF _Toc15769 </w:instrText>
      </w:r>
      <w:r>
        <w:fldChar w:fldCharType="separate"/>
      </w:r>
      <w:r>
        <w:t>122</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_Toc28149 </w:instrText>
      </w:r>
      <w:r>
        <w:rPr>
          <w:rFonts w:hint="eastAsia"/>
          <w:szCs w:val="24"/>
          <w:lang w:val="en-US" w:eastAsia="zh-CN"/>
        </w:rPr>
        <w:fldChar w:fldCharType="separate"/>
      </w:r>
      <w:r>
        <w:rPr>
          <w:rFonts w:hint="eastAsia"/>
          <w:lang w:val="en-US" w:eastAsia="zh-CN"/>
        </w:rPr>
        <w:t>13、</w:t>
      </w:r>
      <w:r>
        <w:rPr>
          <w:rFonts w:hint="eastAsia"/>
          <w:lang w:eastAsia="zh-CN"/>
        </w:rPr>
        <w:t>项目建设</w:t>
      </w:r>
      <w:r>
        <w:t>合理性分析</w:t>
      </w:r>
      <w:r>
        <w:tab/>
      </w:r>
      <w:r>
        <w:fldChar w:fldCharType="begin"/>
      </w:r>
      <w:r>
        <w:instrText xml:space="preserve"> PAGEREF _Toc28149 </w:instrText>
      </w:r>
      <w:r>
        <w:fldChar w:fldCharType="separate"/>
      </w:r>
      <w:r>
        <w:t>125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_Toc1304 </w:instrText>
      </w:r>
      <w:r>
        <w:rPr>
          <w:rFonts w:hint="eastAsia"/>
          <w:szCs w:val="24"/>
          <w:lang w:val="en-US" w:eastAsia="zh-CN"/>
        </w:rPr>
        <w:fldChar w:fldCharType="separate"/>
      </w:r>
      <w:r>
        <w:rPr>
          <w:rFonts w:hint="eastAsia"/>
          <w:lang w:val="en-US" w:eastAsia="zh-CN"/>
        </w:rPr>
        <w:t>13.1</w:t>
      </w:r>
      <w:r>
        <w:t>产业政策符合性</w:t>
      </w:r>
      <w:r>
        <w:tab/>
      </w:r>
      <w:r>
        <w:fldChar w:fldCharType="begin"/>
      </w:r>
      <w:r>
        <w:instrText xml:space="preserve"> PAGEREF _Toc1304 </w:instrText>
      </w:r>
      <w:r>
        <w:fldChar w:fldCharType="separate"/>
      </w:r>
      <w:r>
        <w:t>125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_Toc24495 </w:instrText>
      </w:r>
      <w:r>
        <w:rPr>
          <w:rFonts w:hint="eastAsia"/>
          <w:szCs w:val="24"/>
          <w:lang w:val="en-US" w:eastAsia="zh-CN"/>
        </w:rPr>
        <w:fldChar w:fldCharType="separate"/>
      </w:r>
      <w:r>
        <w:rPr>
          <w:rFonts w:hint="eastAsia"/>
          <w:lang w:val="en-US" w:eastAsia="zh-CN"/>
        </w:rPr>
        <w:t>13.2</w:t>
      </w:r>
      <w:r>
        <w:t>选址合理性分析</w:t>
      </w:r>
      <w:r>
        <w:tab/>
      </w:r>
      <w:r>
        <w:fldChar w:fldCharType="begin"/>
      </w:r>
      <w:r>
        <w:instrText xml:space="preserve"> PAGEREF _Toc24495 </w:instrText>
      </w:r>
      <w:r>
        <w:fldChar w:fldCharType="separate"/>
      </w:r>
      <w:r>
        <w:t>125</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_Toc4859 </w:instrText>
      </w:r>
      <w:r>
        <w:rPr>
          <w:rFonts w:hint="eastAsia"/>
          <w:szCs w:val="24"/>
          <w:lang w:val="en-US" w:eastAsia="zh-CN"/>
        </w:rPr>
        <w:fldChar w:fldCharType="separate"/>
      </w:r>
      <w:r>
        <w:rPr>
          <w:rFonts w:hint="eastAsia"/>
          <w:lang w:val="en-US" w:eastAsia="zh-CN"/>
        </w:rPr>
        <w:t>13.2与《胥家桥片区详细规划》的相符性分析</w:t>
      </w:r>
      <w:r>
        <w:tab/>
      </w:r>
      <w:r>
        <w:fldChar w:fldCharType="begin"/>
      </w:r>
      <w:r>
        <w:instrText xml:space="preserve"> PAGEREF _Toc4859 </w:instrText>
      </w:r>
      <w:r>
        <w:fldChar w:fldCharType="separate"/>
      </w:r>
      <w:r>
        <w:t>125</w:t>
      </w:r>
      <w:r>
        <w:fldChar w:fldCharType="end"/>
      </w:r>
      <w:r>
        <w:rPr>
          <w:rFonts w:hint="eastAsia"/>
          <w:color w:val="auto"/>
          <w:szCs w:val="24"/>
          <w:lang w:val="en-US" w:eastAsia="zh-CN"/>
        </w:rPr>
        <w:fldChar w:fldCharType="end"/>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_Toc30576 </w:instrText>
      </w:r>
      <w:r>
        <w:rPr>
          <w:rFonts w:hint="eastAsia"/>
          <w:szCs w:val="24"/>
          <w:lang w:val="en-US" w:eastAsia="zh-CN"/>
        </w:rPr>
        <w:fldChar w:fldCharType="separate"/>
      </w:r>
      <w:r>
        <w:rPr>
          <w:rFonts w:hint="eastAsia"/>
          <w:lang w:val="en-US" w:eastAsia="zh-CN"/>
        </w:rPr>
        <w:t>14、结论与建议</w:t>
      </w:r>
      <w:r>
        <w:tab/>
      </w:r>
      <w:r>
        <w:fldChar w:fldCharType="begin"/>
      </w:r>
      <w:r>
        <w:instrText xml:space="preserve"> PAGEREF _Toc30576 </w:instrText>
      </w:r>
      <w:r>
        <w:fldChar w:fldCharType="separate"/>
      </w:r>
      <w:r>
        <w:t>127</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_Toc23415 </w:instrText>
      </w:r>
      <w:r>
        <w:rPr>
          <w:rFonts w:hint="eastAsia"/>
          <w:szCs w:val="24"/>
          <w:lang w:val="en-US" w:eastAsia="zh-CN"/>
        </w:rPr>
        <w:fldChar w:fldCharType="separate"/>
      </w:r>
      <w:r>
        <w:rPr>
          <w:rFonts w:hint="eastAsia"/>
          <w:lang w:val="en-US" w:eastAsia="zh-CN"/>
        </w:rPr>
        <w:t>14.1结论</w:t>
      </w:r>
      <w:r>
        <w:tab/>
      </w:r>
      <w:r>
        <w:fldChar w:fldCharType="begin"/>
      </w:r>
      <w:r>
        <w:instrText xml:space="preserve"> PAGEREF _Toc23415 </w:instrText>
      </w:r>
      <w:r>
        <w:fldChar w:fldCharType="separate"/>
      </w:r>
      <w:r>
        <w:t>127</w:t>
      </w:r>
      <w:r>
        <w:fldChar w:fldCharType="end"/>
      </w:r>
      <w:r>
        <w:rPr>
          <w:rFonts w:hint="eastAsia"/>
          <w:color w:val="auto"/>
          <w:szCs w:val="24"/>
          <w:lang w:val="en-US" w:eastAsia="zh-CN"/>
        </w:rPr>
        <w:fldChar w:fldCharType="end"/>
      </w:r>
    </w:p>
    <w:p>
      <w:pPr>
        <w:pStyle w:val="16"/>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right="0" w:rightChars="0"/>
        <w:textAlignment w:val="auto"/>
        <w:outlineLvl w:val="9"/>
      </w:pPr>
      <w:r>
        <w:rPr>
          <w:rFonts w:hint="eastAsia"/>
          <w:color w:val="auto"/>
          <w:szCs w:val="24"/>
          <w:lang w:val="en-US" w:eastAsia="zh-CN"/>
        </w:rPr>
        <w:fldChar w:fldCharType="begin"/>
      </w:r>
      <w:r>
        <w:rPr>
          <w:rFonts w:hint="eastAsia"/>
          <w:szCs w:val="24"/>
          <w:lang w:val="en-US" w:eastAsia="zh-CN"/>
        </w:rPr>
        <w:instrText xml:space="preserve"> HYPERLINK \l _Toc5598 </w:instrText>
      </w:r>
      <w:r>
        <w:rPr>
          <w:rFonts w:hint="eastAsia"/>
          <w:szCs w:val="24"/>
          <w:lang w:val="en-US" w:eastAsia="zh-CN"/>
        </w:rPr>
        <w:fldChar w:fldCharType="separate"/>
      </w:r>
      <w:r>
        <w:rPr>
          <w:rFonts w:hint="eastAsia"/>
          <w:lang w:val="en-US" w:eastAsia="zh-CN"/>
        </w:rPr>
        <w:t>14.2建议</w:t>
      </w:r>
      <w:r>
        <w:tab/>
      </w:r>
      <w:r>
        <w:fldChar w:fldCharType="begin"/>
      </w:r>
      <w:r>
        <w:instrText xml:space="preserve"> PAGEREF _Toc5598 </w:instrText>
      </w:r>
      <w:r>
        <w:fldChar w:fldCharType="separate"/>
      </w:r>
      <w:r>
        <w:t>131</w:t>
      </w:r>
      <w:r>
        <w:fldChar w:fldCharType="end"/>
      </w:r>
      <w:r>
        <w:rPr>
          <w:rFonts w:hint="eastAsia"/>
          <w:color w:val="auto"/>
          <w:szCs w:val="24"/>
          <w:lang w:val="en-US" w:eastAsia="zh-CN"/>
        </w:rPr>
        <w:fldChar w:fldCharType="end"/>
      </w:r>
    </w:p>
    <w:p>
      <w:pPr>
        <w:keepNext w:val="0"/>
        <w:keepLines w:val="0"/>
        <w:pageBreakBefore w:val="0"/>
        <w:widowControl w:val="0"/>
        <w:kinsoku/>
        <w:wordWrap/>
        <w:overflowPunct/>
        <w:topLinePunct w:val="0"/>
        <w:autoSpaceDE/>
        <w:autoSpaceDN/>
        <w:bidi w:val="0"/>
        <w:adjustRightInd/>
        <w:snapToGrid/>
        <w:spacing w:line="440" w:lineRule="exact"/>
        <w:ind w:right="0" w:rightChars="0"/>
        <w:textAlignment w:val="auto"/>
        <w:outlineLvl w:val="9"/>
        <w:rPr>
          <w:rFonts w:hint="eastAsia"/>
          <w:color w:val="auto"/>
          <w:sz w:val="24"/>
          <w:szCs w:val="24"/>
          <w:lang w:val="en-US" w:eastAsia="zh-CN"/>
        </w:rPr>
        <w:sectPr>
          <w:pgSz w:w="11906" w:h="16838"/>
          <w:pgMar w:top="1440" w:right="1800" w:bottom="1440" w:left="1800" w:header="851" w:footer="992" w:gutter="0"/>
          <w:cols w:space="425" w:num="1"/>
          <w:docGrid w:type="lines" w:linePitch="312" w:charSpace="0"/>
        </w:sectPr>
      </w:pPr>
      <w:r>
        <w:rPr>
          <w:rFonts w:hint="eastAsia"/>
          <w:color w:val="auto"/>
          <w:szCs w:val="24"/>
          <w:lang w:val="en-US" w:eastAsia="zh-CN"/>
        </w:rPr>
        <w:fldChar w:fldCharType="end"/>
      </w:r>
    </w:p>
    <w:p>
      <w:pPr>
        <w:pStyle w:val="2"/>
        <w:numPr>
          <w:ilvl w:val="0"/>
          <w:numId w:val="1"/>
        </w:numPr>
        <w:rPr>
          <w:rFonts w:hint="eastAsia"/>
          <w:color w:val="auto"/>
          <w:u w:val="single"/>
          <w:lang w:val="en-US" w:eastAsia="zh-CN"/>
        </w:rPr>
      </w:pPr>
      <w:bookmarkStart w:id="0" w:name="_Toc7667"/>
      <w:r>
        <w:rPr>
          <w:rFonts w:hint="eastAsia"/>
          <w:color w:val="auto"/>
          <w:u w:val="single"/>
          <w:lang w:val="en-US" w:eastAsia="zh-CN"/>
        </w:rPr>
        <w:t>概述</w:t>
      </w:r>
      <w:bookmarkEnd w:id="0"/>
    </w:p>
    <w:p>
      <w:pPr>
        <w:pStyle w:val="3"/>
        <w:rPr>
          <w:rFonts w:hint="eastAsia"/>
          <w:color w:val="auto"/>
          <w:u w:val="single"/>
          <w:lang w:val="en-US" w:eastAsia="zh-CN"/>
        </w:rPr>
      </w:pPr>
      <w:bookmarkStart w:id="1" w:name="_Toc14395"/>
      <w:r>
        <w:rPr>
          <w:rFonts w:hint="eastAsia"/>
          <w:color w:val="auto"/>
          <w:u w:val="single"/>
          <w:lang w:val="en-US" w:eastAsia="zh-CN"/>
        </w:rPr>
        <w:t>1.1项目由来</w:t>
      </w:r>
      <w:bookmarkEnd w:id="1"/>
    </w:p>
    <w:p>
      <w:pPr>
        <w:pStyle w:val="4"/>
        <w:rPr>
          <w:rFonts w:hint="eastAsia"/>
          <w:color w:val="auto"/>
          <w:u w:val="single"/>
          <w:lang w:val="en-US" w:eastAsia="zh-CN"/>
        </w:rPr>
      </w:pPr>
      <w:r>
        <w:rPr>
          <w:rFonts w:hint="eastAsia"/>
          <w:color w:val="auto"/>
          <w:u w:val="single"/>
          <w:lang w:val="en-US" w:eastAsia="zh-CN"/>
        </w:rPr>
        <w:t>1.1.1项目背景</w:t>
      </w:r>
    </w:p>
    <w:p>
      <w:pPr>
        <w:ind w:firstLine="560" w:firstLineChars="200"/>
        <w:rPr>
          <w:rFonts w:hint="eastAsia"/>
          <w:color w:val="auto"/>
          <w:u w:val="single"/>
        </w:rPr>
      </w:pPr>
      <w:r>
        <w:rPr>
          <w:rFonts w:hint="eastAsia"/>
          <w:color w:val="auto"/>
          <w:u w:val="single"/>
        </w:rPr>
        <w:t>岳阳市花果畈垃圾处理场位于岳阳市</w:t>
      </w:r>
      <w:r>
        <w:rPr>
          <w:rFonts w:hint="eastAsia"/>
          <w:color w:val="auto"/>
          <w:u w:val="single"/>
          <w:lang w:eastAsia="zh-CN"/>
        </w:rPr>
        <w:t>岳阳楼区</w:t>
      </w:r>
      <w:r>
        <w:rPr>
          <w:rFonts w:hint="eastAsia"/>
          <w:color w:val="auto"/>
          <w:sz w:val="24"/>
          <w:u w:val="single"/>
        </w:rPr>
        <w:t>梅溪乡胥家桥村</w:t>
      </w:r>
      <w:r>
        <w:rPr>
          <w:rFonts w:hint="eastAsia"/>
          <w:color w:val="auto"/>
          <w:u w:val="single"/>
        </w:rPr>
        <w:t>，</w:t>
      </w:r>
      <w:r>
        <w:rPr>
          <w:color w:val="auto"/>
          <w:u w:val="single"/>
        </w:rPr>
        <w:t>2003</w:t>
      </w:r>
      <w:r>
        <w:rPr>
          <w:rFonts w:hint="eastAsia"/>
          <w:color w:val="auto"/>
          <w:u w:val="single"/>
        </w:rPr>
        <w:t>年</w:t>
      </w:r>
      <w:r>
        <w:rPr>
          <w:color w:val="auto"/>
          <w:u w:val="single"/>
        </w:rPr>
        <w:t>8</w:t>
      </w:r>
      <w:r>
        <w:rPr>
          <w:rFonts w:hint="eastAsia"/>
          <w:color w:val="auto"/>
          <w:u w:val="single"/>
        </w:rPr>
        <w:t>月建成后担负岳阳市城区生活垃圾处理任务，场址总占地</w:t>
      </w:r>
      <w:r>
        <w:rPr>
          <w:color w:val="auto"/>
          <w:u w:val="single"/>
        </w:rPr>
        <w:t>316</w:t>
      </w:r>
      <w:r>
        <w:rPr>
          <w:rFonts w:hint="eastAsia"/>
          <w:color w:val="auto"/>
          <w:u w:val="single"/>
        </w:rPr>
        <w:t>亩，有效库容</w:t>
      </w:r>
      <w:r>
        <w:rPr>
          <w:color w:val="auto"/>
          <w:u w:val="single"/>
        </w:rPr>
        <w:t>308</w:t>
      </w:r>
      <w:r>
        <w:rPr>
          <w:rFonts w:hint="eastAsia"/>
          <w:color w:val="auto"/>
          <w:u w:val="single"/>
        </w:rPr>
        <w:t>万</w:t>
      </w:r>
      <w:r>
        <w:rPr>
          <w:color w:val="auto"/>
          <w:u w:val="single"/>
        </w:rPr>
        <w:t>m³</w:t>
      </w:r>
      <w:r>
        <w:rPr>
          <w:rFonts w:hint="eastAsia"/>
          <w:color w:val="auto"/>
          <w:u w:val="single"/>
        </w:rPr>
        <w:t>，设计处理规模为</w:t>
      </w:r>
      <w:r>
        <w:rPr>
          <w:color w:val="auto"/>
          <w:u w:val="single"/>
        </w:rPr>
        <w:t>500t/d</w:t>
      </w:r>
      <w:r>
        <w:rPr>
          <w:rFonts w:hint="eastAsia"/>
          <w:color w:val="auto"/>
          <w:u w:val="single"/>
        </w:rPr>
        <w:t>，设计使用年限为</w:t>
      </w:r>
      <w:r>
        <w:rPr>
          <w:color w:val="auto"/>
          <w:u w:val="single"/>
        </w:rPr>
        <w:t>15</w:t>
      </w:r>
      <w:r>
        <w:rPr>
          <w:rFonts w:hint="eastAsia"/>
          <w:color w:val="auto"/>
          <w:u w:val="single"/>
        </w:rPr>
        <w:t>年。但随着城市的不断扩大，城区人口日益增加，尤其是位于羊角山的岳阳市第一垃圾处理场封场之后，花果畈垃圾处理场是岳阳市中心城区唯一的垃圾处理场，目前</w:t>
      </w:r>
      <w:r>
        <w:rPr>
          <w:rFonts w:hint="eastAsia"/>
          <w:color w:val="auto"/>
          <w:u w:val="single"/>
          <w:lang w:eastAsia="zh-CN"/>
        </w:rPr>
        <w:t>，</w:t>
      </w:r>
      <w:r>
        <w:rPr>
          <w:rFonts w:hint="eastAsia"/>
          <w:color w:val="auto"/>
          <w:u w:val="single"/>
        </w:rPr>
        <w:t>该处理场的处理规模已经远超设计值</w:t>
      </w:r>
      <w:r>
        <w:rPr>
          <w:rFonts w:hint="eastAsia"/>
          <w:color w:val="auto"/>
          <w:u w:val="single"/>
          <w:lang w:eastAsia="zh-CN"/>
        </w:rPr>
        <w:t>，处理总量</w:t>
      </w:r>
      <w:r>
        <w:rPr>
          <w:rFonts w:hint="eastAsia"/>
          <w:color w:val="auto"/>
          <w:u w:val="single"/>
        </w:rPr>
        <w:t>已经接近</w:t>
      </w:r>
      <w:r>
        <w:rPr>
          <w:rFonts w:hint="eastAsia"/>
          <w:color w:val="auto"/>
          <w:u w:val="single"/>
          <w:lang w:eastAsia="zh-CN"/>
        </w:rPr>
        <w:t>原设计处理总量</w:t>
      </w:r>
      <w:r>
        <w:rPr>
          <w:rFonts w:hint="eastAsia"/>
          <w:color w:val="auto"/>
          <w:u w:val="single"/>
        </w:rPr>
        <w:t>。</w:t>
      </w:r>
    </w:p>
    <w:p>
      <w:pPr>
        <w:ind w:firstLine="560" w:firstLineChars="200"/>
        <w:rPr>
          <w:rFonts w:hint="eastAsia"/>
          <w:color w:val="auto"/>
          <w:u w:val="single"/>
        </w:rPr>
      </w:pPr>
      <w:r>
        <w:rPr>
          <w:rFonts w:hint="eastAsia"/>
          <w:color w:val="auto"/>
          <w:u w:val="single"/>
          <w:lang w:eastAsia="zh-CN"/>
        </w:rPr>
        <w:t>岳阳市花果畈垃圾处理场运行期间，周边居民反映其周边空气有恶臭气味、蚊蝇多，尤其夏季炎热时，蚊蝇问题更严重，影响周边居民生活；在</w:t>
      </w:r>
      <w:r>
        <w:rPr>
          <w:rFonts w:hint="eastAsia"/>
          <w:color w:val="auto"/>
          <w:u w:val="single"/>
          <w:lang w:val="en-US" w:eastAsia="zh-CN"/>
        </w:rPr>
        <w:t>2014年对垃圾坝进行加高，但由于南坝实在原坝体顶部及两侧坝肩加高，未考虑新老坝体衔接处及施工缝处的防渗，同时新建南坝南侧直接位于强风化岩层，坝基与岩层结合部位及强风化岩层均可发生测漏；</w:t>
      </w:r>
      <w:r>
        <w:rPr>
          <w:rFonts w:hint="eastAsia"/>
          <w:color w:val="auto"/>
          <w:u w:val="single"/>
        </w:rPr>
        <w:t>花果畈垃圾处理场原设计渗沥液处理规模为230t/d，2012年渗沥液处理设备升级改造后，处理能力提升至400t/d，处理工艺采用两级AO+超滤+纳滤+反渗透处理技术</w:t>
      </w:r>
      <w:r>
        <w:rPr>
          <w:rFonts w:hint="eastAsia"/>
          <w:color w:val="auto"/>
          <w:u w:val="single"/>
          <w:lang w:eastAsia="zh-CN"/>
        </w:rPr>
        <w:t>，</w:t>
      </w:r>
      <w:r>
        <w:rPr>
          <w:rFonts w:hint="eastAsia"/>
          <w:color w:val="auto"/>
          <w:u w:val="single"/>
        </w:rPr>
        <w:t>但是处理场内现有调节池因建设年代较长，防渗和雨污分流措施较差，需要对其进行升级改造，重新铺设防渗结构层并进行加盖密闭。</w:t>
      </w:r>
    </w:p>
    <w:p>
      <w:pPr>
        <w:ind w:firstLine="560" w:firstLineChars="200"/>
        <w:rPr>
          <w:rFonts w:hint="eastAsia"/>
          <w:color w:val="auto"/>
          <w:u w:val="single"/>
          <w:lang w:val="en-US" w:eastAsia="zh-CN"/>
        </w:rPr>
      </w:pPr>
      <w:r>
        <w:rPr>
          <w:rFonts w:hint="eastAsia"/>
          <w:color w:val="auto"/>
          <w:u w:val="single"/>
          <w:lang w:val="en-US" w:eastAsia="zh-CN"/>
        </w:rPr>
        <w:t>为改善周边居民生活环境质量，防止渗漏造成环境污染，同时，解决现有场区内雨污分流不彻底、渗滤液导排不通、作业不规范、堆体不规范等问题，封场前须进行防渗提质改造。</w:t>
      </w:r>
      <w:r>
        <w:rPr>
          <w:rFonts w:hint="eastAsia"/>
          <w:color w:val="auto"/>
          <w:u w:val="single"/>
        </w:rPr>
        <w:t>市政府《关于印发《2016年市政府重点工作任务分解》的通知》要求，确定了花果畈垃圾场防渗提质改造工程</w:t>
      </w:r>
      <w:r>
        <w:rPr>
          <w:rFonts w:hint="eastAsia"/>
          <w:color w:val="auto"/>
          <w:u w:val="single"/>
          <w:lang w:eastAsia="zh-CN"/>
        </w:rPr>
        <w:t>。</w:t>
      </w:r>
    </w:p>
    <w:p>
      <w:pPr>
        <w:ind w:firstLine="560" w:firstLineChars="200"/>
        <w:rPr>
          <w:rFonts w:hint="eastAsia"/>
          <w:color w:val="auto"/>
          <w:u w:val="single"/>
        </w:rPr>
      </w:pPr>
      <w:r>
        <w:rPr>
          <w:rFonts w:hint="eastAsia"/>
          <w:color w:val="auto"/>
          <w:u w:val="single"/>
          <w:lang w:eastAsia="zh-CN"/>
        </w:rPr>
        <w:t>同时，</w:t>
      </w:r>
      <w:r>
        <w:rPr>
          <w:rFonts w:hint="eastAsia"/>
          <w:color w:val="auto"/>
          <w:u w:val="single"/>
        </w:rPr>
        <w:t>岳阳市正在实施转变以填埋为主的生活垃圾处理方式，目前正在积极筹建生活垃圾焚烧发电厂</w:t>
      </w:r>
      <w:r>
        <w:rPr>
          <w:rFonts w:hint="eastAsia"/>
          <w:color w:val="auto"/>
          <w:u w:val="single"/>
          <w:lang w:eastAsia="zh-CN"/>
        </w:rPr>
        <w:t>，该发电厂</w:t>
      </w:r>
      <w:r>
        <w:rPr>
          <w:rFonts w:hint="eastAsia"/>
          <w:color w:val="auto"/>
          <w:u w:val="single"/>
        </w:rPr>
        <w:t>已经办理完国土、规划、环保、节能等前期手续，正在开展征地拆迁工作</w:t>
      </w:r>
      <w:r>
        <w:rPr>
          <w:rFonts w:hint="eastAsia"/>
          <w:color w:val="auto"/>
          <w:u w:val="single"/>
          <w:lang w:eastAsia="zh-CN"/>
        </w:rPr>
        <w:t>，</w:t>
      </w:r>
      <w:r>
        <w:rPr>
          <w:rFonts w:hint="eastAsia"/>
          <w:color w:val="auto"/>
          <w:u w:val="single"/>
        </w:rPr>
        <w:t>但由于征地拆迁工作繁琐，且垃圾焚烧发电厂的建设周期较长</w:t>
      </w:r>
      <w:r>
        <w:rPr>
          <w:rFonts w:hint="eastAsia"/>
          <w:color w:val="auto"/>
          <w:u w:val="single"/>
          <w:lang w:eastAsia="zh-CN"/>
        </w:rPr>
        <w:t>，</w:t>
      </w:r>
      <w:r>
        <w:rPr>
          <w:rFonts w:hint="eastAsia"/>
          <w:color w:val="auto"/>
          <w:u w:val="single"/>
        </w:rPr>
        <w:t>预计今后2-3年内无法投入运营。</w:t>
      </w:r>
      <w:r>
        <w:rPr>
          <w:rFonts w:hint="eastAsia"/>
          <w:color w:val="auto"/>
          <w:u w:val="single"/>
          <w:lang w:eastAsia="zh-CN"/>
        </w:rPr>
        <w:t>因此</w:t>
      </w:r>
      <w:r>
        <w:rPr>
          <w:rFonts w:hint="eastAsia"/>
          <w:color w:val="auto"/>
          <w:u w:val="single"/>
        </w:rPr>
        <w:t>，在岳阳市生活垃圾焚烧处理厂</w:t>
      </w:r>
      <w:r>
        <w:rPr>
          <w:rFonts w:hint="eastAsia"/>
          <w:color w:val="auto"/>
          <w:u w:val="single"/>
          <w:lang w:eastAsia="zh-CN"/>
        </w:rPr>
        <w:t>未</w:t>
      </w:r>
      <w:r>
        <w:rPr>
          <w:rFonts w:hint="eastAsia"/>
          <w:color w:val="auto"/>
          <w:u w:val="single"/>
        </w:rPr>
        <w:t>建成前</w:t>
      </w:r>
      <w:r>
        <w:rPr>
          <w:rFonts w:hint="eastAsia"/>
          <w:color w:val="auto"/>
          <w:u w:val="single"/>
          <w:lang w:eastAsia="zh-CN"/>
        </w:rPr>
        <w:t>、</w:t>
      </w:r>
      <w:r>
        <w:rPr>
          <w:rFonts w:hint="eastAsia"/>
          <w:color w:val="auto"/>
          <w:u w:val="single"/>
        </w:rPr>
        <w:t>花果畈垃圾处理场</w:t>
      </w:r>
      <w:r>
        <w:rPr>
          <w:rFonts w:hint="eastAsia"/>
          <w:color w:val="auto"/>
          <w:u w:val="single"/>
          <w:lang w:eastAsia="zh-CN"/>
        </w:rPr>
        <w:t>将达到原设计处理总量</w:t>
      </w:r>
      <w:r>
        <w:rPr>
          <w:rFonts w:hint="eastAsia"/>
          <w:color w:val="auto"/>
          <w:u w:val="single"/>
        </w:rPr>
        <w:t>的情况下，</w:t>
      </w:r>
      <w:r>
        <w:rPr>
          <w:rFonts w:hint="eastAsia"/>
          <w:color w:val="auto"/>
          <w:u w:val="single"/>
          <w:lang w:eastAsia="zh-CN"/>
        </w:rPr>
        <w:t>为</w:t>
      </w:r>
      <w:r>
        <w:rPr>
          <w:rFonts w:hint="eastAsia"/>
          <w:color w:val="auto"/>
          <w:u w:val="single"/>
        </w:rPr>
        <w:t>短期内解决</w:t>
      </w:r>
      <w:r>
        <w:rPr>
          <w:rFonts w:hint="eastAsia"/>
          <w:color w:val="auto"/>
          <w:u w:val="single"/>
          <w:lang w:eastAsia="zh-CN"/>
        </w:rPr>
        <w:t>岳阳市</w:t>
      </w:r>
      <w:r>
        <w:rPr>
          <w:rFonts w:hint="eastAsia"/>
          <w:color w:val="auto"/>
          <w:u w:val="single"/>
        </w:rPr>
        <w:t>生活垃圾</w:t>
      </w:r>
      <w:r>
        <w:rPr>
          <w:rFonts w:hint="eastAsia"/>
          <w:color w:val="auto"/>
          <w:u w:val="single"/>
          <w:lang w:eastAsia="zh-CN"/>
        </w:rPr>
        <w:t>进行无害化处理的</w:t>
      </w:r>
      <w:r>
        <w:rPr>
          <w:rFonts w:hint="eastAsia"/>
          <w:color w:val="auto"/>
          <w:u w:val="single"/>
        </w:rPr>
        <w:t>问题，</w:t>
      </w:r>
      <w:r>
        <w:rPr>
          <w:rFonts w:hint="eastAsia"/>
          <w:color w:val="auto"/>
          <w:u w:val="single"/>
          <w:lang w:eastAsia="zh-CN"/>
        </w:rPr>
        <w:t>通过堆体整形、采用膜覆盖替换粘土覆盖等措施，挖掘现有库区潜在库容，实现现有库区有</w:t>
      </w:r>
      <w:r>
        <w:rPr>
          <w:rFonts w:hint="eastAsia"/>
          <w:color w:val="auto"/>
          <w:u w:val="single"/>
          <w:lang w:val="en-US" w:eastAsia="zh-CN"/>
        </w:rPr>
        <w:t>77.3万m</w:t>
      </w:r>
      <w:r>
        <w:rPr>
          <w:rFonts w:hint="eastAsia"/>
          <w:color w:val="auto"/>
          <w:u w:val="single"/>
          <w:vertAlign w:val="superscript"/>
          <w:lang w:val="en-US" w:eastAsia="zh-CN"/>
        </w:rPr>
        <w:t>3</w:t>
      </w:r>
      <w:r>
        <w:rPr>
          <w:rFonts w:hint="eastAsia"/>
          <w:color w:val="auto"/>
          <w:u w:val="single"/>
          <w:lang w:val="en-US" w:eastAsia="zh-CN"/>
        </w:rPr>
        <w:t>的</w:t>
      </w:r>
      <w:r>
        <w:rPr>
          <w:rFonts w:hint="eastAsia"/>
          <w:color w:val="auto"/>
          <w:u w:val="single"/>
          <w:lang w:eastAsia="zh-CN"/>
        </w:rPr>
        <w:t>有效库容</w:t>
      </w:r>
      <w:r>
        <w:rPr>
          <w:rFonts w:hint="eastAsia"/>
          <w:color w:val="auto"/>
          <w:u w:val="single"/>
        </w:rPr>
        <w:t>。</w:t>
      </w:r>
    </w:p>
    <w:p>
      <w:pPr>
        <w:pStyle w:val="4"/>
        <w:rPr>
          <w:rFonts w:hint="eastAsia" w:eastAsia="宋体"/>
          <w:color w:val="auto"/>
          <w:u w:val="single"/>
          <w:lang w:val="en-US" w:eastAsia="zh-CN"/>
        </w:rPr>
      </w:pPr>
      <w:r>
        <w:rPr>
          <w:rFonts w:hint="eastAsia"/>
          <w:color w:val="auto"/>
          <w:u w:val="single"/>
          <w:lang w:val="en-US" w:eastAsia="zh-CN"/>
        </w:rPr>
        <w:t>1.1.2项目建设必要性</w:t>
      </w:r>
    </w:p>
    <w:p>
      <w:pPr>
        <w:ind w:firstLine="560" w:firstLineChars="200"/>
        <w:rPr>
          <w:rFonts w:hint="eastAsia"/>
          <w:color w:val="auto"/>
          <w:u w:val="single"/>
          <w:lang w:val="en-US" w:eastAsia="zh-CN"/>
        </w:rPr>
      </w:pPr>
      <w:r>
        <w:rPr>
          <w:rFonts w:hint="eastAsia"/>
          <w:color w:val="auto"/>
          <w:u w:val="single"/>
          <w:lang w:val="en-US" w:eastAsia="zh-CN"/>
        </w:rPr>
        <w:t>花果畈垃圾处理场运营过程中，周边居民对该垃圾处理场产生的恶臭气味现象反映强烈，对居民生活质量造成了一定的影响；由于2014年南坝加高时，防渗工程未考虑完全，造成新老坝连接处、施工缝处和两侧岩层可能发生渗漏问题，以至于在2016年暴雨期间发现南坝尚有（南侧）分水垅村鱼塘出现水质变黑和死鱼现象；该垃圾处理场已接近封场，为规范、确保封场覆盖层的顺利实施，需确定填埋库区的填埋边界线，为日后封场覆盖层预留空间；同时，为减少封场难度和封场后废水、废气有效的收集处理，防止造成环境污染，花果畈垃圾处理场提质改造势在必行。</w:t>
      </w:r>
    </w:p>
    <w:p>
      <w:pPr>
        <w:ind w:firstLine="560" w:firstLineChars="200"/>
        <w:rPr>
          <w:rFonts w:hint="eastAsia"/>
          <w:color w:val="auto"/>
          <w:u w:val="single"/>
          <w:lang w:val="en-US" w:eastAsia="zh-CN"/>
        </w:rPr>
      </w:pPr>
      <w:r>
        <w:rPr>
          <w:rFonts w:hint="eastAsia"/>
          <w:color w:val="auto"/>
          <w:u w:val="single"/>
          <w:lang w:val="en-US" w:eastAsia="zh-CN"/>
        </w:rPr>
        <w:t>同时，在提质改造过程中，可通过库区边界修整、堆体整形、对现有垃圾堆体进行加高等措施，实现现有库区有77.3万m</w:t>
      </w:r>
      <w:r>
        <w:rPr>
          <w:rFonts w:hint="eastAsia"/>
          <w:color w:val="auto"/>
          <w:u w:val="single"/>
          <w:vertAlign w:val="superscript"/>
          <w:lang w:val="en-US" w:eastAsia="zh-CN"/>
        </w:rPr>
        <w:t>3</w:t>
      </w:r>
      <w:r>
        <w:rPr>
          <w:rFonts w:hint="eastAsia"/>
          <w:color w:val="auto"/>
          <w:u w:val="single"/>
          <w:lang w:val="en-US" w:eastAsia="zh-CN"/>
        </w:rPr>
        <w:t>的有效库容，以有效解决垃圾焚烧发电项目投产前的垃圾填埋处理问题，切实改善周边环境质量。</w:t>
      </w:r>
    </w:p>
    <w:p>
      <w:pPr>
        <w:ind w:firstLine="560" w:firstLineChars="200"/>
        <w:rPr>
          <w:rFonts w:hint="eastAsia"/>
          <w:color w:val="auto"/>
          <w:u w:val="single"/>
        </w:rPr>
      </w:pPr>
    </w:p>
    <w:p>
      <w:pPr>
        <w:ind w:firstLine="560" w:firstLineChars="200"/>
        <w:rPr>
          <w:rFonts w:hint="eastAsia"/>
          <w:color w:val="auto"/>
          <w:u w:val="single"/>
        </w:rPr>
      </w:pPr>
    </w:p>
    <w:p>
      <w:pPr>
        <w:pStyle w:val="3"/>
        <w:rPr>
          <w:rFonts w:hint="eastAsia"/>
          <w:color w:val="auto"/>
          <w:u w:val="single"/>
          <w:lang w:val="en-US" w:eastAsia="zh-CN"/>
        </w:rPr>
      </w:pPr>
      <w:bookmarkStart w:id="2" w:name="_Toc26118"/>
      <w:r>
        <w:rPr>
          <w:rFonts w:hint="eastAsia"/>
          <w:color w:val="auto"/>
          <w:u w:val="single"/>
          <w:lang w:val="en-US" w:eastAsia="zh-CN"/>
        </w:rPr>
        <w:t>1.2环评工作过程</w:t>
      </w:r>
      <w:bookmarkEnd w:id="2"/>
    </w:p>
    <w:p>
      <w:pPr>
        <w:keepNext w:val="0"/>
        <w:keepLines w:val="0"/>
        <w:widowControl/>
        <w:suppressLineNumbers w:val="0"/>
        <w:ind w:left="0" w:leftChars="0" w:firstLine="0" w:firstLineChars="0"/>
        <w:jc w:val="center"/>
        <w:rPr>
          <w:u w:val="single"/>
        </w:rPr>
      </w:pPr>
      <w:r>
        <w:rPr>
          <w:rFonts w:ascii="宋体" w:hAnsi="宋体" w:eastAsia="宋体" w:cs="宋体"/>
          <w:kern w:val="0"/>
          <w:sz w:val="24"/>
          <w:szCs w:val="24"/>
          <w:u w:val="single"/>
          <w:lang w:val="en-US" w:eastAsia="zh-CN" w:bidi="ar"/>
        </w:rPr>
        <w:fldChar w:fldCharType="begin"/>
      </w:r>
      <w:r>
        <w:rPr>
          <w:rFonts w:ascii="宋体" w:hAnsi="宋体" w:eastAsia="宋体" w:cs="宋体"/>
          <w:kern w:val="0"/>
          <w:sz w:val="24"/>
          <w:szCs w:val="24"/>
          <w:u w:val="single"/>
          <w:lang w:val="en-US" w:eastAsia="zh-CN" w:bidi="ar"/>
        </w:rPr>
        <w:instrText xml:space="preserve">INCLUDEPICTURE \d "C:\\Documents and Settings\\Administrator\\Application Data\\Tencent\\Users\\421461817\\QQ\\WinTemp\\RichOle\\TG6LMTKLA{M_PEHT7JQ{@@6.png" \* MERGEFORMATINET </w:instrText>
      </w:r>
      <w:r>
        <w:rPr>
          <w:rFonts w:ascii="宋体" w:hAnsi="宋体" w:eastAsia="宋体" w:cs="宋体"/>
          <w:kern w:val="0"/>
          <w:sz w:val="24"/>
          <w:szCs w:val="24"/>
          <w:u w:val="single"/>
          <w:lang w:val="en-US" w:eastAsia="zh-CN" w:bidi="ar"/>
        </w:rPr>
        <w:fldChar w:fldCharType="separate"/>
      </w:r>
      <w:r>
        <w:rPr>
          <w:rFonts w:ascii="宋体" w:hAnsi="宋体" w:eastAsia="宋体" w:cs="宋体"/>
          <w:kern w:val="0"/>
          <w:sz w:val="24"/>
          <w:szCs w:val="24"/>
          <w:u w:val="single"/>
          <w:lang w:val="en-US" w:eastAsia="zh-CN" w:bidi="ar"/>
        </w:rPr>
        <w:drawing>
          <wp:inline distT="0" distB="0" distL="114300" distR="114300">
            <wp:extent cx="5698490" cy="5427345"/>
            <wp:effectExtent l="0" t="0" r="16510" b="1905"/>
            <wp:docPr id="38"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7" descr="IMG_256"/>
                    <pic:cNvPicPr>
                      <a:picLocks noChangeAspect="1"/>
                    </pic:cNvPicPr>
                  </pic:nvPicPr>
                  <pic:blipFill>
                    <a:blip r:embed="rId6"/>
                    <a:stretch>
                      <a:fillRect/>
                    </a:stretch>
                  </pic:blipFill>
                  <pic:spPr>
                    <a:xfrm>
                      <a:off x="0" y="0"/>
                      <a:ext cx="5698490" cy="5427345"/>
                    </a:xfrm>
                    <a:prstGeom prst="rect">
                      <a:avLst/>
                    </a:prstGeom>
                    <a:noFill/>
                    <a:ln w="9525">
                      <a:noFill/>
                    </a:ln>
                  </pic:spPr>
                </pic:pic>
              </a:graphicData>
            </a:graphic>
          </wp:inline>
        </w:drawing>
      </w:r>
      <w:r>
        <w:rPr>
          <w:rFonts w:ascii="宋体" w:hAnsi="宋体" w:eastAsia="宋体" w:cs="宋体"/>
          <w:kern w:val="0"/>
          <w:sz w:val="24"/>
          <w:szCs w:val="24"/>
          <w:u w:val="single"/>
          <w:lang w:val="en-US" w:eastAsia="zh-CN" w:bidi="ar"/>
        </w:rPr>
        <w:fldChar w:fldCharType="end"/>
      </w:r>
    </w:p>
    <w:p>
      <w:pPr>
        <w:ind w:left="0" w:leftChars="0" w:firstLine="0" w:firstLineChars="0"/>
        <w:jc w:val="center"/>
        <w:rPr>
          <w:rFonts w:hint="eastAsia"/>
          <w:u w:val="single"/>
          <w:lang w:val="en-US" w:eastAsia="zh-CN"/>
        </w:rPr>
      </w:pPr>
      <w:r>
        <w:rPr>
          <w:rFonts w:hint="eastAsia"/>
          <w:u w:val="single"/>
          <w:lang w:val="en-US" w:eastAsia="zh-CN"/>
        </w:rPr>
        <w:t>评价工作过程图</w:t>
      </w:r>
    </w:p>
    <w:p>
      <w:pPr>
        <w:pStyle w:val="3"/>
        <w:rPr>
          <w:rFonts w:hint="eastAsia"/>
          <w:u w:val="single"/>
          <w:lang w:val="en-US" w:eastAsia="zh-CN"/>
        </w:rPr>
      </w:pPr>
      <w:bookmarkStart w:id="3" w:name="_Toc31024"/>
      <w:r>
        <w:rPr>
          <w:rFonts w:hint="eastAsia"/>
          <w:u w:val="single"/>
          <w:lang w:val="en-US" w:eastAsia="zh-CN"/>
        </w:rPr>
        <w:t>1.3主要环境问题及影响</w:t>
      </w:r>
      <w:bookmarkEnd w:id="3"/>
    </w:p>
    <w:p>
      <w:pPr>
        <w:numPr>
          <w:ilvl w:val="0"/>
          <w:numId w:val="2"/>
        </w:numPr>
        <w:rPr>
          <w:rFonts w:hint="eastAsia"/>
          <w:u w:val="single"/>
          <w:lang w:val="en-US" w:eastAsia="zh-CN"/>
        </w:rPr>
      </w:pPr>
      <w:r>
        <w:rPr>
          <w:rFonts w:hint="eastAsia"/>
          <w:u w:val="single"/>
          <w:lang w:val="en-US" w:eastAsia="zh-CN"/>
        </w:rPr>
        <w:t>花果畈垃圾处理场现有工程存在哪些环境问题；</w:t>
      </w:r>
    </w:p>
    <w:p>
      <w:pPr>
        <w:numPr>
          <w:ilvl w:val="0"/>
          <w:numId w:val="2"/>
        </w:numPr>
        <w:rPr>
          <w:rFonts w:hint="eastAsia"/>
          <w:u w:val="single"/>
          <w:lang w:val="en-US" w:eastAsia="zh-CN"/>
        </w:rPr>
      </w:pPr>
      <w:r>
        <w:rPr>
          <w:rFonts w:hint="eastAsia"/>
          <w:u w:val="single"/>
          <w:lang w:val="en-US" w:eastAsia="zh-CN"/>
        </w:rPr>
        <w:t>花果畈垃圾处理场环境质量现状情况；</w:t>
      </w:r>
    </w:p>
    <w:p>
      <w:pPr>
        <w:numPr>
          <w:ilvl w:val="0"/>
          <w:numId w:val="2"/>
        </w:numPr>
        <w:rPr>
          <w:rFonts w:hint="eastAsia"/>
          <w:u w:val="single"/>
          <w:lang w:val="en-US" w:eastAsia="zh-CN"/>
        </w:rPr>
      </w:pPr>
      <w:r>
        <w:rPr>
          <w:rFonts w:hint="eastAsia"/>
          <w:u w:val="single"/>
          <w:lang w:val="en-US" w:eastAsia="zh-CN"/>
        </w:rPr>
        <w:t>花果畈垃圾处理场提质改造后对环境的影响；</w:t>
      </w:r>
    </w:p>
    <w:p>
      <w:pPr>
        <w:pStyle w:val="3"/>
        <w:rPr>
          <w:rFonts w:hint="eastAsia"/>
          <w:u w:val="single"/>
          <w:lang w:val="en-US" w:eastAsia="zh-CN"/>
        </w:rPr>
      </w:pPr>
      <w:bookmarkStart w:id="4" w:name="_Toc29379"/>
      <w:r>
        <w:rPr>
          <w:rFonts w:hint="eastAsia"/>
          <w:u w:val="single"/>
          <w:lang w:val="en-US" w:eastAsia="zh-CN"/>
        </w:rPr>
        <w:t>1.4主要结论</w:t>
      </w:r>
      <w:bookmarkEnd w:id="4"/>
    </w:p>
    <w:p>
      <w:pPr>
        <w:rPr>
          <w:rFonts w:hint="eastAsia"/>
          <w:u w:val="single"/>
          <w:lang w:val="en-US" w:eastAsia="zh-CN"/>
        </w:rPr>
        <w:sectPr>
          <w:footerReference r:id="rId3" w:type="default"/>
          <w:pgSz w:w="11906" w:h="16838"/>
          <w:pgMar w:top="1440" w:right="1800" w:bottom="1440" w:left="1800" w:header="851" w:footer="992" w:gutter="0"/>
          <w:pgNumType w:fmt="decimal" w:start="1"/>
          <w:cols w:space="425" w:num="1"/>
          <w:docGrid w:type="lines" w:linePitch="312" w:charSpace="0"/>
        </w:sectPr>
      </w:pPr>
      <w:r>
        <w:rPr>
          <w:rFonts w:hint="eastAsia"/>
          <w:color w:val="auto"/>
          <w:u w:val="single"/>
          <w:lang w:val="en-US" w:eastAsia="zh-CN"/>
        </w:rPr>
        <w:t>花果贩生活垃圾填埋场防渗提质改造工程选址符合规划，建设符合国家相关产业政策。项目废气、废水、固废、噪声等采取相应措施后符合污染物达标排放要求和区域环境质量要求。在做好各项环保措施和环境管理要求、风险应急预案的前提下，从环境保护的角度分析，项目建设是可行的。</w:t>
      </w:r>
    </w:p>
    <w:p>
      <w:pPr>
        <w:pStyle w:val="2"/>
        <w:rPr>
          <w:rFonts w:hint="eastAsia"/>
          <w:lang w:val="en-US" w:eastAsia="zh-CN"/>
        </w:rPr>
      </w:pPr>
      <w:bookmarkStart w:id="5" w:name="_Toc4806"/>
      <w:r>
        <w:rPr>
          <w:rFonts w:hint="eastAsia"/>
          <w:lang w:val="en-US" w:eastAsia="zh-CN"/>
        </w:rPr>
        <w:t>2、总则</w:t>
      </w:r>
      <w:bookmarkEnd w:id="5"/>
    </w:p>
    <w:p>
      <w:pPr>
        <w:pStyle w:val="3"/>
        <w:rPr>
          <w:rFonts w:hint="eastAsia"/>
          <w:color w:val="auto"/>
          <w:u w:val="single"/>
          <w:lang w:val="en-US" w:eastAsia="zh-CN"/>
        </w:rPr>
      </w:pPr>
      <w:bookmarkStart w:id="6" w:name="_Toc23220"/>
      <w:r>
        <w:rPr>
          <w:rFonts w:hint="eastAsia"/>
          <w:color w:val="auto"/>
          <w:u w:val="single"/>
          <w:lang w:val="en-US" w:eastAsia="zh-CN"/>
        </w:rPr>
        <w:t>2.1编制依据</w:t>
      </w:r>
      <w:bookmarkEnd w:id="6"/>
    </w:p>
    <w:p>
      <w:pPr>
        <w:pStyle w:val="4"/>
        <w:rPr>
          <w:rFonts w:hint="eastAsia"/>
          <w:color w:val="auto"/>
          <w:u w:val="single"/>
          <w:lang w:val="en-US" w:eastAsia="zh-CN"/>
        </w:rPr>
      </w:pPr>
      <w:r>
        <w:rPr>
          <w:rFonts w:hint="eastAsia"/>
          <w:color w:val="auto"/>
          <w:u w:val="single"/>
          <w:lang w:val="en-US" w:eastAsia="zh-CN"/>
        </w:rPr>
        <w:t>2.1.1国家法律、法规、政策</w:t>
      </w:r>
    </w:p>
    <w:p>
      <w:pPr>
        <w:rPr>
          <w:color w:val="auto"/>
          <w:u w:val="single"/>
        </w:rPr>
      </w:pPr>
      <w:r>
        <w:rPr>
          <w:rFonts w:hint="eastAsia"/>
          <w:color w:val="auto"/>
          <w:u w:val="single"/>
          <w:lang w:val="en-US" w:eastAsia="zh-CN"/>
        </w:rPr>
        <w:t>1、</w:t>
      </w:r>
      <w:r>
        <w:rPr>
          <w:color w:val="auto"/>
          <w:u w:val="single"/>
        </w:rPr>
        <w:t>《中华人民共和国环境保护法》，</w:t>
      </w:r>
      <w:r>
        <w:rPr>
          <w:color w:val="auto"/>
          <w:u w:val="single"/>
          <w:lang w:eastAsia="zh-CN"/>
        </w:rPr>
        <w:t>2015</w:t>
      </w:r>
      <w:r>
        <w:rPr>
          <w:color w:val="auto"/>
          <w:u w:val="single"/>
        </w:rPr>
        <w:t>年1月；</w:t>
      </w:r>
    </w:p>
    <w:p>
      <w:pPr>
        <w:rPr>
          <w:color w:val="auto"/>
          <w:u w:val="single"/>
        </w:rPr>
      </w:pPr>
      <w:r>
        <w:rPr>
          <w:rFonts w:hint="eastAsia"/>
          <w:color w:val="auto"/>
          <w:u w:val="single"/>
          <w:lang w:val="en-US" w:eastAsia="zh-CN"/>
        </w:rPr>
        <w:t>2</w:t>
      </w:r>
      <w:r>
        <w:rPr>
          <w:color w:val="auto"/>
          <w:u w:val="single"/>
        </w:rPr>
        <w:t>、《中华人民共和国环境影响评价法》，20</w:t>
      </w:r>
      <w:r>
        <w:rPr>
          <w:rFonts w:hint="eastAsia"/>
          <w:color w:val="auto"/>
          <w:u w:val="single"/>
          <w:lang w:val="en-US" w:eastAsia="zh-CN"/>
        </w:rPr>
        <w:t>16</w:t>
      </w:r>
      <w:r>
        <w:rPr>
          <w:color w:val="auto"/>
          <w:u w:val="single"/>
        </w:rPr>
        <w:t>年9月1日起实施；</w:t>
      </w:r>
    </w:p>
    <w:p>
      <w:pPr>
        <w:rPr>
          <w:color w:val="auto"/>
          <w:u w:val="single"/>
        </w:rPr>
      </w:pPr>
      <w:r>
        <w:rPr>
          <w:rFonts w:hint="eastAsia"/>
          <w:color w:val="auto"/>
          <w:u w:val="single"/>
          <w:lang w:val="en-US" w:eastAsia="zh-CN"/>
        </w:rPr>
        <w:t>3</w:t>
      </w:r>
      <w:r>
        <w:rPr>
          <w:color w:val="auto"/>
          <w:u w:val="single"/>
        </w:rPr>
        <w:t>、《中华人民共和国大气污染防治法》2016年1月1日起实施；</w:t>
      </w:r>
    </w:p>
    <w:p>
      <w:pPr>
        <w:rPr>
          <w:color w:val="auto"/>
          <w:u w:val="single"/>
        </w:rPr>
      </w:pPr>
      <w:r>
        <w:rPr>
          <w:rFonts w:hint="eastAsia"/>
          <w:color w:val="auto"/>
          <w:u w:val="single"/>
          <w:lang w:val="en-US" w:eastAsia="zh-CN"/>
        </w:rPr>
        <w:t>4</w:t>
      </w:r>
      <w:r>
        <w:rPr>
          <w:color w:val="auto"/>
          <w:u w:val="single"/>
        </w:rPr>
        <w:t>、《中华人民共和国水污染防治法》，2008年8月；</w:t>
      </w:r>
    </w:p>
    <w:p>
      <w:pPr>
        <w:rPr>
          <w:color w:val="auto"/>
          <w:u w:val="single"/>
        </w:rPr>
      </w:pPr>
      <w:r>
        <w:rPr>
          <w:rFonts w:hint="eastAsia"/>
          <w:color w:val="auto"/>
          <w:u w:val="single"/>
          <w:lang w:val="en-US" w:eastAsia="zh-CN"/>
        </w:rPr>
        <w:t>5</w:t>
      </w:r>
      <w:r>
        <w:rPr>
          <w:color w:val="auto"/>
          <w:u w:val="single"/>
        </w:rPr>
        <w:t>、《中华人民共和国固体废物污染环境防治法》</w:t>
      </w:r>
      <w:r>
        <w:rPr>
          <w:rFonts w:hint="eastAsia"/>
          <w:color w:val="auto"/>
          <w:u w:val="single"/>
          <w:lang w:eastAsia="zh-CN"/>
        </w:rPr>
        <w:t>（</w:t>
      </w:r>
      <w:r>
        <w:rPr>
          <w:rFonts w:hint="eastAsia"/>
          <w:color w:val="auto"/>
          <w:u w:val="single"/>
          <w:lang w:val="en-US" w:eastAsia="zh-CN"/>
        </w:rPr>
        <w:t>2015年修订</w:t>
      </w:r>
      <w:r>
        <w:rPr>
          <w:rFonts w:hint="eastAsia"/>
          <w:color w:val="auto"/>
          <w:u w:val="single"/>
          <w:lang w:eastAsia="zh-CN"/>
        </w:rPr>
        <w:t>）</w:t>
      </w:r>
      <w:r>
        <w:rPr>
          <w:color w:val="auto"/>
          <w:u w:val="single"/>
        </w:rPr>
        <w:t>，</w:t>
      </w:r>
      <w:r>
        <w:rPr>
          <w:rFonts w:hint="eastAsia"/>
          <w:color w:val="auto"/>
          <w:u w:val="single"/>
          <w:lang w:val="en-US" w:eastAsia="zh-CN"/>
        </w:rPr>
        <w:t>2015年4月24日修订并实施</w:t>
      </w:r>
      <w:r>
        <w:rPr>
          <w:color w:val="auto"/>
          <w:u w:val="single"/>
        </w:rPr>
        <w:t>；</w:t>
      </w:r>
    </w:p>
    <w:p>
      <w:pPr>
        <w:rPr>
          <w:color w:val="auto"/>
          <w:u w:val="single"/>
        </w:rPr>
      </w:pPr>
      <w:r>
        <w:rPr>
          <w:rFonts w:hint="eastAsia"/>
          <w:color w:val="auto"/>
          <w:u w:val="single"/>
          <w:lang w:val="en-US" w:eastAsia="zh-CN"/>
        </w:rPr>
        <w:t>6</w:t>
      </w:r>
      <w:r>
        <w:rPr>
          <w:color w:val="auto"/>
          <w:u w:val="single"/>
        </w:rPr>
        <w:t>、《中华人民共和国环境噪声污染防治法》，1996年10月；</w:t>
      </w:r>
    </w:p>
    <w:p>
      <w:pPr>
        <w:rPr>
          <w:color w:val="auto"/>
          <w:u w:val="single"/>
        </w:rPr>
      </w:pPr>
      <w:r>
        <w:rPr>
          <w:rFonts w:hint="eastAsia"/>
          <w:color w:val="auto"/>
          <w:u w:val="single"/>
          <w:lang w:val="en-US" w:eastAsia="zh-CN"/>
        </w:rPr>
        <w:t>7</w:t>
      </w:r>
      <w:r>
        <w:rPr>
          <w:color w:val="auto"/>
          <w:u w:val="single"/>
        </w:rPr>
        <w:t>、《中华人民共和国清洁生产促进法》，20</w:t>
      </w:r>
      <w:r>
        <w:rPr>
          <w:rFonts w:hint="eastAsia"/>
          <w:color w:val="auto"/>
          <w:u w:val="single"/>
          <w:lang w:val="en-US" w:eastAsia="zh-CN"/>
        </w:rPr>
        <w:t>1</w:t>
      </w:r>
      <w:r>
        <w:rPr>
          <w:color w:val="auto"/>
          <w:u w:val="single"/>
        </w:rPr>
        <w:t>2年</w:t>
      </w:r>
      <w:r>
        <w:rPr>
          <w:rFonts w:hint="eastAsia"/>
          <w:color w:val="auto"/>
          <w:u w:val="single"/>
          <w:lang w:val="en-US" w:eastAsia="zh-CN"/>
        </w:rPr>
        <w:t>7</w:t>
      </w:r>
      <w:r>
        <w:rPr>
          <w:color w:val="auto"/>
          <w:u w:val="single"/>
        </w:rPr>
        <w:t>月；</w:t>
      </w:r>
    </w:p>
    <w:p>
      <w:pPr>
        <w:rPr>
          <w:color w:val="auto"/>
          <w:u w:val="single"/>
        </w:rPr>
      </w:pPr>
      <w:r>
        <w:rPr>
          <w:rFonts w:hint="eastAsia"/>
          <w:color w:val="auto"/>
          <w:u w:val="single"/>
          <w:lang w:val="en-US" w:eastAsia="zh-CN"/>
        </w:rPr>
        <w:t>8</w:t>
      </w:r>
      <w:r>
        <w:rPr>
          <w:color w:val="auto"/>
          <w:u w:val="single"/>
        </w:rPr>
        <w:t>、《建设项目环境保护管理条例》，中华人民共和国国务院令第253号，1998年11月；</w:t>
      </w:r>
    </w:p>
    <w:p>
      <w:pPr>
        <w:rPr>
          <w:color w:val="auto"/>
          <w:u w:val="single"/>
        </w:rPr>
      </w:pPr>
      <w:r>
        <w:rPr>
          <w:rFonts w:hint="eastAsia"/>
          <w:color w:val="auto"/>
          <w:u w:val="single"/>
          <w:lang w:val="en-US" w:eastAsia="zh-CN"/>
        </w:rPr>
        <w:t>9</w:t>
      </w:r>
      <w:r>
        <w:rPr>
          <w:color w:val="auto"/>
          <w:u w:val="single"/>
        </w:rPr>
        <w:t>、中华人民共和国环境保护总局公告2006年第51号《关于进一步加强环境影响评价管理工作的通知》，2006.9.12；</w:t>
      </w:r>
    </w:p>
    <w:p>
      <w:pPr>
        <w:rPr>
          <w:color w:val="auto"/>
          <w:u w:val="single"/>
        </w:rPr>
      </w:pPr>
      <w:r>
        <w:rPr>
          <w:color w:val="auto"/>
          <w:u w:val="single"/>
        </w:rPr>
        <w:t>1</w:t>
      </w:r>
      <w:r>
        <w:rPr>
          <w:rFonts w:hint="eastAsia"/>
          <w:color w:val="auto"/>
          <w:u w:val="single"/>
          <w:lang w:val="en-US" w:eastAsia="zh-CN"/>
        </w:rPr>
        <w:t>0</w:t>
      </w:r>
      <w:r>
        <w:rPr>
          <w:color w:val="auto"/>
          <w:u w:val="single"/>
        </w:rPr>
        <w:t>、《国务院关于落实科学发展观，加强环境保护的决定(国发〔2005〕39号)》国务院；</w:t>
      </w:r>
    </w:p>
    <w:p>
      <w:pPr>
        <w:rPr>
          <w:color w:val="auto"/>
          <w:u w:val="single"/>
          <w:lang w:eastAsia="zh-CN"/>
        </w:rPr>
      </w:pPr>
      <w:r>
        <w:rPr>
          <w:color w:val="auto"/>
          <w:u w:val="single"/>
        </w:rPr>
        <w:t>1</w:t>
      </w:r>
      <w:r>
        <w:rPr>
          <w:rFonts w:hint="eastAsia"/>
          <w:color w:val="auto"/>
          <w:u w:val="single"/>
          <w:lang w:val="en-US" w:eastAsia="zh-CN"/>
        </w:rPr>
        <w:t>2</w:t>
      </w:r>
      <w:r>
        <w:rPr>
          <w:color w:val="auto"/>
          <w:u w:val="single"/>
        </w:rPr>
        <w:t>、《产业结构调整指导目录（2011年本）》2013年修定；</w:t>
      </w:r>
    </w:p>
    <w:p>
      <w:pPr>
        <w:rPr>
          <w:color w:val="auto"/>
          <w:u w:val="single"/>
        </w:rPr>
      </w:pPr>
      <w:r>
        <w:rPr>
          <w:color w:val="auto"/>
          <w:u w:val="single"/>
        </w:rPr>
        <w:t>1</w:t>
      </w:r>
      <w:r>
        <w:rPr>
          <w:rFonts w:hint="eastAsia"/>
          <w:color w:val="auto"/>
          <w:u w:val="single"/>
          <w:lang w:val="en-US" w:eastAsia="zh-CN"/>
        </w:rPr>
        <w:t>3</w:t>
      </w:r>
      <w:r>
        <w:rPr>
          <w:color w:val="auto"/>
          <w:u w:val="single"/>
        </w:rPr>
        <w:t>、《关于&lt;关于加强工业节水工作的意见&gt;的通知》国家经贸委等六部委国经贸资源［2000］1015号；</w:t>
      </w:r>
    </w:p>
    <w:p>
      <w:pPr>
        <w:rPr>
          <w:color w:val="auto"/>
          <w:u w:val="single"/>
        </w:rPr>
      </w:pPr>
      <w:r>
        <w:rPr>
          <w:rFonts w:hint="eastAsia"/>
          <w:color w:val="auto"/>
          <w:u w:val="single"/>
          <w:lang w:val="en-US" w:eastAsia="zh-CN"/>
        </w:rPr>
        <w:t>14</w:t>
      </w:r>
      <w:r>
        <w:rPr>
          <w:color w:val="auto"/>
          <w:u w:val="single"/>
        </w:rPr>
        <w:t>、环境保护部令第33号《建设项目环境影响评价分类管理名录》（2015年6月1日起施行）；</w:t>
      </w:r>
    </w:p>
    <w:p>
      <w:pPr>
        <w:rPr>
          <w:color w:val="auto"/>
          <w:u w:val="single"/>
        </w:rPr>
      </w:pPr>
      <w:r>
        <w:rPr>
          <w:rFonts w:hint="eastAsia"/>
          <w:color w:val="auto"/>
          <w:u w:val="single"/>
          <w:lang w:val="en-US" w:eastAsia="zh-CN"/>
        </w:rPr>
        <w:t>15</w:t>
      </w:r>
      <w:r>
        <w:rPr>
          <w:color w:val="auto"/>
          <w:u w:val="single"/>
        </w:rPr>
        <w:t>、《关于贯彻落实&lt;清洁生产促进法&gt;的若干意见》国家环保局环发[2003]60号；</w:t>
      </w:r>
    </w:p>
    <w:p>
      <w:pPr>
        <w:rPr>
          <w:color w:val="auto"/>
          <w:u w:val="single"/>
        </w:rPr>
      </w:pPr>
      <w:r>
        <w:rPr>
          <w:rFonts w:hint="eastAsia"/>
          <w:color w:val="auto"/>
          <w:u w:val="single"/>
          <w:lang w:val="en-US" w:eastAsia="zh-CN"/>
        </w:rPr>
        <w:t>16</w:t>
      </w:r>
      <w:r>
        <w:rPr>
          <w:color w:val="auto"/>
          <w:u w:val="single"/>
        </w:rPr>
        <w:t>、中华人民共和国建设部建城[2000]120号《城市生活垃圾处理及污染防治技术政策》，2000.05.29。</w:t>
      </w:r>
    </w:p>
    <w:p>
      <w:pPr>
        <w:rPr>
          <w:color w:val="auto"/>
          <w:u w:val="single"/>
          <w:lang w:eastAsia="zh-CN"/>
        </w:rPr>
      </w:pPr>
      <w:r>
        <w:rPr>
          <w:rFonts w:hint="eastAsia"/>
          <w:color w:val="auto"/>
          <w:u w:val="single"/>
          <w:lang w:val="en-US" w:eastAsia="zh-CN"/>
        </w:rPr>
        <w:t>17</w:t>
      </w:r>
      <w:r>
        <w:rPr>
          <w:color w:val="auto"/>
          <w:u w:val="single"/>
        </w:rPr>
        <w:t>、《大气污染防治行动计划》国发〔2013〕37号；</w:t>
      </w:r>
    </w:p>
    <w:p>
      <w:pPr>
        <w:rPr>
          <w:color w:val="auto"/>
          <w:u w:val="single"/>
          <w:lang w:eastAsia="zh-CN"/>
        </w:rPr>
      </w:pPr>
      <w:r>
        <w:rPr>
          <w:rFonts w:hint="eastAsia"/>
          <w:color w:val="auto"/>
          <w:u w:val="single"/>
          <w:lang w:val="en-US" w:eastAsia="zh-CN"/>
        </w:rPr>
        <w:t>18</w:t>
      </w:r>
      <w:r>
        <w:rPr>
          <w:color w:val="auto"/>
          <w:u w:val="single"/>
        </w:rPr>
        <w:t>、</w:t>
      </w:r>
      <w:r>
        <w:rPr>
          <w:color w:val="auto"/>
          <w:u w:val="single"/>
          <w:lang w:eastAsia="zh-CN"/>
        </w:rPr>
        <w:t>《水污染防治行动计划》</w:t>
      </w:r>
      <w:r>
        <w:rPr>
          <w:color w:val="auto"/>
          <w:u w:val="single"/>
        </w:rPr>
        <w:t>国发〔201</w:t>
      </w:r>
      <w:r>
        <w:rPr>
          <w:color w:val="auto"/>
          <w:u w:val="single"/>
          <w:lang w:eastAsia="zh-CN"/>
        </w:rPr>
        <w:t>5</w:t>
      </w:r>
      <w:r>
        <w:rPr>
          <w:color w:val="auto"/>
          <w:u w:val="single"/>
        </w:rPr>
        <w:t>〕</w:t>
      </w:r>
      <w:r>
        <w:rPr>
          <w:color w:val="auto"/>
          <w:u w:val="single"/>
          <w:lang w:eastAsia="zh-CN"/>
        </w:rPr>
        <w:t>1</w:t>
      </w:r>
      <w:r>
        <w:rPr>
          <w:color w:val="auto"/>
          <w:u w:val="single"/>
        </w:rPr>
        <w:t>7号；</w:t>
      </w:r>
    </w:p>
    <w:p>
      <w:pPr>
        <w:rPr>
          <w:color w:val="auto"/>
          <w:u w:val="single"/>
        </w:rPr>
      </w:pPr>
      <w:r>
        <w:rPr>
          <w:rFonts w:hint="eastAsia"/>
          <w:color w:val="auto"/>
          <w:u w:val="single"/>
          <w:lang w:val="en-US" w:eastAsia="zh-CN"/>
        </w:rPr>
        <w:t>19</w:t>
      </w:r>
      <w:r>
        <w:rPr>
          <w:color w:val="auto"/>
          <w:u w:val="single"/>
        </w:rPr>
        <w:t>、 《关于切实加强风险防范严格环境影响评价管理的通知》环发[2012]第98号</w:t>
      </w:r>
      <w:r>
        <w:rPr>
          <w:rFonts w:hint="eastAsia"/>
          <w:color w:val="auto"/>
          <w:u w:val="single"/>
          <w:lang w:eastAsia="zh-CN"/>
        </w:rPr>
        <w:t>。</w:t>
      </w:r>
    </w:p>
    <w:p>
      <w:pPr>
        <w:rPr>
          <w:color w:val="auto"/>
          <w:u w:val="single"/>
          <w:lang w:eastAsia="zh-CN"/>
        </w:rPr>
      </w:pPr>
      <w:r>
        <w:rPr>
          <w:color w:val="auto"/>
          <w:u w:val="single"/>
        </w:rPr>
        <w:t>2</w:t>
      </w:r>
      <w:r>
        <w:rPr>
          <w:rFonts w:hint="eastAsia"/>
          <w:color w:val="auto"/>
          <w:u w:val="single"/>
          <w:lang w:val="en-US" w:eastAsia="zh-CN"/>
        </w:rPr>
        <w:t>0</w:t>
      </w:r>
      <w:r>
        <w:rPr>
          <w:color w:val="auto"/>
          <w:u w:val="single"/>
        </w:rPr>
        <w:t>、</w:t>
      </w:r>
      <w:r>
        <w:rPr>
          <w:rFonts w:hint="eastAsia"/>
          <w:color w:val="auto"/>
          <w:u w:val="single"/>
          <w:lang w:eastAsia="zh-CN"/>
        </w:rPr>
        <w:t>国家发展改革委住房城乡建设部</w:t>
      </w:r>
      <w:r>
        <w:rPr>
          <w:color w:val="auto"/>
          <w:u w:val="single"/>
        </w:rPr>
        <w:t>关于印发</w:t>
      </w:r>
      <w:r>
        <w:rPr>
          <w:rFonts w:hint="eastAsia"/>
          <w:color w:val="auto"/>
          <w:u w:val="single"/>
          <w:lang w:eastAsia="zh-CN"/>
        </w:rPr>
        <w:t>《</w:t>
      </w:r>
      <w:r>
        <w:rPr>
          <w:color w:val="auto"/>
          <w:u w:val="single"/>
        </w:rPr>
        <w:t>“十</w:t>
      </w:r>
      <w:r>
        <w:rPr>
          <w:rFonts w:hint="eastAsia"/>
          <w:color w:val="auto"/>
          <w:u w:val="single"/>
          <w:lang w:eastAsia="zh-CN"/>
        </w:rPr>
        <w:t>三</w:t>
      </w:r>
      <w:r>
        <w:rPr>
          <w:color w:val="auto"/>
          <w:u w:val="single"/>
        </w:rPr>
        <w:t>五”全国城镇生活垃圾无害化处理设施建设规划</w:t>
      </w:r>
      <w:r>
        <w:rPr>
          <w:rFonts w:hint="eastAsia"/>
          <w:color w:val="auto"/>
          <w:u w:val="single"/>
          <w:lang w:eastAsia="zh-CN"/>
        </w:rPr>
        <w:t>》</w:t>
      </w:r>
      <w:r>
        <w:rPr>
          <w:color w:val="auto"/>
          <w:u w:val="single"/>
        </w:rPr>
        <w:t>的通知</w:t>
      </w:r>
      <w:r>
        <w:rPr>
          <w:rFonts w:hint="eastAsia"/>
          <w:color w:val="auto"/>
          <w:u w:val="single"/>
          <w:lang w:eastAsia="zh-CN"/>
        </w:rPr>
        <w:t>，发改环资</w:t>
      </w:r>
      <w:r>
        <w:rPr>
          <w:rFonts w:hint="eastAsia"/>
          <w:color w:val="auto"/>
          <w:u w:val="single"/>
          <w:lang w:val="en-US" w:eastAsia="zh-CN"/>
        </w:rPr>
        <w:t>[2016]2851号，2016年12月31日</w:t>
      </w:r>
      <w:r>
        <w:rPr>
          <w:color w:val="auto"/>
          <w:u w:val="single"/>
        </w:rPr>
        <w:t>；</w:t>
      </w:r>
    </w:p>
    <w:p>
      <w:pPr>
        <w:rPr>
          <w:color w:val="auto"/>
          <w:u w:val="single"/>
        </w:rPr>
      </w:pPr>
      <w:r>
        <w:rPr>
          <w:rFonts w:hint="eastAsia"/>
          <w:color w:val="auto"/>
          <w:u w:val="single"/>
          <w:lang w:val="en-US" w:eastAsia="zh-CN"/>
        </w:rPr>
        <w:t>21</w:t>
      </w:r>
      <w:r>
        <w:rPr>
          <w:color w:val="auto"/>
          <w:u w:val="single"/>
        </w:rPr>
        <w:t>、《关于进一步加强城市生活垃圾处理工作意见的通知》国发〔2011〕9号文件；</w:t>
      </w:r>
    </w:p>
    <w:p>
      <w:pPr>
        <w:rPr>
          <w:rFonts w:hint="eastAsia"/>
          <w:color w:val="auto"/>
          <w:u w:val="single"/>
          <w:lang w:val="en-US" w:eastAsia="zh-CN"/>
        </w:rPr>
      </w:pPr>
      <w:r>
        <w:rPr>
          <w:rFonts w:hint="eastAsia"/>
          <w:color w:val="auto"/>
          <w:u w:val="single"/>
          <w:lang w:val="en-US" w:eastAsia="zh-CN"/>
        </w:rPr>
        <w:t>22</w:t>
      </w:r>
      <w:r>
        <w:rPr>
          <w:color w:val="auto"/>
          <w:u w:val="single"/>
        </w:rPr>
        <w:t>、《关于进一步加强环境影响评价管理防范环境风险的通知》环发[2012]第77号；</w:t>
      </w:r>
    </w:p>
    <w:p>
      <w:pPr>
        <w:pStyle w:val="4"/>
        <w:rPr>
          <w:rFonts w:hint="eastAsia"/>
          <w:color w:val="auto"/>
          <w:u w:val="single"/>
          <w:lang w:val="en-US" w:eastAsia="zh-CN"/>
        </w:rPr>
      </w:pPr>
      <w:r>
        <w:rPr>
          <w:rFonts w:hint="eastAsia"/>
          <w:color w:val="auto"/>
          <w:u w:val="single"/>
          <w:lang w:val="en-US" w:eastAsia="zh-CN"/>
        </w:rPr>
        <w:t>2.1.2地方法规、政策、规划</w:t>
      </w:r>
    </w:p>
    <w:p>
      <w:pPr>
        <w:rPr>
          <w:color w:val="auto"/>
          <w:u w:val="single"/>
        </w:rPr>
      </w:pPr>
      <w:r>
        <w:rPr>
          <w:rFonts w:hint="eastAsia"/>
          <w:color w:val="auto"/>
          <w:u w:val="single"/>
          <w:lang w:val="en-US" w:eastAsia="zh-CN"/>
        </w:rPr>
        <w:t>1、</w:t>
      </w:r>
      <w:r>
        <w:rPr>
          <w:color w:val="auto"/>
          <w:u w:val="single"/>
        </w:rPr>
        <w:t>《湖南省环境保护条例(2002.3.29修正)》；</w:t>
      </w:r>
    </w:p>
    <w:p>
      <w:pPr>
        <w:rPr>
          <w:color w:val="auto"/>
          <w:u w:val="single"/>
        </w:rPr>
      </w:pPr>
      <w:r>
        <w:rPr>
          <w:rFonts w:hint="eastAsia"/>
          <w:color w:val="auto"/>
          <w:u w:val="single"/>
          <w:lang w:val="en-US" w:eastAsia="zh-CN"/>
        </w:rPr>
        <w:t>2、</w:t>
      </w:r>
      <w:r>
        <w:rPr>
          <w:color w:val="auto"/>
          <w:u w:val="single"/>
        </w:rPr>
        <w:t>《湖南省建设项目环境管理规定》湖南省人民政府第12号令；</w:t>
      </w:r>
    </w:p>
    <w:p>
      <w:pPr>
        <w:rPr>
          <w:color w:val="auto"/>
          <w:u w:val="single"/>
        </w:rPr>
      </w:pPr>
      <w:r>
        <w:rPr>
          <w:rFonts w:hint="eastAsia"/>
          <w:color w:val="auto"/>
          <w:u w:val="single"/>
          <w:lang w:val="en-US" w:eastAsia="zh-CN"/>
        </w:rPr>
        <w:t>3、</w:t>
      </w:r>
      <w:r>
        <w:rPr>
          <w:color w:val="auto"/>
          <w:u w:val="single"/>
        </w:rPr>
        <w:t>《湖南省主体功能区划》；</w:t>
      </w:r>
    </w:p>
    <w:p>
      <w:pPr>
        <w:rPr>
          <w:color w:val="auto"/>
          <w:u w:val="single"/>
        </w:rPr>
      </w:pPr>
      <w:r>
        <w:rPr>
          <w:rFonts w:hint="eastAsia"/>
          <w:color w:val="auto"/>
          <w:u w:val="single"/>
          <w:lang w:val="en-US" w:eastAsia="zh-CN"/>
        </w:rPr>
        <w:t>4、</w:t>
      </w:r>
      <w:r>
        <w:rPr>
          <w:color w:val="auto"/>
          <w:u w:val="single"/>
        </w:rPr>
        <w:t xml:space="preserve">《湖南省主要水系地表水环境功能区划》DB43/023-2005； </w:t>
      </w:r>
    </w:p>
    <w:p>
      <w:pPr>
        <w:rPr>
          <w:color w:val="auto"/>
          <w:u w:val="single"/>
          <w:lang w:eastAsia="zh-CN"/>
        </w:rPr>
      </w:pPr>
      <w:r>
        <w:rPr>
          <w:rFonts w:hint="eastAsia"/>
          <w:color w:val="auto"/>
          <w:u w:val="single"/>
          <w:lang w:val="en-US" w:eastAsia="zh-CN"/>
        </w:rPr>
        <w:t>5、</w:t>
      </w:r>
      <w:r>
        <w:rPr>
          <w:color w:val="auto"/>
          <w:u w:val="single"/>
        </w:rPr>
        <w:t>岳阳市贯彻落实《大气（水）污染防治行动计划实施方案》；</w:t>
      </w:r>
    </w:p>
    <w:p>
      <w:pPr>
        <w:rPr>
          <w:color w:val="auto"/>
          <w:u w:val="single"/>
        </w:rPr>
      </w:pPr>
      <w:r>
        <w:rPr>
          <w:rFonts w:hint="eastAsia"/>
          <w:color w:val="auto"/>
          <w:u w:val="single"/>
          <w:lang w:val="en-US" w:eastAsia="zh-CN"/>
        </w:rPr>
        <w:t>6、</w:t>
      </w:r>
      <w:r>
        <w:rPr>
          <w:color w:val="auto"/>
          <w:u w:val="single"/>
        </w:rPr>
        <w:t>湖南省人民政府关于推进城镇生活垃圾资源化利用的意见（湘政发［2014］26号）文；</w:t>
      </w:r>
    </w:p>
    <w:p>
      <w:pPr>
        <w:rPr>
          <w:color w:val="auto"/>
          <w:u w:val="single"/>
          <w:lang w:eastAsia="zh-CN"/>
        </w:rPr>
      </w:pPr>
      <w:r>
        <w:rPr>
          <w:rFonts w:hint="eastAsia"/>
          <w:color w:val="auto"/>
          <w:u w:val="single"/>
          <w:lang w:val="en-US" w:eastAsia="zh-CN"/>
        </w:rPr>
        <w:t>7、</w:t>
      </w:r>
      <w:r>
        <w:rPr>
          <w:color w:val="auto"/>
          <w:u w:val="single"/>
        </w:rPr>
        <w:t>湖南省《贯彻落实〈大气（水）污染防治行动计划〉实施细则》</w:t>
      </w:r>
      <w:r>
        <w:rPr>
          <w:color w:val="auto"/>
          <w:u w:val="single"/>
          <w:lang w:eastAsia="zh-CN"/>
        </w:rPr>
        <w:t>。</w:t>
      </w:r>
    </w:p>
    <w:p>
      <w:pPr>
        <w:pStyle w:val="4"/>
        <w:rPr>
          <w:rFonts w:hint="eastAsia"/>
          <w:color w:val="auto"/>
          <w:u w:val="single"/>
          <w:lang w:val="en-US" w:eastAsia="zh-CN"/>
        </w:rPr>
      </w:pPr>
      <w:r>
        <w:rPr>
          <w:rFonts w:hint="eastAsia"/>
          <w:color w:val="auto"/>
          <w:u w:val="single"/>
          <w:lang w:val="en-US" w:eastAsia="zh-CN"/>
        </w:rPr>
        <w:t>2.1.3评价技术导则及规范</w:t>
      </w:r>
    </w:p>
    <w:p>
      <w:pPr>
        <w:rPr>
          <w:color w:val="auto"/>
          <w:u w:val="single"/>
        </w:rPr>
      </w:pPr>
      <w:r>
        <w:rPr>
          <w:rFonts w:hint="eastAsia"/>
          <w:color w:val="auto"/>
          <w:u w:val="single"/>
          <w:lang w:val="en-US" w:eastAsia="zh-CN"/>
        </w:rPr>
        <w:t>1、</w:t>
      </w:r>
      <w:r>
        <w:rPr>
          <w:color w:val="auto"/>
          <w:u w:val="single"/>
        </w:rPr>
        <w:t>《环境影响评价技术导则-总纲》(HJ 2.1-201</w:t>
      </w:r>
      <w:r>
        <w:rPr>
          <w:rFonts w:hint="eastAsia"/>
          <w:color w:val="auto"/>
          <w:u w:val="single"/>
          <w:lang w:val="en-US" w:eastAsia="zh-CN"/>
        </w:rPr>
        <w:t>6</w:t>
      </w:r>
      <w:r>
        <w:rPr>
          <w:color w:val="auto"/>
          <w:u w:val="single"/>
        </w:rPr>
        <w:t>)；</w:t>
      </w:r>
    </w:p>
    <w:p>
      <w:pPr>
        <w:rPr>
          <w:color w:val="auto"/>
          <w:u w:val="single"/>
        </w:rPr>
      </w:pPr>
      <w:r>
        <w:rPr>
          <w:rFonts w:hint="eastAsia"/>
          <w:color w:val="auto"/>
          <w:u w:val="single"/>
          <w:lang w:val="en-US" w:eastAsia="zh-CN"/>
        </w:rPr>
        <w:t>2、</w:t>
      </w:r>
      <w:r>
        <w:rPr>
          <w:color w:val="auto"/>
          <w:u w:val="single"/>
        </w:rPr>
        <w:t>《环境影响评价技术导则-大气环境》(HJ 2.2-2008)；</w:t>
      </w:r>
    </w:p>
    <w:p>
      <w:pPr>
        <w:rPr>
          <w:color w:val="auto"/>
          <w:u w:val="single"/>
        </w:rPr>
      </w:pPr>
      <w:r>
        <w:rPr>
          <w:rFonts w:hint="eastAsia"/>
          <w:color w:val="auto"/>
          <w:u w:val="single"/>
          <w:lang w:val="en-US" w:eastAsia="zh-CN"/>
        </w:rPr>
        <w:t>3、</w:t>
      </w:r>
      <w:r>
        <w:rPr>
          <w:color w:val="auto"/>
          <w:u w:val="single"/>
        </w:rPr>
        <w:t>《环境影响评价技术导则-地表水环境》(HJ/T2.3-93)；</w:t>
      </w:r>
    </w:p>
    <w:p>
      <w:pPr>
        <w:rPr>
          <w:color w:val="auto"/>
          <w:u w:val="single"/>
        </w:rPr>
      </w:pPr>
      <w:r>
        <w:rPr>
          <w:rFonts w:hint="eastAsia"/>
          <w:color w:val="auto"/>
          <w:u w:val="single"/>
          <w:lang w:val="en-US" w:eastAsia="zh-CN"/>
        </w:rPr>
        <w:t>4、</w:t>
      </w:r>
      <w:r>
        <w:rPr>
          <w:color w:val="auto"/>
          <w:u w:val="single"/>
        </w:rPr>
        <w:t>《环境影响评价技术导则-声环境》(HJ2.4-2009)；</w:t>
      </w:r>
    </w:p>
    <w:p>
      <w:pPr>
        <w:rPr>
          <w:color w:val="auto"/>
          <w:u w:val="single"/>
        </w:rPr>
      </w:pPr>
      <w:r>
        <w:rPr>
          <w:rFonts w:hint="eastAsia"/>
          <w:color w:val="auto"/>
          <w:u w:val="single"/>
          <w:lang w:val="en-US" w:eastAsia="zh-CN"/>
        </w:rPr>
        <w:t>5、</w:t>
      </w:r>
      <w:r>
        <w:rPr>
          <w:color w:val="auto"/>
          <w:u w:val="single"/>
        </w:rPr>
        <w:t>《环境影响评价技术导则-生态影响》(HJ19-2011)；</w:t>
      </w:r>
    </w:p>
    <w:p>
      <w:pPr>
        <w:rPr>
          <w:color w:val="auto"/>
          <w:u w:val="single"/>
        </w:rPr>
      </w:pPr>
      <w:r>
        <w:rPr>
          <w:rFonts w:hint="eastAsia"/>
          <w:color w:val="auto"/>
          <w:u w:val="single"/>
          <w:lang w:val="en-US" w:eastAsia="zh-CN"/>
        </w:rPr>
        <w:t>6、</w:t>
      </w:r>
      <w:r>
        <w:rPr>
          <w:color w:val="auto"/>
          <w:u w:val="single"/>
        </w:rPr>
        <w:t>《生态环境状况评价技术规范(试行)》(HJ 192-2015)；</w:t>
      </w:r>
    </w:p>
    <w:p>
      <w:pPr>
        <w:rPr>
          <w:color w:val="auto"/>
          <w:u w:val="single"/>
        </w:rPr>
      </w:pPr>
      <w:r>
        <w:rPr>
          <w:rFonts w:hint="eastAsia"/>
          <w:color w:val="auto"/>
          <w:u w:val="single"/>
          <w:lang w:val="en-US" w:eastAsia="zh-CN"/>
        </w:rPr>
        <w:t>7、</w:t>
      </w:r>
      <w:r>
        <w:rPr>
          <w:color w:val="auto"/>
          <w:u w:val="single"/>
        </w:rPr>
        <w:t>《环境影响评价技术导则-地下水环境》(HJ610-2016)；</w:t>
      </w:r>
    </w:p>
    <w:p>
      <w:pPr>
        <w:rPr>
          <w:color w:val="auto"/>
          <w:u w:val="single"/>
        </w:rPr>
      </w:pPr>
      <w:r>
        <w:rPr>
          <w:rFonts w:hint="eastAsia"/>
          <w:color w:val="auto"/>
          <w:u w:val="single"/>
          <w:lang w:val="en-US" w:eastAsia="zh-CN"/>
        </w:rPr>
        <w:t>8、</w:t>
      </w:r>
      <w:r>
        <w:rPr>
          <w:color w:val="auto"/>
          <w:u w:val="single"/>
        </w:rPr>
        <w:t>《建设项目环境风险评价技术导则》(HJ/T169-2004)；</w:t>
      </w:r>
    </w:p>
    <w:p>
      <w:pPr>
        <w:rPr>
          <w:color w:val="auto"/>
          <w:u w:val="single"/>
        </w:rPr>
      </w:pPr>
      <w:r>
        <w:rPr>
          <w:rFonts w:hint="eastAsia"/>
          <w:color w:val="auto"/>
          <w:u w:val="single"/>
          <w:lang w:val="en-US" w:eastAsia="zh-CN"/>
        </w:rPr>
        <w:t>9、</w:t>
      </w:r>
      <w:r>
        <w:rPr>
          <w:color w:val="auto"/>
          <w:u w:val="single"/>
        </w:rPr>
        <w:t>《制定地方大气污染物排放标准的技术方法》(GB/T 13201-91)</w:t>
      </w:r>
      <w:r>
        <w:rPr>
          <w:rFonts w:hint="eastAsia"/>
          <w:color w:val="auto"/>
          <w:u w:val="single"/>
          <w:lang w:eastAsia="zh-CN"/>
        </w:rPr>
        <w:t>；</w:t>
      </w:r>
    </w:p>
    <w:p>
      <w:pPr>
        <w:rPr>
          <w:color w:val="auto"/>
          <w:u w:val="single"/>
        </w:rPr>
      </w:pPr>
      <w:r>
        <w:rPr>
          <w:color w:val="auto"/>
          <w:u w:val="single"/>
        </w:rPr>
        <w:t>10</w:t>
      </w:r>
      <w:r>
        <w:rPr>
          <w:rFonts w:hint="eastAsia"/>
          <w:color w:val="auto"/>
          <w:u w:val="single"/>
          <w:lang w:eastAsia="zh-CN"/>
        </w:rPr>
        <w:t>、</w:t>
      </w:r>
      <w:r>
        <w:rPr>
          <w:color w:val="auto"/>
          <w:u w:val="single"/>
        </w:rPr>
        <w:t>《生活垃圾处理技术指南》(建城[2010]61号)；</w:t>
      </w:r>
    </w:p>
    <w:p>
      <w:pPr>
        <w:rPr>
          <w:color w:val="auto"/>
          <w:u w:val="single"/>
        </w:rPr>
      </w:pPr>
      <w:r>
        <w:rPr>
          <w:color w:val="auto"/>
          <w:u w:val="single"/>
        </w:rPr>
        <w:t>11</w:t>
      </w:r>
      <w:r>
        <w:rPr>
          <w:rFonts w:hint="eastAsia"/>
          <w:color w:val="auto"/>
          <w:u w:val="single"/>
          <w:lang w:eastAsia="zh-CN"/>
        </w:rPr>
        <w:t>、</w:t>
      </w:r>
      <w:r>
        <w:rPr>
          <w:color w:val="auto"/>
          <w:u w:val="single"/>
        </w:rPr>
        <w:t>《生活垃圾卫生填埋处理技术规范》(GB 50869-2013)；</w:t>
      </w:r>
    </w:p>
    <w:p>
      <w:pPr>
        <w:rPr>
          <w:color w:val="auto"/>
          <w:u w:val="single"/>
        </w:rPr>
      </w:pPr>
      <w:r>
        <w:rPr>
          <w:color w:val="auto"/>
          <w:u w:val="single"/>
        </w:rPr>
        <w:t>12</w:t>
      </w:r>
      <w:r>
        <w:rPr>
          <w:rFonts w:hint="eastAsia"/>
          <w:color w:val="auto"/>
          <w:u w:val="single"/>
          <w:lang w:eastAsia="zh-CN"/>
        </w:rPr>
        <w:t>、</w:t>
      </w:r>
      <w:r>
        <w:rPr>
          <w:color w:val="auto"/>
          <w:u w:val="single"/>
        </w:rPr>
        <w:t>《生活垃圾填埋场环境监测技术要求》(GB/T 18772-2008)；</w:t>
      </w:r>
    </w:p>
    <w:p>
      <w:pPr>
        <w:rPr>
          <w:color w:val="auto"/>
          <w:u w:val="single"/>
        </w:rPr>
      </w:pPr>
      <w:r>
        <w:rPr>
          <w:color w:val="auto"/>
          <w:u w:val="single"/>
        </w:rPr>
        <w:t>13</w:t>
      </w:r>
      <w:r>
        <w:rPr>
          <w:rFonts w:hint="eastAsia"/>
          <w:color w:val="auto"/>
          <w:u w:val="single"/>
          <w:lang w:eastAsia="zh-CN"/>
        </w:rPr>
        <w:t>、</w:t>
      </w:r>
      <w:r>
        <w:rPr>
          <w:color w:val="auto"/>
          <w:u w:val="single"/>
        </w:rPr>
        <w:t>《生活垃圾卫生填埋场封场技术规程》(CJJ112-2007)；</w:t>
      </w:r>
    </w:p>
    <w:p>
      <w:pPr>
        <w:rPr>
          <w:color w:val="auto"/>
          <w:u w:val="single"/>
        </w:rPr>
      </w:pPr>
      <w:r>
        <w:rPr>
          <w:color w:val="auto"/>
          <w:u w:val="single"/>
        </w:rPr>
        <w:t>14</w:t>
      </w:r>
      <w:r>
        <w:rPr>
          <w:rFonts w:hint="eastAsia"/>
          <w:color w:val="auto"/>
          <w:u w:val="single"/>
          <w:lang w:eastAsia="zh-CN"/>
        </w:rPr>
        <w:t>、</w:t>
      </w:r>
      <w:r>
        <w:rPr>
          <w:color w:val="auto"/>
          <w:u w:val="single"/>
        </w:rPr>
        <w:t>《生活垃圾填埋场填埋气体收集处理及利用工程技术规范》(CJJ133-2009)；</w:t>
      </w:r>
    </w:p>
    <w:p>
      <w:pPr>
        <w:rPr>
          <w:color w:val="auto"/>
          <w:u w:val="single"/>
        </w:rPr>
      </w:pPr>
      <w:r>
        <w:rPr>
          <w:color w:val="auto"/>
          <w:u w:val="single"/>
        </w:rPr>
        <w:t>15</w:t>
      </w:r>
      <w:r>
        <w:rPr>
          <w:rFonts w:hint="eastAsia"/>
          <w:color w:val="auto"/>
          <w:u w:val="single"/>
          <w:lang w:eastAsia="zh-CN"/>
        </w:rPr>
        <w:t>、</w:t>
      </w:r>
      <w:r>
        <w:rPr>
          <w:color w:val="auto"/>
          <w:u w:val="single"/>
        </w:rPr>
        <w:t>《生活垃圾卫生填埋场运行维护技术规程》(CJJ93-2011)；</w:t>
      </w:r>
    </w:p>
    <w:p>
      <w:pPr>
        <w:rPr>
          <w:color w:val="auto"/>
          <w:u w:val="single"/>
        </w:rPr>
      </w:pPr>
      <w:r>
        <w:rPr>
          <w:color w:val="auto"/>
          <w:u w:val="single"/>
        </w:rPr>
        <w:t>16</w:t>
      </w:r>
      <w:r>
        <w:rPr>
          <w:rFonts w:hint="eastAsia"/>
          <w:color w:val="auto"/>
          <w:u w:val="single"/>
          <w:lang w:eastAsia="zh-CN"/>
        </w:rPr>
        <w:t>、</w:t>
      </w:r>
      <w:r>
        <w:rPr>
          <w:color w:val="auto"/>
          <w:u w:val="single"/>
        </w:rPr>
        <w:t>《城市生活垃圾处理和给水与污水处理工程项目建设用地指标》(建标[2005]157)号。</w:t>
      </w:r>
    </w:p>
    <w:p>
      <w:pPr>
        <w:rPr>
          <w:color w:val="auto"/>
          <w:u w:val="single"/>
        </w:rPr>
      </w:pPr>
      <w:r>
        <w:rPr>
          <w:rFonts w:hint="eastAsia"/>
          <w:color w:val="auto"/>
          <w:u w:val="single"/>
          <w:lang w:val="en-US" w:eastAsia="zh-CN"/>
        </w:rPr>
        <w:t>17、</w:t>
      </w:r>
      <w:r>
        <w:rPr>
          <w:color w:val="auto"/>
          <w:u w:val="single"/>
        </w:rPr>
        <w:t>《生活垃圾卫生填埋场防渗系统工程技术规范》(CJJ133-2011)；</w:t>
      </w:r>
    </w:p>
    <w:p>
      <w:pPr>
        <w:rPr>
          <w:color w:val="auto"/>
          <w:u w:val="single"/>
        </w:rPr>
      </w:pPr>
      <w:r>
        <w:rPr>
          <w:rFonts w:hint="eastAsia"/>
          <w:color w:val="auto"/>
          <w:u w:val="single"/>
          <w:lang w:val="en-US" w:eastAsia="zh-CN"/>
        </w:rPr>
        <w:t>18、</w:t>
      </w:r>
      <w:r>
        <w:rPr>
          <w:color w:val="auto"/>
          <w:u w:val="single"/>
        </w:rPr>
        <w:t>《小城镇生活垃圾处理工程建设标准》(建标149-2010)；</w:t>
      </w:r>
    </w:p>
    <w:p>
      <w:pPr>
        <w:rPr>
          <w:color w:val="auto"/>
          <w:u w:val="single"/>
        </w:rPr>
      </w:pPr>
      <w:r>
        <w:rPr>
          <w:rFonts w:hint="eastAsia"/>
          <w:color w:val="auto"/>
          <w:u w:val="single"/>
          <w:lang w:val="en-US" w:eastAsia="zh-CN"/>
        </w:rPr>
        <w:t>19、</w:t>
      </w:r>
      <w:r>
        <w:rPr>
          <w:color w:val="auto"/>
          <w:u w:val="single"/>
        </w:rPr>
        <w:t>《生活垃圾卫生填埋处理工程项目建设标准》(建标124-2009)；</w:t>
      </w:r>
    </w:p>
    <w:p>
      <w:pPr>
        <w:rPr>
          <w:color w:val="auto"/>
          <w:u w:val="single"/>
        </w:rPr>
      </w:pPr>
      <w:r>
        <w:rPr>
          <w:rFonts w:hint="eastAsia"/>
          <w:color w:val="auto"/>
          <w:u w:val="single"/>
          <w:lang w:val="en-US" w:eastAsia="zh-CN"/>
        </w:rPr>
        <w:t>20、</w:t>
      </w:r>
      <w:r>
        <w:rPr>
          <w:color w:val="auto"/>
          <w:u w:val="single"/>
        </w:rPr>
        <w:t>《生活垃圾填埋场无害化评价标准》(CJJ/T107-2005)</w:t>
      </w:r>
      <w:r>
        <w:rPr>
          <w:rFonts w:hint="eastAsia"/>
          <w:color w:val="auto"/>
          <w:u w:val="single"/>
          <w:lang w:eastAsia="zh-CN"/>
        </w:rPr>
        <w:t>。</w:t>
      </w:r>
    </w:p>
    <w:p>
      <w:pPr>
        <w:pStyle w:val="4"/>
        <w:rPr>
          <w:rFonts w:hint="eastAsia"/>
          <w:color w:val="auto"/>
          <w:u w:val="single"/>
          <w:lang w:val="en-US" w:eastAsia="zh-CN"/>
        </w:rPr>
      </w:pPr>
      <w:r>
        <w:rPr>
          <w:rFonts w:hint="eastAsia"/>
          <w:color w:val="auto"/>
          <w:u w:val="single"/>
          <w:lang w:val="en-US" w:eastAsia="zh-CN"/>
        </w:rPr>
        <w:t>2.1.4相关技术文件</w:t>
      </w:r>
    </w:p>
    <w:p>
      <w:pPr>
        <w:numPr>
          <w:ilvl w:val="0"/>
          <w:numId w:val="3"/>
        </w:numPr>
        <w:rPr>
          <w:rFonts w:hint="eastAsia"/>
          <w:color w:val="auto"/>
          <w:u w:val="single"/>
          <w:lang w:val="en-US" w:eastAsia="zh-CN"/>
        </w:rPr>
      </w:pPr>
      <w:r>
        <w:rPr>
          <w:rFonts w:hint="eastAsia"/>
          <w:color w:val="auto"/>
          <w:u w:val="single"/>
          <w:lang w:val="en-US" w:eastAsia="zh-CN"/>
        </w:rPr>
        <w:t>《花果畈垃圾填埋场环境影响报告书》岳阳市环境科学院研究所，2000年12月</w:t>
      </w:r>
    </w:p>
    <w:p>
      <w:pPr>
        <w:numPr>
          <w:ilvl w:val="0"/>
          <w:numId w:val="3"/>
        </w:numPr>
        <w:rPr>
          <w:rFonts w:hint="eastAsia"/>
          <w:color w:val="auto"/>
          <w:u w:val="single"/>
          <w:lang w:val="en-US" w:eastAsia="zh-CN"/>
        </w:rPr>
      </w:pPr>
      <w:r>
        <w:rPr>
          <w:rFonts w:hint="eastAsia"/>
          <w:color w:val="auto"/>
          <w:u w:val="single"/>
          <w:lang w:val="en-US" w:eastAsia="zh-CN"/>
        </w:rPr>
        <w:t>关于《岳阳市花果贩垃圾处理厂工程环境影响报告书》的批复，岳阳市环境保护局，岳环管[2000]6号，2000年12月28日</w:t>
      </w:r>
    </w:p>
    <w:p>
      <w:pPr>
        <w:numPr>
          <w:ilvl w:val="0"/>
          <w:numId w:val="3"/>
        </w:numPr>
        <w:rPr>
          <w:rFonts w:hint="eastAsia"/>
          <w:color w:val="auto"/>
          <w:u w:val="single"/>
          <w:lang w:val="en-US" w:eastAsia="zh-CN"/>
        </w:rPr>
      </w:pPr>
      <w:r>
        <w:rPr>
          <w:rFonts w:hint="eastAsia"/>
          <w:color w:val="auto"/>
          <w:u w:val="single"/>
          <w:lang w:val="en-US" w:eastAsia="zh-CN"/>
        </w:rPr>
        <w:t>《岳阳市花果贩垃圾处理厂环境保护验收检测报告》，岳阳市环境监测站，2004年10月</w:t>
      </w:r>
    </w:p>
    <w:p>
      <w:pPr>
        <w:numPr>
          <w:ilvl w:val="0"/>
          <w:numId w:val="3"/>
        </w:numPr>
        <w:rPr>
          <w:rFonts w:hint="eastAsia"/>
          <w:color w:val="auto"/>
          <w:u w:val="single"/>
          <w:lang w:val="en-US" w:eastAsia="zh-CN"/>
        </w:rPr>
      </w:pPr>
      <w:r>
        <w:rPr>
          <w:rFonts w:hint="eastAsia"/>
          <w:color w:val="auto"/>
          <w:u w:val="single"/>
          <w:lang w:val="en-US" w:eastAsia="zh-CN"/>
        </w:rPr>
        <w:t>《岳阳市花果贩垃圾处理场工程竣工验收会议纪要》，岳场建字(2004)04号，2004年10月</w:t>
      </w:r>
    </w:p>
    <w:p>
      <w:pPr>
        <w:numPr>
          <w:ilvl w:val="0"/>
          <w:numId w:val="3"/>
        </w:numPr>
        <w:rPr>
          <w:rFonts w:hint="eastAsia"/>
          <w:color w:val="auto"/>
          <w:u w:val="single"/>
          <w:lang w:val="en-US" w:eastAsia="zh-CN"/>
        </w:rPr>
      </w:pPr>
      <w:r>
        <w:rPr>
          <w:rFonts w:hint="eastAsia"/>
          <w:color w:val="auto"/>
          <w:u w:val="single"/>
          <w:lang w:val="en-US" w:eastAsia="zh-CN"/>
        </w:rPr>
        <w:t>《花果畈垃圾场防渗提质改造工程可行性研究报告》</w:t>
      </w:r>
    </w:p>
    <w:p>
      <w:pPr>
        <w:numPr>
          <w:ilvl w:val="0"/>
          <w:numId w:val="3"/>
        </w:numPr>
        <w:rPr>
          <w:rFonts w:hint="eastAsia"/>
          <w:color w:val="auto"/>
          <w:u w:val="single"/>
          <w:lang w:val="en-US" w:eastAsia="zh-CN"/>
        </w:rPr>
      </w:pPr>
      <w:r>
        <w:rPr>
          <w:rFonts w:hint="eastAsia"/>
          <w:color w:val="auto"/>
          <w:u w:val="single"/>
          <w:lang w:val="en-US" w:eastAsia="zh-CN"/>
        </w:rPr>
        <w:t>《</w:t>
      </w:r>
      <w:r>
        <w:rPr>
          <w:rFonts w:hint="eastAsia"/>
          <w:color w:val="auto"/>
          <w:u w:val="single"/>
        </w:rPr>
        <w:t>花果畈垃圾处理场垂直帷幕灌浆工程</w:t>
      </w:r>
      <w:r>
        <w:rPr>
          <w:rFonts w:hint="eastAsia"/>
          <w:color w:val="auto"/>
          <w:u w:val="single"/>
          <w:lang w:eastAsia="zh-CN"/>
        </w:rPr>
        <w:t>库区岩土工程勘察报告</w:t>
      </w:r>
      <w:r>
        <w:rPr>
          <w:rFonts w:hint="eastAsia"/>
          <w:color w:val="auto"/>
          <w:u w:val="single"/>
          <w:lang w:val="en-US" w:eastAsia="zh-CN"/>
        </w:rPr>
        <w:t>》，</w:t>
      </w:r>
      <w:r>
        <w:rPr>
          <w:rFonts w:hint="eastAsia"/>
          <w:color w:val="auto"/>
          <w:u w:val="single"/>
        </w:rPr>
        <w:t>湖南大地岩土工程勘察设计有限公司</w:t>
      </w:r>
      <w:r>
        <w:rPr>
          <w:rFonts w:hint="eastAsia"/>
          <w:color w:val="auto"/>
          <w:u w:val="single"/>
          <w:lang w:eastAsia="zh-CN"/>
        </w:rPr>
        <w:t>。</w:t>
      </w:r>
    </w:p>
    <w:p>
      <w:pPr>
        <w:pStyle w:val="3"/>
        <w:rPr>
          <w:rFonts w:hint="eastAsia"/>
          <w:color w:val="auto"/>
          <w:lang w:val="en-US" w:eastAsia="zh-CN"/>
        </w:rPr>
      </w:pPr>
      <w:bookmarkStart w:id="7" w:name="_Toc24695"/>
      <w:r>
        <w:rPr>
          <w:rFonts w:hint="eastAsia"/>
          <w:color w:val="auto"/>
          <w:lang w:val="en-US" w:eastAsia="zh-CN"/>
        </w:rPr>
        <w:t>2.2环境功能区划</w:t>
      </w:r>
      <w:bookmarkEnd w:id="7"/>
    </w:p>
    <w:p>
      <w:pPr>
        <w:pStyle w:val="4"/>
        <w:rPr>
          <w:rFonts w:hint="eastAsia"/>
          <w:color w:val="auto"/>
          <w:lang w:val="en-US" w:eastAsia="zh-CN"/>
        </w:rPr>
      </w:pPr>
      <w:r>
        <w:rPr>
          <w:rFonts w:hint="eastAsia"/>
          <w:color w:val="auto"/>
          <w:lang w:val="en-US" w:eastAsia="zh-CN"/>
        </w:rPr>
        <w:t>2.2.1水环境功能区划</w:t>
      </w:r>
    </w:p>
    <w:p>
      <w:pPr>
        <w:rPr>
          <w:rFonts w:hint="eastAsia"/>
          <w:color w:val="auto"/>
          <w:lang w:eastAsia="zh-CN"/>
        </w:rPr>
      </w:pPr>
      <w:r>
        <w:rPr>
          <w:color w:val="auto"/>
        </w:rPr>
        <w:t>根据</w:t>
      </w:r>
      <w:r>
        <w:rPr>
          <w:rFonts w:hint="eastAsia"/>
          <w:color w:val="auto"/>
          <w:lang w:eastAsia="zh-CN"/>
        </w:rPr>
        <w:t>《岳阳市水环境功能区管理规定》和《岳阳市水环境功能区划分》</w:t>
      </w:r>
      <w:r>
        <w:rPr>
          <w:color w:val="auto"/>
        </w:rPr>
        <w:t>：</w:t>
      </w:r>
      <w:r>
        <w:rPr>
          <w:rFonts w:hint="eastAsia"/>
          <w:color w:val="auto"/>
          <w:lang w:eastAsia="zh-CN"/>
        </w:rPr>
        <w:t>芭蕉湖</w:t>
      </w:r>
      <w:r>
        <w:rPr>
          <w:color w:val="auto"/>
        </w:rPr>
        <w:t>水域功能区类型为</w:t>
      </w:r>
      <w:r>
        <w:rPr>
          <w:rFonts w:hint="eastAsia"/>
          <w:color w:val="auto"/>
          <w:lang w:eastAsia="zh-CN"/>
        </w:rPr>
        <w:t>一般渔类</w:t>
      </w:r>
      <w:r>
        <w:rPr>
          <w:color w:val="auto"/>
        </w:rPr>
        <w:t>用水区，执行</w:t>
      </w:r>
      <w:r>
        <w:rPr>
          <w:rFonts w:hint="eastAsia"/>
          <w:color w:val="auto"/>
          <w:lang w:eastAsia="zh-CN"/>
        </w:rPr>
        <w:t>《地表水环境质量标准》（</w:t>
      </w:r>
      <w:r>
        <w:rPr>
          <w:rFonts w:hint="eastAsia"/>
          <w:color w:val="auto"/>
          <w:lang w:val="en-US" w:eastAsia="zh-CN"/>
        </w:rPr>
        <w:t>GB3838-2002</w:t>
      </w:r>
      <w:r>
        <w:rPr>
          <w:rFonts w:hint="eastAsia"/>
          <w:color w:val="auto"/>
          <w:lang w:eastAsia="zh-CN"/>
        </w:rPr>
        <w:t>）</w:t>
      </w:r>
      <w:r>
        <w:rPr>
          <w:rFonts w:hint="eastAsia"/>
          <w:color w:val="auto"/>
          <w:lang w:val="en-US" w:eastAsia="zh-CN"/>
        </w:rPr>
        <w:t xml:space="preserve"> </w:t>
      </w:r>
      <w:r>
        <w:rPr>
          <w:rFonts w:hint="eastAsia"/>
          <w:color w:val="auto"/>
          <w:lang w:eastAsia="zh-CN"/>
        </w:rPr>
        <w:t>Ⅲ</w:t>
      </w:r>
      <w:r>
        <w:rPr>
          <w:color w:val="auto"/>
        </w:rPr>
        <w:t>类标准</w:t>
      </w:r>
      <w:r>
        <w:rPr>
          <w:rFonts w:hint="eastAsia"/>
          <w:color w:val="auto"/>
          <w:lang w:eastAsia="zh-CN"/>
        </w:rPr>
        <w:t>。</w:t>
      </w:r>
    </w:p>
    <w:p>
      <w:pPr>
        <w:pStyle w:val="4"/>
        <w:rPr>
          <w:color w:val="auto"/>
        </w:rPr>
      </w:pPr>
      <w:r>
        <w:rPr>
          <w:rFonts w:hint="eastAsia"/>
          <w:color w:val="auto"/>
          <w:lang w:val="en-US" w:eastAsia="zh-CN"/>
        </w:rPr>
        <w:t>2.2</w:t>
      </w:r>
      <w:r>
        <w:rPr>
          <w:color w:val="auto"/>
        </w:rPr>
        <w:t>.2大气环境功能区划</w:t>
      </w:r>
    </w:p>
    <w:p>
      <w:pPr>
        <w:rPr>
          <w:color w:val="auto"/>
        </w:rPr>
      </w:pPr>
      <w:r>
        <w:rPr>
          <w:color w:val="auto"/>
        </w:rPr>
        <w:t>项目所在区域属于</w:t>
      </w:r>
      <w:r>
        <w:rPr>
          <w:rFonts w:hint="eastAsia"/>
          <w:color w:val="auto"/>
        </w:rPr>
        <w:t>城市建成区</w:t>
      </w:r>
      <w:r>
        <w:rPr>
          <w:color w:val="auto"/>
        </w:rPr>
        <w:t>，根据《环境空气质量标准》（GB3095-2012）中环境空气质量功能区分类，属于二类区，执行《环境空气质量标准》（GB3095-2012）中的二级标准。</w:t>
      </w:r>
    </w:p>
    <w:p>
      <w:pPr>
        <w:pStyle w:val="4"/>
        <w:rPr>
          <w:color w:val="auto"/>
        </w:rPr>
      </w:pPr>
      <w:bookmarkStart w:id="8" w:name="_Toc220122765"/>
      <w:r>
        <w:rPr>
          <w:color w:val="auto"/>
        </w:rPr>
        <w:t>1.</w:t>
      </w:r>
      <w:r>
        <w:rPr>
          <w:rFonts w:hint="eastAsia"/>
          <w:color w:val="auto"/>
        </w:rPr>
        <w:t>3</w:t>
      </w:r>
      <w:r>
        <w:rPr>
          <w:color w:val="auto"/>
        </w:rPr>
        <w:t>.3声环境功能区划</w:t>
      </w:r>
      <w:bookmarkEnd w:id="8"/>
    </w:p>
    <w:p>
      <w:pPr>
        <w:rPr>
          <w:rFonts w:hint="eastAsia"/>
          <w:b w:val="0"/>
          <w:bCs w:val="0"/>
          <w:color w:val="auto"/>
          <w:lang w:val="en-US" w:eastAsia="zh-CN"/>
        </w:rPr>
      </w:pPr>
      <w:r>
        <w:rPr>
          <w:color w:val="auto"/>
        </w:rPr>
        <w:t>项目</w:t>
      </w:r>
      <w:r>
        <w:rPr>
          <w:rFonts w:hint="eastAsia"/>
          <w:color w:val="auto"/>
          <w:lang w:eastAsia="zh-CN"/>
        </w:rPr>
        <w:t>位于</w:t>
      </w:r>
      <w:r>
        <w:rPr>
          <w:rFonts w:hint="eastAsia"/>
          <w:color w:val="auto"/>
          <w:sz w:val="24"/>
        </w:rPr>
        <w:t>岳阳楼区梅溪乡胥家桥村</w:t>
      </w:r>
      <w:r>
        <w:rPr>
          <w:rFonts w:hint="eastAsia"/>
          <w:color w:val="auto"/>
          <w:sz w:val="24"/>
          <w:lang w:eastAsia="zh-CN"/>
        </w:rPr>
        <w:t>的</w:t>
      </w:r>
      <w:r>
        <w:rPr>
          <w:rFonts w:hint="eastAsia"/>
          <w:color w:val="auto"/>
          <w:sz w:val="24"/>
        </w:rPr>
        <w:t>花果贩垃圾填埋场现有</w:t>
      </w:r>
      <w:r>
        <w:rPr>
          <w:rFonts w:hint="eastAsia"/>
          <w:color w:val="auto"/>
          <w:sz w:val="24"/>
          <w:lang w:eastAsia="zh-CN"/>
        </w:rPr>
        <w:t>场区</w:t>
      </w:r>
      <w:r>
        <w:rPr>
          <w:rFonts w:hint="eastAsia"/>
          <w:color w:val="auto"/>
          <w:sz w:val="24"/>
        </w:rPr>
        <w:t>内</w:t>
      </w:r>
      <w:r>
        <w:rPr>
          <w:rFonts w:hint="eastAsia"/>
          <w:color w:val="auto"/>
        </w:rPr>
        <w:t>，</w:t>
      </w:r>
      <w:r>
        <w:rPr>
          <w:color w:val="auto"/>
        </w:rPr>
        <w:t>根据《声环境质量标准》（GB3096-2008）声功能区分类</w:t>
      </w:r>
      <w:r>
        <w:rPr>
          <w:rFonts w:hint="eastAsia"/>
          <w:color w:val="auto"/>
          <w:lang w:eastAsia="zh-CN"/>
        </w:rPr>
        <w:t>以及项目建设地具体情况</w:t>
      </w:r>
      <w:r>
        <w:rPr>
          <w:color w:val="auto"/>
        </w:rPr>
        <w:t>，</w:t>
      </w:r>
      <w:r>
        <w:rPr>
          <w:rFonts w:hint="eastAsia"/>
          <w:color w:val="auto"/>
        </w:rPr>
        <w:t>项目区</w:t>
      </w:r>
      <w:r>
        <w:rPr>
          <w:rFonts w:hint="eastAsia"/>
          <w:color w:val="auto"/>
          <w:lang w:eastAsia="zh-CN"/>
        </w:rPr>
        <w:t>场界</w:t>
      </w:r>
      <w:r>
        <w:rPr>
          <w:rFonts w:hint="eastAsia"/>
          <w:color w:val="auto"/>
          <w:lang w:val="en-US" w:eastAsia="zh-CN"/>
        </w:rPr>
        <w:t>执行</w:t>
      </w:r>
      <w:r>
        <w:rPr>
          <w:color w:val="auto"/>
        </w:rPr>
        <w:t>《声环境质量标准》（GB3096-2008）中</w:t>
      </w:r>
      <w:r>
        <w:rPr>
          <w:rFonts w:hint="eastAsia"/>
          <w:color w:val="auto"/>
          <w:lang w:val="en-US" w:eastAsia="zh-CN"/>
        </w:rPr>
        <w:t>2</w:t>
      </w:r>
      <w:r>
        <w:rPr>
          <w:color w:val="auto"/>
        </w:rPr>
        <w:t>类环境噪声限值。</w:t>
      </w:r>
    </w:p>
    <w:p>
      <w:pPr>
        <w:pStyle w:val="3"/>
        <w:rPr>
          <w:rFonts w:hint="eastAsia"/>
          <w:color w:val="auto"/>
          <w:lang w:val="en-US" w:eastAsia="zh-CN"/>
        </w:rPr>
      </w:pPr>
      <w:bookmarkStart w:id="9" w:name="_Toc30266"/>
      <w:r>
        <w:rPr>
          <w:rFonts w:hint="eastAsia"/>
          <w:color w:val="auto"/>
          <w:lang w:val="en-US" w:eastAsia="zh-CN"/>
        </w:rPr>
        <w:t>2.3评价标准及评价因子</w:t>
      </w:r>
      <w:bookmarkEnd w:id="9"/>
    </w:p>
    <w:p>
      <w:pPr>
        <w:pStyle w:val="4"/>
        <w:rPr>
          <w:rFonts w:hint="eastAsia"/>
          <w:color w:val="auto"/>
          <w:lang w:val="en-US" w:eastAsia="zh-CN"/>
        </w:rPr>
      </w:pPr>
      <w:r>
        <w:rPr>
          <w:rFonts w:hint="eastAsia"/>
          <w:color w:val="auto"/>
          <w:lang w:val="en-US" w:eastAsia="zh-CN"/>
        </w:rPr>
        <w:t>2.3.1评价因子</w:t>
      </w:r>
    </w:p>
    <w:p>
      <w:pPr>
        <w:rPr>
          <w:color w:val="auto"/>
        </w:rPr>
      </w:pPr>
      <w:r>
        <w:rPr>
          <w:color w:val="auto"/>
        </w:rPr>
        <w:t>评价因子分环境现状评价因子、环境影响预测因子和总量控制因子。根据建设项目所在地的环境特征、项目建设的特点以及我国相应的控制标准，确定环境评价因子详见表2</w:t>
      </w:r>
      <w:r>
        <w:rPr>
          <w:rFonts w:hint="eastAsia"/>
          <w:color w:val="auto"/>
          <w:lang w:val="en-US" w:eastAsia="zh-CN"/>
        </w:rPr>
        <w:t>-1</w:t>
      </w:r>
      <w:r>
        <w:rPr>
          <w:color w:val="auto"/>
        </w:rPr>
        <w:t>。</w:t>
      </w:r>
    </w:p>
    <w:p>
      <w:pPr>
        <w:pStyle w:val="23"/>
        <w:rPr>
          <w:b/>
          <w:bCs/>
          <w:color w:val="auto"/>
        </w:rPr>
      </w:pPr>
      <w:r>
        <w:rPr>
          <w:b/>
          <w:bCs/>
          <w:color w:val="auto"/>
        </w:rPr>
        <w:t>表2</w:t>
      </w:r>
      <w:r>
        <w:rPr>
          <w:rFonts w:hint="eastAsia"/>
          <w:b/>
          <w:bCs/>
          <w:color w:val="auto"/>
          <w:lang w:val="en-US" w:eastAsia="zh-CN"/>
        </w:rPr>
        <w:t>-1</w:t>
      </w:r>
      <w:r>
        <w:rPr>
          <w:b/>
          <w:bCs/>
          <w:color w:val="auto"/>
        </w:rPr>
        <w:t xml:space="preserve">  评价因子一览表</w:t>
      </w:r>
    </w:p>
    <w:tbl>
      <w:tblPr>
        <w:tblStyle w:val="19"/>
        <w:tblW w:w="8896"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52"/>
        <w:gridCol w:w="3427"/>
        <w:gridCol w:w="3027"/>
        <w:gridCol w:w="149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6" w:hRule="atLeast"/>
          <w:tblHeader/>
          <w:jc w:val="center"/>
        </w:trPr>
        <w:tc>
          <w:tcPr>
            <w:tcW w:w="95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要素</w:t>
            </w:r>
          </w:p>
        </w:tc>
        <w:tc>
          <w:tcPr>
            <w:tcW w:w="342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现状评价因子</w:t>
            </w:r>
          </w:p>
        </w:tc>
        <w:tc>
          <w:tcPr>
            <w:tcW w:w="302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影响评价因子</w:t>
            </w:r>
          </w:p>
        </w:tc>
        <w:tc>
          <w:tcPr>
            <w:tcW w:w="149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总量控制因子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02" w:hRule="atLeast"/>
          <w:jc w:val="center"/>
        </w:trPr>
        <w:tc>
          <w:tcPr>
            <w:tcW w:w="952"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大气</w:t>
            </w:r>
          </w:p>
        </w:tc>
        <w:tc>
          <w:tcPr>
            <w:tcW w:w="3427" w:type="dxa"/>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SO</w:t>
            </w:r>
            <w:r>
              <w:rPr>
                <w:rFonts w:hint="default"/>
                <w:color w:val="auto"/>
                <w:u w:val="single"/>
                <w:vertAlign w:val="subscript"/>
              </w:rPr>
              <w:t>2</w:t>
            </w:r>
            <w:r>
              <w:rPr>
                <w:rFonts w:hint="default"/>
                <w:color w:val="auto"/>
                <w:u w:val="single"/>
              </w:rPr>
              <w:t>、NO</w:t>
            </w:r>
            <w:r>
              <w:rPr>
                <w:rFonts w:hint="default"/>
                <w:color w:val="auto"/>
                <w:u w:val="single"/>
                <w:vertAlign w:val="subscript"/>
              </w:rPr>
              <w:t>2</w:t>
            </w:r>
            <w:r>
              <w:rPr>
                <w:rFonts w:hint="default"/>
                <w:color w:val="auto"/>
                <w:u w:val="single"/>
              </w:rPr>
              <w:t>、PM</w:t>
            </w:r>
            <w:r>
              <w:rPr>
                <w:rFonts w:hint="default"/>
                <w:color w:val="auto"/>
                <w:u w:val="single"/>
                <w:vertAlign w:val="subscript"/>
              </w:rPr>
              <w:t>10</w:t>
            </w:r>
            <w:r>
              <w:rPr>
                <w:rFonts w:hint="default"/>
                <w:color w:val="auto"/>
                <w:u w:val="single"/>
              </w:rPr>
              <w:t>、</w:t>
            </w:r>
          </w:p>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CH</w:t>
            </w:r>
            <w:r>
              <w:rPr>
                <w:rFonts w:hint="default"/>
                <w:color w:val="auto"/>
                <w:u w:val="single"/>
                <w:vertAlign w:val="subscript"/>
              </w:rPr>
              <w:t>4</w:t>
            </w:r>
            <w:r>
              <w:rPr>
                <w:rFonts w:hint="default"/>
                <w:color w:val="auto"/>
                <w:u w:val="single"/>
              </w:rPr>
              <w:t>、H</w:t>
            </w:r>
            <w:r>
              <w:rPr>
                <w:rFonts w:hint="default"/>
                <w:color w:val="auto"/>
                <w:u w:val="single"/>
                <w:vertAlign w:val="subscript"/>
              </w:rPr>
              <w:t>2</w:t>
            </w:r>
            <w:r>
              <w:rPr>
                <w:rFonts w:hint="default"/>
                <w:color w:val="auto"/>
                <w:u w:val="single"/>
              </w:rPr>
              <w:t>S、NH</w:t>
            </w:r>
            <w:r>
              <w:rPr>
                <w:rFonts w:hint="default"/>
                <w:color w:val="auto"/>
                <w:u w:val="single"/>
                <w:vertAlign w:val="subscript"/>
              </w:rPr>
              <w:t>3</w:t>
            </w:r>
            <w:r>
              <w:rPr>
                <w:rFonts w:hint="default"/>
                <w:color w:val="auto"/>
                <w:u w:val="single"/>
              </w:rPr>
              <w:t>、臭气浓度</w:t>
            </w:r>
          </w:p>
        </w:tc>
        <w:tc>
          <w:tcPr>
            <w:tcW w:w="3027"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颗粒物、NH</w:t>
            </w:r>
            <w:r>
              <w:rPr>
                <w:rFonts w:hint="default"/>
                <w:color w:val="auto"/>
                <w:u w:val="single"/>
                <w:vertAlign w:val="subscript"/>
              </w:rPr>
              <w:t>3</w:t>
            </w:r>
            <w:r>
              <w:rPr>
                <w:rFonts w:hint="default"/>
                <w:color w:val="auto"/>
                <w:u w:val="single"/>
              </w:rPr>
              <w:t>、H</w:t>
            </w:r>
            <w:r>
              <w:rPr>
                <w:rFonts w:hint="default"/>
                <w:color w:val="auto"/>
                <w:u w:val="single"/>
                <w:vertAlign w:val="subscript"/>
              </w:rPr>
              <w:t>2</w:t>
            </w:r>
            <w:r>
              <w:rPr>
                <w:rFonts w:hint="default"/>
                <w:color w:val="auto"/>
                <w:u w:val="single"/>
              </w:rPr>
              <w:t>S、臭气浓度</w:t>
            </w:r>
          </w:p>
        </w:tc>
        <w:tc>
          <w:tcPr>
            <w:tcW w:w="1490"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02" w:hRule="atLeast"/>
          <w:jc w:val="center"/>
        </w:trPr>
        <w:tc>
          <w:tcPr>
            <w:tcW w:w="95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地表水</w:t>
            </w:r>
          </w:p>
        </w:tc>
        <w:tc>
          <w:tcPr>
            <w:tcW w:w="342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pH值、DO、COD、高锰酸盐指数、氨氮、总磷、石油类、BOD</w:t>
            </w:r>
            <w:r>
              <w:rPr>
                <w:rFonts w:hint="default"/>
                <w:color w:val="auto"/>
                <w:vertAlign w:val="subscript"/>
              </w:rPr>
              <w:t>5</w:t>
            </w:r>
            <w:r>
              <w:rPr>
                <w:rFonts w:hint="default"/>
                <w:color w:val="auto"/>
              </w:rPr>
              <w:t>、总大肠菌群数(个</w:t>
            </w:r>
            <w:r>
              <w:rPr>
                <w:rFonts w:hint="eastAsia"/>
                <w:color w:val="auto"/>
                <w:lang w:val="en-US" w:eastAsia="zh-CN"/>
              </w:rPr>
              <w:t>/L</w:t>
            </w:r>
            <w:r>
              <w:rPr>
                <w:rFonts w:hint="default"/>
                <w:color w:val="auto"/>
              </w:rPr>
              <w:t>)</w:t>
            </w:r>
            <w:r>
              <w:rPr>
                <w:rFonts w:hint="eastAsia"/>
                <w:color w:val="auto"/>
                <w:lang w:eastAsia="zh-CN"/>
              </w:rPr>
              <w:t>、</w:t>
            </w:r>
            <w:r>
              <w:rPr>
                <w:rFonts w:hint="default"/>
                <w:color w:val="auto"/>
              </w:rPr>
              <w:t>铁、锰、镉、六价铬、铜、镍、汞、锌、铅、砷、</w:t>
            </w:r>
            <w:r>
              <w:rPr>
                <w:rFonts w:hint="eastAsia"/>
                <w:color w:val="auto"/>
                <w:lang w:eastAsia="zh-CN"/>
              </w:rPr>
              <w:t>等</w:t>
            </w:r>
          </w:p>
        </w:tc>
        <w:tc>
          <w:tcPr>
            <w:tcW w:w="3027" w:type="dxa"/>
            <w:vAlign w:val="center"/>
          </w:tcPr>
          <w:p>
            <w:pPr>
              <w:pStyle w:val="23"/>
              <w:keepNext w:val="0"/>
              <w:keepLines w:val="0"/>
              <w:suppressLineNumbers w:val="0"/>
              <w:spacing w:before="0" w:beforeAutospacing="0" w:after="0" w:afterAutospacing="0"/>
              <w:ind w:left="0" w:right="0"/>
              <w:rPr>
                <w:rFonts w:hint="default"/>
                <w:color w:val="auto"/>
                <w:lang w:val="pt-BR"/>
              </w:rPr>
            </w:pPr>
            <w:r>
              <w:rPr>
                <w:rFonts w:hint="default"/>
                <w:color w:val="auto"/>
                <w:lang w:val="pt-BR"/>
              </w:rPr>
              <w:t>COD</w:t>
            </w:r>
            <w:r>
              <w:rPr>
                <w:rFonts w:hint="default"/>
                <w:color w:val="auto"/>
              </w:rPr>
              <w:t>、</w:t>
            </w:r>
            <w:r>
              <w:rPr>
                <w:rFonts w:hint="default"/>
                <w:color w:val="auto"/>
                <w:lang w:val="pt-BR"/>
              </w:rPr>
              <w:t>NH</w:t>
            </w:r>
            <w:r>
              <w:rPr>
                <w:rFonts w:hint="default"/>
                <w:color w:val="auto"/>
                <w:vertAlign w:val="subscript"/>
                <w:lang w:val="pt-BR"/>
              </w:rPr>
              <w:t>3</w:t>
            </w:r>
            <w:r>
              <w:rPr>
                <w:rFonts w:hint="default"/>
                <w:color w:val="auto"/>
                <w:lang w:val="pt-BR"/>
              </w:rPr>
              <w:t>-N</w:t>
            </w:r>
          </w:p>
        </w:tc>
        <w:tc>
          <w:tcPr>
            <w:tcW w:w="149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COD、</w:t>
            </w:r>
            <w:r>
              <w:rPr>
                <w:rFonts w:hint="default"/>
                <w:color w:val="auto"/>
                <w:lang w:val="pt-BR"/>
              </w:rPr>
              <w:t>NH</w:t>
            </w:r>
            <w:r>
              <w:rPr>
                <w:rFonts w:hint="default"/>
                <w:color w:val="auto"/>
                <w:vertAlign w:val="subscript"/>
                <w:lang w:val="pt-BR"/>
              </w:rPr>
              <w:t>3</w:t>
            </w:r>
            <w:r>
              <w:rPr>
                <w:rFonts w:hint="default"/>
                <w:color w:val="auto"/>
                <w:lang w:val="pt-BR"/>
              </w:rPr>
              <w:t>-N</w:t>
            </w:r>
            <w:r>
              <w:rPr>
                <w:rFonts w:hint="default"/>
                <w:color w:val="auto"/>
              </w:rPr>
              <w:t xml:space="preserve">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02" w:hRule="atLeast"/>
          <w:jc w:val="center"/>
        </w:trPr>
        <w:tc>
          <w:tcPr>
            <w:tcW w:w="95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地下水</w:t>
            </w:r>
          </w:p>
        </w:tc>
        <w:tc>
          <w:tcPr>
            <w:tcW w:w="342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pH、色度、总硬度、氯化物、氰化物、高锰酸盐指数、氨氮、硝酸盐、硫酸盐、挥发性酚类、铁、锰、镉、六价铬、铜、镍、汞、锌、铅、砷、大肠菌群数、细菌总数等</w:t>
            </w:r>
          </w:p>
        </w:tc>
        <w:tc>
          <w:tcPr>
            <w:tcW w:w="3027" w:type="dxa"/>
            <w:vAlign w:val="center"/>
          </w:tcPr>
          <w:p>
            <w:pPr>
              <w:pStyle w:val="23"/>
              <w:keepNext w:val="0"/>
              <w:keepLines w:val="0"/>
              <w:suppressLineNumbers w:val="0"/>
              <w:spacing w:before="0" w:beforeAutospacing="0" w:after="0" w:afterAutospacing="0"/>
              <w:ind w:left="0" w:right="0"/>
              <w:rPr>
                <w:rFonts w:hint="default"/>
                <w:color w:val="auto"/>
                <w:lang w:val="pt-BR"/>
              </w:rPr>
            </w:pPr>
            <w:r>
              <w:rPr>
                <w:rFonts w:hint="default"/>
                <w:color w:val="auto"/>
                <w:lang w:val="pt-BR"/>
              </w:rPr>
              <w:t>COD</w:t>
            </w:r>
            <w:r>
              <w:rPr>
                <w:rFonts w:hint="default"/>
                <w:color w:val="auto"/>
              </w:rPr>
              <w:t>、</w:t>
            </w:r>
            <w:r>
              <w:rPr>
                <w:rFonts w:hint="default"/>
                <w:color w:val="auto"/>
                <w:lang w:val="pt-BR"/>
              </w:rPr>
              <w:t>NH</w:t>
            </w:r>
            <w:r>
              <w:rPr>
                <w:rFonts w:hint="default"/>
                <w:color w:val="auto"/>
                <w:vertAlign w:val="subscript"/>
                <w:lang w:val="pt-BR"/>
              </w:rPr>
              <w:t>3</w:t>
            </w:r>
            <w:r>
              <w:rPr>
                <w:rFonts w:hint="default"/>
                <w:color w:val="auto"/>
                <w:lang w:val="pt-BR"/>
              </w:rPr>
              <w:t>-N</w:t>
            </w:r>
            <w:r>
              <w:rPr>
                <w:rFonts w:hint="default"/>
                <w:color w:val="auto"/>
              </w:rPr>
              <w:t>、</w:t>
            </w:r>
            <w:r>
              <w:rPr>
                <w:rFonts w:hint="default"/>
                <w:color w:val="auto"/>
                <w:lang w:val="pt-BR"/>
              </w:rPr>
              <w:t>重金属</w:t>
            </w:r>
          </w:p>
        </w:tc>
        <w:tc>
          <w:tcPr>
            <w:tcW w:w="149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02" w:hRule="atLeast"/>
          <w:jc w:val="center"/>
        </w:trPr>
        <w:tc>
          <w:tcPr>
            <w:tcW w:w="95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土壤</w:t>
            </w:r>
          </w:p>
        </w:tc>
        <w:tc>
          <w:tcPr>
            <w:tcW w:w="342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pH值、有机质、镉、汞、砷、铜、铅、铬(Cr</w:t>
            </w:r>
            <w:r>
              <w:rPr>
                <w:rFonts w:hint="default"/>
                <w:color w:val="auto"/>
                <w:vertAlign w:val="superscript"/>
              </w:rPr>
              <w:t>6+</w:t>
            </w:r>
            <w:r>
              <w:rPr>
                <w:rFonts w:hint="default"/>
                <w:color w:val="auto"/>
              </w:rPr>
              <w:t>)、锌、镍</w:t>
            </w:r>
          </w:p>
        </w:tc>
        <w:tc>
          <w:tcPr>
            <w:tcW w:w="3027" w:type="dxa"/>
            <w:vAlign w:val="center"/>
          </w:tcPr>
          <w:p>
            <w:pPr>
              <w:pStyle w:val="23"/>
              <w:keepNext w:val="0"/>
              <w:keepLines w:val="0"/>
              <w:suppressLineNumbers w:val="0"/>
              <w:spacing w:before="0" w:beforeAutospacing="0" w:after="0" w:afterAutospacing="0"/>
              <w:ind w:left="0" w:right="0"/>
              <w:rPr>
                <w:rFonts w:hint="default"/>
                <w:color w:val="auto"/>
                <w:lang w:val="pt-BR"/>
              </w:rPr>
            </w:pPr>
            <w:r>
              <w:rPr>
                <w:rFonts w:hint="default"/>
                <w:color w:val="auto"/>
                <w:lang w:val="pt-BR"/>
              </w:rPr>
              <w:t>重金属</w:t>
            </w:r>
          </w:p>
        </w:tc>
        <w:tc>
          <w:tcPr>
            <w:tcW w:w="149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26" w:hRule="atLeast"/>
          <w:jc w:val="center"/>
        </w:trPr>
        <w:tc>
          <w:tcPr>
            <w:tcW w:w="95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噪声</w:t>
            </w:r>
          </w:p>
        </w:tc>
        <w:tc>
          <w:tcPr>
            <w:tcW w:w="342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LAeq(dB)</w:t>
            </w:r>
          </w:p>
        </w:tc>
        <w:tc>
          <w:tcPr>
            <w:tcW w:w="302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LAeq(dB)</w:t>
            </w:r>
          </w:p>
        </w:tc>
        <w:tc>
          <w:tcPr>
            <w:tcW w:w="149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5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生态</w:t>
            </w:r>
          </w:p>
        </w:tc>
        <w:tc>
          <w:tcPr>
            <w:tcW w:w="342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w:t>
            </w:r>
          </w:p>
        </w:tc>
        <w:tc>
          <w:tcPr>
            <w:tcW w:w="302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土地利用、水土保持</w:t>
            </w:r>
          </w:p>
        </w:tc>
        <w:tc>
          <w:tcPr>
            <w:tcW w:w="149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15" w:hRule="atLeast"/>
          <w:jc w:val="center"/>
        </w:trPr>
        <w:tc>
          <w:tcPr>
            <w:tcW w:w="95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风险</w:t>
            </w:r>
          </w:p>
        </w:tc>
        <w:tc>
          <w:tcPr>
            <w:tcW w:w="342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w:t>
            </w:r>
          </w:p>
        </w:tc>
        <w:tc>
          <w:tcPr>
            <w:tcW w:w="302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CH</w:t>
            </w:r>
            <w:r>
              <w:rPr>
                <w:rFonts w:hint="default"/>
                <w:color w:val="auto"/>
                <w:vertAlign w:val="subscript"/>
              </w:rPr>
              <w:t>4</w:t>
            </w:r>
          </w:p>
        </w:tc>
        <w:tc>
          <w:tcPr>
            <w:tcW w:w="149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w:t>
            </w:r>
          </w:p>
        </w:tc>
      </w:tr>
    </w:tbl>
    <w:p>
      <w:pPr>
        <w:pStyle w:val="4"/>
        <w:rPr>
          <w:rFonts w:hint="eastAsia"/>
          <w:color w:val="auto"/>
          <w:lang w:val="en-US" w:eastAsia="zh-CN"/>
        </w:rPr>
      </w:pPr>
      <w:r>
        <w:rPr>
          <w:rFonts w:hint="eastAsia"/>
          <w:color w:val="auto"/>
          <w:lang w:val="en-US" w:eastAsia="zh-CN"/>
        </w:rPr>
        <w:t>2.3.2评价标准</w:t>
      </w:r>
    </w:p>
    <w:p>
      <w:pPr>
        <w:rPr>
          <w:rFonts w:hint="eastAsia"/>
          <w:color w:val="auto"/>
          <w:u w:val="single"/>
          <w:lang w:val="en-US" w:eastAsia="zh-CN"/>
        </w:rPr>
      </w:pPr>
      <w:r>
        <w:rPr>
          <w:rFonts w:hint="eastAsia"/>
          <w:color w:val="auto"/>
          <w:u w:val="single"/>
          <w:lang w:val="en-US" w:eastAsia="zh-CN"/>
        </w:rPr>
        <w:t>1、环境质量标准</w:t>
      </w:r>
    </w:p>
    <w:p>
      <w:pPr>
        <w:rPr>
          <w:color w:val="auto"/>
          <w:u w:val="single"/>
        </w:rPr>
      </w:pPr>
      <w:r>
        <w:rPr>
          <w:color w:val="auto"/>
          <w:u w:val="single"/>
        </w:rPr>
        <w:t>(1)大气：项目拟建地环境空气为二类区，SO</w:t>
      </w:r>
      <w:r>
        <w:rPr>
          <w:color w:val="auto"/>
          <w:u w:val="single"/>
          <w:vertAlign w:val="subscript"/>
        </w:rPr>
        <w:t>2</w:t>
      </w:r>
      <w:r>
        <w:rPr>
          <w:color w:val="auto"/>
          <w:u w:val="single"/>
        </w:rPr>
        <w:t>、NO</w:t>
      </w:r>
      <w:r>
        <w:rPr>
          <w:color w:val="auto"/>
          <w:u w:val="single"/>
          <w:vertAlign w:val="subscript"/>
        </w:rPr>
        <w:t>2</w:t>
      </w:r>
      <w:r>
        <w:rPr>
          <w:rFonts w:hint="eastAsia"/>
          <w:color w:val="auto"/>
          <w:u w:val="single"/>
        </w:rPr>
        <w:t>、</w:t>
      </w:r>
      <w:r>
        <w:rPr>
          <w:color w:val="auto"/>
          <w:u w:val="single"/>
        </w:rPr>
        <w:t>PM</w:t>
      </w:r>
      <w:r>
        <w:rPr>
          <w:color w:val="auto"/>
          <w:u w:val="single"/>
          <w:vertAlign w:val="subscript"/>
        </w:rPr>
        <w:t>10</w:t>
      </w:r>
      <w:r>
        <w:rPr>
          <w:color w:val="auto"/>
          <w:u w:val="single"/>
        </w:rPr>
        <w:t>执行《环境空气质量标准》(GB3095-2012)二级标准；NH</w:t>
      </w:r>
      <w:r>
        <w:rPr>
          <w:color w:val="auto"/>
          <w:u w:val="single"/>
          <w:vertAlign w:val="subscript"/>
        </w:rPr>
        <w:t>3</w:t>
      </w:r>
      <w:r>
        <w:rPr>
          <w:color w:val="auto"/>
          <w:u w:val="single"/>
        </w:rPr>
        <w:t>、H</w:t>
      </w:r>
      <w:r>
        <w:rPr>
          <w:color w:val="auto"/>
          <w:u w:val="single"/>
          <w:vertAlign w:val="subscript"/>
        </w:rPr>
        <w:t>2</w:t>
      </w:r>
      <w:r>
        <w:rPr>
          <w:color w:val="auto"/>
          <w:u w:val="single"/>
        </w:rPr>
        <w:t>S执行《工业企业设计卫生标准》(TJ36-79)中居住区大气中有害物质的最高允许浓度限值，具体指标见表2-</w:t>
      </w:r>
      <w:r>
        <w:rPr>
          <w:rFonts w:hint="eastAsia"/>
          <w:color w:val="auto"/>
          <w:u w:val="single"/>
          <w:lang w:val="en-US" w:eastAsia="zh-CN"/>
        </w:rPr>
        <w:t>2</w:t>
      </w:r>
      <w:r>
        <w:rPr>
          <w:color w:val="auto"/>
          <w:u w:val="single"/>
        </w:rPr>
        <w:t>。</w:t>
      </w:r>
    </w:p>
    <w:p>
      <w:pPr>
        <w:pStyle w:val="23"/>
        <w:rPr>
          <w:b/>
          <w:bCs/>
          <w:color w:val="auto"/>
          <w:u w:val="single"/>
        </w:rPr>
      </w:pPr>
      <w:r>
        <w:rPr>
          <w:b/>
          <w:bCs/>
          <w:color w:val="auto"/>
          <w:u w:val="single"/>
        </w:rPr>
        <w:t>表2</w:t>
      </w:r>
      <w:r>
        <w:rPr>
          <w:rFonts w:hint="eastAsia"/>
          <w:b/>
          <w:bCs/>
          <w:color w:val="auto"/>
          <w:u w:val="single"/>
          <w:lang w:val="en-US" w:eastAsia="zh-CN"/>
        </w:rPr>
        <w:t>-2</w:t>
      </w:r>
      <w:r>
        <w:rPr>
          <w:b/>
          <w:bCs/>
          <w:color w:val="auto"/>
          <w:u w:val="single"/>
        </w:rPr>
        <w:t xml:space="preserve">   环境空气质量标准</w:t>
      </w:r>
    </w:p>
    <w:tbl>
      <w:tblPr>
        <w:tblStyle w:val="19"/>
        <w:tblW w:w="8720"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479"/>
        <w:gridCol w:w="2368"/>
        <w:gridCol w:w="1924"/>
        <w:gridCol w:w="1442"/>
        <w:gridCol w:w="150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40" w:hRule="atLeast"/>
          <w:jc w:val="center"/>
        </w:trPr>
        <w:tc>
          <w:tcPr>
            <w:tcW w:w="1479" w:type="dxa"/>
            <w:vMerge w:val="restart"/>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污染因子</w:t>
            </w:r>
          </w:p>
        </w:tc>
        <w:tc>
          <w:tcPr>
            <w:tcW w:w="2368" w:type="dxa"/>
            <w:vMerge w:val="restart"/>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选用标准</w:t>
            </w:r>
          </w:p>
        </w:tc>
        <w:tc>
          <w:tcPr>
            <w:tcW w:w="4873" w:type="dxa"/>
            <w:gridSpan w:val="3"/>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标准限值(mg/m</w:t>
            </w:r>
            <w:r>
              <w:rPr>
                <w:rFonts w:hint="default"/>
                <w:color w:val="auto"/>
                <w:u w:val="single"/>
                <w:vertAlign w:val="superscript"/>
              </w:rPr>
              <w:t>3</w:t>
            </w:r>
            <w:r>
              <w:rPr>
                <w:rFonts w:hint="default"/>
                <w:color w:val="auto"/>
                <w:u w:val="single"/>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40" w:hRule="atLeast"/>
          <w:jc w:val="center"/>
        </w:trPr>
        <w:tc>
          <w:tcPr>
            <w:tcW w:w="147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2368"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92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1小时平均</w:t>
            </w:r>
          </w:p>
        </w:tc>
        <w:tc>
          <w:tcPr>
            <w:tcW w:w="1442"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日平均</w:t>
            </w:r>
          </w:p>
        </w:tc>
        <w:tc>
          <w:tcPr>
            <w:tcW w:w="1507"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年平均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40" w:hRule="atLeast"/>
          <w:jc w:val="center"/>
        </w:trPr>
        <w:tc>
          <w:tcPr>
            <w:tcW w:w="1479"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SO</w:t>
            </w:r>
            <w:r>
              <w:rPr>
                <w:rFonts w:hint="default"/>
                <w:color w:val="auto"/>
                <w:u w:val="single"/>
                <w:vertAlign w:val="subscript"/>
              </w:rPr>
              <w:t>2</w:t>
            </w:r>
          </w:p>
        </w:tc>
        <w:tc>
          <w:tcPr>
            <w:tcW w:w="2368" w:type="dxa"/>
            <w:vMerge w:val="restart"/>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GB3095-2012二级</w:t>
            </w:r>
          </w:p>
          <w:p>
            <w:pPr>
              <w:pStyle w:val="23"/>
              <w:keepNext w:val="0"/>
              <w:keepLines w:val="0"/>
              <w:suppressLineNumbers w:val="0"/>
              <w:spacing w:before="0" w:beforeAutospacing="0" w:after="0" w:afterAutospacing="0"/>
              <w:ind w:left="0" w:right="0"/>
              <w:rPr>
                <w:rFonts w:hint="default"/>
                <w:color w:val="auto"/>
                <w:u w:val="single"/>
              </w:rPr>
            </w:pPr>
          </w:p>
        </w:tc>
        <w:tc>
          <w:tcPr>
            <w:tcW w:w="192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0.50</w:t>
            </w:r>
          </w:p>
        </w:tc>
        <w:tc>
          <w:tcPr>
            <w:tcW w:w="1442"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0.15</w:t>
            </w:r>
          </w:p>
        </w:tc>
        <w:tc>
          <w:tcPr>
            <w:tcW w:w="1507"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40" w:hRule="atLeast"/>
          <w:jc w:val="center"/>
        </w:trPr>
        <w:tc>
          <w:tcPr>
            <w:tcW w:w="1479"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NO</w:t>
            </w:r>
            <w:r>
              <w:rPr>
                <w:rFonts w:hint="default"/>
                <w:color w:val="auto"/>
                <w:u w:val="single"/>
                <w:vertAlign w:val="subscript"/>
              </w:rPr>
              <w:t>2</w:t>
            </w:r>
          </w:p>
        </w:tc>
        <w:tc>
          <w:tcPr>
            <w:tcW w:w="2368"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92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0.20</w:t>
            </w:r>
          </w:p>
        </w:tc>
        <w:tc>
          <w:tcPr>
            <w:tcW w:w="1442"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0.08</w:t>
            </w:r>
          </w:p>
        </w:tc>
        <w:tc>
          <w:tcPr>
            <w:tcW w:w="1507"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40" w:hRule="atLeast"/>
          <w:jc w:val="center"/>
        </w:trPr>
        <w:tc>
          <w:tcPr>
            <w:tcW w:w="1479"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PM</w:t>
            </w:r>
            <w:r>
              <w:rPr>
                <w:rFonts w:hint="default"/>
                <w:color w:val="auto"/>
                <w:u w:val="single"/>
                <w:vertAlign w:val="subscript"/>
              </w:rPr>
              <w:t>10</w:t>
            </w:r>
          </w:p>
        </w:tc>
        <w:tc>
          <w:tcPr>
            <w:tcW w:w="2368"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92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w:t>
            </w:r>
          </w:p>
        </w:tc>
        <w:tc>
          <w:tcPr>
            <w:tcW w:w="1442"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0.150</w:t>
            </w:r>
          </w:p>
        </w:tc>
        <w:tc>
          <w:tcPr>
            <w:tcW w:w="1507"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0.070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40" w:hRule="atLeast"/>
          <w:jc w:val="center"/>
        </w:trPr>
        <w:tc>
          <w:tcPr>
            <w:tcW w:w="1479"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NH</w:t>
            </w:r>
            <w:r>
              <w:rPr>
                <w:rFonts w:hint="default"/>
                <w:color w:val="auto"/>
                <w:u w:val="single"/>
                <w:vertAlign w:val="subscript"/>
              </w:rPr>
              <w:t>3</w:t>
            </w:r>
          </w:p>
        </w:tc>
        <w:tc>
          <w:tcPr>
            <w:tcW w:w="2368" w:type="dxa"/>
            <w:vMerge w:val="restart"/>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TJ36-79居住区一次值</w:t>
            </w:r>
          </w:p>
        </w:tc>
        <w:tc>
          <w:tcPr>
            <w:tcW w:w="192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0.20</w:t>
            </w:r>
          </w:p>
        </w:tc>
        <w:tc>
          <w:tcPr>
            <w:tcW w:w="1442"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w:t>
            </w:r>
          </w:p>
        </w:tc>
        <w:tc>
          <w:tcPr>
            <w:tcW w:w="1507"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40" w:hRule="atLeast"/>
          <w:jc w:val="center"/>
        </w:trPr>
        <w:tc>
          <w:tcPr>
            <w:tcW w:w="1479"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H</w:t>
            </w:r>
            <w:r>
              <w:rPr>
                <w:rFonts w:hint="default"/>
                <w:color w:val="auto"/>
                <w:u w:val="single"/>
                <w:vertAlign w:val="subscript"/>
              </w:rPr>
              <w:t>2</w:t>
            </w:r>
            <w:r>
              <w:rPr>
                <w:rFonts w:hint="default"/>
                <w:color w:val="auto"/>
                <w:u w:val="single"/>
              </w:rPr>
              <w:t>S</w:t>
            </w:r>
          </w:p>
        </w:tc>
        <w:tc>
          <w:tcPr>
            <w:tcW w:w="2368"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92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0.01</w:t>
            </w:r>
          </w:p>
        </w:tc>
        <w:tc>
          <w:tcPr>
            <w:tcW w:w="1442"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w:t>
            </w:r>
          </w:p>
        </w:tc>
        <w:tc>
          <w:tcPr>
            <w:tcW w:w="1507"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w:t>
            </w:r>
          </w:p>
        </w:tc>
      </w:tr>
    </w:tbl>
    <w:p>
      <w:pPr>
        <w:rPr>
          <w:color w:val="auto"/>
          <w:u w:val="single"/>
        </w:rPr>
      </w:pPr>
      <w:r>
        <w:rPr>
          <w:color w:val="auto"/>
          <w:u w:val="single"/>
        </w:rPr>
        <w:t>(2) 地表水环境：根据水环境功能分区，目标水质为</w:t>
      </w:r>
      <w:r>
        <w:rPr>
          <w:color w:val="auto"/>
          <w:u w:val="single"/>
        </w:rPr>
        <w:fldChar w:fldCharType="begin"/>
      </w:r>
      <w:r>
        <w:rPr>
          <w:color w:val="auto"/>
          <w:u w:val="single"/>
        </w:rPr>
        <w:instrText xml:space="preserve"> = 3 \* ROMAN </w:instrText>
      </w:r>
      <w:r>
        <w:rPr>
          <w:color w:val="auto"/>
          <w:u w:val="single"/>
        </w:rPr>
        <w:fldChar w:fldCharType="separate"/>
      </w:r>
      <w:r>
        <w:rPr>
          <w:color w:val="auto"/>
          <w:u w:val="single"/>
        </w:rPr>
        <w:t>III</w:t>
      </w:r>
      <w:r>
        <w:rPr>
          <w:color w:val="auto"/>
          <w:u w:val="single"/>
        </w:rPr>
        <w:fldChar w:fldCharType="end"/>
      </w:r>
      <w:r>
        <w:rPr>
          <w:color w:val="auto"/>
          <w:u w:val="single"/>
        </w:rPr>
        <w:t xml:space="preserve">类水，执行《地表水环境质量标准》(GB 3838-2002) </w:t>
      </w:r>
      <w:r>
        <w:rPr>
          <w:color w:val="auto"/>
          <w:u w:val="single"/>
        </w:rPr>
        <w:fldChar w:fldCharType="begin"/>
      </w:r>
      <w:r>
        <w:rPr>
          <w:color w:val="auto"/>
          <w:u w:val="single"/>
        </w:rPr>
        <w:instrText xml:space="preserve"> = 3 \* ROMAN </w:instrText>
      </w:r>
      <w:r>
        <w:rPr>
          <w:color w:val="auto"/>
          <w:u w:val="single"/>
        </w:rPr>
        <w:fldChar w:fldCharType="separate"/>
      </w:r>
      <w:r>
        <w:rPr>
          <w:color w:val="auto"/>
          <w:u w:val="single"/>
        </w:rPr>
        <w:t>III</w:t>
      </w:r>
      <w:r>
        <w:rPr>
          <w:color w:val="auto"/>
          <w:u w:val="single"/>
        </w:rPr>
        <w:fldChar w:fldCharType="end"/>
      </w:r>
      <w:r>
        <w:rPr>
          <w:color w:val="auto"/>
          <w:u w:val="single"/>
        </w:rPr>
        <w:t>类水标准，见表2</w:t>
      </w:r>
      <w:r>
        <w:rPr>
          <w:rFonts w:hint="eastAsia"/>
          <w:color w:val="auto"/>
          <w:u w:val="single"/>
          <w:lang w:val="en-US" w:eastAsia="zh-CN"/>
        </w:rPr>
        <w:t>-3</w:t>
      </w:r>
      <w:r>
        <w:rPr>
          <w:color w:val="auto"/>
          <w:u w:val="single"/>
        </w:rPr>
        <w:t>。</w:t>
      </w:r>
    </w:p>
    <w:p>
      <w:pPr>
        <w:pStyle w:val="23"/>
        <w:rPr>
          <w:b/>
          <w:bCs/>
          <w:color w:val="auto"/>
          <w:u w:val="single"/>
        </w:rPr>
      </w:pPr>
      <w:r>
        <w:rPr>
          <w:b/>
          <w:bCs/>
          <w:color w:val="auto"/>
          <w:u w:val="single"/>
        </w:rPr>
        <w:t>表2</w:t>
      </w:r>
      <w:r>
        <w:rPr>
          <w:rFonts w:hint="eastAsia"/>
          <w:b/>
          <w:bCs/>
          <w:color w:val="auto"/>
          <w:u w:val="single"/>
          <w:lang w:val="en-US" w:eastAsia="zh-CN"/>
        </w:rPr>
        <w:t xml:space="preserve">-3 </w:t>
      </w:r>
      <w:r>
        <w:rPr>
          <w:b/>
          <w:bCs/>
          <w:color w:val="auto"/>
          <w:u w:val="single"/>
        </w:rPr>
        <w:t>地表水环境质量标准  (单位：mg/L，除pH外)</w:t>
      </w:r>
    </w:p>
    <w:tbl>
      <w:tblPr>
        <w:tblStyle w:val="19"/>
        <w:tblW w:w="8772"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89"/>
        <w:gridCol w:w="600"/>
        <w:gridCol w:w="483"/>
        <w:gridCol w:w="717"/>
        <w:gridCol w:w="883"/>
        <w:gridCol w:w="817"/>
        <w:gridCol w:w="666"/>
        <w:gridCol w:w="617"/>
        <w:gridCol w:w="700"/>
        <w:gridCol w:w="767"/>
        <w:gridCol w:w="907"/>
        <w:gridCol w:w="72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5" w:hRule="atLeast"/>
          <w:jc w:val="center"/>
        </w:trPr>
        <w:tc>
          <w:tcPr>
            <w:tcW w:w="889" w:type="dxa"/>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项目</w:t>
            </w:r>
          </w:p>
        </w:tc>
        <w:tc>
          <w:tcPr>
            <w:tcW w:w="600" w:type="dxa"/>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pH</w:t>
            </w:r>
          </w:p>
        </w:tc>
        <w:tc>
          <w:tcPr>
            <w:tcW w:w="483" w:type="dxa"/>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DO</w:t>
            </w:r>
          </w:p>
        </w:tc>
        <w:tc>
          <w:tcPr>
            <w:tcW w:w="717" w:type="dxa"/>
            <w:tcBorders>
              <w:righ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COD</w:t>
            </w:r>
          </w:p>
        </w:tc>
        <w:tc>
          <w:tcPr>
            <w:tcW w:w="883" w:type="dxa"/>
            <w:tcBorders>
              <w:lef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高锰酸盐指数</w:t>
            </w:r>
          </w:p>
        </w:tc>
        <w:tc>
          <w:tcPr>
            <w:tcW w:w="817" w:type="dxa"/>
            <w:tcBorders>
              <w:righ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NH</w:t>
            </w:r>
            <w:r>
              <w:rPr>
                <w:rFonts w:hint="default"/>
                <w:color w:val="auto"/>
                <w:u w:val="single"/>
                <w:vertAlign w:val="subscript"/>
              </w:rPr>
              <w:t>3</w:t>
            </w:r>
            <w:r>
              <w:rPr>
                <w:rFonts w:hint="default"/>
                <w:color w:val="auto"/>
                <w:u w:val="single"/>
              </w:rPr>
              <w:t>-N</w:t>
            </w:r>
          </w:p>
        </w:tc>
        <w:tc>
          <w:tcPr>
            <w:tcW w:w="666" w:type="dxa"/>
            <w:tcBorders>
              <w:left w:val="single" w:color="auto" w:sz="4" w:space="0"/>
              <w:righ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TN</w:t>
            </w:r>
          </w:p>
        </w:tc>
        <w:tc>
          <w:tcPr>
            <w:tcW w:w="617" w:type="dxa"/>
            <w:tcBorders>
              <w:lef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TP</w:t>
            </w:r>
          </w:p>
        </w:tc>
        <w:tc>
          <w:tcPr>
            <w:tcW w:w="700" w:type="dxa"/>
            <w:tcBorders>
              <w:righ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石油类</w:t>
            </w:r>
          </w:p>
        </w:tc>
        <w:tc>
          <w:tcPr>
            <w:tcW w:w="767" w:type="dxa"/>
            <w:tcBorders>
              <w:lef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BOD</w:t>
            </w:r>
            <w:r>
              <w:rPr>
                <w:rFonts w:hint="default"/>
                <w:color w:val="auto"/>
                <w:u w:val="single"/>
                <w:vertAlign w:val="subscript"/>
              </w:rPr>
              <w:t>5</w:t>
            </w:r>
          </w:p>
        </w:tc>
        <w:tc>
          <w:tcPr>
            <w:tcW w:w="907" w:type="dxa"/>
            <w:tcBorders>
              <w:righ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总大肠菌群数(个/l)</w:t>
            </w:r>
          </w:p>
        </w:tc>
        <w:tc>
          <w:tcPr>
            <w:tcW w:w="726" w:type="dxa"/>
            <w:tcBorders>
              <w:lef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细菌总数</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80" w:hRule="atLeast"/>
          <w:jc w:val="center"/>
        </w:trPr>
        <w:tc>
          <w:tcPr>
            <w:tcW w:w="889" w:type="dxa"/>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标准值</w:t>
            </w:r>
          </w:p>
        </w:tc>
        <w:tc>
          <w:tcPr>
            <w:tcW w:w="600" w:type="dxa"/>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6~9</w:t>
            </w:r>
          </w:p>
        </w:tc>
        <w:tc>
          <w:tcPr>
            <w:tcW w:w="483" w:type="dxa"/>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≥5</w:t>
            </w:r>
          </w:p>
        </w:tc>
        <w:tc>
          <w:tcPr>
            <w:tcW w:w="717" w:type="dxa"/>
            <w:tcBorders>
              <w:right w:val="single" w:color="auto" w:sz="4" w:space="0"/>
            </w:tcBorders>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≤20</w:t>
            </w:r>
          </w:p>
        </w:tc>
        <w:tc>
          <w:tcPr>
            <w:tcW w:w="883" w:type="dxa"/>
            <w:tcBorders>
              <w:left w:val="single" w:color="auto" w:sz="4" w:space="0"/>
            </w:tcBorders>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≤6</w:t>
            </w:r>
          </w:p>
        </w:tc>
        <w:tc>
          <w:tcPr>
            <w:tcW w:w="817" w:type="dxa"/>
            <w:tcBorders>
              <w:right w:val="single" w:color="auto" w:sz="4" w:space="0"/>
            </w:tcBorders>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≤1.0</w:t>
            </w:r>
          </w:p>
        </w:tc>
        <w:tc>
          <w:tcPr>
            <w:tcW w:w="666" w:type="dxa"/>
            <w:tcBorders>
              <w:left w:val="single" w:color="auto" w:sz="4" w:space="0"/>
              <w:right w:val="single" w:color="auto" w:sz="4" w:space="0"/>
            </w:tcBorders>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≤1.0</w:t>
            </w:r>
          </w:p>
        </w:tc>
        <w:tc>
          <w:tcPr>
            <w:tcW w:w="617" w:type="dxa"/>
            <w:tcBorders>
              <w:left w:val="single" w:color="auto" w:sz="4" w:space="0"/>
            </w:tcBorders>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≤0.2</w:t>
            </w:r>
          </w:p>
        </w:tc>
        <w:tc>
          <w:tcPr>
            <w:tcW w:w="700" w:type="dxa"/>
            <w:tcBorders>
              <w:right w:val="single" w:color="auto" w:sz="4" w:space="0"/>
            </w:tcBorders>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≤0.05</w:t>
            </w:r>
          </w:p>
        </w:tc>
        <w:tc>
          <w:tcPr>
            <w:tcW w:w="767" w:type="dxa"/>
            <w:tcBorders>
              <w:left w:val="single" w:color="auto" w:sz="4" w:space="0"/>
            </w:tcBorders>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≤4.0</w:t>
            </w:r>
          </w:p>
        </w:tc>
        <w:tc>
          <w:tcPr>
            <w:tcW w:w="907" w:type="dxa"/>
            <w:tcBorders>
              <w:right w:val="single" w:color="auto" w:sz="4" w:space="0"/>
            </w:tcBorders>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≤10000</w:t>
            </w:r>
          </w:p>
        </w:tc>
        <w:tc>
          <w:tcPr>
            <w:tcW w:w="726" w:type="dxa"/>
            <w:tcBorders>
              <w:left w:val="single" w:color="auto" w:sz="4" w:space="0"/>
            </w:tcBorders>
            <w:vAlign w:val="center"/>
          </w:tcPr>
          <w:p>
            <w:pPr>
              <w:pStyle w:val="23"/>
              <w:keepNext w:val="0"/>
              <w:keepLines w:val="0"/>
              <w:suppressLineNumbers w:val="0"/>
              <w:spacing w:before="0" w:beforeAutospacing="0" w:after="0" w:afterAutospacing="0" w:line="360" w:lineRule="auto"/>
              <w:ind w:left="0" w:right="0"/>
              <w:rPr>
                <w:rFonts w:hint="default"/>
                <w:color w:val="auto"/>
                <w:u w:val="single"/>
              </w:rPr>
            </w:pPr>
            <w:r>
              <w:rPr>
                <w:rFonts w:hint="default"/>
                <w:color w:val="auto"/>
                <w:u w:val="single"/>
              </w:rPr>
              <w:t>/</w:t>
            </w:r>
          </w:p>
        </w:tc>
      </w:tr>
    </w:tbl>
    <w:p>
      <w:pPr>
        <w:numPr>
          <w:ilvl w:val="0"/>
          <w:numId w:val="4"/>
        </w:numPr>
        <w:rPr>
          <w:color w:val="auto"/>
          <w:u w:val="single"/>
        </w:rPr>
      </w:pPr>
      <w:r>
        <w:rPr>
          <w:color w:val="auto"/>
          <w:u w:val="single"/>
        </w:rPr>
        <w:t xml:space="preserve">地下水环境：地下水环境质量执行《地下水环境质量标准》(GB/T14848-93) </w:t>
      </w:r>
      <w:r>
        <w:rPr>
          <w:color w:val="auto"/>
          <w:u w:val="single"/>
        </w:rPr>
        <w:fldChar w:fldCharType="begin"/>
      </w:r>
      <w:r>
        <w:rPr>
          <w:color w:val="auto"/>
          <w:u w:val="single"/>
        </w:rPr>
        <w:instrText xml:space="preserve"> = 3 \* ROMAN </w:instrText>
      </w:r>
      <w:r>
        <w:rPr>
          <w:color w:val="auto"/>
          <w:u w:val="single"/>
        </w:rPr>
        <w:fldChar w:fldCharType="separate"/>
      </w:r>
      <w:r>
        <w:rPr>
          <w:color w:val="auto"/>
          <w:u w:val="single"/>
        </w:rPr>
        <w:t>III</w:t>
      </w:r>
      <w:r>
        <w:rPr>
          <w:color w:val="auto"/>
          <w:u w:val="single"/>
        </w:rPr>
        <w:fldChar w:fldCharType="end"/>
      </w:r>
      <w:r>
        <w:rPr>
          <w:color w:val="auto"/>
          <w:u w:val="single"/>
        </w:rPr>
        <w:t>类水质标准，见表2</w:t>
      </w:r>
      <w:r>
        <w:rPr>
          <w:rFonts w:hint="eastAsia"/>
          <w:color w:val="auto"/>
          <w:u w:val="single"/>
          <w:lang w:val="en-US" w:eastAsia="zh-CN"/>
        </w:rPr>
        <w:t>-4</w:t>
      </w:r>
      <w:r>
        <w:rPr>
          <w:color w:val="auto"/>
          <w:u w:val="single"/>
        </w:rPr>
        <w:t>。</w:t>
      </w:r>
    </w:p>
    <w:p>
      <w:pPr>
        <w:pStyle w:val="23"/>
        <w:rPr>
          <w:b/>
          <w:bCs/>
          <w:color w:val="auto"/>
          <w:u w:val="single"/>
        </w:rPr>
      </w:pPr>
      <w:r>
        <w:rPr>
          <w:b/>
          <w:bCs/>
          <w:color w:val="auto"/>
          <w:u w:val="single"/>
        </w:rPr>
        <w:t>表2</w:t>
      </w:r>
      <w:r>
        <w:rPr>
          <w:rFonts w:hint="eastAsia"/>
          <w:b/>
          <w:bCs/>
          <w:color w:val="auto"/>
          <w:u w:val="single"/>
          <w:lang w:val="en-US" w:eastAsia="zh-CN"/>
        </w:rPr>
        <w:t>-4</w:t>
      </w:r>
      <w:r>
        <w:rPr>
          <w:b/>
          <w:bCs/>
          <w:color w:val="auto"/>
          <w:u w:val="single"/>
        </w:rPr>
        <w:t xml:space="preserve">  地下水质量分类指标        (单位：mg/L，除pH、色度外)</w:t>
      </w:r>
    </w:p>
    <w:tbl>
      <w:tblPr>
        <w:tblStyle w:val="19"/>
        <w:tblW w:w="8720"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69"/>
        <w:gridCol w:w="969"/>
        <w:gridCol w:w="969"/>
        <w:gridCol w:w="970"/>
        <w:gridCol w:w="970"/>
        <w:gridCol w:w="970"/>
        <w:gridCol w:w="970"/>
        <w:gridCol w:w="970"/>
        <w:gridCol w:w="96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40" w:hRule="atLeast"/>
        </w:trPr>
        <w:tc>
          <w:tcPr>
            <w:tcW w:w="969"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项目</w:t>
            </w:r>
          </w:p>
        </w:tc>
        <w:tc>
          <w:tcPr>
            <w:tcW w:w="969"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pH</w:t>
            </w:r>
          </w:p>
        </w:tc>
        <w:tc>
          <w:tcPr>
            <w:tcW w:w="969"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色度</w:t>
            </w:r>
          </w:p>
        </w:tc>
        <w:tc>
          <w:tcPr>
            <w:tcW w:w="9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总硬度</w:t>
            </w:r>
          </w:p>
        </w:tc>
        <w:tc>
          <w:tcPr>
            <w:tcW w:w="9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氯化物</w:t>
            </w:r>
          </w:p>
        </w:tc>
        <w:tc>
          <w:tcPr>
            <w:tcW w:w="9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氰化物</w:t>
            </w:r>
          </w:p>
        </w:tc>
        <w:tc>
          <w:tcPr>
            <w:tcW w:w="9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高锰酸盐指数</w:t>
            </w:r>
          </w:p>
        </w:tc>
        <w:tc>
          <w:tcPr>
            <w:tcW w:w="9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氨氮</w:t>
            </w:r>
          </w:p>
        </w:tc>
        <w:tc>
          <w:tcPr>
            <w:tcW w:w="963"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硝酸盐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标准值</w:t>
            </w:r>
          </w:p>
        </w:tc>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6.5～8.5</w:t>
            </w:r>
          </w:p>
        </w:tc>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≤15</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≤450</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≤250</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≤0.005</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≤3.0</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≤0.2</w:t>
            </w:r>
          </w:p>
        </w:tc>
        <w:tc>
          <w:tcPr>
            <w:tcW w:w="963"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969"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项目</w:t>
            </w:r>
          </w:p>
        </w:tc>
        <w:tc>
          <w:tcPr>
            <w:tcW w:w="969"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硫酸盐</w:t>
            </w:r>
          </w:p>
        </w:tc>
        <w:tc>
          <w:tcPr>
            <w:tcW w:w="969"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挥发性酚类</w:t>
            </w:r>
          </w:p>
        </w:tc>
        <w:tc>
          <w:tcPr>
            <w:tcW w:w="9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铁</w:t>
            </w:r>
          </w:p>
        </w:tc>
        <w:tc>
          <w:tcPr>
            <w:tcW w:w="9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锰</w:t>
            </w:r>
          </w:p>
        </w:tc>
        <w:tc>
          <w:tcPr>
            <w:tcW w:w="9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镉</w:t>
            </w:r>
          </w:p>
        </w:tc>
        <w:tc>
          <w:tcPr>
            <w:tcW w:w="9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铬(Cr</w:t>
            </w:r>
            <w:r>
              <w:rPr>
                <w:rFonts w:hint="default"/>
                <w:color w:val="auto"/>
                <w:u w:val="single"/>
                <w:vertAlign w:val="superscript"/>
              </w:rPr>
              <w:t>6+</w:t>
            </w:r>
            <w:r>
              <w:rPr>
                <w:rFonts w:hint="default"/>
                <w:color w:val="auto"/>
                <w:u w:val="single"/>
              </w:rPr>
              <w:t>)</w:t>
            </w:r>
          </w:p>
        </w:tc>
        <w:tc>
          <w:tcPr>
            <w:tcW w:w="9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铜</w:t>
            </w:r>
          </w:p>
        </w:tc>
        <w:tc>
          <w:tcPr>
            <w:tcW w:w="963"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镍</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标准值</w:t>
            </w:r>
          </w:p>
        </w:tc>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≤250</w:t>
            </w:r>
          </w:p>
        </w:tc>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≤0.002</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≤0.3</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≤0.1</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≤0.01</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≤0.05</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≤1.0</w:t>
            </w:r>
          </w:p>
        </w:tc>
        <w:tc>
          <w:tcPr>
            <w:tcW w:w="963"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项目</w:t>
            </w:r>
          </w:p>
        </w:tc>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汞</w:t>
            </w:r>
          </w:p>
        </w:tc>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锌</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铅</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砷</w:t>
            </w:r>
          </w:p>
        </w:tc>
        <w:tc>
          <w:tcPr>
            <w:tcW w:w="1940" w:type="dxa"/>
            <w:gridSpan w:val="2"/>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大肠菌群数</w:t>
            </w:r>
          </w:p>
        </w:tc>
        <w:tc>
          <w:tcPr>
            <w:tcW w:w="1933" w:type="dxa"/>
            <w:gridSpan w:val="2"/>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细菌总数</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00" w:hRule="atLeast"/>
        </w:trPr>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标准值</w:t>
            </w:r>
          </w:p>
        </w:tc>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≤0.001</w:t>
            </w:r>
          </w:p>
        </w:tc>
        <w:tc>
          <w:tcPr>
            <w:tcW w:w="96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≤1.0</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≤0.05</w:t>
            </w:r>
          </w:p>
        </w:tc>
        <w:tc>
          <w:tcPr>
            <w:tcW w:w="970"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≤0.05</w:t>
            </w:r>
          </w:p>
        </w:tc>
        <w:tc>
          <w:tcPr>
            <w:tcW w:w="1940" w:type="dxa"/>
            <w:gridSpan w:val="2"/>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≤3.0个/L</w:t>
            </w:r>
          </w:p>
        </w:tc>
        <w:tc>
          <w:tcPr>
            <w:tcW w:w="1933" w:type="dxa"/>
            <w:gridSpan w:val="2"/>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≤100个/mL</w:t>
            </w:r>
          </w:p>
        </w:tc>
      </w:tr>
    </w:tbl>
    <w:p>
      <w:pPr>
        <w:rPr>
          <w:color w:val="auto"/>
          <w:u w:val="single"/>
        </w:rPr>
      </w:pPr>
      <w:r>
        <w:rPr>
          <w:color w:val="auto"/>
          <w:u w:val="single"/>
        </w:rPr>
        <w:t>(4) 土壤环境：土壤环境质量执行《土壤环境质量标准》(GB15618-95) 二级标准(为保障农业生产，维护人体健康的土壤限制值)，见表2</w:t>
      </w:r>
      <w:r>
        <w:rPr>
          <w:rFonts w:hint="eastAsia"/>
          <w:color w:val="auto"/>
          <w:u w:val="single"/>
          <w:lang w:val="en-US" w:eastAsia="zh-CN"/>
        </w:rPr>
        <w:t>-5</w:t>
      </w:r>
      <w:r>
        <w:rPr>
          <w:color w:val="auto"/>
          <w:u w:val="single"/>
        </w:rPr>
        <w:t>。</w:t>
      </w:r>
    </w:p>
    <w:p>
      <w:pPr>
        <w:pStyle w:val="23"/>
        <w:rPr>
          <w:b/>
          <w:bCs/>
          <w:color w:val="auto"/>
          <w:u w:val="single"/>
        </w:rPr>
      </w:pPr>
      <w:r>
        <w:rPr>
          <w:b/>
          <w:bCs/>
          <w:color w:val="auto"/>
          <w:u w:val="single"/>
        </w:rPr>
        <w:t>表2</w:t>
      </w:r>
      <w:r>
        <w:rPr>
          <w:rFonts w:hint="eastAsia"/>
          <w:b/>
          <w:bCs/>
          <w:color w:val="auto"/>
          <w:u w:val="single"/>
          <w:lang w:val="en-US" w:eastAsia="zh-CN"/>
        </w:rPr>
        <w:t>-5</w:t>
      </w:r>
      <w:r>
        <w:rPr>
          <w:b/>
          <w:bCs/>
          <w:color w:val="auto"/>
          <w:u w:val="single"/>
        </w:rPr>
        <w:t xml:space="preserve">  土壤环境质量标准(单位：mg/kg)</w:t>
      </w:r>
    </w:p>
    <w:tbl>
      <w:tblPr>
        <w:tblStyle w:val="19"/>
        <w:tblW w:w="8618"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57" w:type="dxa"/>
          <w:bottom w:w="0" w:type="dxa"/>
          <w:right w:w="57" w:type="dxa"/>
        </w:tblCellMar>
      </w:tblPr>
      <w:tblGrid>
        <w:gridCol w:w="665"/>
        <w:gridCol w:w="1255"/>
        <w:gridCol w:w="546"/>
        <w:gridCol w:w="662"/>
        <w:gridCol w:w="664"/>
        <w:gridCol w:w="546"/>
        <w:gridCol w:w="546"/>
        <w:gridCol w:w="546"/>
        <w:gridCol w:w="546"/>
        <w:gridCol w:w="626"/>
        <w:gridCol w:w="702"/>
        <w:gridCol w:w="652"/>
        <w:gridCol w:w="66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57" w:type="dxa"/>
            <w:bottom w:w="0" w:type="dxa"/>
            <w:right w:w="57" w:type="dxa"/>
          </w:tblCellMar>
        </w:tblPrEx>
        <w:trPr>
          <w:trHeight w:val="423" w:hRule="atLeast"/>
        </w:trPr>
        <w:tc>
          <w:tcPr>
            <w:tcW w:w="1920" w:type="dxa"/>
            <w:gridSpan w:val="2"/>
            <w:vMerge w:val="restart"/>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监测项目</w:t>
            </w:r>
          </w:p>
        </w:tc>
        <w:tc>
          <w:tcPr>
            <w:tcW w:w="546"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汞≤</w:t>
            </w:r>
          </w:p>
        </w:tc>
        <w:tc>
          <w:tcPr>
            <w:tcW w:w="1326" w:type="dxa"/>
            <w:gridSpan w:val="2"/>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铜≤</w:t>
            </w:r>
          </w:p>
        </w:tc>
        <w:tc>
          <w:tcPr>
            <w:tcW w:w="546"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锌≤</w:t>
            </w:r>
          </w:p>
        </w:tc>
        <w:tc>
          <w:tcPr>
            <w:tcW w:w="546"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镍≤</w:t>
            </w:r>
          </w:p>
        </w:tc>
        <w:tc>
          <w:tcPr>
            <w:tcW w:w="546"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铅≤</w:t>
            </w:r>
          </w:p>
        </w:tc>
        <w:tc>
          <w:tcPr>
            <w:tcW w:w="546"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镉≤</w:t>
            </w:r>
          </w:p>
        </w:tc>
        <w:tc>
          <w:tcPr>
            <w:tcW w:w="1328" w:type="dxa"/>
            <w:gridSpan w:val="2"/>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砷≤</w:t>
            </w:r>
          </w:p>
        </w:tc>
        <w:tc>
          <w:tcPr>
            <w:tcW w:w="1314" w:type="dxa"/>
            <w:gridSpan w:val="2"/>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铬≤</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57" w:type="dxa"/>
            <w:bottom w:w="0" w:type="dxa"/>
            <w:right w:w="57" w:type="dxa"/>
          </w:tblCellMar>
        </w:tblPrEx>
        <w:trPr>
          <w:trHeight w:val="570" w:hRule="atLeast"/>
        </w:trPr>
        <w:tc>
          <w:tcPr>
            <w:tcW w:w="1920" w:type="dxa"/>
            <w:gridSpan w:val="2"/>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54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662" w:type="dxa"/>
            <w:tcBorders>
              <w:top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农田</w:t>
            </w:r>
          </w:p>
        </w:tc>
        <w:tc>
          <w:tcPr>
            <w:tcW w:w="664" w:type="dxa"/>
            <w:tcBorders>
              <w:top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果园</w:t>
            </w:r>
          </w:p>
        </w:tc>
        <w:tc>
          <w:tcPr>
            <w:tcW w:w="54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54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54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54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62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水田</w:t>
            </w:r>
          </w:p>
        </w:tc>
        <w:tc>
          <w:tcPr>
            <w:tcW w:w="70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旱地</w:t>
            </w:r>
          </w:p>
        </w:tc>
        <w:tc>
          <w:tcPr>
            <w:tcW w:w="65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水田</w:t>
            </w:r>
          </w:p>
        </w:tc>
        <w:tc>
          <w:tcPr>
            <w:tcW w:w="66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旱地</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57" w:type="dxa"/>
            <w:bottom w:w="0" w:type="dxa"/>
            <w:right w:w="57" w:type="dxa"/>
          </w:tblCellMar>
        </w:tblPrEx>
        <w:trPr>
          <w:trHeight w:val="454" w:hRule="atLeast"/>
        </w:trPr>
        <w:tc>
          <w:tcPr>
            <w:tcW w:w="665"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二级</w:t>
            </w:r>
          </w:p>
        </w:tc>
        <w:tc>
          <w:tcPr>
            <w:tcW w:w="1255"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pH&lt;6.5</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0.3</w:t>
            </w:r>
          </w:p>
        </w:tc>
        <w:tc>
          <w:tcPr>
            <w:tcW w:w="66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50</w:t>
            </w:r>
          </w:p>
        </w:tc>
        <w:tc>
          <w:tcPr>
            <w:tcW w:w="664"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150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200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40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250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0.3</w:t>
            </w:r>
          </w:p>
        </w:tc>
        <w:tc>
          <w:tcPr>
            <w:tcW w:w="62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30</w:t>
            </w:r>
          </w:p>
        </w:tc>
        <w:tc>
          <w:tcPr>
            <w:tcW w:w="70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40</w:t>
            </w:r>
          </w:p>
        </w:tc>
        <w:tc>
          <w:tcPr>
            <w:tcW w:w="65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250</w:t>
            </w:r>
          </w:p>
        </w:tc>
        <w:tc>
          <w:tcPr>
            <w:tcW w:w="66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150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57" w:type="dxa"/>
            <w:bottom w:w="0" w:type="dxa"/>
            <w:right w:w="57" w:type="dxa"/>
          </w:tblCellMar>
        </w:tblPrEx>
        <w:trPr>
          <w:trHeight w:val="454" w:hRule="atLeast"/>
        </w:trPr>
        <w:tc>
          <w:tcPr>
            <w:tcW w:w="665"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255"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pH6.5~7.5</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0.5</w:t>
            </w:r>
          </w:p>
        </w:tc>
        <w:tc>
          <w:tcPr>
            <w:tcW w:w="66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100</w:t>
            </w:r>
          </w:p>
        </w:tc>
        <w:tc>
          <w:tcPr>
            <w:tcW w:w="664"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200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250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50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300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0.3</w:t>
            </w:r>
          </w:p>
        </w:tc>
        <w:tc>
          <w:tcPr>
            <w:tcW w:w="62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25</w:t>
            </w:r>
          </w:p>
        </w:tc>
        <w:tc>
          <w:tcPr>
            <w:tcW w:w="70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30</w:t>
            </w:r>
          </w:p>
        </w:tc>
        <w:tc>
          <w:tcPr>
            <w:tcW w:w="65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300</w:t>
            </w:r>
          </w:p>
        </w:tc>
        <w:tc>
          <w:tcPr>
            <w:tcW w:w="66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57" w:type="dxa"/>
            <w:bottom w:w="0" w:type="dxa"/>
            <w:right w:w="57" w:type="dxa"/>
          </w:tblCellMar>
        </w:tblPrEx>
        <w:trPr>
          <w:trHeight w:val="454" w:hRule="atLeast"/>
        </w:trPr>
        <w:tc>
          <w:tcPr>
            <w:tcW w:w="665"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255"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pH＞7.5</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w:t>
            </w:r>
          </w:p>
        </w:tc>
        <w:tc>
          <w:tcPr>
            <w:tcW w:w="66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100</w:t>
            </w:r>
          </w:p>
        </w:tc>
        <w:tc>
          <w:tcPr>
            <w:tcW w:w="664"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200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300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60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350</w:t>
            </w:r>
          </w:p>
        </w:tc>
        <w:tc>
          <w:tcPr>
            <w:tcW w:w="54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0.6</w:t>
            </w:r>
          </w:p>
        </w:tc>
        <w:tc>
          <w:tcPr>
            <w:tcW w:w="626"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20</w:t>
            </w:r>
          </w:p>
        </w:tc>
        <w:tc>
          <w:tcPr>
            <w:tcW w:w="70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25</w:t>
            </w:r>
          </w:p>
        </w:tc>
        <w:tc>
          <w:tcPr>
            <w:tcW w:w="65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350</w:t>
            </w:r>
          </w:p>
        </w:tc>
        <w:tc>
          <w:tcPr>
            <w:tcW w:w="662"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250</w:t>
            </w:r>
          </w:p>
        </w:tc>
      </w:tr>
    </w:tbl>
    <w:p>
      <w:pPr>
        <w:rPr>
          <w:color w:val="auto"/>
          <w:u w:val="single"/>
        </w:rPr>
      </w:pPr>
      <w:r>
        <w:rPr>
          <w:color w:val="auto"/>
          <w:u w:val="single"/>
        </w:rPr>
        <w:t>(5) 声环境：按照相应声环境功能区划，执行《声环境质量标准》(GB3096-2008)</w:t>
      </w:r>
      <w:r>
        <w:rPr>
          <w:rFonts w:hint="eastAsia"/>
          <w:color w:val="auto"/>
          <w:u w:val="single"/>
          <w:lang w:val="en-US" w:eastAsia="zh-CN"/>
        </w:rPr>
        <w:t>2</w:t>
      </w:r>
      <w:r>
        <w:rPr>
          <w:color w:val="auto"/>
          <w:u w:val="single"/>
        </w:rPr>
        <w:t>类区域标准；见表2</w:t>
      </w:r>
      <w:r>
        <w:rPr>
          <w:rFonts w:hint="eastAsia"/>
          <w:color w:val="auto"/>
          <w:u w:val="single"/>
          <w:lang w:val="en-US" w:eastAsia="zh-CN"/>
        </w:rPr>
        <w:t>-6</w:t>
      </w:r>
      <w:r>
        <w:rPr>
          <w:color w:val="auto"/>
          <w:u w:val="single"/>
        </w:rPr>
        <w:t>。</w:t>
      </w:r>
    </w:p>
    <w:p>
      <w:pPr>
        <w:pStyle w:val="23"/>
        <w:rPr>
          <w:b/>
          <w:bCs/>
          <w:color w:val="auto"/>
          <w:u w:val="single"/>
        </w:rPr>
      </w:pPr>
      <w:r>
        <w:rPr>
          <w:b/>
          <w:bCs/>
          <w:color w:val="auto"/>
          <w:u w:val="single"/>
        </w:rPr>
        <w:t>表2</w:t>
      </w:r>
      <w:r>
        <w:rPr>
          <w:rFonts w:hint="eastAsia"/>
          <w:b/>
          <w:bCs/>
          <w:color w:val="auto"/>
          <w:u w:val="single"/>
          <w:lang w:val="en-US" w:eastAsia="zh-CN"/>
        </w:rPr>
        <w:t>-6</w:t>
      </w:r>
      <w:r>
        <w:rPr>
          <w:b/>
          <w:bCs/>
          <w:color w:val="auto"/>
          <w:u w:val="single"/>
        </w:rPr>
        <w:t xml:space="preserve">  声环境质量标准</w:t>
      </w:r>
    </w:p>
    <w:tbl>
      <w:tblPr>
        <w:tblStyle w:val="19"/>
        <w:tblW w:w="7160" w:type="dxa"/>
        <w:jc w:val="center"/>
        <w:tblInd w:w="-15"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1538"/>
        <w:gridCol w:w="2923"/>
        <w:gridCol w:w="269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Ex>
        <w:trPr>
          <w:cantSplit/>
          <w:trHeight w:val="473" w:hRule="atLeast"/>
          <w:jc w:val="center"/>
        </w:trPr>
        <w:tc>
          <w:tcPr>
            <w:tcW w:w="1538" w:type="dxa"/>
            <w:vMerge w:val="restart"/>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类别</w:t>
            </w:r>
          </w:p>
        </w:tc>
        <w:tc>
          <w:tcPr>
            <w:tcW w:w="5622" w:type="dxa"/>
            <w:gridSpan w:val="2"/>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等效声级Leq [dB]</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Ex>
        <w:trPr>
          <w:cantSplit/>
          <w:trHeight w:val="460" w:hRule="atLeast"/>
          <w:jc w:val="center"/>
        </w:trPr>
        <w:tc>
          <w:tcPr>
            <w:tcW w:w="1538"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2923"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昼间</w:t>
            </w:r>
          </w:p>
        </w:tc>
        <w:tc>
          <w:tcPr>
            <w:tcW w:w="2699"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夜间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Ex>
        <w:trPr>
          <w:cantSplit/>
          <w:trHeight w:val="500" w:hRule="atLeast"/>
          <w:jc w:val="center"/>
        </w:trPr>
        <w:tc>
          <w:tcPr>
            <w:tcW w:w="1538" w:type="dxa"/>
            <w:vAlign w:val="center"/>
          </w:tcPr>
          <w:p>
            <w:pPr>
              <w:pStyle w:val="23"/>
              <w:keepNext w:val="0"/>
              <w:keepLines w:val="0"/>
              <w:suppressLineNumbers w:val="0"/>
              <w:spacing w:before="0" w:beforeAutospacing="0" w:after="0" w:afterAutospacing="0"/>
              <w:ind w:left="0" w:right="0"/>
              <w:rPr>
                <w:rFonts w:hint="eastAsia" w:eastAsia="宋体"/>
                <w:color w:val="auto"/>
                <w:u w:val="single"/>
                <w:lang w:eastAsia="zh-CN"/>
              </w:rPr>
            </w:pPr>
            <w:r>
              <w:rPr>
                <w:rFonts w:hint="eastAsia"/>
                <w:color w:val="auto"/>
                <w:u w:val="single"/>
                <w:lang w:val="en-US" w:eastAsia="zh-CN"/>
              </w:rPr>
              <w:t>2</w:t>
            </w:r>
          </w:p>
        </w:tc>
        <w:tc>
          <w:tcPr>
            <w:tcW w:w="2923" w:type="dxa"/>
            <w:vAlign w:val="center"/>
          </w:tcPr>
          <w:p>
            <w:pPr>
              <w:pStyle w:val="23"/>
              <w:keepNext w:val="0"/>
              <w:keepLines w:val="0"/>
              <w:suppressLineNumbers w:val="0"/>
              <w:spacing w:before="0" w:beforeAutospacing="0" w:after="0" w:afterAutospacing="0"/>
              <w:ind w:left="0" w:right="0"/>
              <w:rPr>
                <w:rFonts w:hint="eastAsia" w:eastAsia="宋体"/>
                <w:color w:val="auto"/>
                <w:u w:val="single"/>
                <w:lang w:eastAsia="zh-CN"/>
              </w:rPr>
            </w:pPr>
            <w:r>
              <w:rPr>
                <w:rFonts w:hint="eastAsia"/>
                <w:color w:val="auto"/>
                <w:u w:val="single"/>
                <w:lang w:val="en-US" w:eastAsia="zh-CN"/>
              </w:rPr>
              <w:t>60</w:t>
            </w:r>
          </w:p>
        </w:tc>
        <w:tc>
          <w:tcPr>
            <w:tcW w:w="2699" w:type="dxa"/>
            <w:vAlign w:val="center"/>
          </w:tcPr>
          <w:p>
            <w:pPr>
              <w:pStyle w:val="23"/>
              <w:keepNext w:val="0"/>
              <w:keepLines w:val="0"/>
              <w:suppressLineNumbers w:val="0"/>
              <w:spacing w:before="0" w:beforeAutospacing="0" w:after="0" w:afterAutospacing="0"/>
              <w:ind w:left="0" w:right="0"/>
              <w:rPr>
                <w:rFonts w:hint="eastAsia" w:eastAsia="宋体"/>
                <w:color w:val="auto"/>
                <w:u w:val="single"/>
                <w:lang w:eastAsia="zh-CN"/>
              </w:rPr>
            </w:pPr>
            <w:r>
              <w:rPr>
                <w:rFonts w:hint="eastAsia"/>
                <w:color w:val="auto"/>
                <w:u w:val="single"/>
                <w:lang w:val="en-US" w:eastAsia="zh-CN"/>
              </w:rPr>
              <w:t>50</w:t>
            </w:r>
          </w:p>
        </w:tc>
      </w:tr>
    </w:tbl>
    <w:p>
      <w:pPr>
        <w:rPr>
          <w:rFonts w:hint="eastAsia"/>
          <w:color w:val="auto"/>
          <w:u w:val="single"/>
          <w:lang w:val="en-US" w:eastAsia="zh-CN"/>
        </w:rPr>
      </w:pPr>
      <w:r>
        <w:rPr>
          <w:rFonts w:hint="eastAsia"/>
          <w:color w:val="auto"/>
          <w:u w:val="single"/>
          <w:lang w:val="en-US" w:eastAsia="zh-CN"/>
        </w:rPr>
        <w:t>2、污染物排放标准</w:t>
      </w:r>
    </w:p>
    <w:p>
      <w:pPr>
        <w:rPr>
          <w:color w:val="auto"/>
          <w:u w:val="single"/>
        </w:rPr>
      </w:pPr>
      <w:r>
        <w:rPr>
          <w:color w:val="auto"/>
          <w:u w:val="single"/>
        </w:rPr>
        <w:t>颗粒物执行《大气污染物综合排放标准》(16297-1996)新改扩二级，及场界无组织排放监控浓度限值；恶臭污染物NH3、H2S、臭气浓度执行《恶臭污染物排放标准》(GB14554-93)中二级新改扩标准，具体标准值见表</w:t>
      </w:r>
      <w:r>
        <w:rPr>
          <w:rFonts w:hint="eastAsia"/>
          <w:color w:val="auto"/>
          <w:u w:val="single"/>
          <w:lang w:val="en-US" w:eastAsia="zh-CN"/>
        </w:rPr>
        <w:t>2-7</w:t>
      </w:r>
      <w:r>
        <w:rPr>
          <w:color w:val="auto"/>
          <w:u w:val="single"/>
        </w:rPr>
        <w:t>。</w:t>
      </w:r>
    </w:p>
    <w:p>
      <w:pPr>
        <w:rPr>
          <w:color w:val="auto"/>
          <w:u w:val="single"/>
        </w:rPr>
      </w:pPr>
      <w:r>
        <w:rPr>
          <w:color w:val="auto"/>
          <w:u w:val="single"/>
        </w:rPr>
        <w:t>另根据《生活垃圾填埋场污染控制标准》(GB16889-2008)，甲烷排放控制要求：</w:t>
      </w:r>
      <w:r>
        <w:rPr>
          <w:rFonts w:hint="eastAsia"/>
          <w:color w:val="auto"/>
          <w:u w:val="single"/>
          <w:lang w:eastAsia="zh-CN"/>
        </w:rPr>
        <w:t>大于</w:t>
      </w:r>
      <w:r>
        <w:rPr>
          <w:color w:val="auto"/>
          <w:u w:val="single"/>
        </w:rPr>
        <w:t>250万吨且垃圾填埋厚度</w:t>
      </w:r>
      <w:r>
        <w:rPr>
          <w:rFonts w:hint="eastAsia"/>
          <w:color w:val="auto"/>
          <w:u w:val="single"/>
          <w:lang w:eastAsia="zh-CN"/>
        </w:rPr>
        <w:t>且</w:t>
      </w:r>
      <w:r>
        <w:rPr>
          <w:color w:val="auto"/>
          <w:u w:val="single"/>
        </w:rPr>
        <w:t>超过20m的生活垃圾填埋场，应采</w:t>
      </w:r>
      <w:r>
        <w:rPr>
          <w:rFonts w:hint="eastAsia"/>
          <w:color w:val="auto"/>
          <w:u w:val="single"/>
          <w:lang w:eastAsia="zh-CN"/>
        </w:rPr>
        <w:t>建设甲烷利用设施或</w:t>
      </w:r>
      <w:r>
        <w:rPr>
          <w:color w:val="auto"/>
          <w:u w:val="single"/>
        </w:rPr>
        <w:t>火炬燃烧设施处理含甲烷填埋气体。填埋工作面上2m以下高度范围内甲烷的体积百分比应不大于0.1%；生活垃圾填埋场应采取甲烷减排措施，当通过导气管道直接排放填埋气体时，导气管排放口的甲烷的体积百分比不大于5%。</w:t>
      </w:r>
    </w:p>
    <w:p>
      <w:pPr>
        <w:rPr>
          <w:color w:val="auto"/>
          <w:u w:val="single"/>
        </w:rPr>
      </w:pPr>
    </w:p>
    <w:p>
      <w:pPr>
        <w:rPr>
          <w:color w:val="auto"/>
          <w:u w:val="single"/>
        </w:rPr>
      </w:pPr>
    </w:p>
    <w:p>
      <w:pPr>
        <w:pStyle w:val="23"/>
        <w:rPr>
          <w:b/>
          <w:bCs/>
          <w:color w:val="auto"/>
          <w:u w:val="single"/>
        </w:rPr>
      </w:pPr>
      <w:r>
        <w:rPr>
          <w:b/>
          <w:bCs/>
          <w:color w:val="auto"/>
          <w:u w:val="single"/>
        </w:rPr>
        <w:t>表</w:t>
      </w:r>
      <w:r>
        <w:rPr>
          <w:rFonts w:hint="eastAsia"/>
          <w:b/>
          <w:bCs/>
          <w:color w:val="auto"/>
          <w:u w:val="single"/>
          <w:lang w:val="en-US" w:eastAsia="zh-CN"/>
        </w:rPr>
        <w:t>2-7</w:t>
      </w:r>
      <w:r>
        <w:rPr>
          <w:b/>
          <w:bCs/>
          <w:color w:val="auto"/>
          <w:u w:val="single"/>
        </w:rPr>
        <w:t xml:space="preserve"> 大气污染物排放标准</w:t>
      </w:r>
    </w:p>
    <w:tbl>
      <w:tblPr>
        <w:tblStyle w:val="19"/>
        <w:tblW w:w="8220" w:type="dxa"/>
        <w:jc w:val="center"/>
        <w:tblInd w:w="-15"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
      <w:tblGrid>
        <w:gridCol w:w="1663"/>
        <w:gridCol w:w="2216"/>
        <w:gridCol w:w="4341"/>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512" w:hRule="atLeast"/>
          <w:tblHeader/>
          <w:jc w:val="center"/>
        </w:trPr>
        <w:tc>
          <w:tcPr>
            <w:tcW w:w="1663" w:type="dxa"/>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污染物名称</w:t>
            </w:r>
          </w:p>
        </w:tc>
        <w:tc>
          <w:tcPr>
            <w:tcW w:w="2216" w:type="dxa"/>
            <w:tcBorders>
              <w:righ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厂界浓度限值(mg/m</w:t>
            </w:r>
            <w:r>
              <w:rPr>
                <w:rFonts w:hint="default"/>
                <w:color w:val="auto"/>
                <w:u w:val="single"/>
                <w:vertAlign w:val="superscript"/>
              </w:rPr>
              <w:t>3</w:t>
            </w:r>
            <w:r>
              <w:rPr>
                <w:rFonts w:hint="default"/>
                <w:color w:val="auto"/>
                <w:u w:val="single"/>
              </w:rPr>
              <w:t>)</w:t>
            </w:r>
          </w:p>
        </w:tc>
        <w:tc>
          <w:tcPr>
            <w:tcW w:w="4341" w:type="dxa"/>
            <w:tcBorders>
              <w:left w:val="single" w:color="auto" w:sz="4" w:space="0"/>
            </w:tcBorders>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标准来源</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472" w:hRule="atLeast"/>
          <w:jc w:val="center"/>
        </w:trPr>
        <w:tc>
          <w:tcPr>
            <w:tcW w:w="1663"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NH</w:t>
            </w:r>
            <w:r>
              <w:rPr>
                <w:rFonts w:hint="default"/>
                <w:color w:val="auto"/>
                <w:u w:val="single"/>
                <w:vertAlign w:val="subscript"/>
              </w:rPr>
              <w:t>3</w:t>
            </w:r>
          </w:p>
        </w:tc>
        <w:tc>
          <w:tcPr>
            <w:tcW w:w="2216" w:type="dxa"/>
            <w:tcBorders>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1.5</w:t>
            </w:r>
          </w:p>
        </w:tc>
        <w:tc>
          <w:tcPr>
            <w:tcW w:w="4341" w:type="dxa"/>
            <w:vMerge w:val="restart"/>
            <w:tcBorders>
              <w:lef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GB14554-93</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二级新扩改建</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472" w:hRule="atLeast"/>
          <w:jc w:val="center"/>
        </w:trPr>
        <w:tc>
          <w:tcPr>
            <w:tcW w:w="1663"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H</w:t>
            </w:r>
            <w:r>
              <w:rPr>
                <w:rFonts w:hint="default"/>
                <w:color w:val="auto"/>
                <w:u w:val="single"/>
                <w:vertAlign w:val="subscript"/>
              </w:rPr>
              <w:t>2</w:t>
            </w:r>
            <w:r>
              <w:rPr>
                <w:rFonts w:hint="default"/>
                <w:color w:val="auto"/>
                <w:u w:val="single"/>
              </w:rPr>
              <w:t>S</w:t>
            </w:r>
          </w:p>
        </w:tc>
        <w:tc>
          <w:tcPr>
            <w:tcW w:w="2216" w:type="dxa"/>
            <w:tcBorders>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0.06</w:t>
            </w:r>
          </w:p>
        </w:tc>
        <w:tc>
          <w:tcPr>
            <w:tcW w:w="4341" w:type="dxa"/>
            <w:vMerge w:val="continue"/>
            <w:tcBorders>
              <w:lef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485" w:hRule="atLeast"/>
          <w:jc w:val="center"/>
        </w:trPr>
        <w:tc>
          <w:tcPr>
            <w:tcW w:w="1663"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臭气浓度(无量纲)</w:t>
            </w:r>
          </w:p>
        </w:tc>
        <w:tc>
          <w:tcPr>
            <w:tcW w:w="2216" w:type="dxa"/>
            <w:tcBorders>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20 (无量纲)</w:t>
            </w:r>
          </w:p>
        </w:tc>
        <w:tc>
          <w:tcPr>
            <w:tcW w:w="4341" w:type="dxa"/>
            <w:vMerge w:val="continue"/>
            <w:tcBorders>
              <w:lef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907" w:hRule="atLeast"/>
          <w:jc w:val="center"/>
        </w:trPr>
        <w:tc>
          <w:tcPr>
            <w:tcW w:w="1663"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颗粒物</w:t>
            </w:r>
          </w:p>
        </w:tc>
        <w:tc>
          <w:tcPr>
            <w:tcW w:w="2216" w:type="dxa"/>
            <w:tcBorders>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1.0</w:t>
            </w:r>
          </w:p>
        </w:tc>
        <w:tc>
          <w:tcPr>
            <w:tcW w:w="4341" w:type="dxa"/>
            <w:tcBorders>
              <w:lef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GB16297-1996新改扩无组织排放监控浓度限值</w:t>
            </w:r>
          </w:p>
        </w:tc>
      </w:tr>
    </w:tbl>
    <w:p>
      <w:pPr>
        <w:rPr>
          <w:color w:val="auto"/>
          <w:u w:val="single"/>
        </w:rPr>
      </w:pPr>
      <w:r>
        <w:rPr>
          <w:color w:val="auto"/>
          <w:u w:val="single"/>
        </w:rPr>
        <w:t>(2) 废水</w:t>
      </w:r>
    </w:p>
    <w:p>
      <w:pPr>
        <w:rPr>
          <w:color w:val="auto"/>
          <w:u w:val="single"/>
        </w:rPr>
      </w:pPr>
      <w:r>
        <w:rPr>
          <w:color w:val="auto"/>
          <w:u w:val="single"/>
        </w:rPr>
        <w:t>项目污水主要为填埋场垃圾渗滤液、少量生活污水及汽车冲洗废水，通过调节池均质后经渗滤液处理系统处理后排入</w:t>
      </w:r>
      <w:r>
        <w:rPr>
          <w:rFonts w:hint="eastAsia"/>
          <w:color w:val="auto"/>
          <w:u w:val="single"/>
          <w:lang w:eastAsia="zh-CN"/>
        </w:rPr>
        <w:t>芭蕉湖</w:t>
      </w:r>
      <w:r>
        <w:rPr>
          <w:color w:val="auto"/>
          <w:u w:val="single"/>
        </w:rPr>
        <w:t>。本项目废水排放参考执行《生活垃圾填埋场污染控制标准》(GB16889-2008)表</w:t>
      </w:r>
      <w:r>
        <w:rPr>
          <w:rFonts w:hint="eastAsia"/>
          <w:color w:val="auto"/>
          <w:u w:val="single"/>
          <w:lang w:val="en-US" w:eastAsia="zh-CN"/>
        </w:rPr>
        <w:t>2</w:t>
      </w:r>
      <w:r>
        <w:rPr>
          <w:color w:val="auto"/>
          <w:u w:val="single"/>
        </w:rPr>
        <w:t>中水污染物特别排放限值。具体标准值见表</w:t>
      </w:r>
      <w:r>
        <w:rPr>
          <w:rFonts w:hint="eastAsia"/>
          <w:color w:val="auto"/>
          <w:u w:val="single"/>
          <w:lang w:val="en-US" w:eastAsia="zh-CN"/>
        </w:rPr>
        <w:t>2-8</w:t>
      </w:r>
      <w:r>
        <w:rPr>
          <w:color w:val="auto"/>
          <w:u w:val="single"/>
        </w:rPr>
        <w:t>。</w:t>
      </w:r>
    </w:p>
    <w:p>
      <w:pPr>
        <w:pStyle w:val="23"/>
        <w:rPr>
          <w:b/>
          <w:bCs/>
          <w:color w:val="auto"/>
          <w:u w:val="single"/>
        </w:rPr>
      </w:pPr>
      <w:r>
        <w:rPr>
          <w:b/>
          <w:bCs/>
          <w:color w:val="auto"/>
          <w:u w:val="single"/>
        </w:rPr>
        <w:t>表</w:t>
      </w:r>
      <w:r>
        <w:rPr>
          <w:rFonts w:hint="eastAsia"/>
          <w:b/>
          <w:bCs/>
          <w:color w:val="auto"/>
          <w:u w:val="single"/>
          <w:lang w:val="en-US" w:eastAsia="zh-CN"/>
        </w:rPr>
        <w:t xml:space="preserve">2-8 </w:t>
      </w:r>
      <w:r>
        <w:rPr>
          <w:b/>
          <w:bCs/>
          <w:color w:val="auto"/>
          <w:u w:val="single"/>
        </w:rPr>
        <w:t xml:space="preserve"> 生活垃圾填埋场污染控制标准(单位：mg/L，除色度外)</w:t>
      </w:r>
    </w:p>
    <w:tbl>
      <w:tblPr>
        <w:tblStyle w:val="19"/>
        <w:tblW w:w="8560"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569"/>
        <w:gridCol w:w="572"/>
        <w:gridCol w:w="572"/>
        <w:gridCol w:w="570"/>
        <w:gridCol w:w="572"/>
        <w:gridCol w:w="572"/>
        <w:gridCol w:w="570"/>
        <w:gridCol w:w="518"/>
        <w:gridCol w:w="626"/>
        <w:gridCol w:w="570"/>
        <w:gridCol w:w="572"/>
        <w:gridCol w:w="572"/>
        <w:gridCol w:w="570"/>
        <w:gridCol w:w="572"/>
        <w:gridCol w:w="56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51" w:hRule="atLeast"/>
        </w:trPr>
        <w:tc>
          <w:tcPr>
            <w:tcW w:w="569"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控制污染物</w:t>
            </w:r>
          </w:p>
        </w:tc>
        <w:tc>
          <w:tcPr>
            <w:tcW w:w="572"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色度</w:t>
            </w:r>
          </w:p>
        </w:tc>
        <w:tc>
          <w:tcPr>
            <w:tcW w:w="572"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化学需氧量</w:t>
            </w:r>
          </w:p>
        </w:tc>
        <w:tc>
          <w:tcPr>
            <w:tcW w:w="570"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生化需氧量</w:t>
            </w:r>
          </w:p>
        </w:tc>
        <w:tc>
          <w:tcPr>
            <w:tcW w:w="572"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悬浮物</w:t>
            </w:r>
          </w:p>
        </w:tc>
        <w:tc>
          <w:tcPr>
            <w:tcW w:w="572"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总氮</w:t>
            </w:r>
          </w:p>
        </w:tc>
        <w:tc>
          <w:tcPr>
            <w:tcW w:w="570"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氨氮</w:t>
            </w:r>
          </w:p>
        </w:tc>
        <w:tc>
          <w:tcPr>
            <w:tcW w:w="518"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总磷</w:t>
            </w:r>
          </w:p>
        </w:tc>
        <w:tc>
          <w:tcPr>
            <w:tcW w:w="626"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粪大肠菌群数</w:t>
            </w:r>
          </w:p>
        </w:tc>
        <w:tc>
          <w:tcPr>
            <w:tcW w:w="570"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总汞</w:t>
            </w:r>
          </w:p>
        </w:tc>
        <w:tc>
          <w:tcPr>
            <w:tcW w:w="572"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总镉</w:t>
            </w:r>
          </w:p>
        </w:tc>
        <w:tc>
          <w:tcPr>
            <w:tcW w:w="572"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总铬</w:t>
            </w:r>
          </w:p>
        </w:tc>
        <w:tc>
          <w:tcPr>
            <w:tcW w:w="570"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六价铬</w:t>
            </w:r>
          </w:p>
        </w:tc>
        <w:tc>
          <w:tcPr>
            <w:tcW w:w="572"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总砷</w:t>
            </w:r>
          </w:p>
        </w:tc>
        <w:tc>
          <w:tcPr>
            <w:tcW w:w="563"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总铅</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330" w:hRule="atLeast"/>
        </w:trPr>
        <w:tc>
          <w:tcPr>
            <w:tcW w:w="569"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排放浓度限值</w:t>
            </w:r>
          </w:p>
        </w:tc>
        <w:tc>
          <w:tcPr>
            <w:tcW w:w="572"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eastAsia="宋体"/>
                <w:color w:val="auto"/>
                <w:u w:val="single"/>
                <w:lang w:eastAsia="zh-CN"/>
              </w:rPr>
            </w:pPr>
            <w:r>
              <w:rPr>
                <w:rFonts w:hint="eastAsia"/>
                <w:color w:val="auto"/>
                <w:u w:val="single"/>
                <w:lang w:val="en-US" w:eastAsia="zh-CN"/>
              </w:rPr>
              <w:t>40</w:t>
            </w:r>
          </w:p>
        </w:tc>
        <w:tc>
          <w:tcPr>
            <w:tcW w:w="572"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eastAsia="宋体"/>
                <w:color w:val="auto"/>
                <w:u w:val="single"/>
                <w:lang w:eastAsia="zh-CN"/>
              </w:rPr>
            </w:pPr>
            <w:r>
              <w:rPr>
                <w:rFonts w:hint="eastAsia"/>
                <w:color w:val="auto"/>
                <w:u w:val="single"/>
                <w:lang w:val="en-US" w:eastAsia="zh-CN"/>
              </w:rPr>
              <w:t>100</w:t>
            </w:r>
          </w:p>
        </w:tc>
        <w:tc>
          <w:tcPr>
            <w:tcW w:w="5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eastAsia="宋体"/>
                <w:color w:val="auto"/>
                <w:u w:val="single"/>
                <w:lang w:val="en-US" w:eastAsia="zh-CN"/>
              </w:rPr>
            </w:pPr>
            <w:r>
              <w:rPr>
                <w:rFonts w:hint="eastAsia"/>
                <w:color w:val="auto"/>
                <w:u w:val="single"/>
                <w:lang w:val="en-US" w:eastAsia="zh-CN"/>
              </w:rPr>
              <w:t>30</w:t>
            </w:r>
          </w:p>
        </w:tc>
        <w:tc>
          <w:tcPr>
            <w:tcW w:w="572"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30</w:t>
            </w:r>
          </w:p>
        </w:tc>
        <w:tc>
          <w:tcPr>
            <w:tcW w:w="572"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eastAsia"/>
                <w:color w:val="auto"/>
                <w:u w:val="single"/>
                <w:lang w:val="en-US" w:eastAsia="zh-CN"/>
              </w:rPr>
              <w:t>4</w:t>
            </w:r>
            <w:r>
              <w:rPr>
                <w:rFonts w:hint="default"/>
                <w:color w:val="auto"/>
                <w:u w:val="single"/>
              </w:rPr>
              <w:t>0</w:t>
            </w:r>
          </w:p>
        </w:tc>
        <w:tc>
          <w:tcPr>
            <w:tcW w:w="5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eastAsia="宋体"/>
                <w:color w:val="auto"/>
                <w:u w:val="single"/>
                <w:lang w:eastAsia="zh-CN"/>
              </w:rPr>
            </w:pPr>
            <w:r>
              <w:rPr>
                <w:rFonts w:hint="eastAsia"/>
                <w:color w:val="auto"/>
                <w:u w:val="single"/>
                <w:lang w:val="en-US" w:eastAsia="zh-CN"/>
              </w:rPr>
              <w:t>25</w:t>
            </w:r>
          </w:p>
        </w:tc>
        <w:tc>
          <w:tcPr>
            <w:tcW w:w="518"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eastAsia="宋体"/>
                <w:color w:val="auto"/>
                <w:u w:val="single"/>
                <w:lang w:eastAsia="zh-CN"/>
              </w:rPr>
            </w:pPr>
            <w:r>
              <w:rPr>
                <w:rFonts w:hint="eastAsia"/>
                <w:color w:val="auto"/>
                <w:u w:val="single"/>
                <w:lang w:val="en-US" w:eastAsia="zh-CN"/>
              </w:rPr>
              <w:t>3</w:t>
            </w:r>
          </w:p>
        </w:tc>
        <w:tc>
          <w:tcPr>
            <w:tcW w:w="626"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1000</w:t>
            </w:r>
            <w:r>
              <w:rPr>
                <w:rFonts w:hint="eastAsia"/>
                <w:color w:val="auto"/>
                <w:u w:val="single"/>
                <w:lang w:val="en-US" w:eastAsia="zh-CN"/>
              </w:rPr>
              <w:t>0</w:t>
            </w:r>
          </w:p>
        </w:tc>
        <w:tc>
          <w:tcPr>
            <w:tcW w:w="5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0.001</w:t>
            </w:r>
          </w:p>
        </w:tc>
        <w:tc>
          <w:tcPr>
            <w:tcW w:w="572"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0.01</w:t>
            </w:r>
          </w:p>
        </w:tc>
        <w:tc>
          <w:tcPr>
            <w:tcW w:w="572"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0.1</w:t>
            </w:r>
          </w:p>
        </w:tc>
        <w:tc>
          <w:tcPr>
            <w:tcW w:w="570"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0.05</w:t>
            </w:r>
          </w:p>
        </w:tc>
        <w:tc>
          <w:tcPr>
            <w:tcW w:w="572"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0.1</w:t>
            </w:r>
          </w:p>
        </w:tc>
        <w:tc>
          <w:tcPr>
            <w:tcW w:w="563" w:type="dxa"/>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0.1</w:t>
            </w:r>
          </w:p>
        </w:tc>
      </w:tr>
    </w:tbl>
    <w:p>
      <w:pPr>
        <w:rPr>
          <w:color w:val="auto"/>
          <w:u w:val="single"/>
        </w:rPr>
      </w:pPr>
      <w:r>
        <w:rPr>
          <w:color w:val="auto"/>
          <w:u w:val="single"/>
        </w:rPr>
        <w:t>(3) 噪声</w:t>
      </w:r>
    </w:p>
    <w:p>
      <w:pPr>
        <w:rPr>
          <w:color w:val="auto"/>
          <w:u w:val="single"/>
        </w:rPr>
      </w:pPr>
      <w:r>
        <w:rPr>
          <w:color w:val="auto"/>
          <w:u w:val="single"/>
        </w:rPr>
        <w:t>施工过程中的噪声执行《建筑施工场界环境噪声排放标准》(GB12523- 2011)；营运期噪声排放执行《工业企业厂界环境噪声排放标准》(GB12348-2008)中的</w:t>
      </w:r>
      <w:r>
        <w:rPr>
          <w:rFonts w:hint="eastAsia"/>
          <w:color w:val="auto"/>
          <w:u w:val="single"/>
          <w:lang w:val="en-US" w:eastAsia="zh-CN"/>
        </w:rPr>
        <w:t>2</w:t>
      </w:r>
      <w:r>
        <w:rPr>
          <w:color w:val="auto"/>
          <w:u w:val="single"/>
        </w:rPr>
        <w:t>类区标准。见表</w:t>
      </w:r>
      <w:r>
        <w:rPr>
          <w:rFonts w:hint="eastAsia"/>
          <w:color w:val="auto"/>
          <w:u w:val="single"/>
          <w:lang w:val="en-US" w:eastAsia="zh-CN"/>
        </w:rPr>
        <w:t>2-9</w:t>
      </w:r>
      <w:r>
        <w:rPr>
          <w:color w:val="auto"/>
          <w:u w:val="single"/>
        </w:rPr>
        <w:t>。</w:t>
      </w:r>
    </w:p>
    <w:p>
      <w:pPr>
        <w:pStyle w:val="23"/>
        <w:rPr>
          <w:color w:val="auto"/>
          <w:u w:val="single"/>
        </w:rPr>
      </w:pPr>
      <w:bookmarkStart w:id="10" w:name="_Toc21920063"/>
      <w:r>
        <w:rPr>
          <w:b/>
          <w:bCs/>
          <w:color w:val="auto"/>
          <w:u w:val="single"/>
        </w:rPr>
        <w:t>表2</w:t>
      </w:r>
      <w:r>
        <w:rPr>
          <w:rFonts w:hint="eastAsia"/>
          <w:b/>
          <w:bCs/>
          <w:color w:val="auto"/>
          <w:u w:val="single"/>
          <w:lang w:val="en-US" w:eastAsia="zh-CN"/>
        </w:rPr>
        <w:t>-9</w:t>
      </w:r>
      <w:r>
        <w:rPr>
          <w:b/>
          <w:bCs/>
          <w:color w:val="auto"/>
          <w:u w:val="single"/>
        </w:rPr>
        <w:t>厂界环境噪声排放标准</w:t>
      </w:r>
    </w:p>
    <w:tbl>
      <w:tblPr>
        <w:tblStyle w:val="19"/>
        <w:tblW w:w="8440"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99" w:type="dxa"/>
          <w:bottom w:w="0" w:type="dxa"/>
          <w:right w:w="99" w:type="dxa"/>
        </w:tblCellMar>
      </w:tblPr>
      <w:tblGrid>
        <w:gridCol w:w="2111"/>
        <w:gridCol w:w="2110"/>
        <w:gridCol w:w="2109"/>
        <w:gridCol w:w="211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99" w:type="dxa"/>
            <w:bottom w:w="0" w:type="dxa"/>
            <w:right w:w="99" w:type="dxa"/>
          </w:tblCellMar>
        </w:tblPrEx>
        <w:trPr>
          <w:trHeight w:val="421" w:hRule="atLeast"/>
          <w:jc w:val="center"/>
        </w:trPr>
        <w:tc>
          <w:tcPr>
            <w:tcW w:w="2111"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时期</w:t>
            </w:r>
          </w:p>
        </w:tc>
        <w:tc>
          <w:tcPr>
            <w:tcW w:w="2110"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昼间 [dB(A)]</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夜间 [dB(A)]</w:t>
            </w:r>
          </w:p>
        </w:tc>
        <w:tc>
          <w:tcPr>
            <w:tcW w:w="2110"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标准出处</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99" w:type="dxa"/>
            <w:bottom w:w="0" w:type="dxa"/>
            <w:right w:w="99" w:type="dxa"/>
          </w:tblCellMar>
        </w:tblPrEx>
        <w:trPr>
          <w:trHeight w:val="408" w:hRule="atLeast"/>
          <w:jc w:val="center"/>
        </w:trPr>
        <w:tc>
          <w:tcPr>
            <w:tcW w:w="2111"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营运期</w:t>
            </w:r>
          </w:p>
        </w:tc>
        <w:tc>
          <w:tcPr>
            <w:tcW w:w="2110"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55</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45</w:t>
            </w:r>
          </w:p>
        </w:tc>
        <w:tc>
          <w:tcPr>
            <w:tcW w:w="2110"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GB12348-2008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99" w:type="dxa"/>
            <w:bottom w:w="0" w:type="dxa"/>
            <w:right w:w="99" w:type="dxa"/>
          </w:tblCellMar>
        </w:tblPrEx>
        <w:trPr>
          <w:trHeight w:val="433" w:hRule="atLeast"/>
          <w:jc w:val="center"/>
        </w:trPr>
        <w:tc>
          <w:tcPr>
            <w:tcW w:w="2111"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施工期</w:t>
            </w:r>
          </w:p>
        </w:tc>
        <w:tc>
          <w:tcPr>
            <w:tcW w:w="2110"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70</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55</w:t>
            </w:r>
          </w:p>
        </w:tc>
        <w:tc>
          <w:tcPr>
            <w:tcW w:w="2110"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GB12523- 2011</w:t>
            </w:r>
          </w:p>
        </w:tc>
      </w:tr>
      <w:bookmarkEnd w:id="10"/>
    </w:tbl>
    <w:p>
      <w:pPr>
        <w:rPr>
          <w:color w:val="auto"/>
          <w:u w:val="single"/>
        </w:rPr>
      </w:pPr>
      <w:r>
        <w:rPr>
          <w:color w:val="auto"/>
          <w:u w:val="single"/>
        </w:rPr>
        <w:t>(4)  固废</w:t>
      </w:r>
    </w:p>
    <w:p>
      <w:pPr>
        <w:rPr>
          <w:color w:val="auto"/>
          <w:u w:val="single"/>
        </w:rPr>
      </w:pPr>
      <w:r>
        <w:rPr>
          <w:color w:val="auto"/>
          <w:u w:val="single"/>
        </w:rPr>
        <w:t>一般工业固废贮存、处理、处置执行《一般工业固体废弃物贮存、处置场污染控制标准》(GB18599-2001)及修改单(公告2013年第36号)，办公生活垃圾执行</w:t>
      </w:r>
      <w:r>
        <w:rPr>
          <w:rFonts w:hint="eastAsia"/>
          <w:color w:val="auto"/>
          <w:u w:val="single"/>
          <w:lang w:eastAsia="zh-CN"/>
        </w:rPr>
        <w:t>《生活垃圾填埋场污染控制标准》（</w:t>
      </w:r>
      <w:r>
        <w:rPr>
          <w:rFonts w:hint="eastAsia"/>
          <w:color w:val="auto"/>
          <w:u w:val="single"/>
          <w:lang w:val="en-US" w:eastAsia="zh-CN"/>
        </w:rPr>
        <w:t>GB16889-2008</w:t>
      </w:r>
      <w:r>
        <w:rPr>
          <w:rFonts w:hint="eastAsia"/>
          <w:color w:val="auto"/>
          <w:u w:val="single"/>
          <w:lang w:eastAsia="zh-CN"/>
        </w:rPr>
        <w:t>）</w:t>
      </w:r>
      <w:r>
        <w:rPr>
          <w:color w:val="auto"/>
          <w:u w:val="single"/>
        </w:rPr>
        <w:t>。危险固废暂存、处理和处置按照《中华人民共和国固体废物污染环境防治法》及《危险废物贮存污染控制标准》(GB18597-2001)及修改单(公告2013年第36号)中有关危险废物的管理条款执行。</w:t>
      </w:r>
    </w:p>
    <w:p>
      <w:pPr>
        <w:pStyle w:val="3"/>
        <w:rPr>
          <w:rFonts w:hint="eastAsia"/>
          <w:color w:val="auto"/>
          <w:lang w:val="en-US" w:eastAsia="zh-CN"/>
        </w:rPr>
      </w:pPr>
      <w:bookmarkStart w:id="11" w:name="_Toc16575"/>
      <w:r>
        <w:rPr>
          <w:rFonts w:hint="eastAsia"/>
          <w:color w:val="auto"/>
          <w:lang w:val="en-US" w:eastAsia="zh-CN"/>
        </w:rPr>
        <w:t>2.4评价工作等级</w:t>
      </w:r>
      <w:bookmarkEnd w:id="11"/>
    </w:p>
    <w:p>
      <w:pPr>
        <w:pStyle w:val="4"/>
        <w:rPr>
          <w:color w:val="auto"/>
        </w:rPr>
      </w:pPr>
      <w:bookmarkStart w:id="12" w:name="_Toc453856709"/>
      <w:bookmarkStart w:id="13" w:name="_Toc77980363"/>
      <w:r>
        <w:rPr>
          <w:rFonts w:hint="eastAsia"/>
          <w:color w:val="auto"/>
          <w:lang w:val="en-US" w:eastAsia="zh-CN"/>
        </w:rPr>
        <w:t>2.4.1</w:t>
      </w:r>
      <w:r>
        <w:rPr>
          <w:color w:val="auto"/>
        </w:rPr>
        <w:t>环境空气</w:t>
      </w:r>
      <w:bookmarkEnd w:id="12"/>
      <w:bookmarkEnd w:id="13"/>
    </w:p>
    <w:p>
      <w:pPr>
        <w:rPr>
          <w:color w:val="auto"/>
        </w:rPr>
      </w:pPr>
      <w:r>
        <w:rPr>
          <w:color w:val="auto"/>
        </w:rPr>
        <w:t>按照《环境影响评价技术导则大气环境》(HJ/2.2-2008)中评价工作等级的确定依据，选择1~3种主要污染物，分别计算每一种污染物的最大落地浓度占标率Pi(下标i为第i个污染物)，Pi的计算公式：</w:t>
      </w:r>
    </w:p>
    <w:p>
      <w:pPr>
        <w:rPr>
          <w:color w:val="auto"/>
        </w:rPr>
      </w:pPr>
      <w:r>
        <w:rPr>
          <w:color w:val="auto"/>
          <w:position w:val="-30"/>
        </w:rPr>
        <w:object>
          <v:shape id="_x0000_i1025" o:spt="75" type="#_x0000_t75" style="height:35.25pt;width:82.55pt;" o:ole="t" filled="f" o:preferrelative="t" stroked="f" coordsize="21600,21600">
            <v:path/>
            <v:fill on="f" focussize="0,0"/>
            <v:stroke on="f"/>
            <v:imagedata r:id="rId8" o:title=""/>
            <o:lock v:ext="edit" aspectratio="t"/>
            <w10:wrap type="none"/>
            <w10:anchorlock/>
          </v:shape>
          <o:OLEObject Type="Embed" ProgID="Equation.3" ShapeID="_x0000_i1025" DrawAspect="Content" ObjectID="_1468075725" r:id="rId7">
            <o:LockedField>false</o:LockedField>
          </o:OLEObject>
        </w:object>
      </w:r>
    </w:p>
    <w:p>
      <w:pPr>
        <w:rPr>
          <w:color w:val="auto"/>
        </w:rPr>
      </w:pPr>
      <w:r>
        <w:rPr>
          <w:color w:val="auto"/>
        </w:rPr>
        <w:t>式中：Pi-第i个污染物的最大落地浓度占标率，%；</w:t>
      </w:r>
    </w:p>
    <w:p>
      <w:pPr>
        <w:rPr>
          <w:color w:val="auto"/>
        </w:rPr>
      </w:pPr>
      <w:r>
        <w:rPr>
          <w:color w:val="auto"/>
        </w:rPr>
        <w:t>Ci-估算模式计算的第i个污染物的最大落地浓度，mg/m</w:t>
      </w:r>
      <w:r>
        <w:rPr>
          <w:color w:val="auto"/>
          <w:vertAlign w:val="superscript"/>
        </w:rPr>
        <w:t>3</w:t>
      </w:r>
      <w:r>
        <w:rPr>
          <w:color w:val="auto"/>
        </w:rPr>
        <w:t>；</w:t>
      </w:r>
    </w:p>
    <w:p>
      <w:pPr>
        <w:rPr>
          <w:color w:val="auto"/>
        </w:rPr>
      </w:pPr>
      <w:r>
        <w:rPr>
          <w:color w:val="auto"/>
        </w:rPr>
        <w:t>C0i-参见表2.5-1环境空气质量标准中的小时浓度标准，mg/m</w:t>
      </w:r>
      <w:r>
        <w:rPr>
          <w:color w:val="auto"/>
          <w:vertAlign w:val="superscript"/>
        </w:rPr>
        <w:t>3</w:t>
      </w:r>
      <w:r>
        <w:rPr>
          <w:color w:val="auto"/>
        </w:rPr>
        <w:t>。</w:t>
      </w:r>
    </w:p>
    <w:p>
      <w:pPr>
        <w:rPr>
          <w:color w:val="auto"/>
        </w:rPr>
      </w:pPr>
      <w:r>
        <w:rPr>
          <w:color w:val="auto"/>
        </w:rPr>
        <w:t>评价工作等级判定依据见表2</w:t>
      </w:r>
      <w:r>
        <w:rPr>
          <w:rFonts w:hint="eastAsia"/>
          <w:color w:val="auto"/>
          <w:lang w:val="en-US" w:eastAsia="zh-CN"/>
        </w:rPr>
        <w:t>-10</w:t>
      </w:r>
      <w:r>
        <w:rPr>
          <w:color w:val="auto"/>
        </w:rPr>
        <w:t>。</w:t>
      </w:r>
    </w:p>
    <w:p>
      <w:pPr>
        <w:pStyle w:val="23"/>
        <w:rPr>
          <w:b/>
          <w:bCs/>
          <w:color w:val="auto"/>
        </w:rPr>
      </w:pPr>
      <w:r>
        <w:rPr>
          <w:b/>
          <w:bCs/>
          <w:color w:val="auto"/>
        </w:rPr>
        <w:t>表2</w:t>
      </w:r>
      <w:r>
        <w:rPr>
          <w:rFonts w:hint="eastAsia"/>
          <w:b/>
          <w:bCs/>
          <w:color w:val="auto"/>
          <w:lang w:val="en-US" w:eastAsia="zh-CN"/>
        </w:rPr>
        <w:t>-10</w:t>
      </w:r>
      <w:r>
        <w:rPr>
          <w:b/>
          <w:bCs/>
          <w:color w:val="auto"/>
        </w:rPr>
        <w:t>大气环境影响评价等级判别表</w:t>
      </w:r>
    </w:p>
    <w:tbl>
      <w:tblPr>
        <w:tblStyle w:val="19"/>
        <w:tblW w:w="8720"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790"/>
        <w:gridCol w:w="593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13" w:hRule="atLeast"/>
          <w:jc w:val="center"/>
        </w:trPr>
        <w:tc>
          <w:tcPr>
            <w:tcW w:w="2790" w:type="dxa"/>
            <w:vAlign w:val="top"/>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评价工作等级</w:t>
            </w:r>
          </w:p>
        </w:tc>
        <w:tc>
          <w:tcPr>
            <w:tcW w:w="593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评价工作分级判据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13" w:hRule="atLeast"/>
          <w:jc w:val="center"/>
        </w:trPr>
        <w:tc>
          <w:tcPr>
            <w:tcW w:w="2790" w:type="dxa"/>
            <w:vAlign w:val="top"/>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一</w:t>
            </w:r>
          </w:p>
        </w:tc>
        <w:tc>
          <w:tcPr>
            <w:tcW w:w="593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Pmax≥80%，且D10%≥5km</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13" w:hRule="atLeast"/>
          <w:jc w:val="center"/>
        </w:trPr>
        <w:tc>
          <w:tcPr>
            <w:tcW w:w="2790" w:type="dxa"/>
            <w:vAlign w:val="top"/>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二</w:t>
            </w:r>
          </w:p>
        </w:tc>
        <w:tc>
          <w:tcPr>
            <w:tcW w:w="593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其它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13" w:hRule="atLeast"/>
          <w:jc w:val="center"/>
        </w:trPr>
        <w:tc>
          <w:tcPr>
            <w:tcW w:w="2790" w:type="dxa"/>
            <w:vAlign w:val="top"/>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三</w:t>
            </w:r>
          </w:p>
        </w:tc>
        <w:tc>
          <w:tcPr>
            <w:tcW w:w="593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Pmax&lt;10%或D10%&lt;污染源距厂界最近距离</w:t>
            </w:r>
          </w:p>
        </w:tc>
      </w:tr>
    </w:tbl>
    <w:p>
      <w:pPr>
        <w:spacing w:line="360" w:lineRule="auto"/>
        <w:ind w:firstLine="480" w:firstLineChars="200"/>
        <w:rPr>
          <w:rFonts w:hint="eastAsia"/>
          <w:color w:val="auto"/>
          <w:sz w:val="24"/>
          <w:szCs w:val="24"/>
        </w:rPr>
      </w:pPr>
      <w:r>
        <w:rPr>
          <w:color w:val="auto"/>
        </w:rPr>
        <w:t>根据工程分析结果，</w:t>
      </w:r>
      <w:r>
        <w:rPr>
          <w:rFonts w:hint="eastAsia"/>
          <w:color w:val="auto"/>
          <w:sz w:val="24"/>
          <w:szCs w:val="24"/>
        </w:rPr>
        <w:t>本工程的大气污染物主要是垃圾场的填埋气体，其成分以CO</w:t>
      </w:r>
      <w:r>
        <w:rPr>
          <w:rFonts w:hint="eastAsia"/>
          <w:color w:val="auto"/>
          <w:sz w:val="24"/>
          <w:szCs w:val="24"/>
          <w:vertAlign w:val="subscript"/>
        </w:rPr>
        <w:t>2</w:t>
      </w:r>
      <w:r>
        <w:rPr>
          <w:rFonts w:hint="eastAsia"/>
          <w:color w:val="auto"/>
          <w:sz w:val="24"/>
          <w:szCs w:val="24"/>
        </w:rPr>
        <w:t>、CH</w:t>
      </w:r>
      <w:r>
        <w:rPr>
          <w:rFonts w:hint="eastAsia"/>
          <w:color w:val="auto"/>
          <w:sz w:val="24"/>
          <w:szCs w:val="24"/>
          <w:vertAlign w:val="subscript"/>
        </w:rPr>
        <w:t>4</w:t>
      </w:r>
      <w:r>
        <w:rPr>
          <w:rFonts w:hint="eastAsia"/>
          <w:color w:val="auto"/>
          <w:sz w:val="24"/>
          <w:szCs w:val="24"/>
        </w:rPr>
        <w:t>为主，约占总量的99</w:t>
      </w:r>
      <w:r>
        <w:rPr>
          <w:color w:val="auto"/>
          <w:sz w:val="24"/>
          <w:szCs w:val="24"/>
        </w:rPr>
        <w:t>.7</w:t>
      </w:r>
      <w:r>
        <w:rPr>
          <w:rFonts w:hint="eastAsia"/>
          <w:color w:val="auto"/>
          <w:sz w:val="24"/>
          <w:szCs w:val="24"/>
        </w:rPr>
        <w:t>%左右，并有少量NH</w:t>
      </w:r>
      <w:r>
        <w:rPr>
          <w:rFonts w:hint="eastAsia"/>
          <w:color w:val="auto"/>
          <w:sz w:val="24"/>
          <w:szCs w:val="24"/>
          <w:vertAlign w:val="subscript"/>
        </w:rPr>
        <w:t>3</w:t>
      </w:r>
      <w:r>
        <w:rPr>
          <w:rFonts w:hint="eastAsia"/>
          <w:color w:val="auto"/>
          <w:sz w:val="24"/>
          <w:szCs w:val="24"/>
        </w:rPr>
        <w:t>、H</w:t>
      </w:r>
      <w:r>
        <w:rPr>
          <w:rFonts w:hint="eastAsia"/>
          <w:color w:val="auto"/>
          <w:sz w:val="24"/>
          <w:szCs w:val="24"/>
          <w:vertAlign w:val="subscript"/>
        </w:rPr>
        <w:t>2</w:t>
      </w:r>
      <w:r>
        <w:rPr>
          <w:rFonts w:hint="eastAsia"/>
          <w:color w:val="auto"/>
          <w:sz w:val="24"/>
          <w:szCs w:val="24"/>
        </w:rPr>
        <w:t>S等恶臭气体，选取污染物NH</w:t>
      </w:r>
      <w:r>
        <w:rPr>
          <w:rFonts w:hint="eastAsia"/>
          <w:color w:val="auto"/>
          <w:sz w:val="24"/>
          <w:szCs w:val="24"/>
          <w:vertAlign w:val="subscript"/>
        </w:rPr>
        <w:t>3</w:t>
      </w:r>
      <w:r>
        <w:rPr>
          <w:rFonts w:hint="eastAsia"/>
          <w:color w:val="auto"/>
          <w:sz w:val="24"/>
          <w:szCs w:val="24"/>
        </w:rPr>
        <w:t>和H</w:t>
      </w:r>
      <w:r>
        <w:rPr>
          <w:rFonts w:hint="eastAsia"/>
          <w:color w:val="auto"/>
          <w:sz w:val="24"/>
          <w:szCs w:val="24"/>
          <w:vertAlign w:val="subscript"/>
        </w:rPr>
        <w:t>2</w:t>
      </w:r>
      <w:r>
        <w:rPr>
          <w:rFonts w:hint="eastAsia"/>
          <w:color w:val="auto"/>
          <w:sz w:val="24"/>
          <w:szCs w:val="24"/>
        </w:rPr>
        <w:t>S计算废气污染物最大地面浓度占标率，见表</w:t>
      </w:r>
      <w:r>
        <w:rPr>
          <w:rFonts w:hint="eastAsia"/>
          <w:color w:val="auto"/>
          <w:sz w:val="24"/>
          <w:szCs w:val="24"/>
          <w:lang w:val="en-US" w:eastAsia="zh-CN"/>
        </w:rPr>
        <w:t>2-11</w:t>
      </w:r>
      <w:r>
        <w:rPr>
          <w:rFonts w:hint="eastAsia"/>
          <w:color w:val="auto"/>
          <w:sz w:val="24"/>
          <w:szCs w:val="24"/>
        </w:rPr>
        <w:t xml:space="preserve">。 </w:t>
      </w:r>
    </w:p>
    <w:p>
      <w:pPr>
        <w:pStyle w:val="23"/>
        <w:rPr>
          <w:rFonts w:hint="eastAsia"/>
          <w:color w:val="auto"/>
        </w:rPr>
      </w:pPr>
      <w:r>
        <w:rPr>
          <w:rFonts w:hint="eastAsia"/>
          <w:b/>
          <w:bCs/>
          <w:color w:val="auto"/>
        </w:rPr>
        <w:t>表</w:t>
      </w:r>
      <w:r>
        <w:rPr>
          <w:rFonts w:hint="eastAsia"/>
          <w:b/>
          <w:bCs/>
          <w:color w:val="auto"/>
          <w:lang w:val="en-US" w:eastAsia="zh-CN"/>
        </w:rPr>
        <w:t>2-11</w:t>
      </w:r>
      <w:r>
        <w:rPr>
          <w:rFonts w:hint="eastAsia"/>
          <w:b/>
          <w:bCs/>
          <w:color w:val="auto"/>
        </w:rPr>
        <w:t xml:space="preserve">  废气污染物最大地面浓度占标率</w:t>
      </w:r>
    </w:p>
    <w:tbl>
      <w:tblPr>
        <w:tblStyle w:val="19"/>
        <w:tblW w:w="91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6"/>
        <w:gridCol w:w="1630"/>
        <w:gridCol w:w="1541"/>
        <w:gridCol w:w="1902"/>
        <w:gridCol w:w="855"/>
        <w:gridCol w:w="21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trPr>
        <w:tc>
          <w:tcPr>
            <w:tcW w:w="1086"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rPr>
              <w:t>污染物</w:t>
            </w:r>
          </w:p>
          <w:p>
            <w:pPr>
              <w:pStyle w:val="23"/>
              <w:keepNext w:val="0"/>
              <w:keepLines w:val="0"/>
              <w:suppressLineNumbers w:val="0"/>
              <w:spacing w:before="0" w:beforeAutospacing="0" w:after="0" w:afterAutospacing="0"/>
              <w:ind w:left="0" w:right="0"/>
              <w:rPr>
                <w:rFonts w:hint="eastAsia"/>
                <w:color w:val="auto"/>
              </w:rPr>
            </w:pPr>
            <w:r>
              <w:rPr>
                <w:rFonts w:hint="eastAsia"/>
                <w:color w:val="auto"/>
              </w:rPr>
              <w:t>名称</w:t>
            </w:r>
          </w:p>
        </w:tc>
        <w:tc>
          <w:tcPr>
            <w:tcW w:w="1630"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rPr>
              <w:t>污染物排放</w:t>
            </w:r>
          </w:p>
          <w:p>
            <w:pPr>
              <w:pStyle w:val="23"/>
              <w:keepNext w:val="0"/>
              <w:keepLines w:val="0"/>
              <w:suppressLineNumbers w:val="0"/>
              <w:spacing w:before="0" w:beforeAutospacing="0" w:after="0" w:afterAutospacing="0"/>
              <w:ind w:left="0" w:right="0"/>
              <w:rPr>
                <w:rFonts w:hint="eastAsia"/>
                <w:color w:val="auto"/>
              </w:rPr>
            </w:pPr>
            <w:r>
              <w:rPr>
                <w:rFonts w:hint="eastAsia"/>
                <w:color w:val="auto"/>
              </w:rPr>
              <w:t>量（kg/h）</w:t>
            </w:r>
          </w:p>
        </w:tc>
        <w:tc>
          <w:tcPr>
            <w:tcW w:w="1541"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rPr>
              <w:t>采用标准</w:t>
            </w:r>
          </w:p>
          <w:p>
            <w:pPr>
              <w:pStyle w:val="23"/>
              <w:keepNext w:val="0"/>
              <w:keepLines w:val="0"/>
              <w:suppressLineNumbers w:val="0"/>
              <w:spacing w:before="0" w:beforeAutospacing="0" w:after="0" w:afterAutospacing="0"/>
              <w:ind w:left="0" w:right="0"/>
              <w:rPr>
                <w:rFonts w:hint="eastAsia"/>
                <w:color w:val="auto"/>
              </w:rPr>
            </w:pPr>
            <w:r>
              <w:rPr>
                <w:rFonts w:hint="eastAsia"/>
                <w:color w:val="auto"/>
              </w:rPr>
              <w:t>（mg/m3）</w:t>
            </w:r>
          </w:p>
        </w:tc>
        <w:tc>
          <w:tcPr>
            <w:tcW w:w="1902"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rPr>
              <w:t>最大地面浓度</w:t>
            </w:r>
          </w:p>
          <w:p>
            <w:pPr>
              <w:pStyle w:val="23"/>
              <w:keepNext w:val="0"/>
              <w:keepLines w:val="0"/>
              <w:suppressLineNumbers w:val="0"/>
              <w:spacing w:before="0" w:beforeAutospacing="0" w:after="0" w:afterAutospacing="0"/>
              <w:ind w:left="0" w:right="0"/>
              <w:rPr>
                <w:rFonts w:hint="eastAsia"/>
                <w:color w:val="auto"/>
              </w:rPr>
            </w:pPr>
            <w:r>
              <w:rPr>
                <w:rFonts w:hint="eastAsia"/>
                <w:color w:val="auto"/>
              </w:rPr>
              <w:t>Ci（mg/m3）</w:t>
            </w:r>
          </w:p>
        </w:tc>
        <w:tc>
          <w:tcPr>
            <w:tcW w:w="855"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rPr>
              <w:t>D10%</w:t>
            </w:r>
          </w:p>
          <w:p>
            <w:pPr>
              <w:pStyle w:val="23"/>
              <w:keepNext w:val="0"/>
              <w:keepLines w:val="0"/>
              <w:suppressLineNumbers w:val="0"/>
              <w:spacing w:before="0" w:beforeAutospacing="0" w:after="0" w:afterAutospacing="0"/>
              <w:ind w:left="0" w:right="0"/>
              <w:rPr>
                <w:rFonts w:hint="eastAsia"/>
                <w:color w:val="auto"/>
              </w:rPr>
            </w:pPr>
            <w:r>
              <w:rPr>
                <w:rFonts w:hint="eastAsia"/>
                <w:color w:val="auto"/>
              </w:rPr>
              <w:t>（m）</w:t>
            </w:r>
          </w:p>
        </w:tc>
        <w:tc>
          <w:tcPr>
            <w:tcW w:w="2102"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rPr>
              <w:t>最大地面浓</w:t>
            </w:r>
          </w:p>
          <w:p>
            <w:pPr>
              <w:pStyle w:val="23"/>
              <w:keepNext w:val="0"/>
              <w:keepLines w:val="0"/>
              <w:suppressLineNumbers w:val="0"/>
              <w:spacing w:before="0" w:beforeAutospacing="0" w:after="0" w:afterAutospacing="0"/>
              <w:ind w:left="0" w:right="0"/>
              <w:rPr>
                <w:rFonts w:hint="eastAsia"/>
                <w:color w:val="auto"/>
              </w:rPr>
            </w:pPr>
            <w:r>
              <w:rPr>
                <w:rFonts w:hint="eastAsia"/>
                <w:color w:val="auto"/>
              </w:rPr>
              <w:t>度占标率（Pi）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086"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rPr>
              <w:t>NH</w:t>
            </w:r>
            <w:r>
              <w:rPr>
                <w:rFonts w:hint="eastAsia"/>
                <w:color w:val="auto"/>
                <w:vertAlign w:val="subscript"/>
              </w:rPr>
              <w:t>3</w:t>
            </w:r>
          </w:p>
        </w:tc>
        <w:tc>
          <w:tcPr>
            <w:tcW w:w="1630"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0000FF"/>
              </w:rPr>
            </w:pPr>
            <w:r>
              <w:rPr>
                <w:rFonts w:hint="default"/>
                <w:color w:val="0000FF"/>
              </w:rPr>
              <w:t>0.0</w:t>
            </w:r>
            <w:r>
              <w:rPr>
                <w:rFonts w:hint="eastAsia"/>
                <w:color w:val="0000FF"/>
                <w:lang w:val="en-US" w:eastAsia="zh-CN"/>
              </w:rPr>
              <w:t>624</w:t>
            </w:r>
            <w:r>
              <w:rPr>
                <w:rFonts w:hint="default"/>
                <w:color w:val="0000FF"/>
              </w:rPr>
              <w:t xml:space="preserve"> </w:t>
            </w:r>
          </w:p>
        </w:tc>
        <w:tc>
          <w:tcPr>
            <w:tcW w:w="1541"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rPr>
              <w:t>0.2</w:t>
            </w:r>
          </w:p>
        </w:tc>
        <w:tc>
          <w:tcPr>
            <w:tcW w:w="1902"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ascii="Times New Roman" w:hAnsi="Times New Roman" w:eastAsia="宋体" w:cstheme="minorBidi"/>
                <w:color w:val="auto"/>
                <w:kern w:val="2"/>
                <w:sz w:val="21"/>
                <w:szCs w:val="21"/>
                <w:lang w:val="en-US" w:eastAsia="zh-CN" w:bidi="ar-SA"/>
              </w:rPr>
              <w:t>0.001201</w:t>
            </w:r>
          </w:p>
        </w:tc>
        <w:tc>
          <w:tcPr>
            <w:tcW w:w="855" w:type="dxa"/>
            <w:vAlign w:val="center"/>
          </w:tcPr>
          <w:p>
            <w:pPr>
              <w:pStyle w:val="23"/>
              <w:keepNext w:val="0"/>
              <w:keepLines w:val="0"/>
              <w:suppressLineNumbers w:val="0"/>
              <w:spacing w:before="0" w:beforeAutospacing="0" w:after="0" w:afterAutospacing="0"/>
              <w:ind w:left="0" w:right="0"/>
              <w:rPr>
                <w:rFonts w:hint="eastAsia" w:eastAsia="宋体"/>
                <w:color w:val="auto"/>
                <w:lang w:eastAsia="zh-CN"/>
              </w:rPr>
            </w:pPr>
            <w:r>
              <w:rPr>
                <w:rFonts w:hint="eastAsia"/>
                <w:color w:val="auto"/>
                <w:lang w:val="en-US" w:eastAsia="zh-CN"/>
              </w:rPr>
              <w:t>801</w:t>
            </w:r>
          </w:p>
        </w:tc>
        <w:tc>
          <w:tcPr>
            <w:tcW w:w="2102"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lang w:val="en-US" w:eastAsia="zh-CN"/>
              </w:rPr>
              <w:t>0.6</w:t>
            </w: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086"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rPr>
              <w:t>H</w:t>
            </w:r>
            <w:r>
              <w:rPr>
                <w:rFonts w:hint="eastAsia"/>
                <w:color w:val="auto"/>
                <w:vertAlign w:val="subscript"/>
              </w:rPr>
              <w:t>2</w:t>
            </w:r>
            <w:r>
              <w:rPr>
                <w:rFonts w:hint="eastAsia"/>
                <w:color w:val="auto"/>
              </w:rPr>
              <w:t>S</w:t>
            </w:r>
          </w:p>
        </w:tc>
        <w:tc>
          <w:tcPr>
            <w:tcW w:w="1630"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0000FF"/>
              </w:rPr>
            </w:pPr>
            <w:r>
              <w:rPr>
                <w:rFonts w:hint="default"/>
                <w:color w:val="0000FF"/>
              </w:rPr>
              <w:t>0.01</w:t>
            </w:r>
            <w:r>
              <w:rPr>
                <w:rFonts w:hint="eastAsia"/>
                <w:color w:val="0000FF"/>
                <w:lang w:val="en-US" w:eastAsia="zh-CN"/>
              </w:rPr>
              <w:t>2</w:t>
            </w:r>
            <w:r>
              <w:rPr>
                <w:rFonts w:hint="default"/>
                <w:color w:val="0000FF"/>
              </w:rPr>
              <w:t xml:space="preserve">4 </w:t>
            </w:r>
          </w:p>
        </w:tc>
        <w:tc>
          <w:tcPr>
            <w:tcW w:w="1541"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rPr>
              <w:t>0.01</w:t>
            </w:r>
          </w:p>
        </w:tc>
        <w:tc>
          <w:tcPr>
            <w:tcW w:w="1902"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ascii="Times New Roman" w:hAnsi="Times New Roman" w:eastAsia="宋体" w:cstheme="minorBidi"/>
                <w:color w:val="auto"/>
                <w:kern w:val="2"/>
                <w:sz w:val="21"/>
                <w:szCs w:val="21"/>
                <w:lang w:val="en-US" w:eastAsia="zh-CN" w:bidi="ar-SA"/>
              </w:rPr>
              <w:t>0.000243</w:t>
            </w:r>
          </w:p>
        </w:tc>
        <w:tc>
          <w:tcPr>
            <w:tcW w:w="855" w:type="dxa"/>
            <w:vAlign w:val="center"/>
          </w:tcPr>
          <w:p>
            <w:pPr>
              <w:pStyle w:val="23"/>
              <w:keepNext w:val="0"/>
              <w:keepLines w:val="0"/>
              <w:suppressLineNumbers w:val="0"/>
              <w:spacing w:before="0" w:beforeAutospacing="0" w:after="0" w:afterAutospacing="0"/>
              <w:ind w:left="0" w:right="0"/>
              <w:rPr>
                <w:rFonts w:hint="eastAsia" w:eastAsia="宋体"/>
                <w:color w:val="auto"/>
                <w:lang w:eastAsia="zh-CN"/>
              </w:rPr>
            </w:pPr>
            <w:r>
              <w:rPr>
                <w:rFonts w:hint="eastAsia"/>
                <w:color w:val="auto"/>
                <w:lang w:val="en-US" w:eastAsia="zh-CN"/>
              </w:rPr>
              <w:t>801</w:t>
            </w:r>
          </w:p>
        </w:tc>
        <w:tc>
          <w:tcPr>
            <w:tcW w:w="2102" w:type="dxa"/>
            <w:vAlign w:val="center"/>
          </w:tcPr>
          <w:p>
            <w:pPr>
              <w:pStyle w:val="23"/>
              <w:keepNext w:val="0"/>
              <w:keepLines w:val="0"/>
              <w:suppressLineNumbers w:val="0"/>
              <w:spacing w:before="0" w:beforeAutospacing="0" w:after="0" w:afterAutospacing="0"/>
              <w:ind w:left="0" w:right="0"/>
              <w:rPr>
                <w:rFonts w:hint="eastAsia"/>
                <w:color w:val="auto"/>
              </w:rPr>
            </w:pPr>
            <w:r>
              <w:rPr>
                <w:rFonts w:hint="eastAsia"/>
                <w:color w:val="auto"/>
                <w:lang w:val="en-US" w:eastAsia="zh-CN"/>
              </w:rPr>
              <w:t>2.43</w:t>
            </w:r>
            <w:r>
              <w:rPr>
                <w:rFonts w:hint="eastAsia"/>
                <w:color w:val="auto"/>
              </w:rPr>
              <w:t>%</w:t>
            </w:r>
          </w:p>
        </w:tc>
      </w:tr>
    </w:tbl>
    <w:p>
      <w:pPr>
        <w:spacing w:line="360" w:lineRule="auto"/>
        <w:ind w:firstLine="482"/>
        <w:rPr>
          <w:color w:val="auto"/>
          <w:sz w:val="24"/>
          <w:szCs w:val="24"/>
        </w:rPr>
      </w:pPr>
      <w:r>
        <w:rPr>
          <w:color w:val="auto"/>
          <w:sz w:val="24"/>
          <w:szCs w:val="24"/>
        </w:rPr>
        <w:t>经计算P</w:t>
      </w:r>
      <w:r>
        <w:rPr>
          <w:color w:val="auto"/>
          <w:sz w:val="24"/>
          <w:szCs w:val="24"/>
          <w:vertAlign w:val="subscript"/>
        </w:rPr>
        <w:t>max</w:t>
      </w:r>
      <w:r>
        <w:rPr>
          <w:color w:val="auto"/>
          <w:sz w:val="24"/>
          <w:szCs w:val="24"/>
        </w:rPr>
        <w:t>=</w:t>
      </w:r>
      <w:r>
        <w:rPr>
          <w:rFonts w:hint="eastAsia"/>
          <w:color w:val="auto"/>
          <w:sz w:val="24"/>
          <w:szCs w:val="24"/>
          <w:lang w:val="en-US" w:eastAsia="zh-CN"/>
        </w:rPr>
        <w:t>2.43</w:t>
      </w:r>
      <w:r>
        <w:rPr>
          <w:color w:val="auto"/>
          <w:sz w:val="24"/>
          <w:szCs w:val="24"/>
        </w:rPr>
        <w:t>%，</w:t>
      </w:r>
      <w:r>
        <w:rPr>
          <w:rFonts w:hint="eastAsia"/>
          <w:color w:val="auto"/>
          <w:sz w:val="24"/>
          <w:szCs w:val="24"/>
        </w:rPr>
        <w:t>小</w:t>
      </w:r>
      <w:r>
        <w:rPr>
          <w:color w:val="auto"/>
          <w:sz w:val="24"/>
          <w:szCs w:val="24"/>
        </w:rPr>
        <w:t>于10%，根据《环境影响评价技术导则-大气环境》(HJ2.2-2008)</w:t>
      </w:r>
      <w:r>
        <w:rPr>
          <w:color w:val="auto"/>
          <w:kern w:val="0"/>
          <w:sz w:val="24"/>
          <w:szCs w:val="24"/>
          <w:lang w:val="zh-CN"/>
        </w:rPr>
        <w:t>评价工作等级的划分原则</w:t>
      </w:r>
      <w:r>
        <w:rPr>
          <w:rFonts w:hint="eastAsia"/>
          <w:color w:val="auto"/>
          <w:kern w:val="0"/>
          <w:sz w:val="24"/>
          <w:szCs w:val="24"/>
          <w:lang w:val="zh-CN"/>
        </w:rPr>
        <w:t>和确定依据，</w:t>
      </w:r>
      <w:r>
        <w:rPr>
          <w:color w:val="auto"/>
          <w:sz w:val="24"/>
          <w:szCs w:val="24"/>
        </w:rPr>
        <w:t>确定大气环境影响评价等级为</w:t>
      </w:r>
      <w:r>
        <w:rPr>
          <w:rFonts w:hint="eastAsia"/>
          <w:color w:val="auto"/>
          <w:sz w:val="24"/>
          <w:szCs w:val="24"/>
        </w:rPr>
        <w:t>三</w:t>
      </w:r>
      <w:r>
        <w:rPr>
          <w:color w:val="auto"/>
          <w:sz w:val="24"/>
          <w:szCs w:val="24"/>
        </w:rPr>
        <w:t>级</w:t>
      </w:r>
      <w:r>
        <w:rPr>
          <w:rFonts w:hint="eastAsia"/>
          <w:color w:val="auto"/>
          <w:sz w:val="24"/>
          <w:szCs w:val="24"/>
        </w:rPr>
        <w:t>。</w:t>
      </w:r>
    </w:p>
    <w:p>
      <w:pPr>
        <w:spacing w:line="360" w:lineRule="auto"/>
        <w:ind w:firstLine="482"/>
        <w:rPr>
          <w:color w:val="auto"/>
          <w:lang w:eastAsia="zh-CN"/>
        </w:rPr>
      </w:pPr>
      <w:r>
        <w:rPr>
          <w:color w:val="auto"/>
          <w:sz w:val="24"/>
          <w:szCs w:val="24"/>
        </w:rPr>
        <w:t>评价范围：以污染源为中心，主导风向为主轴的边长5km的矩形</w:t>
      </w:r>
      <w:r>
        <w:rPr>
          <w:rFonts w:hint="eastAsia"/>
          <w:color w:val="auto"/>
          <w:sz w:val="24"/>
          <w:szCs w:val="24"/>
        </w:rPr>
        <w:t>范围</w:t>
      </w:r>
      <w:r>
        <w:rPr>
          <w:color w:val="auto"/>
          <w:sz w:val="24"/>
          <w:szCs w:val="24"/>
        </w:rPr>
        <w:t>。</w:t>
      </w:r>
    </w:p>
    <w:p>
      <w:pPr>
        <w:pStyle w:val="4"/>
        <w:rPr>
          <w:color w:val="auto"/>
        </w:rPr>
      </w:pPr>
      <w:bookmarkStart w:id="14" w:name="_Toc453856710"/>
      <w:bookmarkStart w:id="15" w:name="_Toc77980364"/>
      <w:r>
        <w:rPr>
          <w:rFonts w:hint="eastAsia"/>
          <w:color w:val="auto"/>
          <w:lang w:val="en-US" w:eastAsia="zh-CN"/>
        </w:rPr>
        <w:t>2.4.2</w:t>
      </w:r>
      <w:r>
        <w:rPr>
          <w:color w:val="auto"/>
        </w:rPr>
        <w:t>地表水</w:t>
      </w:r>
      <w:bookmarkEnd w:id="14"/>
      <w:bookmarkEnd w:id="15"/>
    </w:p>
    <w:p>
      <w:pPr>
        <w:rPr>
          <w:color w:val="auto"/>
        </w:rPr>
      </w:pPr>
      <w:bookmarkStart w:id="16" w:name="_Toc77980365"/>
      <w:r>
        <w:rPr>
          <w:color w:val="auto"/>
        </w:rPr>
        <w:t>建成后，垃圾渗滤液、少量生活污水，经渗滤液调节池，及砂滤预处理+两级DTRO处理达《生活垃圾填埋场污染控制标准》(GB16889-2008)表3中水污染物特别排放限值后排入</w:t>
      </w:r>
      <w:r>
        <w:rPr>
          <w:rFonts w:hint="eastAsia"/>
          <w:color w:val="auto"/>
          <w:lang w:eastAsia="zh-CN"/>
        </w:rPr>
        <w:t>芭蕉湖</w:t>
      </w:r>
      <w:r>
        <w:rPr>
          <w:color w:val="auto"/>
        </w:rPr>
        <w:t>，废水最大排放量约</w:t>
      </w:r>
      <w:r>
        <w:rPr>
          <w:rFonts w:hint="eastAsia"/>
          <w:color w:val="auto"/>
          <w:lang w:val="en-US" w:eastAsia="zh-CN"/>
        </w:rPr>
        <w:t>71.64</w:t>
      </w:r>
      <w:r>
        <w:rPr>
          <w:color w:val="auto"/>
        </w:rPr>
        <w:t>m</w:t>
      </w:r>
      <w:r>
        <w:rPr>
          <w:color w:val="auto"/>
          <w:vertAlign w:val="superscript"/>
        </w:rPr>
        <w:t>3</w:t>
      </w:r>
      <w:r>
        <w:rPr>
          <w:color w:val="auto"/>
        </w:rPr>
        <w:t>/d，小于200 m</w:t>
      </w:r>
      <w:r>
        <w:rPr>
          <w:color w:val="auto"/>
          <w:vertAlign w:val="superscript"/>
        </w:rPr>
        <w:t>3</w:t>
      </w:r>
      <w:r>
        <w:rPr>
          <w:color w:val="auto"/>
        </w:rPr>
        <w:t>/d，水量较小。根据《环境影响评价技术导则-地面水环境》(HJ/T2.3-93)有关规定，确定水环境评价等级为三级。</w:t>
      </w:r>
    </w:p>
    <w:p>
      <w:pPr>
        <w:pStyle w:val="4"/>
        <w:rPr>
          <w:color w:val="auto"/>
        </w:rPr>
      </w:pPr>
      <w:bookmarkStart w:id="17" w:name="_Toc453856711"/>
      <w:r>
        <w:rPr>
          <w:rFonts w:hint="eastAsia"/>
          <w:color w:val="auto"/>
          <w:lang w:val="en-US" w:eastAsia="zh-CN"/>
        </w:rPr>
        <w:t>2.4.3</w:t>
      </w:r>
      <w:r>
        <w:rPr>
          <w:color w:val="auto"/>
        </w:rPr>
        <w:t>地下水</w:t>
      </w:r>
      <w:bookmarkEnd w:id="17"/>
    </w:p>
    <w:p>
      <w:pPr>
        <w:rPr>
          <w:color w:val="auto"/>
        </w:rPr>
      </w:pPr>
      <w:r>
        <w:rPr>
          <w:color w:val="auto"/>
        </w:rPr>
        <w:t>(1) 建设项目分类</w:t>
      </w:r>
    </w:p>
    <w:p>
      <w:pPr>
        <w:rPr>
          <w:color w:val="auto"/>
        </w:rPr>
      </w:pPr>
      <w:r>
        <w:rPr>
          <w:color w:val="auto"/>
        </w:rPr>
        <w:t>该填埋场</w:t>
      </w:r>
      <w:r>
        <w:rPr>
          <w:rFonts w:hint="eastAsia"/>
          <w:color w:val="auto"/>
          <w:lang w:eastAsia="zh-CN"/>
        </w:rPr>
        <w:t>为生活垃圾填埋场提质改造项目</w:t>
      </w:r>
      <w:r>
        <w:rPr>
          <w:color w:val="auto"/>
        </w:rPr>
        <w:t>。依据《环境影响评价技术导则地下水环境》(HJ610-2016)附录A综合判定，本项目整体上属于</w:t>
      </w:r>
      <w:r>
        <w:rPr>
          <w:rFonts w:hint="eastAsia"/>
          <w:color w:val="auto"/>
        </w:rPr>
        <w:t>Ⅰ</w:t>
      </w:r>
      <w:r>
        <w:rPr>
          <w:color w:val="auto"/>
        </w:rPr>
        <w:t>类项目。</w:t>
      </w:r>
    </w:p>
    <w:p>
      <w:pPr>
        <w:rPr>
          <w:color w:val="auto"/>
        </w:rPr>
      </w:pPr>
      <w:r>
        <w:rPr>
          <w:color w:val="auto"/>
        </w:rPr>
        <w:t xml:space="preserve">(2)  </w:t>
      </w:r>
      <w:r>
        <w:rPr>
          <w:color w:val="auto"/>
        </w:rPr>
        <w:fldChar w:fldCharType="begin"/>
      </w:r>
      <w:r>
        <w:rPr>
          <w:color w:val="auto"/>
        </w:rPr>
        <w:instrText xml:space="preserve"> = 1 \* ROMAN </w:instrText>
      </w:r>
      <w:r>
        <w:rPr>
          <w:color w:val="auto"/>
        </w:rPr>
        <w:fldChar w:fldCharType="separate"/>
      </w:r>
      <w:r>
        <w:rPr>
          <w:color w:val="auto"/>
        </w:rPr>
        <w:t>I</w:t>
      </w:r>
      <w:r>
        <w:rPr>
          <w:color w:val="auto"/>
        </w:rPr>
        <w:fldChar w:fldCharType="end"/>
      </w:r>
      <w:r>
        <w:rPr>
          <w:color w:val="auto"/>
        </w:rPr>
        <w:t>类建设项目工作等级划分</w:t>
      </w:r>
    </w:p>
    <w:p>
      <w:pPr>
        <w:rPr>
          <w:color w:val="auto"/>
        </w:rPr>
      </w:pPr>
      <w:r>
        <w:rPr>
          <w:color w:val="auto"/>
        </w:rPr>
        <w:t>地下水环境敏感程度：本项目所在区域不属于生活供水水源地准保护区，不属于热水、矿泉水、温泉等特殊地下水源保护区、也不属于补给径流区，场地周边无居民取用地下水，不存在集中式与分散式居民饮用水供水水源地。因此，本项目场地地下水敏感程度为不敏感。确定本项目地下水评价工作等级为二级。</w:t>
      </w:r>
    </w:p>
    <w:p>
      <w:pPr>
        <w:pStyle w:val="23"/>
        <w:rPr>
          <w:b/>
          <w:bCs/>
          <w:color w:val="auto"/>
        </w:rPr>
      </w:pPr>
      <w:r>
        <w:rPr>
          <w:b/>
          <w:bCs/>
          <w:color w:val="auto"/>
        </w:rPr>
        <w:t>表</w:t>
      </w:r>
      <w:r>
        <w:rPr>
          <w:rFonts w:hint="eastAsia"/>
          <w:b/>
          <w:bCs/>
          <w:color w:val="auto"/>
          <w:lang w:val="en-US" w:eastAsia="zh-CN"/>
        </w:rPr>
        <w:t>2-12</w:t>
      </w:r>
      <w:r>
        <w:rPr>
          <w:b/>
          <w:bCs/>
          <w:color w:val="auto"/>
        </w:rPr>
        <w:t xml:space="preserve"> 地下水评价级别判别表</w:t>
      </w:r>
    </w:p>
    <w:tbl>
      <w:tblPr>
        <w:tblStyle w:val="19"/>
        <w:tblW w:w="8436"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109"/>
        <w:gridCol w:w="2109"/>
        <w:gridCol w:w="2109"/>
        <w:gridCol w:w="210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99" w:hRule="atLeast"/>
          <w:jc w:val="center"/>
        </w:trPr>
        <w:tc>
          <w:tcPr>
            <w:tcW w:w="2109"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mc:AlternateContent>
                <mc:Choice Requires="wps">
                  <w:drawing>
                    <wp:anchor distT="0" distB="0" distL="114300" distR="114300" simplePos="0" relativeHeight="251660288" behindDoc="0" locked="0" layoutInCell="1" allowOverlap="1">
                      <wp:simplePos x="0" y="0"/>
                      <wp:positionH relativeFrom="column">
                        <wp:posOffset>-39370</wp:posOffset>
                      </wp:positionH>
                      <wp:positionV relativeFrom="paragraph">
                        <wp:posOffset>12065</wp:posOffset>
                      </wp:positionV>
                      <wp:extent cx="1296035" cy="364490"/>
                      <wp:effectExtent l="1270" t="4445" r="17145" b="12065"/>
                      <wp:wrapNone/>
                      <wp:docPr id="1" name="自选图形 2"/>
                      <wp:cNvGraphicFramePr/>
                      <a:graphic xmlns:a="http://schemas.openxmlformats.org/drawingml/2006/main">
                        <a:graphicData uri="http://schemas.microsoft.com/office/word/2010/wordprocessingShape">
                          <wps:wsp>
                            <wps:cNvCnPr/>
                            <wps:spPr>
                              <a:xfrm>
                                <a:off x="0" y="0"/>
                                <a:ext cx="1296035" cy="36449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 o:spid="_x0000_s1026" o:spt="32" type="#_x0000_t32" style="position:absolute;left:0pt;margin-left:-3.1pt;margin-top:0.95pt;height:28.7pt;width:102.05pt;z-index:251660288;mso-width-relative:page;mso-height-relative:page;" filled="f" stroked="t" coordsize="21600,21600" o:gfxdata="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G9FG4XWAAAABwEAAA8A&#10;AAAAAAAAAQAgAAAAIgAAAGRycy9kb3ducmV2LnhtbFBLAQIUABQAAAAIAIdO4kAjeZbz4AEAAJoD&#10;AAAOAAAAAAAAAAEAIAAAACUBAABkcnMvZTJvRG9jLnhtbFBLBQYAAAAABgAGAFkBAAB3BQAAAAA=&#10;">
                      <v:fill on="f" focussize="0,0"/>
                      <v:stroke color="#000000" joinstyle="round"/>
                      <v:imagedata o:title=""/>
                      <o:lock v:ext="edit" aspectratio="f"/>
                    </v:shape>
                  </w:pict>
                </mc:Fallback>
              </mc:AlternateContent>
            </w:r>
            <w:r>
              <w:rPr>
                <w:rFonts w:hint="eastAsia"/>
                <w:color w:val="auto"/>
                <w:lang w:val="en-US" w:eastAsia="zh-CN"/>
              </w:rPr>
              <w:t xml:space="preserve">          </w:t>
            </w:r>
            <w:r>
              <w:rPr>
                <w:rFonts w:hint="default"/>
                <w:color w:val="auto"/>
              </w:rPr>
              <w:t>项目类别</w:t>
            </w:r>
          </w:p>
          <w:p>
            <w:pPr>
              <w:pStyle w:val="23"/>
              <w:keepNext w:val="0"/>
              <w:keepLines w:val="0"/>
              <w:suppressLineNumbers w:val="0"/>
              <w:spacing w:before="0" w:beforeAutospacing="0" w:after="0" w:afterAutospacing="0" w:line="240" w:lineRule="auto"/>
              <w:ind w:left="0" w:right="0"/>
              <w:jc w:val="both"/>
              <w:rPr>
                <w:rFonts w:hint="default"/>
                <w:color w:val="auto"/>
              </w:rPr>
            </w:pPr>
            <w:r>
              <w:rPr>
                <w:rFonts w:hint="default"/>
                <w:color w:val="auto"/>
              </w:rPr>
              <w:t>环境敏感程度</w:t>
            </w:r>
          </w:p>
        </w:tc>
        <w:tc>
          <w:tcPr>
            <w:tcW w:w="2109"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eastAsia"/>
                <w:color w:val="auto"/>
              </w:rPr>
              <w:t>Ⅰ</w:t>
            </w:r>
            <w:r>
              <w:rPr>
                <w:rFonts w:hint="default"/>
                <w:color w:val="auto"/>
              </w:rPr>
              <w:t>类项目</w:t>
            </w:r>
          </w:p>
        </w:tc>
        <w:tc>
          <w:tcPr>
            <w:tcW w:w="2109"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eastAsia"/>
                <w:color w:val="auto"/>
              </w:rPr>
              <w:t>Ⅱ</w:t>
            </w:r>
            <w:r>
              <w:rPr>
                <w:rFonts w:hint="default"/>
                <w:color w:val="auto"/>
              </w:rPr>
              <w:t>类项目</w:t>
            </w:r>
          </w:p>
        </w:tc>
        <w:tc>
          <w:tcPr>
            <w:tcW w:w="2109"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eastAsia"/>
                <w:color w:val="auto"/>
              </w:rPr>
              <w:t>Ⅲ</w:t>
            </w:r>
            <w:r>
              <w:rPr>
                <w:rFonts w:hint="default"/>
                <w:color w:val="auto"/>
              </w:rPr>
              <w:t>类项目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敏感</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一</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一</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较敏感</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一</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二</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不敏感</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二</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三</w:t>
            </w:r>
          </w:p>
        </w:tc>
        <w:tc>
          <w:tcPr>
            <w:tcW w:w="21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三</w:t>
            </w:r>
          </w:p>
        </w:tc>
      </w:tr>
    </w:tbl>
    <w:p>
      <w:pPr>
        <w:pStyle w:val="4"/>
        <w:rPr>
          <w:color w:val="auto"/>
        </w:rPr>
      </w:pPr>
      <w:bookmarkStart w:id="18" w:name="_Toc453856712"/>
      <w:r>
        <w:rPr>
          <w:rFonts w:hint="eastAsia"/>
          <w:color w:val="auto"/>
          <w:lang w:val="en-US" w:eastAsia="zh-CN"/>
        </w:rPr>
        <w:t>2.4.4</w:t>
      </w:r>
      <w:r>
        <w:rPr>
          <w:color w:val="auto"/>
        </w:rPr>
        <w:t>声环境</w:t>
      </w:r>
      <w:bookmarkEnd w:id="16"/>
      <w:bookmarkEnd w:id="18"/>
    </w:p>
    <w:p>
      <w:pPr>
        <w:rPr>
          <w:color w:val="auto"/>
        </w:rPr>
      </w:pPr>
      <w:r>
        <w:rPr>
          <w:color w:val="auto"/>
        </w:rPr>
        <w:t>项目所在声环境功能区属于《声环境质量标准》(GB3096-2008)规定的</w:t>
      </w:r>
      <w:r>
        <w:rPr>
          <w:rFonts w:hint="eastAsia"/>
          <w:color w:val="auto"/>
          <w:lang w:val="en-US" w:eastAsia="zh-CN"/>
        </w:rPr>
        <w:t>2</w:t>
      </w:r>
      <w:r>
        <w:rPr>
          <w:color w:val="auto"/>
        </w:rPr>
        <w:t>类，根据《环境影响评价技术导则-声环境》(HJ2.4-2009)，“建设项目所处的声环境功能区为GB3096规定的1类、2类地区，按二级评价”，因此确定评价等级为二级。</w:t>
      </w:r>
      <w:r>
        <w:rPr>
          <w:snapToGrid w:val="0"/>
          <w:color w:val="auto"/>
          <w:kern w:val="0"/>
          <w:sz w:val="24"/>
        </w:rPr>
        <w:t>但垃圾填埋场现距离最近敏感目标</w:t>
      </w:r>
      <w:r>
        <w:rPr>
          <w:rFonts w:hint="eastAsia"/>
          <w:snapToGrid w:val="0"/>
          <w:color w:val="auto"/>
          <w:kern w:val="0"/>
          <w:sz w:val="24"/>
          <w:lang w:eastAsia="zh-CN"/>
        </w:rPr>
        <w:t>胥家桥</w:t>
      </w:r>
      <w:r>
        <w:rPr>
          <w:snapToGrid w:val="0"/>
          <w:color w:val="auto"/>
          <w:kern w:val="0"/>
          <w:sz w:val="24"/>
        </w:rPr>
        <w:t>村1</w:t>
      </w:r>
      <w:r>
        <w:rPr>
          <w:rFonts w:hint="eastAsia"/>
          <w:snapToGrid w:val="0"/>
          <w:color w:val="auto"/>
          <w:kern w:val="0"/>
          <w:sz w:val="24"/>
          <w:lang w:val="en-US" w:eastAsia="zh-CN"/>
        </w:rPr>
        <w:t>60</w:t>
      </w:r>
      <w:r>
        <w:rPr>
          <w:snapToGrid w:val="0"/>
          <w:color w:val="auto"/>
          <w:kern w:val="0"/>
          <w:sz w:val="24"/>
        </w:rPr>
        <w:t>m，</w:t>
      </w:r>
      <w:r>
        <w:rPr>
          <w:rFonts w:hint="eastAsia"/>
          <w:snapToGrid w:val="0"/>
          <w:color w:val="auto"/>
          <w:kern w:val="0"/>
          <w:sz w:val="24"/>
          <w:lang w:eastAsia="zh-CN"/>
        </w:rPr>
        <w:t>且本项目实施后与现有工程声环境影响无明显变化，</w:t>
      </w:r>
      <w:r>
        <w:rPr>
          <w:snapToGrid w:val="0"/>
          <w:color w:val="auto"/>
          <w:kern w:val="0"/>
          <w:sz w:val="24"/>
        </w:rPr>
        <w:t>声级增高量在3dB(A)以下，且受影响人口数量基本不变，因此本评价重点为针对工程特点和所在区域的环境特征提出噪声防治措施，并进行达标分析。</w:t>
      </w:r>
    </w:p>
    <w:p>
      <w:pPr>
        <w:pStyle w:val="4"/>
        <w:rPr>
          <w:color w:val="auto"/>
        </w:rPr>
      </w:pPr>
      <w:bookmarkStart w:id="19" w:name="_Toc453856713"/>
      <w:r>
        <w:rPr>
          <w:rFonts w:hint="eastAsia"/>
          <w:color w:val="auto"/>
          <w:lang w:val="en-US" w:eastAsia="zh-CN"/>
        </w:rPr>
        <w:t>2.4.5</w:t>
      </w:r>
      <w:r>
        <w:rPr>
          <w:color w:val="auto"/>
        </w:rPr>
        <w:t>生态环境</w:t>
      </w:r>
      <w:bookmarkEnd w:id="19"/>
    </w:p>
    <w:p>
      <w:pPr>
        <w:rPr>
          <w:color w:val="auto"/>
        </w:rPr>
      </w:pPr>
      <w:r>
        <w:rPr>
          <w:color w:val="auto"/>
        </w:rPr>
        <w:t>本工程占地面积约</w:t>
      </w:r>
      <w:r>
        <w:rPr>
          <w:rFonts w:hint="eastAsia"/>
          <w:color w:val="auto"/>
          <w:lang w:val="en-US" w:eastAsia="zh-CN"/>
        </w:rPr>
        <w:t>193772.8</w:t>
      </w:r>
      <w:r>
        <w:rPr>
          <w:color w:val="auto"/>
        </w:rPr>
        <w:t>平方米。项目选址位于</w:t>
      </w:r>
      <w:r>
        <w:rPr>
          <w:rFonts w:hint="eastAsia"/>
          <w:color w:val="auto"/>
          <w:sz w:val="24"/>
        </w:rPr>
        <w:t>岳阳楼区梅溪乡胥家桥村</w:t>
      </w:r>
      <w:r>
        <w:rPr>
          <w:rFonts w:hint="eastAsia"/>
          <w:color w:val="auto"/>
          <w:sz w:val="24"/>
          <w:lang w:eastAsia="zh-CN"/>
        </w:rPr>
        <w:t>的</w:t>
      </w:r>
      <w:r>
        <w:rPr>
          <w:rFonts w:hint="eastAsia"/>
          <w:color w:val="auto"/>
          <w:sz w:val="24"/>
        </w:rPr>
        <w:t>花果贩垃圾填埋场现有</w:t>
      </w:r>
      <w:r>
        <w:rPr>
          <w:rFonts w:hint="eastAsia"/>
          <w:color w:val="auto"/>
          <w:sz w:val="24"/>
          <w:lang w:eastAsia="zh-CN"/>
        </w:rPr>
        <w:t>场区</w:t>
      </w:r>
      <w:r>
        <w:rPr>
          <w:rFonts w:hint="eastAsia"/>
          <w:color w:val="auto"/>
          <w:sz w:val="24"/>
        </w:rPr>
        <w:t>内</w:t>
      </w:r>
      <w:r>
        <w:rPr>
          <w:color w:val="auto"/>
        </w:rPr>
        <w:t>，</w:t>
      </w:r>
      <w:r>
        <w:rPr>
          <w:rFonts w:hint="eastAsia"/>
          <w:color w:val="auto"/>
          <w:sz w:val="24"/>
          <w:szCs w:val="24"/>
        </w:rPr>
        <w:t>区域植物主要以阔叶林和灌木为主，</w:t>
      </w:r>
      <w:r>
        <w:rPr>
          <w:color w:val="auto"/>
          <w:sz w:val="24"/>
          <w:szCs w:val="24"/>
        </w:rPr>
        <w:t>区域动植物为常见动植物，没有濒危动植物物种</w:t>
      </w:r>
      <w:r>
        <w:rPr>
          <w:rFonts w:hint="eastAsia"/>
          <w:color w:val="auto"/>
          <w:sz w:val="24"/>
          <w:szCs w:val="24"/>
          <w:lang w:eastAsia="zh-CN"/>
        </w:rPr>
        <w:t>，</w:t>
      </w:r>
      <w:r>
        <w:rPr>
          <w:color w:val="auto"/>
        </w:rPr>
        <w:t>生态敏感性属于一般区域。根据国家《环境影响评价技术导则非污染生态影响》(HJ/T19-1997)中有关规定，一般区域，工程占地面积≤2 km</w:t>
      </w:r>
      <w:r>
        <w:rPr>
          <w:color w:val="auto"/>
          <w:vertAlign w:val="superscript"/>
        </w:rPr>
        <w:t>2</w:t>
      </w:r>
      <w:r>
        <w:rPr>
          <w:color w:val="auto"/>
        </w:rPr>
        <w:t>，确定生态环境评价等级为三级。</w:t>
      </w:r>
    </w:p>
    <w:p>
      <w:pPr>
        <w:pStyle w:val="4"/>
        <w:rPr>
          <w:color w:val="auto"/>
        </w:rPr>
      </w:pPr>
      <w:bookmarkStart w:id="20" w:name="_Toc453856714"/>
      <w:r>
        <w:rPr>
          <w:rFonts w:hint="eastAsia"/>
          <w:color w:val="auto"/>
          <w:lang w:val="en-US" w:eastAsia="zh-CN"/>
        </w:rPr>
        <w:t>2.4.6</w:t>
      </w:r>
      <w:r>
        <w:rPr>
          <w:color w:val="auto"/>
        </w:rPr>
        <w:t>风险评价</w:t>
      </w:r>
      <w:bookmarkEnd w:id="20"/>
    </w:p>
    <w:p>
      <w:pPr>
        <w:rPr>
          <w:color w:val="auto"/>
        </w:rPr>
      </w:pPr>
      <w:r>
        <w:rPr>
          <w:color w:val="auto"/>
        </w:rPr>
        <w:t>本工程为垃圾填埋场</w:t>
      </w:r>
      <w:r>
        <w:rPr>
          <w:rFonts w:hint="eastAsia"/>
          <w:color w:val="auto"/>
          <w:lang w:eastAsia="zh-CN"/>
        </w:rPr>
        <w:t>技改</w:t>
      </w:r>
      <w:r>
        <w:rPr>
          <w:color w:val="auto"/>
        </w:rPr>
        <w:t>工程，</w:t>
      </w:r>
      <w:r>
        <w:rPr>
          <w:rFonts w:hint="eastAsia"/>
          <w:color w:val="auto"/>
          <w:lang w:eastAsia="zh-CN"/>
        </w:rPr>
        <w:t>通过对现有工程存在的问题进行改造</w:t>
      </w:r>
      <w:r>
        <w:rPr>
          <w:color w:val="auto"/>
        </w:rPr>
        <w:t>，</w:t>
      </w:r>
      <w:r>
        <w:rPr>
          <w:rFonts w:hint="eastAsia"/>
          <w:color w:val="auto"/>
          <w:lang w:eastAsia="zh-CN"/>
        </w:rPr>
        <w:t>使现有工程填埋区未被有效利用起来的库容得以利用，现有工程改造后尚有</w:t>
      </w:r>
      <w:r>
        <w:rPr>
          <w:rFonts w:hint="eastAsia"/>
          <w:color w:val="auto"/>
          <w:lang w:val="en-US" w:eastAsia="zh-CN"/>
        </w:rPr>
        <w:t>77.3</w:t>
      </w:r>
      <w:r>
        <w:rPr>
          <w:color w:val="auto"/>
        </w:rPr>
        <w:t>万立方</w:t>
      </w:r>
      <w:r>
        <w:rPr>
          <w:rFonts w:hint="eastAsia"/>
          <w:color w:val="auto"/>
          <w:lang w:eastAsia="zh-CN"/>
        </w:rPr>
        <w:t>有效库容</w:t>
      </w:r>
      <w:r>
        <w:rPr>
          <w:color w:val="auto"/>
        </w:rPr>
        <w:t>，</w:t>
      </w:r>
      <w:r>
        <w:rPr>
          <w:rFonts w:hint="eastAsia"/>
          <w:color w:val="auto"/>
          <w:lang w:eastAsia="zh-CN"/>
        </w:rPr>
        <w:t>技改后场区内</w:t>
      </w:r>
      <w:r>
        <w:rPr>
          <w:color w:val="auto"/>
        </w:rPr>
        <w:t>产生的甲烷、氨及硫化氢等燃爆气体量较小，项目无重大环境风险危险源。且场地周边敏感点经搬迁后</w:t>
      </w:r>
      <w:r>
        <w:rPr>
          <w:rFonts w:hint="eastAsia"/>
          <w:color w:val="auto"/>
          <w:lang w:eastAsia="zh-CN"/>
        </w:rPr>
        <w:t>均</w:t>
      </w:r>
      <w:r>
        <w:rPr>
          <w:color w:val="auto"/>
        </w:rPr>
        <w:t>较远，隔山体，不属于环境敏感区，因此根据《建设项目环境风险评价技术导则》(HJ/T169 -2004)，确定评价等级为二级。</w:t>
      </w:r>
    </w:p>
    <w:p>
      <w:pPr>
        <w:pStyle w:val="3"/>
        <w:rPr>
          <w:rFonts w:hint="eastAsia"/>
          <w:color w:val="auto"/>
          <w:lang w:val="en-US" w:eastAsia="zh-CN"/>
        </w:rPr>
      </w:pPr>
      <w:bookmarkStart w:id="21" w:name="_Toc31478"/>
      <w:r>
        <w:rPr>
          <w:rFonts w:hint="eastAsia"/>
          <w:color w:val="auto"/>
          <w:lang w:val="en-US" w:eastAsia="zh-CN"/>
        </w:rPr>
        <w:t>2.5环境保护目标</w:t>
      </w:r>
      <w:bookmarkEnd w:id="21"/>
    </w:p>
    <w:p>
      <w:pPr>
        <w:rPr>
          <w:b/>
          <w:bCs/>
          <w:u w:val="single"/>
        </w:rPr>
      </w:pPr>
      <w:r>
        <w:rPr>
          <w:rFonts w:hint="eastAsia"/>
          <w:color w:val="auto"/>
          <w:u w:val="single"/>
          <w:lang w:val="en-US" w:eastAsia="zh-CN"/>
        </w:rPr>
        <w:t>根据岳阳市环境科学研究院2000年12月编制的《岳阳市花果贩垃圾处理场工程环境影响报告书》，花果贩垃圾处理场最近的敏感点为北面1km处胥家桥村居民点、西南面1km处花果贩村居民点。根据重庆市环境保护工程设计研究院有限公司2015年9月编制的《岳阳市胥家桥片区控制性详规中花果贩垃圾填埋场及其周边区域专项评价环境影响报告书》，花果贩垃圾处理场的环境保护目标详见表2-13。根据本次环评现场踏勘，花果贩垃圾处理场周边环境敏感点现状情况见表2-14。根据《岳阳市胥家桥片区控制性详规中花果贩垃圾填埋场及其周边区域专项评价环境影响报告书》，花果畈垃圾处理场有厂界外500m的防护距离要求。</w:t>
      </w:r>
    </w:p>
    <w:p>
      <w:pPr>
        <w:pStyle w:val="23"/>
        <w:rPr>
          <w:b/>
          <w:bCs/>
          <w:u w:val="single"/>
        </w:rPr>
      </w:pPr>
      <w:r>
        <w:rPr>
          <w:b/>
          <w:bCs/>
          <w:u w:val="single"/>
        </w:rPr>
        <w:t>表</w:t>
      </w:r>
      <w:r>
        <w:rPr>
          <w:rFonts w:hint="eastAsia"/>
          <w:b/>
          <w:bCs/>
          <w:u w:val="single"/>
          <w:lang w:val="en-US" w:eastAsia="zh-CN"/>
        </w:rPr>
        <w:t>2-13</w:t>
      </w:r>
      <w:r>
        <w:rPr>
          <w:rFonts w:hint="eastAsia"/>
          <w:b/>
          <w:bCs/>
          <w:u w:val="single"/>
        </w:rPr>
        <w:t xml:space="preserve">  </w:t>
      </w:r>
      <w:r>
        <w:rPr>
          <w:b/>
          <w:bCs/>
          <w:u w:val="single"/>
        </w:rPr>
        <w:t xml:space="preserve"> </w:t>
      </w:r>
      <w:r>
        <w:rPr>
          <w:rFonts w:hint="eastAsia"/>
          <w:b/>
          <w:bCs/>
          <w:u w:val="single"/>
          <w:lang w:val="en-US" w:eastAsia="zh-CN"/>
        </w:rPr>
        <w:t>2015年花果贩垃圾处理场周边</w:t>
      </w:r>
      <w:r>
        <w:rPr>
          <w:b/>
          <w:bCs/>
          <w:u w:val="single"/>
        </w:rPr>
        <w:t>主要环境保护目标一览表</w:t>
      </w:r>
    </w:p>
    <w:tbl>
      <w:tblPr>
        <w:tblStyle w:val="19"/>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0"/>
        <w:gridCol w:w="2361"/>
        <w:gridCol w:w="1727"/>
        <w:gridCol w:w="1486"/>
        <w:gridCol w:w="21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trPr>
        <w:tc>
          <w:tcPr>
            <w:tcW w:w="1240"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环境要素</w:t>
            </w:r>
          </w:p>
        </w:tc>
        <w:tc>
          <w:tcPr>
            <w:tcW w:w="2361"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环境敏感点</w:t>
            </w:r>
          </w:p>
        </w:tc>
        <w:tc>
          <w:tcPr>
            <w:tcW w:w="17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与填埋场所在地边界最近距离</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相对位置</w:t>
            </w:r>
          </w:p>
        </w:tc>
        <w:tc>
          <w:tcPr>
            <w:tcW w:w="2112"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敏感点人数</w:t>
            </w: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restart"/>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大气环境</w:t>
            </w: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胥家桥村</w:t>
            </w:r>
          </w:p>
        </w:tc>
        <w:tc>
          <w:tcPr>
            <w:tcW w:w="1727"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514m</w:t>
            </w:r>
          </w:p>
        </w:tc>
        <w:tc>
          <w:tcPr>
            <w:tcW w:w="1486"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项目北面</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450户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default"/>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张家冲</w:t>
            </w:r>
          </w:p>
        </w:tc>
        <w:tc>
          <w:tcPr>
            <w:tcW w:w="1727"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660m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项目</w:t>
            </w:r>
            <w:r>
              <w:rPr>
                <w:rFonts w:hint="default"/>
                <w:u w:val="single"/>
              </w:rPr>
              <w:t>东部</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23户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default"/>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胥家桥小学</w:t>
            </w:r>
          </w:p>
        </w:tc>
        <w:tc>
          <w:tcPr>
            <w:tcW w:w="1727"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800m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项目</w:t>
            </w:r>
            <w:r>
              <w:rPr>
                <w:rFonts w:hint="default"/>
                <w:u w:val="single"/>
              </w:rPr>
              <w:t>北部</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师生600人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default"/>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七公桥村</w:t>
            </w:r>
          </w:p>
        </w:tc>
        <w:tc>
          <w:tcPr>
            <w:tcW w:w="1727"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lang w:val="en-US" w:eastAsia="zh-CN"/>
              </w:rPr>
              <w:t xml:space="preserve">5 </w:t>
            </w:r>
            <w:r>
              <w:rPr>
                <w:rFonts w:hint="eastAsia"/>
                <w:u w:val="single"/>
              </w:rPr>
              <w:t>00m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项目</w:t>
            </w:r>
            <w:r>
              <w:rPr>
                <w:rFonts w:hint="default"/>
                <w:u w:val="single"/>
              </w:rPr>
              <w:t>西面</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120户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default"/>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马家村</w:t>
            </w:r>
          </w:p>
        </w:tc>
        <w:tc>
          <w:tcPr>
            <w:tcW w:w="1727"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760m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项目</w:t>
            </w:r>
            <w:r>
              <w:rPr>
                <w:rFonts w:hint="default"/>
                <w:u w:val="single"/>
              </w:rPr>
              <w:t>西北面</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21户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default"/>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张家冲小学</w:t>
            </w:r>
          </w:p>
        </w:tc>
        <w:tc>
          <w:tcPr>
            <w:tcW w:w="1727"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约100m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项目</w:t>
            </w:r>
            <w:r>
              <w:rPr>
                <w:rFonts w:hint="default"/>
                <w:u w:val="single"/>
              </w:rPr>
              <w:t>北面</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规划建设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default"/>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胥家桥中学</w:t>
            </w:r>
          </w:p>
        </w:tc>
        <w:tc>
          <w:tcPr>
            <w:tcW w:w="1727"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约100m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项目</w:t>
            </w:r>
            <w:r>
              <w:rPr>
                <w:rFonts w:hint="default"/>
                <w:u w:val="single"/>
              </w:rPr>
              <w:t>北面</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规划建设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default"/>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胥家桥片区行政办公区</w:t>
            </w:r>
          </w:p>
        </w:tc>
        <w:tc>
          <w:tcPr>
            <w:tcW w:w="1727"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120m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项目</w:t>
            </w:r>
            <w:r>
              <w:rPr>
                <w:rFonts w:hint="eastAsia"/>
                <w:u w:val="single"/>
              </w:rPr>
              <w:t>东</w:t>
            </w:r>
            <w:r>
              <w:rPr>
                <w:rFonts w:hint="default"/>
                <w:u w:val="single"/>
              </w:rPr>
              <w:t>部</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规划建设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default"/>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胥家桥片区居住配套服务区</w:t>
            </w:r>
          </w:p>
        </w:tc>
        <w:tc>
          <w:tcPr>
            <w:tcW w:w="1727"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约100m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项目</w:t>
            </w:r>
            <w:r>
              <w:rPr>
                <w:rFonts w:hint="eastAsia"/>
                <w:u w:val="single"/>
              </w:rPr>
              <w:t>东、西</w:t>
            </w:r>
            <w:r>
              <w:rPr>
                <w:rFonts w:hint="default"/>
                <w:u w:val="single"/>
              </w:rPr>
              <w:t>部</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规划建设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default"/>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花果畈村</w:t>
            </w:r>
          </w:p>
        </w:tc>
        <w:tc>
          <w:tcPr>
            <w:tcW w:w="1727"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77</w:t>
            </w:r>
            <w:r>
              <w:rPr>
                <w:rFonts w:hint="default"/>
                <w:u w:val="single"/>
              </w:rPr>
              <w:t>0</w:t>
            </w:r>
            <w:r>
              <w:rPr>
                <w:rFonts w:hint="eastAsia"/>
                <w:u w:val="single"/>
                <w:lang w:val="en-US" w:eastAsia="zh-CN"/>
              </w:rPr>
              <w:t>-1000</w:t>
            </w:r>
            <w:r>
              <w:rPr>
                <w:rFonts w:hint="default"/>
                <w:u w:val="single"/>
              </w:rPr>
              <w:t>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项目西南面</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lang w:val="en-US" w:eastAsia="zh-CN"/>
              </w:rPr>
              <w:t>30</w:t>
            </w:r>
            <w:r>
              <w:rPr>
                <w:rFonts w:hint="default"/>
                <w:u w:val="single"/>
              </w:rPr>
              <w:t>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restart"/>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地表水</w:t>
            </w: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长江</w:t>
            </w:r>
          </w:p>
        </w:tc>
        <w:tc>
          <w:tcPr>
            <w:tcW w:w="1727" w:type="dxa"/>
            <w:vAlign w:val="center"/>
          </w:tcPr>
          <w:p>
            <w:pPr>
              <w:pStyle w:val="23"/>
              <w:keepNext w:val="0"/>
              <w:keepLines w:val="0"/>
              <w:suppressLineNumbers w:val="0"/>
              <w:spacing w:before="0" w:beforeAutospacing="0" w:after="0" w:afterAutospacing="0"/>
              <w:ind w:left="0" w:right="0"/>
              <w:rPr>
                <w:rFonts w:hint="eastAsia"/>
                <w:u w:val="single"/>
              </w:rPr>
            </w:pPr>
            <w:r>
              <w:rPr>
                <w:rFonts w:hint="default"/>
                <w:u w:val="single"/>
              </w:rPr>
              <w:t>长沟子村至黄盖湖（湖南省流入湖北省断面）江段</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项目西侧5600m</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GB3838-2002</w:t>
            </w:r>
            <w:r>
              <w:rPr>
                <w:rFonts w:hint="eastAsia"/>
                <w:u w:val="single"/>
              </w:rPr>
              <w:t xml:space="preserve"> </w:t>
            </w:r>
            <w:r>
              <w:rPr>
                <w:rFonts w:hint="default"/>
                <w:u w:val="single"/>
              </w:rPr>
              <w:t>III类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default"/>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芭蕉湖</w:t>
            </w:r>
          </w:p>
        </w:tc>
        <w:tc>
          <w:tcPr>
            <w:tcW w:w="3213" w:type="dxa"/>
            <w:gridSpan w:val="2"/>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项目</w:t>
            </w:r>
            <w:r>
              <w:rPr>
                <w:rFonts w:hint="default"/>
                <w:u w:val="single"/>
              </w:rPr>
              <w:t>西</w:t>
            </w:r>
            <w:r>
              <w:rPr>
                <w:rFonts w:hint="eastAsia"/>
                <w:u w:val="single"/>
              </w:rPr>
              <w:t>北</w:t>
            </w:r>
            <w:r>
              <w:rPr>
                <w:rFonts w:hint="default"/>
                <w:u w:val="single"/>
              </w:rPr>
              <w:t>侧距湖区边界约</w:t>
            </w:r>
            <w:r>
              <w:rPr>
                <w:rFonts w:hint="eastAsia"/>
                <w:u w:val="single"/>
              </w:rPr>
              <w:t>1800</w:t>
            </w:r>
            <w:r>
              <w:rPr>
                <w:rFonts w:hint="default"/>
                <w:u w:val="single"/>
              </w:rPr>
              <w:t>m</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GB3838-2002</w:t>
            </w:r>
            <w:r>
              <w:rPr>
                <w:rFonts w:hint="eastAsia"/>
                <w:u w:val="single"/>
              </w:rPr>
              <w:t xml:space="preserve"> </w:t>
            </w:r>
            <w:r>
              <w:rPr>
                <w:rFonts w:hint="default"/>
                <w:u w:val="single"/>
              </w:rPr>
              <w:t>III类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地下水</w:t>
            </w: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胥家桥村水井</w:t>
            </w:r>
          </w:p>
        </w:tc>
        <w:tc>
          <w:tcPr>
            <w:tcW w:w="1727"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540m</w:t>
            </w:r>
          </w:p>
        </w:tc>
        <w:tc>
          <w:tcPr>
            <w:tcW w:w="1486"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项目北面</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GB/T14848-93III类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restart"/>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声环境</w:t>
            </w: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张家冲小学</w:t>
            </w:r>
          </w:p>
        </w:tc>
        <w:tc>
          <w:tcPr>
            <w:tcW w:w="1727"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约100m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项目</w:t>
            </w:r>
            <w:r>
              <w:rPr>
                <w:rFonts w:hint="default"/>
                <w:u w:val="single"/>
              </w:rPr>
              <w:t>北面</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规划建设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eastAsia"/>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胥家桥中学</w:t>
            </w:r>
          </w:p>
        </w:tc>
        <w:tc>
          <w:tcPr>
            <w:tcW w:w="1727"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约100m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项目</w:t>
            </w:r>
            <w:r>
              <w:rPr>
                <w:rFonts w:hint="default"/>
                <w:u w:val="single"/>
              </w:rPr>
              <w:t>北面</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规划建设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eastAsia"/>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胥家桥片区行政办公区</w:t>
            </w:r>
          </w:p>
        </w:tc>
        <w:tc>
          <w:tcPr>
            <w:tcW w:w="1727"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120m</w:t>
            </w:r>
          </w:p>
        </w:tc>
        <w:tc>
          <w:tcPr>
            <w:tcW w:w="1486"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项目</w:t>
            </w:r>
            <w:r>
              <w:rPr>
                <w:rFonts w:hint="eastAsia"/>
                <w:u w:val="single"/>
              </w:rPr>
              <w:t>东</w:t>
            </w:r>
            <w:r>
              <w:rPr>
                <w:rFonts w:hint="default"/>
                <w:u w:val="single"/>
              </w:rPr>
              <w:t>部</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规划建设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40" w:type="dxa"/>
            <w:vMerge w:val="continue"/>
            <w:vAlign w:val="center"/>
          </w:tcPr>
          <w:p>
            <w:pPr>
              <w:pStyle w:val="23"/>
              <w:keepNext w:val="0"/>
              <w:keepLines w:val="0"/>
              <w:suppressLineNumbers w:val="0"/>
              <w:spacing w:before="0" w:beforeAutospacing="0" w:after="0" w:afterAutospacing="0"/>
              <w:ind w:left="0" w:right="0"/>
              <w:rPr>
                <w:rFonts w:hint="eastAsia"/>
                <w:u w:val="single"/>
              </w:rPr>
            </w:pPr>
          </w:p>
        </w:tc>
        <w:tc>
          <w:tcPr>
            <w:tcW w:w="2361"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胥家桥片区居住配套服务区</w:t>
            </w:r>
          </w:p>
        </w:tc>
        <w:tc>
          <w:tcPr>
            <w:tcW w:w="1727" w:type="dxa"/>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rPr>
              <w:t>约100m</w:t>
            </w:r>
          </w:p>
        </w:tc>
        <w:tc>
          <w:tcPr>
            <w:tcW w:w="1486" w:type="dxa"/>
            <w:vAlign w:val="center"/>
          </w:tcPr>
          <w:p>
            <w:pPr>
              <w:pStyle w:val="23"/>
              <w:keepNext w:val="0"/>
              <w:keepLines w:val="0"/>
              <w:suppressLineNumbers w:val="0"/>
              <w:spacing w:before="0" w:beforeAutospacing="0" w:after="0" w:afterAutospacing="0"/>
              <w:ind w:left="0" w:right="0"/>
              <w:rPr>
                <w:rFonts w:hint="eastAsia"/>
                <w:u w:val="single"/>
              </w:rPr>
            </w:pPr>
            <w:r>
              <w:rPr>
                <w:rFonts w:hint="default"/>
                <w:u w:val="single"/>
              </w:rPr>
              <w:t>项目</w:t>
            </w:r>
            <w:r>
              <w:rPr>
                <w:rFonts w:hint="eastAsia"/>
                <w:u w:val="single"/>
              </w:rPr>
              <w:t>东、</w:t>
            </w:r>
          </w:p>
          <w:p>
            <w:pPr>
              <w:pStyle w:val="23"/>
              <w:keepNext w:val="0"/>
              <w:keepLines w:val="0"/>
              <w:suppressLineNumbers w:val="0"/>
              <w:spacing w:before="0" w:beforeAutospacing="0" w:after="0" w:afterAutospacing="0"/>
              <w:ind w:left="0" w:right="0"/>
              <w:rPr>
                <w:rFonts w:hint="default"/>
                <w:u w:val="single"/>
              </w:rPr>
            </w:pPr>
            <w:r>
              <w:rPr>
                <w:rFonts w:hint="eastAsia"/>
                <w:u w:val="single"/>
              </w:rPr>
              <w:t>西</w:t>
            </w:r>
            <w:r>
              <w:rPr>
                <w:rFonts w:hint="default"/>
                <w:u w:val="single"/>
              </w:rPr>
              <w:t>部</w:t>
            </w:r>
          </w:p>
        </w:tc>
        <w:tc>
          <w:tcPr>
            <w:tcW w:w="211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规划建设</w:t>
            </w:r>
          </w:p>
        </w:tc>
      </w:tr>
    </w:tbl>
    <w:p>
      <w:pPr>
        <w:pStyle w:val="23"/>
        <w:rPr>
          <w:b/>
          <w:bCs/>
          <w:color w:val="auto"/>
        </w:rPr>
      </w:pPr>
    </w:p>
    <w:p>
      <w:pPr>
        <w:pStyle w:val="23"/>
        <w:rPr>
          <w:color w:val="auto"/>
          <w:u w:val="single"/>
        </w:rPr>
      </w:pPr>
      <w:r>
        <w:rPr>
          <w:b/>
          <w:bCs/>
          <w:color w:val="auto"/>
          <w:u w:val="single"/>
        </w:rPr>
        <w:t>表</w:t>
      </w:r>
      <w:r>
        <w:rPr>
          <w:rFonts w:hint="eastAsia"/>
          <w:b/>
          <w:bCs/>
          <w:color w:val="auto"/>
          <w:u w:val="single"/>
          <w:lang w:val="en-US" w:eastAsia="zh-CN"/>
        </w:rPr>
        <w:t>2-14</w:t>
      </w:r>
      <w:r>
        <w:rPr>
          <w:rFonts w:hint="eastAsia"/>
          <w:b/>
          <w:bCs/>
          <w:color w:val="auto"/>
          <w:u w:val="single"/>
        </w:rPr>
        <w:t xml:space="preserve">  </w:t>
      </w:r>
      <w:r>
        <w:rPr>
          <w:b/>
          <w:bCs/>
          <w:color w:val="auto"/>
          <w:u w:val="single"/>
        </w:rPr>
        <w:t xml:space="preserve"> 主要环境保护目标一览表</w:t>
      </w:r>
    </w:p>
    <w:tbl>
      <w:tblPr>
        <w:tblStyle w:val="19"/>
        <w:tblW w:w="9802" w:type="dxa"/>
        <w:jc w:val="center"/>
        <w:tblInd w:w="127"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06"/>
        <w:gridCol w:w="1825"/>
        <w:gridCol w:w="1408"/>
        <w:gridCol w:w="1238"/>
        <w:gridCol w:w="1871"/>
        <w:gridCol w:w="695"/>
        <w:gridCol w:w="185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453" w:hRule="atLeast"/>
          <w:jc w:val="center"/>
        </w:trPr>
        <w:tc>
          <w:tcPr>
            <w:tcW w:w="906" w:type="dxa"/>
            <w:vAlign w:val="center"/>
          </w:tcPr>
          <w:p>
            <w:pPr>
              <w:pStyle w:val="23"/>
              <w:keepNext w:val="0"/>
              <w:keepLines w:val="0"/>
              <w:suppressLineNumbers w:val="0"/>
              <w:spacing w:before="0" w:beforeAutospacing="0" w:after="0" w:afterAutospacing="0"/>
              <w:ind w:left="0" w:right="0"/>
              <w:rPr>
                <w:rFonts w:hint="eastAsia"/>
                <w:color w:val="auto"/>
                <w:u w:val="single"/>
              </w:rPr>
            </w:pPr>
            <w:r>
              <w:rPr>
                <w:rFonts w:hint="default"/>
                <w:color w:val="auto"/>
                <w:u w:val="single"/>
              </w:rPr>
              <w:t>环境</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要素</w:t>
            </w:r>
          </w:p>
        </w:tc>
        <w:tc>
          <w:tcPr>
            <w:tcW w:w="1825"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保护</w:t>
            </w:r>
            <w:r>
              <w:rPr>
                <w:rFonts w:hint="eastAsia"/>
                <w:color w:val="auto"/>
                <w:u w:val="single"/>
              </w:rPr>
              <w:t>敏感点</w:t>
            </w:r>
          </w:p>
        </w:tc>
        <w:tc>
          <w:tcPr>
            <w:tcW w:w="1408" w:type="dxa"/>
            <w:vAlign w:val="center"/>
          </w:tcPr>
          <w:p>
            <w:pPr>
              <w:pStyle w:val="23"/>
              <w:keepNext w:val="0"/>
              <w:keepLines w:val="0"/>
              <w:suppressLineNumbers w:val="0"/>
              <w:spacing w:before="0" w:beforeAutospacing="0" w:after="0" w:afterAutospacing="0"/>
              <w:ind w:left="0" w:right="0"/>
              <w:rPr>
                <w:rFonts w:hint="eastAsia"/>
                <w:color w:val="auto"/>
                <w:u w:val="single"/>
              </w:rPr>
            </w:pPr>
            <w:r>
              <w:rPr>
                <w:rFonts w:hint="default"/>
                <w:color w:val="auto"/>
                <w:u w:val="single"/>
              </w:rPr>
              <w:t>相对</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方位</w:t>
            </w:r>
          </w:p>
        </w:tc>
        <w:tc>
          <w:tcPr>
            <w:tcW w:w="1238" w:type="dxa"/>
            <w:vAlign w:val="center"/>
          </w:tcPr>
          <w:p>
            <w:pPr>
              <w:pStyle w:val="23"/>
              <w:keepNext w:val="0"/>
              <w:keepLines w:val="0"/>
              <w:suppressLineNumbers w:val="0"/>
              <w:spacing w:before="0" w:beforeAutospacing="0" w:after="0" w:afterAutospacing="0"/>
              <w:ind w:left="0" w:right="0"/>
              <w:rPr>
                <w:rFonts w:hint="eastAsia"/>
                <w:color w:val="auto"/>
                <w:u w:val="single"/>
              </w:rPr>
            </w:pPr>
            <w:r>
              <w:rPr>
                <w:rFonts w:hint="default"/>
                <w:color w:val="auto"/>
                <w:u w:val="single"/>
              </w:rPr>
              <w:t>相对</w:t>
            </w:r>
          </w:p>
          <w:p>
            <w:pPr>
              <w:pStyle w:val="23"/>
              <w:keepNext w:val="0"/>
              <w:keepLines w:val="0"/>
              <w:suppressLineNumbers w:val="0"/>
              <w:spacing w:before="0" w:beforeAutospacing="0" w:after="0" w:afterAutospacing="0"/>
              <w:ind w:left="0" w:right="0"/>
              <w:rPr>
                <w:rFonts w:hint="eastAsia"/>
                <w:color w:val="auto"/>
                <w:u w:val="single"/>
              </w:rPr>
            </w:pPr>
            <w:r>
              <w:rPr>
                <w:rFonts w:hint="default"/>
                <w:color w:val="auto"/>
                <w:u w:val="single"/>
              </w:rPr>
              <w:t>距离</w:t>
            </w:r>
          </w:p>
        </w:tc>
        <w:tc>
          <w:tcPr>
            <w:tcW w:w="1871"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规模</w:t>
            </w:r>
          </w:p>
        </w:tc>
        <w:tc>
          <w:tcPr>
            <w:tcW w:w="695"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功能</w:t>
            </w:r>
          </w:p>
        </w:tc>
        <w:tc>
          <w:tcPr>
            <w:tcW w:w="1859"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保护级别</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06" w:type="dxa"/>
            <w:vMerge w:val="restart"/>
            <w:shd w:val="clear" w:color="auto" w:fill="auto"/>
            <w:vAlign w:val="center"/>
          </w:tcPr>
          <w:p>
            <w:pPr>
              <w:pStyle w:val="23"/>
              <w:keepNext w:val="0"/>
              <w:keepLines w:val="0"/>
              <w:suppressLineNumbers w:val="0"/>
              <w:spacing w:before="0" w:beforeAutospacing="0" w:after="0" w:afterAutospacing="0"/>
              <w:ind w:left="0" w:right="0"/>
              <w:rPr>
                <w:rFonts w:hint="eastAsia"/>
                <w:color w:val="auto"/>
                <w:u w:val="single"/>
              </w:rPr>
            </w:pPr>
            <w:bookmarkStart w:id="22" w:name="OLE_LINK3" w:colFirst="2" w:colLast="4"/>
            <w:r>
              <w:rPr>
                <w:rFonts w:hint="default"/>
                <w:color w:val="auto"/>
                <w:u w:val="single"/>
              </w:rPr>
              <w:t>大气</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环境</w:t>
            </w: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rPr>
            </w:pPr>
            <w:r>
              <w:rPr>
                <w:rFonts w:hint="eastAsia"/>
                <w:color w:val="auto"/>
                <w:u w:val="single"/>
                <w:lang w:eastAsia="zh-CN"/>
              </w:rPr>
              <w:t>胥家桥</w:t>
            </w:r>
            <w:r>
              <w:rPr>
                <w:rFonts w:hint="eastAsia"/>
                <w:color w:val="auto"/>
                <w:u w:val="single"/>
              </w:rPr>
              <w:t>村居民点</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W</w:t>
            </w:r>
            <w:r>
              <w:rPr>
                <w:rFonts w:hint="eastAsia"/>
                <w:color w:val="auto"/>
                <w:u w:val="single"/>
                <w:lang w:val="en-US" w:eastAsia="zh-CN"/>
              </w:rPr>
              <w:t>N、ES、E</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lang w:val="en-US" w:eastAsia="zh-CN"/>
              </w:rPr>
              <w:t>160</w:t>
            </w:r>
            <w:r>
              <w:rPr>
                <w:rFonts w:hint="eastAsia"/>
                <w:color w:val="auto"/>
                <w:u w:val="single"/>
              </w:rPr>
              <w:t>-</w:t>
            </w:r>
            <w:r>
              <w:rPr>
                <w:rFonts w:hint="eastAsia"/>
                <w:color w:val="auto"/>
                <w:u w:val="single"/>
                <w:lang w:val="en-US" w:eastAsia="zh-CN"/>
              </w:rPr>
              <w:t>10</w:t>
            </w:r>
            <w:r>
              <w:rPr>
                <w:rFonts w:hint="eastAsia"/>
                <w:color w:val="auto"/>
                <w:u w:val="single"/>
              </w:rPr>
              <w:t>00m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lang w:val="en-US" w:eastAsia="zh-CN"/>
              </w:rPr>
              <w:t>30</w:t>
            </w:r>
            <w:r>
              <w:rPr>
                <w:rFonts w:hint="eastAsia"/>
                <w:color w:val="auto"/>
                <w:u w:val="single"/>
              </w:rPr>
              <w:t>0</w:t>
            </w:r>
            <w:r>
              <w:rPr>
                <w:rFonts w:hint="default"/>
                <w:color w:val="auto"/>
                <w:u w:val="single"/>
              </w:rPr>
              <w:t>户</w:t>
            </w:r>
            <w:r>
              <w:rPr>
                <w:rFonts w:hint="eastAsia"/>
                <w:color w:val="auto"/>
                <w:u w:val="single"/>
              </w:rPr>
              <w:t>，约</w:t>
            </w:r>
            <w:r>
              <w:rPr>
                <w:rFonts w:hint="eastAsia"/>
                <w:color w:val="auto"/>
                <w:u w:val="single"/>
                <w:lang w:val="en-US" w:eastAsia="zh-CN"/>
              </w:rPr>
              <w:t>10</w:t>
            </w:r>
            <w:r>
              <w:rPr>
                <w:rFonts w:hint="eastAsia"/>
                <w:color w:val="auto"/>
                <w:u w:val="single"/>
              </w:rPr>
              <w:t>00</w:t>
            </w:r>
            <w:r>
              <w:rPr>
                <w:rFonts w:hint="default"/>
                <w:color w:val="auto"/>
                <w:u w:val="single"/>
              </w:rPr>
              <w:t>人</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rPr>
            </w:pPr>
            <w:r>
              <w:rPr>
                <w:rFonts w:hint="default"/>
                <w:color w:val="auto"/>
                <w:u w:val="single"/>
              </w:rPr>
              <w:t>居住</w:t>
            </w:r>
          </w:p>
        </w:tc>
        <w:tc>
          <w:tcPr>
            <w:tcW w:w="1859" w:type="dxa"/>
            <w:vMerge w:val="restart"/>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（GB3095-</w:t>
            </w:r>
            <w:r>
              <w:rPr>
                <w:rFonts w:hint="eastAsia"/>
                <w:color w:val="auto"/>
                <w:u w:val="single"/>
              </w:rPr>
              <w:t>2012</w:t>
            </w:r>
            <w:r>
              <w:rPr>
                <w:rFonts w:hint="default"/>
                <w:color w:val="auto"/>
                <w:u w:val="single"/>
              </w:rPr>
              <w:t>）二级标准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eastAsia="zh-CN"/>
              </w:rPr>
            </w:pPr>
            <w:r>
              <w:rPr>
                <w:rFonts w:hint="eastAsia"/>
                <w:color w:val="auto"/>
                <w:u w:val="single"/>
                <w:lang w:eastAsia="zh-CN"/>
              </w:rPr>
              <w:t>和兴家园</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color w:val="auto"/>
                <w:u w:val="single"/>
                <w:lang w:val="en-US" w:eastAsia="zh-CN"/>
              </w:rPr>
            </w:pPr>
            <w:r>
              <w:rPr>
                <w:rFonts w:hint="eastAsia"/>
                <w:color w:val="auto"/>
                <w:u w:val="single"/>
                <w:lang w:val="en-US" w:eastAsia="zh-CN"/>
              </w:rPr>
              <w:t>N</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val="en-US" w:eastAsia="zh-CN"/>
              </w:rPr>
            </w:pPr>
            <w:r>
              <w:rPr>
                <w:rFonts w:hint="eastAsia"/>
                <w:color w:val="auto"/>
                <w:u w:val="single"/>
                <w:lang w:val="en-US" w:eastAsia="zh-CN"/>
              </w:rPr>
              <w:t>550m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val="en-US" w:eastAsia="zh-CN"/>
              </w:rPr>
            </w:pPr>
            <w:r>
              <w:rPr>
                <w:rFonts w:hint="eastAsia"/>
                <w:color w:val="auto"/>
                <w:u w:val="single"/>
                <w:lang w:val="en-US" w:eastAsia="zh-CN"/>
              </w:rPr>
              <w:t>580户，约1740人</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default"/>
                <w:color w:val="auto"/>
                <w:u w:val="single"/>
              </w:rPr>
              <w:t>居住</w:t>
            </w:r>
          </w:p>
        </w:tc>
        <w:tc>
          <w:tcPr>
            <w:tcW w:w="185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eastAsia="zh-CN"/>
              </w:rPr>
            </w:pPr>
            <w:r>
              <w:rPr>
                <w:rFonts w:hint="default"/>
                <w:u w:val="single"/>
              </w:rPr>
              <w:t>张家冲</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color w:val="auto"/>
                <w:u w:val="single"/>
                <w:lang w:val="en-US" w:eastAsia="zh-CN"/>
              </w:rPr>
            </w:pPr>
            <w:r>
              <w:rPr>
                <w:rFonts w:hint="eastAsia"/>
                <w:u w:val="single"/>
                <w:lang w:val="en-US" w:eastAsia="zh-CN"/>
              </w:rPr>
              <w:t>E</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val="en-US" w:eastAsia="zh-CN"/>
              </w:rPr>
            </w:pPr>
            <w:r>
              <w:rPr>
                <w:rFonts w:hint="eastAsia"/>
                <w:u w:val="single"/>
              </w:rPr>
              <w:t>660</w:t>
            </w:r>
            <w:r>
              <w:rPr>
                <w:rFonts w:hint="eastAsia"/>
                <w:color w:val="auto"/>
                <w:u w:val="single"/>
              </w:rPr>
              <w:t>-</w:t>
            </w:r>
            <w:r>
              <w:rPr>
                <w:rFonts w:hint="eastAsia"/>
                <w:color w:val="auto"/>
                <w:u w:val="single"/>
                <w:lang w:val="en-US" w:eastAsia="zh-CN"/>
              </w:rPr>
              <w:t>10</w:t>
            </w:r>
            <w:r>
              <w:rPr>
                <w:rFonts w:hint="eastAsia"/>
                <w:color w:val="auto"/>
                <w:u w:val="single"/>
              </w:rPr>
              <w:t>00m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val="en-US" w:eastAsia="zh-CN"/>
              </w:rPr>
            </w:pPr>
            <w:r>
              <w:rPr>
                <w:rFonts w:hint="default"/>
                <w:u w:val="single"/>
              </w:rPr>
              <w:t>23户</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default"/>
                <w:color w:val="auto"/>
                <w:u w:val="single"/>
              </w:rPr>
              <w:t>居住</w:t>
            </w:r>
          </w:p>
        </w:tc>
        <w:tc>
          <w:tcPr>
            <w:tcW w:w="185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胥家桥小学</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lang w:val="en-US" w:eastAsia="zh-CN"/>
              </w:rPr>
            </w:pPr>
            <w:r>
              <w:rPr>
                <w:rFonts w:hint="eastAsia"/>
                <w:u w:val="single"/>
                <w:lang w:val="en-US" w:eastAsia="zh-CN"/>
              </w:rPr>
              <w:t>WN</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rPr>
            </w:pPr>
            <w:r>
              <w:rPr>
                <w:rFonts w:hint="eastAsia"/>
                <w:u w:val="single"/>
              </w:rPr>
              <w:t>800m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师生600人</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color w:val="auto"/>
                <w:u w:val="single"/>
                <w:lang w:eastAsia="zh-CN"/>
              </w:rPr>
            </w:pPr>
            <w:r>
              <w:rPr>
                <w:rFonts w:hint="eastAsia"/>
                <w:color w:val="auto"/>
                <w:u w:val="single"/>
                <w:lang w:eastAsia="zh-CN"/>
              </w:rPr>
              <w:t>教育</w:t>
            </w:r>
          </w:p>
        </w:tc>
        <w:tc>
          <w:tcPr>
            <w:tcW w:w="185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七公桥村</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lang w:val="en-US" w:eastAsia="zh-CN"/>
              </w:rPr>
            </w:pPr>
            <w:r>
              <w:rPr>
                <w:rFonts w:hint="eastAsia"/>
                <w:u w:val="single"/>
                <w:lang w:val="en-US" w:eastAsia="zh-CN"/>
              </w:rPr>
              <w:t>W</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rPr>
            </w:pPr>
            <w:r>
              <w:rPr>
                <w:rFonts w:hint="eastAsia"/>
                <w:u w:val="single"/>
                <w:lang w:val="en-US" w:eastAsia="zh-CN"/>
              </w:rPr>
              <w:t xml:space="preserve">5 </w:t>
            </w:r>
            <w:r>
              <w:rPr>
                <w:rFonts w:hint="eastAsia"/>
                <w:u w:val="single"/>
              </w:rPr>
              <w:t>00m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120户</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default"/>
                <w:color w:val="auto"/>
                <w:u w:val="single"/>
              </w:rPr>
              <w:t>居住</w:t>
            </w:r>
          </w:p>
        </w:tc>
        <w:tc>
          <w:tcPr>
            <w:tcW w:w="185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马家村</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lang w:val="en-US" w:eastAsia="zh-CN"/>
              </w:rPr>
            </w:pPr>
            <w:r>
              <w:rPr>
                <w:rFonts w:hint="eastAsia"/>
                <w:u w:val="single"/>
                <w:lang w:val="en-US" w:eastAsia="zh-CN"/>
              </w:rPr>
              <w:t>WN</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rPr>
            </w:pPr>
            <w:r>
              <w:rPr>
                <w:rFonts w:hint="eastAsia"/>
                <w:u w:val="single"/>
              </w:rPr>
              <w:t>760m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21户</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default"/>
                <w:color w:val="auto"/>
                <w:u w:val="single"/>
              </w:rPr>
              <w:t>居住</w:t>
            </w:r>
          </w:p>
        </w:tc>
        <w:tc>
          <w:tcPr>
            <w:tcW w:w="185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张家冲小学</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lang w:val="en-US" w:eastAsia="zh-CN"/>
              </w:rPr>
            </w:pPr>
            <w:r>
              <w:rPr>
                <w:rFonts w:hint="eastAsia"/>
                <w:u w:val="single"/>
                <w:lang w:val="en-US" w:eastAsia="zh-CN"/>
              </w:rPr>
              <w:t>N</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rPr>
            </w:pPr>
            <w:r>
              <w:rPr>
                <w:rFonts w:hint="eastAsia"/>
                <w:u w:val="single"/>
              </w:rPr>
              <w:t>约100m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规划建设</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lang w:eastAsia="zh-CN"/>
              </w:rPr>
              <w:t>教育</w:t>
            </w:r>
          </w:p>
        </w:tc>
        <w:tc>
          <w:tcPr>
            <w:tcW w:w="185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胥家桥中学</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lang w:val="en-US" w:eastAsia="zh-CN"/>
              </w:rPr>
            </w:pPr>
            <w:r>
              <w:rPr>
                <w:rFonts w:hint="eastAsia"/>
                <w:u w:val="single"/>
                <w:lang w:val="en-US" w:eastAsia="zh-CN"/>
              </w:rPr>
              <w:t>N</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rPr>
            </w:pPr>
            <w:r>
              <w:rPr>
                <w:rFonts w:hint="eastAsia"/>
                <w:u w:val="single"/>
              </w:rPr>
              <w:t>约100m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规划建设</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lang w:eastAsia="zh-CN"/>
              </w:rPr>
              <w:t>教育</w:t>
            </w:r>
          </w:p>
        </w:tc>
        <w:tc>
          <w:tcPr>
            <w:tcW w:w="185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PrEx>
        <w:trPr>
          <w:trHeight w:val="246"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胥家桥片区行政办公区</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lang w:val="en-US" w:eastAsia="zh-CN"/>
              </w:rPr>
            </w:pPr>
            <w:r>
              <w:rPr>
                <w:rFonts w:hint="eastAsia"/>
                <w:u w:val="single"/>
                <w:lang w:val="en-US" w:eastAsia="zh-CN"/>
              </w:rPr>
              <w:t>E</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rPr>
            </w:pPr>
            <w:r>
              <w:rPr>
                <w:rFonts w:hint="eastAsia"/>
                <w:u w:val="single"/>
              </w:rPr>
              <w:t>120m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规划建设</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color w:val="auto"/>
                <w:u w:val="single"/>
                <w:lang w:eastAsia="zh-CN"/>
              </w:rPr>
            </w:pPr>
            <w:r>
              <w:rPr>
                <w:rFonts w:hint="eastAsia"/>
                <w:color w:val="auto"/>
                <w:u w:val="single"/>
                <w:lang w:eastAsia="zh-CN"/>
              </w:rPr>
              <w:t>办公</w:t>
            </w:r>
          </w:p>
        </w:tc>
        <w:tc>
          <w:tcPr>
            <w:tcW w:w="185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胥家桥片区居住配套服务区</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lang w:val="en-US" w:eastAsia="zh-CN"/>
              </w:rPr>
            </w:pPr>
            <w:r>
              <w:rPr>
                <w:rFonts w:hint="eastAsia"/>
                <w:u w:val="single"/>
                <w:lang w:val="en-US" w:eastAsia="zh-CN"/>
              </w:rPr>
              <w:t>E、W</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u w:val="single"/>
              </w:rPr>
            </w:pPr>
            <w:r>
              <w:rPr>
                <w:rFonts w:hint="eastAsia"/>
                <w:u w:val="single"/>
              </w:rPr>
              <w:t>约100m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规划建设</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color w:val="auto"/>
                <w:u w:val="single"/>
                <w:lang w:val="en-US" w:eastAsia="zh-CN"/>
              </w:rPr>
            </w:pPr>
            <w:r>
              <w:rPr>
                <w:rFonts w:hint="eastAsia"/>
                <w:color w:val="auto"/>
                <w:u w:val="single"/>
                <w:lang w:val="en-US" w:eastAsia="zh-CN"/>
              </w:rPr>
              <w:t>/</w:t>
            </w:r>
          </w:p>
        </w:tc>
        <w:tc>
          <w:tcPr>
            <w:tcW w:w="185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r>
      <w:bookmarkEnd w:id="22"/>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46"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rPr>
            </w:pPr>
            <w:r>
              <w:rPr>
                <w:rFonts w:hint="eastAsia"/>
                <w:color w:val="auto"/>
                <w:u w:val="single"/>
                <w:lang w:eastAsia="zh-CN"/>
              </w:rPr>
              <w:t>花果贩村</w:t>
            </w:r>
            <w:r>
              <w:rPr>
                <w:rFonts w:hint="eastAsia"/>
                <w:color w:val="auto"/>
                <w:u w:val="single"/>
              </w:rPr>
              <w:t>居民点</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color w:val="auto"/>
                <w:u w:val="single"/>
                <w:lang w:eastAsia="zh-CN"/>
              </w:rPr>
            </w:pPr>
            <w:r>
              <w:rPr>
                <w:rFonts w:hint="eastAsia"/>
                <w:color w:val="auto"/>
                <w:u w:val="single"/>
                <w:lang w:val="en-US" w:eastAsia="zh-CN"/>
              </w:rPr>
              <w:t>S</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rPr>
            </w:pPr>
            <w:r>
              <w:rPr>
                <w:rFonts w:hint="eastAsia"/>
                <w:color w:val="auto"/>
                <w:u w:val="single"/>
                <w:lang w:val="en-US" w:eastAsia="zh-CN"/>
              </w:rPr>
              <w:t>280</w:t>
            </w:r>
            <w:r>
              <w:rPr>
                <w:rFonts w:hint="eastAsia"/>
                <w:color w:val="auto"/>
                <w:u w:val="single"/>
              </w:rPr>
              <w:t>-</w:t>
            </w:r>
            <w:r>
              <w:rPr>
                <w:rFonts w:hint="eastAsia"/>
                <w:color w:val="auto"/>
                <w:u w:val="single"/>
                <w:lang w:val="en-US" w:eastAsia="zh-CN"/>
              </w:rPr>
              <w:t>10</w:t>
            </w:r>
            <w:r>
              <w:rPr>
                <w:rFonts w:hint="eastAsia"/>
                <w:color w:val="auto"/>
                <w:u w:val="single"/>
              </w:rPr>
              <w:t>00m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60</w:t>
            </w:r>
            <w:r>
              <w:rPr>
                <w:rFonts w:hint="default"/>
                <w:color w:val="auto"/>
                <w:u w:val="single"/>
              </w:rPr>
              <w:t>户</w:t>
            </w:r>
            <w:r>
              <w:rPr>
                <w:rFonts w:hint="eastAsia"/>
                <w:color w:val="auto"/>
                <w:u w:val="single"/>
              </w:rPr>
              <w:t>，约200</w:t>
            </w:r>
            <w:r>
              <w:rPr>
                <w:rFonts w:hint="default"/>
                <w:color w:val="auto"/>
                <w:u w:val="single"/>
              </w:rPr>
              <w:t>人</w:t>
            </w:r>
          </w:p>
        </w:tc>
        <w:tc>
          <w:tcPr>
            <w:tcW w:w="69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default"/>
                <w:color w:val="auto"/>
                <w:u w:val="single"/>
              </w:rPr>
              <w:t>居住</w:t>
            </w:r>
          </w:p>
        </w:tc>
        <w:tc>
          <w:tcPr>
            <w:tcW w:w="1859"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82" w:hRule="atLeast"/>
          <w:jc w:val="center"/>
        </w:trPr>
        <w:tc>
          <w:tcPr>
            <w:tcW w:w="906" w:type="dxa"/>
            <w:vMerge w:val="restart"/>
            <w:shd w:val="clear" w:color="auto" w:fill="auto"/>
            <w:vAlign w:val="center"/>
          </w:tcPr>
          <w:p>
            <w:pPr>
              <w:pStyle w:val="23"/>
              <w:keepNext w:val="0"/>
              <w:keepLines w:val="0"/>
              <w:suppressLineNumbers w:val="0"/>
              <w:spacing w:before="0" w:beforeAutospacing="0" w:after="0" w:afterAutospacing="0"/>
              <w:ind w:left="0" w:right="0"/>
              <w:rPr>
                <w:rFonts w:hint="eastAsia"/>
                <w:color w:val="auto"/>
                <w:u w:val="single"/>
              </w:rPr>
            </w:pPr>
            <w:r>
              <w:rPr>
                <w:rFonts w:hint="default"/>
                <w:color w:val="auto"/>
                <w:u w:val="single"/>
              </w:rPr>
              <w:t>水环</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境</w:t>
            </w:r>
          </w:p>
        </w:tc>
        <w:tc>
          <w:tcPr>
            <w:tcW w:w="1825"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eastAsia="zh-CN"/>
              </w:rPr>
            </w:pPr>
            <w:r>
              <w:rPr>
                <w:rFonts w:hint="default"/>
                <w:u w:val="single"/>
              </w:rPr>
              <w:t>长江</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val="en-US" w:eastAsia="zh-CN"/>
              </w:rPr>
            </w:pPr>
            <w:r>
              <w:rPr>
                <w:rFonts w:hint="default"/>
                <w:u w:val="single"/>
              </w:rPr>
              <w:t>长沟子村至黄盖湖</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val="en-US" w:eastAsia="zh-CN"/>
              </w:rPr>
            </w:pPr>
            <w:r>
              <w:rPr>
                <w:rFonts w:hint="eastAsia"/>
                <w:u w:val="single"/>
              </w:rPr>
              <w:t>项目西侧5600m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rPr>
            </w:pPr>
          </w:p>
        </w:tc>
        <w:tc>
          <w:tcPr>
            <w:tcW w:w="695" w:type="dxa"/>
            <w:shd w:val="clear" w:color="auto" w:fill="auto"/>
            <w:vAlign w:val="center"/>
          </w:tcPr>
          <w:p>
            <w:pPr>
              <w:pStyle w:val="23"/>
              <w:keepNext w:val="0"/>
              <w:keepLines w:val="0"/>
              <w:suppressLineNumbers w:val="0"/>
              <w:spacing w:before="0" w:beforeAutospacing="0" w:after="0" w:afterAutospacing="0"/>
              <w:ind w:left="0" w:right="0"/>
              <w:rPr>
                <w:rFonts w:hint="eastAsia"/>
                <w:color w:val="auto"/>
                <w:u w:val="single"/>
              </w:rPr>
            </w:pPr>
          </w:p>
        </w:tc>
        <w:tc>
          <w:tcPr>
            <w:tcW w:w="185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u w:val="single"/>
              </w:rPr>
              <w:t>GB3838-2002</w:t>
            </w:r>
            <w:r>
              <w:rPr>
                <w:rFonts w:hint="eastAsia"/>
                <w:u w:val="single"/>
              </w:rPr>
              <w:t xml:space="preserve"> </w:t>
            </w:r>
            <w:r>
              <w:rPr>
                <w:rFonts w:hint="default"/>
                <w:u w:val="single"/>
              </w:rPr>
              <w:t>III类</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PrEx>
        <w:trPr>
          <w:trHeight w:val="282" w:hRule="atLeast"/>
          <w:jc w:val="center"/>
        </w:trPr>
        <w:tc>
          <w:tcPr>
            <w:tcW w:w="906"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825"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color w:val="auto"/>
                <w:u w:val="single"/>
                <w:lang w:eastAsia="zh-CN"/>
              </w:rPr>
            </w:pPr>
            <w:r>
              <w:rPr>
                <w:rFonts w:hint="eastAsia"/>
                <w:color w:val="auto"/>
                <w:u w:val="single"/>
                <w:lang w:eastAsia="zh-CN"/>
              </w:rPr>
              <w:t>芭蕉湖</w:t>
            </w:r>
          </w:p>
        </w:tc>
        <w:tc>
          <w:tcPr>
            <w:tcW w:w="1408"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color w:val="auto"/>
                <w:u w:val="single"/>
                <w:lang w:eastAsia="zh-CN"/>
              </w:rPr>
            </w:pPr>
            <w:r>
              <w:rPr>
                <w:rFonts w:hint="eastAsia"/>
                <w:color w:val="auto"/>
                <w:u w:val="single"/>
                <w:lang w:val="en-US" w:eastAsia="zh-CN"/>
              </w:rPr>
              <w:t>N</w:t>
            </w:r>
          </w:p>
        </w:tc>
        <w:tc>
          <w:tcPr>
            <w:tcW w:w="1238" w:type="dxa"/>
            <w:shd w:val="clear" w:color="auto" w:fill="auto"/>
            <w:vAlign w:val="center"/>
          </w:tcPr>
          <w:p>
            <w:pPr>
              <w:pStyle w:val="23"/>
              <w:keepNext w:val="0"/>
              <w:keepLines w:val="0"/>
              <w:suppressLineNumbers w:val="0"/>
              <w:spacing w:before="0" w:beforeAutospacing="0" w:after="0" w:afterAutospacing="0"/>
              <w:ind w:left="0" w:right="0"/>
              <w:rPr>
                <w:rFonts w:hint="eastAsia"/>
                <w:color w:val="auto"/>
                <w:u w:val="single"/>
              </w:rPr>
            </w:pPr>
            <w:r>
              <w:rPr>
                <w:rFonts w:hint="eastAsia"/>
                <w:color w:val="auto"/>
                <w:u w:val="single"/>
                <w:lang w:val="en-US" w:eastAsia="zh-CN"/>
              </w:rPr>
              <w:t>18</w:t>
            </w:r>
            <w:r>
              <w:rPr>
                <w:rFonts w:hint="eastAsia"/>
                <w:color w:val="auto"/>
                <w:u w:val="single"/>
              </w:rPr>
              <w:t>00m</w:t>
            </w:r>
          </w:p>
        </w:tc>
        <w:tc>
          <w:tcPr>
            <w:tcW w:w="1871" w:type="dxa"/>
            <w:shd w:val="clear" w:color="auto" w:fill="auto"/>
            <w:vAlign w:val="center"/>
          </w:tcPr>
          <w:p>
            <w:pPr>
              <w:pStyle w:val="23"/>
              <w:keepNext w:val="0"/>
              <w:keepLines w:val="0"/>
              <w:suppressLineNumbers w:val="0"/>
              <w:spacing w:before="0" w:beforeAutospacing="0" w:after="0" w:afterAutospacing="0"/>
              <w:ind w:left="0" w:right="0"/>
              <w:rPr>
                <w:rFonts w:hint="eastAsia"/>
                <w:color w:val="auto"/>
                <w:u w:val="single"/>
              </w:rPr>
            </w:pPr>
            <w:r>
              <w:rPr>
                <w:rFonts w:hint="eastAsia"/>
                <w:color w:val="auto"/>
                <w:u w:val="single"/>
              </w:rPr>
              <w:t>中湖</w:t>
            </w:r>
          </w:p>
        </w:tc>
        <w:tc>
          <w:tcPr>
            <w:tcW w:w="695"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渔业用水</w:t>
            </w:r>
          </w:p>
        </w:tc>
        <w:tc>
          <w:tcPr>
            <w:tcW w:w="1859" w:type="dxa"/>
            <w:shd w:val="clear" w:color="auto" w:fill="auto"/>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（GB3838-2002）中的</w:t>
            </w:r>
            <w:r>
              <w:rPr>
                <w:rFonts w:hint="eastAsia"/>
                <w:color w:val="auto"/>
                <w:u w:val="single"/>
              </w:rPr>
              <w:t>Ⅲ</w:t>
            </w:r>
            <w:r>
              <w:rPr>
                <w:rFonts w:hint="default"/>
                <w:color w:val="auto"/>
                <w:u w:val="single"/>
              </w:rPr>
              <w:t>类标准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PrEx>
        <w:trPr>
          <w:trHeight w:val="478" w:hRule="atLeast"/>
          <w:jc w:val="center"/>
        </w:trPr>
        <w:tc>
          <w:tcPr>
            <w:tcW w:w="906"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声环境</w:t>
            </w:r>
          </w:p>
        </w:tc>
        <w:tc>
          <w:tcPr>
            <w:tcW w:w="1825" w:type="dxa"/>
            <w:vAlign w:val="center"/>
          </w:tcPr>
          <w:p>
            <w:pPr>
              <w:pStyle w:val="23"/>
              <w:keepNext w:val="0"/>
              <w:keepLines w:val="0"/>
              <w:suppressLineNumbers w:val="0"/>
              <w:spacing w:before="0" w:beforeAutospacing="0" w:after="0" w:afterAutospacing="0"/>
              <w:ind w:left="0" w:right="0"/>
              <w:rPr>
                <w:rFonts w:hint="eastAsia"/>
                <w:color w:val="auto"/>
                <w:u w:val="single"/>
              </w:rPr>
            </w:pPr>
            <w:r>
              <w:rPr>
                <w:rFonts w:hint="eastAsia"/>
                <w:color w:val="auto"/>
                <w:u w:val="single"/>
                <w:lang w:eastAsia="zh-CN"/>
              </w:rPr>
              <w:t>胥家桥</w:t>
            </w:r>
            <w:r>
              <w:rPr>
                <w:rFonts w:hint="eastAsia"/>
                <w:color w:val="auto"/>
                <w:u w:val="single"/>
              </w:rPr>
              <w:t>村居民点</w:t>
            </w:r>
          </w:p>
        </w:tc>
        <w:tc>
          <w:tcPr>
            <w:tcW w:w="140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rPr>
            </w:pPr>
            <w:r>
              <w:rPr>
                <w:rFonts w:hint="eastAsia"/>
                <w:color w:val="auto"/>
                <w:u w:val="single"/>
              </w:rPr>
              <w:t>W</w:t>
            </w:r>
            <w:r>
              <w:rPr>
                <w:rFonts w:hint="eastAsia"/>
                <w:color w:val="auto"/>
                <w:u w:val="single"/>
                <w:lang w:val="en-US" w:eastAsia="zh-CN"/>
              </w:rPr>
              <w:t>N、E</w:t>
            </w:r>
          </w:p>
        </w:tc>
        <w:tc>
          <w:tcPr>
            <w:tcW w:w="1238"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rPr>
            </w:pPr>
            <w:r>
              <w:rPr>
                <w:rFonts w:hint="eastAsia"/>
                <w:color w:val="auto"/>
                <w:u w:val="single"/>
                <w:lang w:val="en-US" w:eastAsia="zh-CN"/>
              </w:rPr>
              <w:t>160</w:t>
            </w:r>
            <w:r>
              <w:rPr>
                <w:rFonts w:hint="eastAsia"/>
                <w:color w:val="auto"/>
                <w:u w:val="single"/>
              </w:rPr>
              <w:t>-</w:t>
            </w:r>
            <w:r>
              <w:rPr>
                <w:rFonts w:hint="eastAsia"/>
                <w:color w:val="auto"/>
                <w:u w:val="single"/>
                <w:lang w:val="en-US" w:eastAsia="zh-CN"/>
              </w:rPr>
              <w:t>2</w:t>
            </w:r>
            <w:r>
              <w:rPr>
                <w:rFonts w:hint="eastAsia"/>
                <w:color w:val="auto"/>
                <w:u w:val="single"/>
              </w:rPr>
              <w:t>00m</w:t>
            </w:r>
          </w:p>
        </w:tc>
        <w:tc>
          <w:tcPr>
            <w:tcW w:w="1871" w:type="dxa"/>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lang w:val="en-US" w:eastAsia="zh-CN"/>
              </w:rPr>
              <w:t>6</w:t>
            </w:r>
            <w:r>
              <w:rPr>
                <w:rFonts w:hint="default"/>
                <w:color w:val="auto"/>
                <w:u w:val="single"/>
              </w:rPr>
              <w:t>户</w:t>
            </w:r>
            <w:r>
              <w:rPr>
                <w:rFonts w:hint="eastAsia"/>
                <w:color w:val="auto"/>
                <w:u w:val="single"/>
              </w:rPr>
              <w:t>，约</w:t>
            </w:r>
            <w:r>
              <w:rPr>
                <w:rFonts w:hint="eastAsia"/>
                <w:color w:val="auto"/>
                <w:u w:val="single"/>
                <w:lang w:val="en-US" w:eastAsia="zh-CN"/>
              </w:rPr>
              <w:t>20</w:t>
            </w:r>
            <w:r>
              <w:rPr>
                <w:rFonts w:hint="default"/>
                <w:color w:val="auto"/>
                <w:u w:val="single"/>
              </w:rPr>
              <w:t>人</w:t>
            </w:r>
          </w:p>
        </w:tc>
        <w:tc>
          <w:tcPr>
            <w:tcW w:w="695"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居住</w:t>
            </w:r>
          </w:p>
        </w:tc>
        <w:tc>
          <w:tcPr>
            <w:tcW w:w="1859" w:type="dxa"/>
            <w:vAlign w:val="center"/>
          </w:tcPr>
          <w:p>
            <w:pPr>
              <w:pStyle w:val="23"/>
              <w:keepNext w:val="0"/>
              <w:keepLines w:val="0"/>
              <w:suppressLineNumbers w:val="0"/>
              <w:spacing w:before="0" w:beforeAutospacing="0" w:after="0" w:afterAutospacing="0"/>
              <w:ind w:left="0" w:right="0"/>
              <w:rPr>
                <w:rFonts w:hint="eastAsia"/>
                <w:color w:val="auto"/>
                <w:u w:val="single"/>
              </w:rPr>
            </w:pPr>
            <w:r>
              <w:rPr>
                <w:rFonts w:hint="default"/>
                <w:color w:val="auto"/>
                <w:u w:val="single"/>
              </w:rPr>
              <w:t>（GB 3096-2008）中的</w:t>
            </w:r>
            <w:r>
              <w:rPr>
                <w:rFonts w:hint="eastAsia"/>
                <w:color w:val="auto"/>
                <w:u w:val="single"/>
              </w:rPr>
              <w:t xml:space="preserve"> </w:t>
            </w:r>
            <w:r>
              <w:rPr>
                <w:rFonts w:hint="eastAsia"/>
                <w:color w:val="auto"/>
                <w:u w:val="single"/>
                <w:lang w:val="en-US" w:eastAsia="zh-CN"/>
              </w:rPr>
              <w:t>2</w:t>
            </w:r>
            <w:r>
              <w:rPr>
                <w:rFonts w:hint="eastAsia"/>
                <w:color w:val="auto"/>
                <w:u w:val="single"/>
              </w:rPr>
              <w:t>类标准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PrEx>
        <w:trPr>
          <w:trHeight w:val="324" w:hRule="atLeast"/>
          <w:jc w:val="center"/>
        </w:trPr>
        <w:tc>
          <w:tcPr>
            <w:tcW w:w="906" w:type="dxa"/>
            <w:shd w:val="clear" w:color="auto" w:fill="auto"/>
            <w:vAlign w:val="center"/>
          </w:tcPr>
          <w:p>
            <w:pPr>
              <w:pStyle w:val="23"/>
              <w:keepNext w:val="0"/>
              <w:keepLines w:val="0"/>
              <w:suppressLineNumbers w:val="0"/>
              <w:spacing w:before="0" w:beforeAutospacing="0" w:after="0" w:afterAutospacing="0"/>
              <w:ind w:left="0" w:right="0"/>
              <w:rPr>
                <w:rFonts w:hint="eastAsia"/>
                <w:color w:val="auto"/>
                <w:u w:val="single"/>
              </w:rPr>
            </w:pPr>
            <w:r>
              <w:rPr>
                <w:rFonts w:hint="default"/>
                <w:color w:val="auto"/>
                <w:u w:val="single"/>
              </w:rPr>
              <w:t>生态</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环境</w:t>
            </w:r>
          </w:p>
        </w:tc>
        <w:tc>
          <w:tcPr>
            <w:tcW w:w="8896" w:type="dxa"/>
            <w:gridSpan w:val="6"/>
            <w:vAlign w:val="center"/>
          </w:tcPr>
          <w:p>
            <w:pPr>
              <w:pStyle w:val="23"/>
              <w:keepNext w:val="0"/>
              <w:keepLines w:val="0"/>
              <w:suppressLineNumbers w:val="0"/>
              <w:spacing w:before="0" w:beforeAutospacing="0" w:after="0" w:afterAutospacing="0"/>
              <w:ind w:left="0" w:right="0"/>
              <w:rPr>
                <w:rFonts w:hint="eastAsia"/>
                <w:color w:val="auto"/>
                <w:u w:val="single"/>
              </w:rPr>
            </w:pPr>
            <w:r>
              <w:rPr>
                <w:rFonts w:hint="eastAsia"/>
                <w:color w:val="auto"/>
                <w:u w:val="single"/>
              </w:rPr>
              <w:t>建设地周边500m范围内的</w:t>
            </w:r>
            <w:r>
              <w:rPr>
                <w:rFonts w:hint="default"/>
                <w:color w:val="auto"/>
                <w:u w:val="single"/>
              </w:rPr>
              <w:t>生态环境</w:t>
            </w:r>
          </w:p>
        </w:tc>
      </w:tr>
    </w:tbl>
    <w:p>
      <w:pPr>
        <w:rPr>
          <w:rFonts w:hint="eastAsia"/>
          <w:color w:val="auto"/>
          <w:lang w:val="en-US" w:eastAsia="zh-CN"/>
        </w:rPr>
        <w:sectPr>
          <w:pgSz w:w="11906" w:h="16838"/>
          <w:pgMar w:top="1440" w:right="1800" w:bottom="1440" w:left="1800" w:header="851" w:footer="992" w:gutter="0"/>
          <w:pgNumType w:fmt="decimal"/>
          <w:cols w:space="425" w:num="1"/>
          <w:docGrid w:type="lines" w:linePitch="312" w:charSpace="0"/>
        </w:sectPr>
      </w:pPr>
      <w:r>
        <w:rPr>
          <w:rFonts w:hint="eastAsia"/>
          <w:color w:val="auto"/>
          <w:u w:val="single"/>
          <w:lang w:val="en-US" w:eastAsia="zh-CN"/>
        </w:rPr>
        <w:t>根据表2-13和表2-14对比可知，2015年卫生防护距离范围内无已建的敏感目标，本次提质改造进行调查，卫生防护距离范围内敏感目标发生了变化，在东面、东北面、南面均有居民住宅。本环评建议，</w:t>
      </w:r>
      <w:r>
        <w:rPr>
          <w:rFonts w:hint="eastAsia"/>
          <w:color w:val="auto"/>
          <w:sz w:val="24"/>
          <w:u w:val="single"/>
          <w:lang w:val="en-US" w:eastAsia="zh-CN"/>
        </w:rPr>
        <w:t>当地政府应严格控制花果畈垃圾处理场周边建设用地，防护距离内不得新建居民、行政办公、学校、医院等环境敏感建筑</w:t>
      </w:r>
      <w:r>
        <w:rPr>
          <w:color w:val="auto"/>
          <w:u w:val="single"/>
        </w:rPr>
        <w:t>。</w:t>
      </w:r>
    </w:p>
    <w:p>
      <w:pPr>
        <w:pStyle w:val="2"/>
        <w:numPr>
          <w:ilvl w:val="0"/>
          <w:numId w:val="5"/>
        </w:numPr>
        <w:rPr>
          <w:rFonts w:hint="eastAsia"/>
          <w:color w:val="auto"/>
          <w:lang w:val="en-US" w:eastAsia="zh-CN"/>
        </w:rPr>
      </w:pPr>
      <w:bookmarkStart w:id="23" w:name="_Toc1901"/>
      <w:r>
        <w:rPr>
          <w:rFonts w:hint="eastAsia"/>
          <w:color w:val="auto"/>
          <w:lang w:val="en-US" w:eastAsia="zh-CN"/>
        </w:rPr>
        <w:t>现有工程</w:t>
      </w:r>
      <w:bookmarkEnd w:id="23"/>
    </w:p>
    <w:p>
      <w:pPr>
        <w:pStyle w:val="3"/>
        <w:rPr>
          <w:rFonts w:hint="eastAsia"/>
          <w:color w:val="auto"/>
          <w:lang w:val="en-US" w:eastAsia="zh-CN"/>
        </w:rPr>
      </w:pPr>
      <w:bookmarkStart w:id="24" w:name="_Toc22378"/>
      <w:r>
        <w:rPr>
          <w:rFonts w:hint="eastAsia"/>
          <w:color w:val="auto"/>
          <w:lang w:val="en-US" w:eastAsia="zh-CN"/>
        </w:rPr>
        <w:t>3.1现有工程概况</w:t>
      </w:r>
      <w:bookmarkEnd w:id="24"/>
    </w:p>
    <w:p>
      <w:pPr>
        <w:rPr>
          <w:rFonts w:hint="eastAsia"/>
          <w:color w:val="auto"/>
          <w:lang w:val="en-US" w:eastAsia="zh-CN"/>
        </w:rPr>
      </w:pPr>
      <w:r>
        <w:rPr>
          <w:rFonts w:hint="eastAsia"/>
          <w:color w:val="auto"/>
          <w:lang w:val="en-US" w:eastAsia="zh-CN"/>
        </w:rPr>
        <w:t>岳阳市花果畈垃圾填埋场位于主城区东北部、距G107线1.5公里，占地面积193772.8m</w:t>
      </w:r>
      <w:r>
        <w:rPr>
          <w:rFonts w:hint="eastAsia"/>
          <w:color w:val="auto"/>
          <w:vertAlign w:val="superscript"/>
          <w:lang w:val="en-US" w:eastAsia="zh-CN"/>
        </w:rPr>
        <w:t>2</w:t>
      </w:r>
      <w:r>
        <w:rPr>
          <w:rFonts w:hint="eastAsia"/>
          <w:color w:val="auto"/>
          <w:lang w:val="en-US" w:eastAsia="zh-CN"/>
        </w:rPr>
        <w:t>，约290.6亩，其中库区占地面积90778m</w:t>
      </w:r>
      <w:r>
        <w:rPr>
          <w:rFonts w:hint="eastAsia"/>
          <w:color w:val="auto"/>
          <w:vertAlign w:val="superscript"/>
          <w:lang w:val="en-US" w:eastAsia="zh-CN"/>
        </w:rPr>
        <w:t>2</w:t>
      </w:r>
      <w:r>
        <w:rPr>
          <w:rFonts w:hint="eastAsia"/>
          <w:color w:val="auto"/>
          <w:lang w:val="en-US" w:eastAsia="zh-CN"/>
        </w:rPr>
        <w:t>（合计136.17亩），有效库容308万m</w:t>
      </w:r>
      <w:r>
        <w:rPr>
          <w:rFonts w:hint="eastAsia"/>
          <w:color w:val="auto"/>
          <w:vertAlign w:val="superscript"/>
          <w:lang w:val="en-US" w:eastAsia="zh-CN"/>
        </w:rPr>
        <w:t>3</w:t>
      </w:r>
      <w:r>
        <w:rPr>
          <w:rFonts w:hint="eastAsia"/>
          <w:color w:val="auto"/>
          <w:lang w:val="en-US" w:eastAsia="zh-CN"/>
        </w:rPr>
        <w:t>，设计处理规模为500</w:t>
      </w:r>
      <w:bookmarkStart w:id="25" w:name="OLE_LINK1"/>
      <w:r>
        <w:rPr>
          <w:rFonts w:hint="eastAsia"/>
          <w:color w:val="auto"/>
          <w:lang w:val="en-US" w:eastAsia="zh-CN"/>
        </w:rPr>
        <w:t>t/d，</w:t>
      </w:r>
      <w:bookmarkEnd w:id="25"/>
      <w:r>
        <w:rPr>
          <w:rFonts w:hint="eastAsia"/>
          <w:color w:val="auto"/>
          <w:lang w:val="en-US" w:eastAsia="zh-CN"/>
        </w:rPr>
        <w:t>设计使用年限为15年。该垃圾填埋场于2000年12月28日获得了岳阳市环境保护局环评批复，批文号为“岳环管[2000]6号”，于2003年建成投入运营，于2004年10月12日进行了竣工验收，会议纪要文号为“岳场建字（2004）04号”。由于该填埋场建成较早，为了满足城市垃圾处理场正常运行的需求，市政府于2008年、2012年、2014年先后3次对该填埋场的基础设施和渗沥液处理设施进行改造。</w:t>
      </w:r>
    </w:p>
    <w:p>
      <w:pPr>
        <w:rPr>
          <w:rFonts w:hint="eastAsia"/>
          <w:color w:val="auto"/>
          <w:lang w:val="en-US" w:eastAsia="zh-CN"/>
        </w:rPr>
      </w:pPr>
      <w:r>
        <w:rPr>
          <w:rFonts w:hint="eastAsia"/>
          <w:color w:val="auto"/>
          <w:lang w:val="en-US" w:eastAsia="zh-CN"/>
        </w:rPr>
        <w:t>根据原有环评，该填埋场服务内容为生活垃圾、医疗垃圾。在对该项目进行验收时，由于市政府已通过招商引资方式在羊角山垃圾处理场新建特种垃圾处理场，取消该填埋场填埋医疗垃圾部分，因此，花果畈垃圾填埋场仅进行生活垃圾填埋。</w:t>
      </w:r>
    </w:p>
    <w:p>
      <w:pPr>
        <w:rPr>
          <w:rFonts w:hint="eastAsia"/>
          <w:color w:val="auto"/>
          <w:lang w:val="en-US" w:eastAsia="zh-CN"/>
        </w:rPr>
      </w:pPr>
      <w:r>
        <w:rPr>
          <w:rFonts w:hint="eastAsia"/>
          <w:color w:val="auto"/>
          <w:lang w:val="en-US" w:eastAsia="zh-CN"/>
        </w:rPr>
        <w:t>该填埋场原设计处理规模为500t/d，但随着城市的不断扩大，城区人口日益增加，根据建设单位提供资料，该填埋场的实际处理规模达到了800t/d。目前，花果畈垃圾填埋场处理总量已经接近原设计处理总量。</w:t>
      </w:r>
    </w:p>
    <w:p>
      <w:pPr>
        <w:pStyle w:val="4"/>
        <w:rPr>
          <w:rFonts w:hint="eastAsia"/>
          <w:color w:val="auto"/>
          <w:lang w:val="en-US" w:eastAsia="zh-CN"/>
        </w:rPr>
      </w:pPr>
      <w:r>
        <w:rPr>
          <w:rFonts w:hint="eastAsia"/>
          <w:color w:val="auto"/>
          <w:lang w:val="en-US" w:eastAsia="zh-CN"/>
        </w:rPr>
        <w:t>3.1.1现有工程基本情况</w:t>
      </w:r>
    </w:p>
    <w:p>
      <w:pPr>
        <w:rPr>
          <w:rFonts w:hint="eastAsia"/>
          <w:color w:val="auto"/>
          <w:lang w:val="en-US" w:eastAsia="zh-CN"/>
        </w:rPr>
      </w:pPr>
      <w:r>
        <w:rPr>
          <w:rFonts w:hint="eastAsia"/>
          <w:color w:val="auto"/>
          <w:lang w:val="en-US" w:eastAsia="zh-CN"/>
        </w:rPr>
        <w:t>项目名称：花果贩垃圾处理场工程</w:t>
      </w:r>
    </w:p>
    <w:p>
      <w:pPr>
        <w:rPr>
          <w:rFonts w:hint="eastAsia"/>
          <w:color w:val="auto"/>
          <w:lang w:val="en-US" w:eastAsia="zh-CN"/>
        </w:rPr>
      </w:pPr>
      <w:r>
        <w:rPr>
          <w:rFonts w:hint="eastAsia"/>
          <w:color w:val="auto"/>
          <w:lang w:val="en-US" w:eastAsia="zh-CN"/>
        </w:rPr>
        <w:t>建设地点：岳阳市岳阳楼区梅溪乡胥家桥村与花果贩村交界处</w:t>
      </w:r>
    </w:p>
    <w:p>
      <w:pPr>
        <w:rPr>
          <w:rFonts w:hint="eastAsia"/>
          <w:color w:val="auto"/>
          <w:lang w:val="en-US" w:eastAsia="zh-CN"/>
        </w:rPr>
      </w:pPr>
      <w:r>
        <w:rPr>
          <w:rFonts w:hint="eastAsia"/>
          <w:color w:val="auto"/>
          <w:lang w:val="en-US" w:eastAsia="zh-CN"/>
        </w:rPr>
        <w:t>施工时间：2000年12月~2003年8月</w:t>
      </w:r>
    </w:p>
    <w:p>
      <w:pPr>
        <w:rPr>
          <w:rFonts w:hint="eastAsia"/>
          <w:color w:val="auto"/>
          <w:lang w:val="en-US" w:eastAsia="zh-CN"/>
        </w:rPr>
      </w:pPr>
      <w:r>
        <w:rPr>
          <w:rFonts w:hint="eastAsia"/>
          <w:color w:val="auto"/>
          <w:lang w:val="en-US" w:eastAsia="zh-CN"/>
        </w:rPr>
        <w:t>营运时间：2003年8月~至今</w:t>
      </w:r>
    </w:p>
    <w:p>
      <w:pPr>
        <w:pStyle w:val="4"/>
        <w:rPr>
          <w:rFonts w:hint="eastAsia"/>
          <w:color w:val="auto"/>
          <w:u w:val="single"/>
          <w:lang w:val="en-US" w:eastAsia="zh-CN"/>
        </w:rPr>
      </w:pPr>
      <w:r>
        <w:rPr>
          <w:rFonts w:hint="eastAsia"/>
          <w:color w:val="auto"/>
          <w:u w:val="single"/>
          <w:lang w:val="en-US" w:eastAsia="zh-CN"/>
        </w:rPr>
        <w:t>3.1.2现有工程建设内容</w:t>
      </w:r>
    </w:p>
    <w:p>
      <w:pPr>
        <w:rPr>
          <w:rFonts w:hint="eastAsia"/>
          <w:color w:val="auto"/>
          <w:u w:val="single"/>
          <w:lang w:val="en-US" w:eastAsia="zh-CN"/>
        </w:rPr>
      </w:pPr>
      <w:r>
        <w:rPr>
          <w:rFonts w:hint="eastAsia"/>
          <w:color w:val="auto"/>
          <w:u w:val="single"/>
          <w:lang w:val="en-US" w:eastAsia="zh-CN"/>
        </w:rPr>
        <w:t>现有工程占地面积为193772.8m</w:t>
      </w:r>
      <w:r>
        <w:rPr>
          <w:rFonts w:hint="eastAsia"/>
          <w:color w:val="auto"/>
          <w:u w:val="single"/>
          <w:vertAlign w:val="superscript"/>
          <w:lang w:val="en-US" w:eastAsia="zh-CN"/>
        </w:rPr>
        <w:t>2</w:t>
      </w:r>
      <w:r>
        <w:rPr>
          <w:rFonts w:hint="eastAsia"/>
          <w:color w:val="auto"/>
          <w:u w:val="single"/>
          <w:lang w:val="en-US" w:eastAsia="zh-CN"/>
        </w:rPr>
        <w:t>，约为290.6亩，其中垃圾填埋库区占地面积90778m</w:t>
      </w:r>
      <w:r>
        <w:rPr>
          <w:rFonts w:hint="eastAsia"/>
          <w:color w:val="auto"/>
          <w:u w:val="single"/>
          <w:vertAlign w:val="superscript"/>
          <w:lang w:val="en-US" w:eastAsia="zh-CN"/>
        </w:rPr>
        <w:t>2</w:t>
      </w:r>
      <w:r>
        <w:rPr>
          <w:rFonts w:hint="eastAsia"/>
          <w:color w:val="auto"/>
          <w:u w:val="single"/>
          <w:lang w:val="en-US" w:eastAsia="zh-CN"/>
        </w:rPr>
        <w:t>（合136.17亩），办公区、渗滤液处理区及其他区占地面积为102994.8m</w:t>
      </w:r>
      <w:r>
        <w:rPr>
          <w:rFonts w:hint="eastAsia"/>
          <w:color w:val="auto"/>
          <w:u w:val="single"/>
          <w:vertAlign w:val="superscript"/>
          <w:lang w:val="en-US" w:eastAsia="zh-CN"/>
        </w:rPr>
        <w:t>2</w:t>
      </w:r>
      <w:r>
        <w:rPr>
          <w:rFonts w:hint="eastAsia"/>
          <w:color w:val="auto"/>
          <w:u w:val="single"/>
          <w:lang w:val="en-US" w:eastAsia="zh-CN"/>
        </w:rPr>
        <w:t>（合154.43亩）。</w:t>
      </w:r>
    </w:p>
    <w:p>
      <w:pPr>
        <w:rPr>
          <w:rFonts w:hint="eastAsia"/>
          <w:color w:val="auto"/>
          <w:u w:val="single"/>
          <w:lang w:val="en-US" w:eastAsia="zh-CN"/>
        </w:rPr>
      </w:pPr>
      <w:r>
        <w:rPr>
          <w:rFonts w:hint="eastAsia"/>
          <w:color w:val="auto"/>
          <w:u w:val="single"/>
          <w:lang w:val="en-US" w:eastAsia="zh-CN"/>
        </w:rPr>
        <w:t>现有工程主要建设内容为办公楼、填埋库区、处理能力为400m</w:t>
      </w:r>
      <w:r>
        <w:rPr>
          <w:rFonts w:hint="eastAsia"/>
          <w:color w:val="auto"/>
          <w:u w:val="single"/>
          <w:vertAlign w:val="superscript"/>
          <w:lang w:val="en-US" w:eastAsia="zh-CN"/>
        </w:rPr>
        <w:t>3</w:t>
      </w:r>
      <w:r>
        <w:rPr>
          <w:rFonts w:hint="eastAsia"/>
          <w:color w:val="auto"/>
          <w:u w:val="single"/>
          <w:lang w:val="en-US" w:eastAsia="zh-CN"/>
        </w:rPr>
        <w:t>/d的渗滤液污水处理站、南侧及北侧各建有1座垃圾坝、西侧和北侧截洪沟、垂直防渗系统。</w:t>
      </w:r>
    </w:p>
    <w:p>
      <w:pPr>
        <w:pStyle w:val="4"/>
        <w:rPr>
          <w:rFonts w:hint="eastAsia"/>
          <w:color w:val="auto"/>
          <w:u w:val="single"/>
          <w:lang w:val="en-US" w:eastAsia="zh-CN"/>
        </w:rPr>
      </w:pPr>
      <w:r>
        <w:rPr>
          <w:rFonts w:hint="eastAsia"/>
          <w:color w:val="auto"/>
          <w:u w:val="single"/>
          <w:lang w:val="en-US" w:eastAsia="zh-CN"/>
        </w:rPr>
        <w:t>3.1.3现有工程处理规模</w:t>
      </w:r>
    </w:p>
    <w:p>
      <w:pPr>
        <w:rPr>
          <w:rFonts w:hint="eastAsia"/>
          <w:color w:val="auto"/>
          <w:u w:val="single"/>
          <w:lang w:val="en-US" w:eastAsia="zh-CN"/>
        </w:rPr>
      </w:pPr>
      <w:r>
        <w:rPr>
          <w:rFonts w:hint="eastAsia"/>
          <w:color w:val="auto"/>
          <w:u w:val="single"/>
          <w:lang w:val="en-US" w:eastAsia="zh-CN"/>
        </w:rPr>
        <w:t>现有工程填埋区有效库容308万m</w:t>
      </w:r>
      <w:r>
        <w:rPr>
          <w:rFonts w:hint="eastAsia"/>
          <w:color w:val="auto"/>
          <w:u w:val="single"/>
          <w:vertAlign w:val="superscript"/>
          <w:lang w:val="en-US" w:eastAsia="zh-CN"/>
        </w:rPr>
        <w:t>3</w:t>
      </w:r>
      <w:r>
        <w:rPr>
          <w:rFonts w:hint="eastAsia"/>
          <w:color w:val="auto"/>
          <w:u w:val="single"/>
          <w:lang w:val="en-US" w:eastAsia="zh-CN"/>
        </w:rPr>
        <w:t>，设计处理规模为500t/d，设计使用年限为15年，预计岳阳市花果畈垃圾处理场终场填埋量273.75万吨。</w:t>
      </w:r>
    </w:p>
    <w:p>
      <w:pPr>
        <w:rPr>
          <w:rFonts w:hint="eastAsia"/>
          <w:color w:val="auto"/>
          <w:u w:val="single"/>
          <w:lang w:val="en-US" w:eastAsia="zh-CN"/>
        </w:rPr>
      </w:pPr>
      <w:r>
        <w:rPr>
          <w:rFonts w:hint="eastAsia"/>
          <w:color w:val="auto"/>
          <w:u w:val="single"/>
          <w:lang w:val="en-US" w:eastAsia="zh-CN"/>
        </w:rPr>
        <w:t>现有工程实际处理规模为800t/d，垃圾处理场内堆存的垃圾将达到原设计的处理总量。</w:t>
      </w:r>
    </w:p>
    <w:p>
      <w:pPr>
        <w:pStyle w:val="4"/>
        <w:rPr>
          <w:rFonts w:hint="eastAsia"/>
          <w:lang w:val="en-US" w:eastAsia="zh-CN"/>
        </w:rPr>
      </w:pPr>
      <w:r>
        <w:rPr>
          <w:rFonts w:hint="eastAsia"/>
          <w:lang w:val="en-US" w:eastAsia="zh-CN"/>
        </w:rPr>
        <w:t>3.1.4现有工程已配备的填埋设备</w:t>
      </w:r>
    </w:p>
    <w:p>
      <w:pPr>
        <w:rPr>
          <w:rFonts w:hint="eastAsia"/>
          <w:lang w:val="en-US" w:eastAsia="zh-CN"/>
        </w:rPr>
      </w:pPr>
      <w:r>
        <w:rPr>
          <w:rFonts w:hint="eastAsia"/>
          <w:lang w:val="en-US" w:eastAsia="zh-CN"/>
        </w:rPr>
        <w:t>该垃圾处理场填埋作业设备目前配备情况详见表3-1。</w:t>
      </w:r>
    </w:p>
    <w:p>
      <w:pPr>
        <w:pStyle w:val="23"/>
        <w:rPr>
          <w:rFonts w:hint="eastAsia"/>
          <w:b/>
          <w:bCs/>
          <w:lang w:val="en-US" w:eastAsia="zh-CN"/>
        </w:rPr>
      </w:pPr>
      <w:r>
        <w:rPr>
          <w:rFonts w:hint="eastAsia"/>
          <w:b/>
          <w:bCs/>
          <w:lang w:val="en-US" w:eastAsia="zh-CN"/>
        </w:rPr>
        <w:t>表3-1  现有工程已配备的填埋作业设备一览表</w:t>
      </w:r>
    </w:p>
    <w:tbl>
      <w:tblPr>
        <w:tblStyle w:val="20"/>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1"/>
        <w:gridCol w:w="1860"/>
        <w:gridCol w:w="1635"/>
        <w:gridCol w:w="4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1"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序号</w:t>
            </w:r>
          </w:p>
        </w:tc>
        <w:tc>
          <w:tcPr>
            <w:tcW w:w="1860"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名称</w:t>
            </w:r>
          </w:p>
        </w:tc>
        <w:tc>
          <w:tcPr>
            <w:tcW w:w="1635"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数量</w:t>
            </w:r>
          </w:p>
        </w:tc>
        <w:tc>
          <w:tcPr>
            <w:tcW w:w="4246"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1"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1</w:t>
            </w:r>
          </w:p>
        </w:tc>
        <w:tc>
          <w:tcPr>
            <w:tcW w:w="1860"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推土机</w:t>
            </w:r>
          </w:p>
        </w:tc>
        <w:tc>
          <w:tcPr>
            <w:tcW w:w="1635"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2台</w:t>
            </w:r>
          </w:p>
        </w:tc>
        <w:tc>
          <w:tcPr>
            <w:tcW w:w="4246"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其中1台为2002年配置，已达到报废年限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1"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2</w:t>
            </w:r>
          </w:p>
        </w:tc>
        <w:tc>
          <w:tcPr>
            <w:tcW w:w="1860"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压实机</w:t>
            </w:r>
          </w:p>
        </w:tc>
        <w:tc>
          <w:tcPr>
            <w:tcW w:w="1635"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1台</w:t>
            </w:r>
          </w:p>
        </w:tc>
        <w:tc>
          <w:tcPr>
            <w:tcW w:w="4246" w:type="dxa"/>
          </w:tcPr>
          <w:p>
            <w:pPr>
              <w:pStyle w:val="23"/>
              <w:keepNext w:val="0"/>
              <w:keepLines w:val="0"/>
              <w:suppressLineNumbers w:val="0"/>
              <w:spacing w:before="0" w:beforeAutospacing="0" w:after="0" w:afterAutospacing="0"/>
              <w:ind w:left="0" w:right="0"/>
              <w:rPr>
                <w:rFonts w:hint="eastAsia"/>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81"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3</w:t>
            </w:r>
          </w:p>
        </w:tc>
        <w:tc>
          <w:tcPr>
            <w:tcW w:w="1860"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挖掘机</w:t>
            </w:r>
          </w:p>
        </w:tc>
        <w:tc>
          <w:tcPr>
            <w:tcW w:w="1635"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1台</w:t>
            </w:r>
          </w:p>
        </w:tc>
        <w:tc>
          <w:tcPr>
            <w:tcW w:w="4246"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已达到报废年限</w:t>
            </w:r>
          </w:p>
        </w:tc>
      </w:tr>
    </w:tbl>
    <w:p>
      <w:pPr>
        <w:pStyle w:val="4"/>
        <w:rPr>
          <w:rFonts w:hint="eastAsia"/>
          <w:lang w:val="en-US" w:eastAsia="zh-CN"/>
        </w:rPr>
      </w:pPr>
      <w:r>
        <w:rPr>
          <w:rFonts w:hint="eastAsia"/>
          <w:lang w:val="en-US" w:eastAsia="zh-CN"/>
        </w:rPr>
        <w:t>3.1.5现有工程公用配套设施情况</w:t>
      </w:r>
    </w:p>
    <w:p>
      <w:pPr>
        <w:rPr>
          <w:rFonts w:hint="eastAsia"/>
          <w:lang w:val="en-US" w:eastAsia="zh-CN"/>
        </w:rPr>
      </w:pPr>
      <w:r>
        <w:rPr>
          <w:rFonts w:hint="eastAsia"/>
          <w:lang w:val="en-US" w:eastAsia="zh-CN"/>
        </w:rPr>
        <w:t>1、供排水</w:t>
      </w:r>
    </w:p>
    <w:p>
      <w:pPr>
        <w:rPr>
          <w:rFonts w:hint="eastAsia"/>
          <w:lang w:val="en-US" w:eastAsia="zh-CN"/>
        </w:rPr>
      </w:pPr>
      <w:r>
        <w:rPr>
          <w:rFonts w:hint="eastAsia"/>
          <w:lang w:val="en-US" w:eastAsia="zh-CN"/>
        </w:rPr>
        <w:t>现有工程由城市给水管网供水。</w:t>
      </w:r>
    </w:p>
    <w:p>
      <w:pPr>
        <w:rPr>
          <w:rFonts w:hint="eastAsia" w:ascii="宋体" w:hAnsi="宋体"/>
          <w:sz w:val="24"/>
          <w:szCs w:val="24"/>
          <w:lang w:eastAsia="zh-CN"/>
        </w:rPr>
      </w:pPr>
      <w:r>
        <w:rPr>
          <w:rFonts w:hint="eastAsia"/>
          <w:lang w:val="en-US" w:eastAsia="zh-CN"/>
        </w:rPr>
        <w:t>现有工程废水主要为渗滤液和生活污水，渗滤液经导流沟进入渗滤液调节池，与</w:t>
      </w:r>
      <w:r>
        <w:rPr>
          <w:rFonts w:hint="eastAsia"/>
          <w:sz w:val="24"/>
          <w:szCs w:val="24"/>
        </w:rPr>
        <w:t>与经化粪池处理后的生活污水一起进入</w:t>
      </w:r>
      <w:r>
        <w:rPr>
          <w:sz w:val="24"/>
          <w:szCs w:val="24"/>
        </w:rPr>
        <w:t>渗滤液</w:t>
      </w:r>
      <w:r>
        <w:rPr>
          <w:rFonts w:hint="eastAsia"/>
          <w:sz w:val="24"/>
          <w:szCs w:val="24"/>
          <w:lang w:eastAsia="zh-CN"/>
        </w:rPr>
        <w:t>污水</w:t>
      </w:r>
      <w:r>
        <w:rPr>
          <w:rFonts w:hint="eastAsia" w:ascii="宋体" w:hAnsi="宋体"/>
          <w:sz w:val="24"/>
          <w:szCs w:val="24"/>
        </w:rPr>
        <w:t>处理站</w:t>
      </w:r>
      <w:r>
        <w:rPr>
          <w:rFonts w:hint="eastAsia" w:ascii="宋体" w:hAnsi="宋体"/>
          <w:sz w:val="24"/>
          <w:szCs w:val="24"/>
          <w:lang w:eastAsia="zh-CN"/>
        </w:rPr>
        <w:t>。污水处理站采用的工艺为“水解</w:t>
      </w:r>
      <w:r>
        <w:rPr>
          <w:rFonts w:hint="eastAsia" w:ascii="宋体" w:hAnsi="宋体"/>
          <w:sz w:val="24"/>
          <w:szCs w:val="24"/>
          <w:lang w:val="en-US" w:eastAsia="zh-CN"/>
        </w:rPr>
        <w:t>+两级A/O+管式超滤+纳滤+反渗透</w:t>
      </w:r>
      <w:r>
        <w:rPr>
          <w:rFonts w:hint="eastAsia" w:ascii="宋体" w:hAnsi="宋体"/>
          <w:sz w:val="24"/>
          <w:szCs w:val="24"/>
          <w:lang w:eastAsia="zh-CN"/>
        </w:rPr>
        <w:t>”处理工艺，处理达标的出水经自建排污管排入芭蕉湖。</w:t>
      </w:r>
    </w:p>
    <w:p>
      <w:pPr>
        <w:rPr>
          <w:rFonts w:hint="eastAsia" w:ascii="宋体" w:hAnsi="宋体"/>
          <w:sz w:val="24"/>
          <w:szCs w:val="24"/>
          <w:lang w:val="en-US" w:eastAsia="zh-CN"/>
        </w:rPr>
      </w:pPr>
      <w:r>
        <w:rPr>
          <w:rFonts w:hint="eastAsia" w:ascii="宋体" w:hAnsi="宋体"/>
          <w:sz w:val="24"/>
          <w:szCs w:val="24"/>
          <w:lang w:val="en-US" w:eastAsia="zh-CN"/>
        </w:rPr>
        <w:t>2、供配电</w:t>
      </w:r>
    </w:p>
    <w:p>
      <w:pPr>
        <w:rPr>
          <w:rFonts w:hint="eastAsia" w:ascii="宋体" w:hAnsi="宋体"/>
          <w:sz w:val="24"/>
          <w:szCs w:val="24"/>
          <w:lang w:val="en-US" w:eastAsia="zh-CN"/>
        </w:rPr>
      </w:pPr>
      <w:r>
        <w:rPr>
          <w:rFonts w:hint="eastAsia" w:ascii="宋体" w:hAnsi="宋体"/>
          <w:sz w:val="24"/>
          <w:szCs w:val="24"/>
          <w:lang w:val="en-US" w:eastAsia="zh-CN"/>
        </w:rPr>
        <w:t>现有工程供电电源引自地区供电网，场内设250kVA土建变电站一座，位于渗滤液处理车间内。</w:t>
      </w:r>
    </w:p>
    <w:p>
      <w:pPr>
        <w:rPr>
          <w:rFonts w:hint="eastAsia" w:ascii="宋体" w:hAnsi="宋体"/>
          <w:sz w:val="24"/>
          <w:szCs w:val="24"/>
          <w:lang w:val="en-US" w:eastAsia="zh-CN"/>
        </w:rPr>
      </w:pPr>
      <w:r>
        <w:rPr>
          <w:rFonts w:hint="eastAsia" w:ascii="宋体" w:hAnsi="宋体"/>
          <w:sz w:val="24"/>
          <w:szCs w:val="24"/>
          <w:lang w:val="en-US" w:eastAsia="zh-CN"/>
        </w:rPr>
        <w:t>3、消防</w:t>
      </w:r>
    </w:p>
    <w:p>
      <w:pPr>
        <w:rPr>
          <w:rFonts w:hint="eastAsia"/>
        </w:rPr>
      </w:pPr>
      <w:r>
        <w:t>本工程</w:t>
      </w:r>
      <w:r>
        <w:rPr>
          <w:rFonts w:hint="eastAsia"/>
        </w:rPr>
        <w:t>设置</w:t>
      </w:r>
      <w:r>
        <w:t>建构筑物的耐火等级为二级，防火类别为丁类</w:t>
      </w:r>
      <w:r>
        <w:rPr>
          <w:rFonts w:hint="eastAsia"/>
        </w:rPr>
        <w:t>，办公楼</w:t>
      </w:r>
      <w:r>
        <w:t>设置室外消火栓</w:t>
      </w:r>
      <w:r>
        <w:rPr>
          <w:rFonts w:hint="eastAsia"/>
        </w:rPr>
        <w:t>，工程在办公楼</w:t>
      </w:r>
      <w:r>
        <w:t>、渗滤液处理站</w:t>
      </w:r>
      <w:r>
        <w:rPr>
          <w:rFonts w:hint="eastAsia"/>
        </w:rPr>
        <w:t>、</w:t>
      </w:r>
      <w:r>
        <w:t>维修间等地设置</w:t>
      </w:r>
      <w:r>
        <w:rPr>
          <w:rFonts w:hint="eastAsia"/>
        </w:rPr>
        <w:t>了若干</w:t>
      </w:r>
      <w:r>
        <w:t>泡沫灭火器、干粉灭火器等。</w:t>
      </w:r>
    </w:p>
    <w:p>
      <w:pPr>
        <w:rPr>
          <w:rFonts w:hint="eastAsia"/>
        </w:rPr>
      </w:pPr>
      <w:r>
        <w:rPr>
          <w:rFonts w:hint="eastAsia"/>
        </w:rPr>
        <w:t>本工程填埋库区未设置</w:t>
      </w:r>
      <w:r>
        <w:t>防火隔离带</w:t>
      </w:r>
      <w:r>
        <w:rPr>
          <w:rFonts w:hint="eastAsia"/>
        </w:rPr>
        <w:t>，</w:t>
      </w:r>
      <w:r>
        <w:t>沿公路</w:t>
      </w:r>
      <w:r>
        <w:rPr>
          <w:rFonts w:hint="eastAsia"/>
        </w:rPr>
        <w:t>未</w:t>
      </w:r>
      <w:r>
        <w:t>布置消火栓。</w:t>
      </w:r>
    </w:p>
    <w:p>
      <w:pPr>
        <w:rPr>
          <w:rFonts w:hint="eastAsia"/>
          <w:lang w:val="en-US" w:eastAsia="zh-CN"/>
        </w:rPr>
      </w:pPr>
      <w:r>
        <w:rPr>
          <w:rFonts w:hint="eastAsia"/>
          <w:lang w:val="en-US" w:eastAsia="zh-CN"/>
        </w:rPr>
        <w:t>4、工作制度</w:t>
      </w:r>
    </w:p>
    <w:p>
      <w:pPr>
        <w:rPr>
          <w:rFonts w:hint="eastAsia"/>
          <w:lang w:val="en-US" w:eastAsia="zh-CN"/>
        </w:rPr>
      </w:pPr>
      <w:r>
        <w:rPr>
          <w:rFonts w:hint="eastAsia"/>
          <w:lang w:val="en-US" w:eastAsia="zh-CN"/>
        </w:rPr>
        <w:t>现有工程实施全年无休运行，即全年工作日为365天，填埋时间为白天，夜间不填埋。</w:t>
      </w:r>
    </w:p>
    <w:p>
      <w:pPr>
        <w:pStyle w:val="3"/>
        <w:rPr>
          <w:rFonts w:hint="eastAsia"/>
          <w:color w:val="auto"/>
          <w:lang w:val="en-US" w:eastAsia="zh-CN"/>
        </w:rPr>
      </w:pPr>
      <w:bookmarkStart w:id="26" w:name="_Toc21308"/>
      <w:r>
        <w:rPr>
          <w:rFonts w:hint="eastAsia"/>
          <w:color w:val="auto"/>
          <w:lang w:val="en-US" w:eastAsia="zh-CN"/>
        </w:rPr>
        <w:t>3.2现有工程工艺流程</w:t>
      </w:r>
      <w:bookmarkEnd w:id="26"/>
    </w:p>
    <w:p>
      <w:pPr>
        <w:pStyle w:val="4"/>
        <w:rPr>
          <w:rFonts w:hint="eastAsia"/>
          <w:color w:val="auto"/>
          <w:u w:val="single"/>
          <w:lang w:val="en-US" w:eastAsia="zh-CN"/>
        </w:rPr>
      </w:pPr>
      <w:r>
        <w:rPr>
          <w:rFonts w:hint="eastAsia"/>
          <w:color w:val="auto"/>
          <w:u w:val="single"/>
          <w:lang w:val="en-US" w:eastAsia="zh-CN"/>
        </w:rPr>
        <w:t>3.2.1填埋工艺流程</w:t>
      </w:r>
    </w:p>
    <w:p>
      <w:pPr>
        <w:rPr>
          <w:rFonts w:hint="eastAsia"/>
          <w:color w:val="auto"/>
          <w:u w:val="single"/>
          <w:lang w:val="en-US" w:eastAsia="zh-CN"/>
        </w:rPr>
      </w:pPr>
      <w:r>
        <w:rPr>
          <w:rFonts w:hint="eastAsia"/>
          <w:color w:val="auto"/>
          <w:u w:val="single"/>
          <w:lang w:val="en-US" w:eastAsia="zh-CN"/>
        </w:rPr>
        <w:t>该填埋场采用卫生填埋工艺，填埋方式为厌氧填埋。根据与建设单位沟通，该垃圾处理场自建成运行起至2014年采用的覆盖方式为粘土覆盖、2014年至至今采用的覆盖方式为无土覆盖，其未设置取土场，其采用土覆盖时，土方来源于城区开发时产生的废弃土方。</w:t>
      </w:r>
    </w:p>
    <w:p>
      <w:pPr>
        <w:rPr>
          <w:rFonts w:hint="eastAsia"/>
          <w:color w:val="auto"/>
          <w:u w:val="single"/>
          <w:lang w:val="en-US" w:eastAsia="zh-CN"/>
        </w:rPr>
      </w:pPr>
      <w:r>
        <w:rPr>
          <w:rFonts w:hint="eastAsia"/>
          <w:color w:val="auto"/>
          <w:u w:val="single"/>
          <w:lang w:val="en-US" w:eastAsia="zh-CN"/>
        </w:rPr>
        <w:t>填埋工艺流程见图3-1。</w:t>
      </w:r>
    </w:p>
    <w:p>
      <w:pPr>
        <w:ind w:left="0" w:leftChars="0" w:firstLine="0" w:firstLineChars="0"/>
        <w:jc w:val="center"/>
        <w:rPr>
          <w:rFonts w:hint="eastAsia"/>
          <w:color w:val="auto"/>
          <w:u w:val="single"/>
          <w:lang w:val="en-US" w:eastAsia="zh-CN"/>
        </w:rPr>
      </w:pPr>
      <w:r>
        <w:rPr>
          <w:rFonts w:hint="eastAsia"/>
          <w:color w:val="auto"/>
          <w:u w:val="single"/>
          <w:lang w:val="en-US" w:eastAsia="zh-CN"/>
        </w:rPr>
        <w:object>
          <v:shape id="_x0000_i1026" o:spt="75" type="#_x0000_t75" style="height:80pt;width:415pt;" o:ole="t" filled="f" o:preferrelative="t" stroked="f" coordsize="21600,21600">
            <v:path/>
            <v:fill on="f" focussize="0,0"/>
            <v:stroke on="f"/>
            <v:imagedata r:id="rId10" o:title=""/>
            <o:lock v:ext="edit" aspectratio="f"/>
            <w10:wrap type="none"/>
            <w10:anchorlock/>
          </v:shape>
          <o:OLEObject Type="Embed" ProgID="Visio.Drawing.11" ShapeID="_x0000_i1026" DrawAspect="Content" ObjectID="_1468075726" r:id="rId9">
            <o:LockedField>false</o:LockedField>
          </o:OLEObject>
        </w:object>
      </w:r>
    </w:p>
    <w:p>
      <w:pPr>
        <w:ind w:left="0" w:leftChars="0" w:firstLine="0" w:firstLineChars="0"/>
        <w:jc w:val="center"/>
        <w:rPr>
          <w:rFonts w:hint="eastAsia"/>
          <w:b/>
          <w:bCs/>
          <w:color w:val="auto"/>
          <w:sz w:val="21"/>
          <w:szCs w:val="21"/>
          <w:u w:val="single"/>
          <w:lang w:val="en-US" w:eastAsia="zh-CN"/>
        </w:rPr>
      </w:pPr>
      <w:r>
        <w:rPr>
          <w:rFonts w:hint="eastAsia"/>
          <w:b/>
          <w:bCs/>
          <w:color w:val="auto"/>
          <w:sz w:val="21"/>
          <w:szCs w:val="21"/>
          <w:u w:val="single"/>
          <w:lang w:val="en-US" w:eastAsia="zh-CN"/>
        </w:rPr>
        <w:t>图3-1：填埋工艺流程图</w:t>
      </w:r>
    </w:p>
    <w:p>
      <w:pPr>
        <w:rPr>
          <w:rFonts w:hint="eastAsia"/>
          <w:b w:val="0"/>
          <w:bCs w:val="0"/>
          <w:u w:val="single"/>
          <w:lang w:val="en-US" w:eastAsia="zh-CN"/>
        </w:rPr>
      </w:pPr>
      <w:r>
        <w:rPr>
          <w:rFonts w:hint="eastAsia"/>
          <w:b w:val="0"/>
          <w:bCs w:val="0"/>
          <w:u w:val="single"/>
          <w:lang w:val="en-US" w:eastAsia="zh-CN"/>
        </w:rPr>
        <w:t>现有工程填埋工艺流程简述：</w:t>
      </w:r>
    </w:p>
    <w:p>
      <w:pPr>
        <w:rPr>
          <w:rFonts w:hint="eastAsia"/>
          <w:b w:val="0"/>
          <w:bCs w:val="0"/>
          <w:u w:val="single"/>
          <w:lang w:val="en-US" w:eastAsia="zh-CN"/>
        </w:rPr>
      </w:pPr>
      <w:r>
        <w:rPr>
          <w:rFonts w:hint="eastAsia"/>
          <w:sz w:val="24"/>
          <w:u w:val="single"/>
        </w:rPr>
        <w:t>城市生活垃圾经垃圾中转站压实后由环卫部门密闭的垃圾运输车运至垃圾处理场，首先有专职检验员负责对进场垃圾进行检验，杜绝有毒有害垃圾进入填埋场。再经磅称重计量记录后进入卸车平台倾倒。填埋作业顺序进行倾倒、推平、压实、复土、喷水降尘、垃圾运输车倾倒完毕后出场，其中工艺过程主要包括机械卸料、铺平、压实、</w:t>
      </w:r>
      <w:r>
        <w:rPr>
          <w:rFonts w:hint="eastAsia"/>
          <w:sz w:val="24"/>
          <w:u w:val="single"/>
          <w:lang w:eastAsia="zh-CN"/>
        </w:rPr>
        <w:t>喷浆无土覆盖</w:t>
      </w:r>
      <w:r>
        <w:rPr>
          <w:rFonts w:hint="eastAsia"/>
          <w:sz w:val="24"/>
          <w:u w:val="single"/>
        </w:rPr>
        <w:t>、喷水降尘、灭虫等过程。</w:t>
      </w:r>
      <w:r>
        <w:rPr>
          <w:rFonts w:hint="eastAsia"/>
          <w:sz w:val="24"/>
          <w:u w:val="single"/>
          <w:lang w:eastAsia="zh-CN"/>
        </w:rPr>
        <w:t>根据现场踏勘和建设单位提供的信息，垃圾处理场目前的垃圾堆体处于无序填埋状态，坡度及标高缺乏规范性；堆体表面采用简易覆盖方式，无法起到隔离雨水的作用。</w:t>
      </w:r>
    </w:p>
    <w:p>
      <w:pPr>
        <w:pStyle w:val="4"/>
        <w:rPr>
          <w:rFonts w:hint="eastAsia"/>
          <w:color w:val="auto"/>
          <w:u w:val="single"/>
          <w:lang w:val="en-US" w:eastAsia="zh-CN"/>
        </w:rPr>
      </w:pPr>
      <w:r>
        <w:rPr>
          <w:rFonts w:hint="eastAsia"/>
          <w:color w:val="auto"/>
          <w:u w:val="single"/>
          <w:lang w:val="en-US" w:eastAsia="zh-CN"/>
        </w:rPr>
        <w:t>3.2.2渗滤液处理工艺流程</w:t>
      </w:r>
    </w:p>
    <w:p>
      <w:pPr>
        <w:rPr>
          <w:rFonts w:hint="eastAsia"/>
          <w:color w:val="auto"/>
          <w:u w:val="single"/>
          <w:lang w:val="en-US" w:eastAsia="zh-CN"/>
        </w:rPr>
      </w:pPr>
      <w:r>
        <w:rPr>
          <w:rFonts w:hint="eastAsia"/>
          <w:color w:val="auto"/>
          <w:u w:val="single"/>
          <w:lang w:val="en-US" w:eastAsia="zh-CN"/>
        </w:rPr>
        <w:t>该填埋场渗滤液污水处理站现有处理工艺为</w:t>
      </w:r>
      <w:r>
        <w:rPr>
          <w:rFonts w:hint="eastAsia" w:ascii="宋体" w:hAnsi="宋体"/>
          <w:sz w:val="24"/>
          <w:szCs w:val="24"/>
          <w:u w:val="single"/>
          <w:lang w:eastAsia="zh-CN"/>
        </w:rPr>
        <w:t>水解</w:t>
      </w:r>
      <w:r>
        <w:rPr>
          <w:rFonts w:hint="eastAsia" w:ascii="宋体" w:hAnsi="宋体"/>
          <w:sz w:val="24"/>
          <w:szCs w:val="24"/>
          <w:u w:val="single"/>
          <w:lang w:val="en-US" w:eastAsia="zh-CN"/>
        </w:rPr>
        <w:t>+两级A/O+管式超滤+纳滤+反渗透</w:t>
      </w:r>
      <w:r>
        <w:rPr>
          <w:rFonts w:hint="eastAsia"/>
          <w:color w:val="auto"/>
          <w:u w:val="single"/>
          <w:lang w:val="en-US" w:eastAsia="zh-CN"/>
        </w:rPr>
        <w:t>处理工艺，设计处理规模为进水400m</w:t>
      </w:r>
      <w:r>
        <w:rPr>
          <w:rFonts w:hint="eastAsia"/>
          <w:color w:val="auto"/>
          <w:u w:val="single"/>
          <w:vertAlign w:val="superscript"/>
          <w:lang w:val="en-US" w:eastAsia="zh-CN"/>
        </w:rPr>
        <w:t>3</w:t>
      </w:r>
      <w:r>
        <w:rPr>
          <w:rFonts w:hint="eastAsia"/>
          <w:color w:val="auto"/>
          <w:u w:val="single"/>
          <w:lang w:val="en-US" w:eastAsia="zh-CN"/>
        </w:rPr>
        <w:t>/d、膜处理后出水300m</w:t>
      </w:r>
      <w:r>
        <w:rPr>
          <w:rFonts w:hint="eastAsia"/>
          <w:color w:val="auto"/>
          <w:u w:val="single"/>
          <w:vertAlign w:val="superscript"/>
          <w:lang w:val="en-US" w:eastAsia="zh-CN"/>
        </w:rPr>
        <w:t>3</w:t>
      </w:r>
      <w:r>
        <w:rPr>
          <w:rFonts w:hint="eastAsia"/>
          <w:color w:val="auto"/>
          <w:u w:val="single"/>
          <w:lang w:val="en-US" w:eastAsia="zh-CN"/>
        </w:rPr>
        <w:t>/d，其工艺流程见图3-2。</w:t>
      </w:r>
    </w:p>
    <w:p>
      <w:pPr>
        <w:ind w:left="0" w:leftChars="0" w:firstLine="0" w:firstLineChars="0"/>
        <w:jc w:val="center"/>
        <w:rPr>
          <w:rFonts w:hint="eastAsia"/>
          <w:b/>
          <w:bCs/>
          <w:color w:val="auto"/>
          <w:sz w:val="21"/>
          <w:szCs w:val="21"/>
          <w:u w:val="single"/>
          <w:lang w:val="en-US" w:eastAsia="zh-CN"/>
        </w:rPr>
      </w:pPr>
      <w:r>
        <w:rPr>
          <w:rFonts w:hint="eastAsia"/>
          <w:b/>
          <w:bCs/>
          <w:color w:val="auto"/>
          <w:sz w:val="21"/>
          <w:szCs w:val="21"/>
          <w:u w:val="single"/>
          <w:lang w:val="en-US" w:eastAsia="zh-CN"/>
        </w:rPr>
        <w:object>
          <v:shape id="_x0000_i1027" o:spt="75" type="#_x0000_t75" style="height:95.25pt;width:415pt;" o:ole="t" filled="f" o:preferrelative="t" stroked="f" coordsize="21600,21600">
            <v:path/>
            <v:fill on="f" focussize="0,0"/>
            <v:stroke on="f"/>
            <v:imagedata r:id="rId12" o:title=""/>
            <o:lock v:ext="edit" aspectratio="f"/>
            <w10:wrap type="none"/>
            <w10:anchorlock/>
          </v:shape>
          <o:OLEObject Type="Embed" ProgID="Visio.Drawing.11" ShapeID="_x0000_i1027" DrawAspect="Content" ObjectID="_1468075727" r:id="rId11">
            <o:LockedField>false</o:LockedField>
          </o:OLEObject>
        </w:object>
      </w:r>
    </w:p>
    <w:p>
      <w:pPr>
        <w:ind w:left="0" w:leftChars="0" w:firstLine="0" w:firstLineChars="0"/>
        <w:jc w:val="center"/>
        <w:rPr>
          <w:rFonts w:hint="eastAsia"/>
          <w:b/>
          <w:bCs/>
          <w:color w:val="auto"/>
          <w:sz w:val="21"/>
          <w:szCs w:val="21"/>
          <w:u w:val="single"/>
          <w:lang w:val="en-US" w:eastAsia="zh-CN"/>
        </w:rPr>
      </w:pPr>
      <w:r>
        <w:rPr>
          <w:rFonts w:hint="eastAsia"/>
          <w:b/>
          <w:bCs/>
          <w:color w:val="auto"/>
          <w:sz w:val="21"/>
          <w:szCs w:val="21"/>
          <w:u w:val="single"/>
          <w:lang w:val="en-US" w:eastAsia="zh-CN"/>
        </w:rPr>
        <w:t>图3-2：渗滤液污水处理工艺流程图</w:t>
      </w:r>
    </w:p>
    <w:p>
      <w:pPr>
        <w:rPr>
          <w:rFonts w:hint="eastAsia"/>
          <w:u w:val="single"/>
          <w:lang w:val="en-US" w:eastAsia="zh-CN"/>
        </w:rPr>
      </w:pPr>
      <w:r>
        <w:rPr>
          <w:rFonts w:hint="eastAsia"/>
          <w:u w:val="single"/>
          <w:lang w:val="en-US" w:eastAsia="zh-CN"/>
        </w:rPr>
        <w:t>工艺流程简述：</w:t>
      </w:r>
    </w:p>
    <w:p>
      <w:pPr>
        <w:rPr>
          <w:rFonts w:hint="eastAsia"/>
          <w:u w:val="single"/>
          <w:lang w:val="en-US" w:eastAsia="zh-CN"/>
        </w:rPr>
      </w:pPr>
      <w:r>
        <w:rPr>
          <w:rFonts w:hint="eastAsia"/>
          <w:u w:val="single"/>
          <w:lang w:val="en-US" w:eastAsia="zh-CN"/>
        </w:rPr>
        <w:t>填埋区产生的渗滤液经渗滤液导管进入渗滤液调节池。</w:t>
      </w:r>
    </w:p>
    <w:p>
      <w:pPr>
        <w:rPr>
          <w:rFonts w:hint="eastAsia"/>
          <w:u w:val="single"/>
          <w:lang w:val="en-US" w:eastAsia="zh-CN"/>
        </w:rPr>
      </w:pPr>
      <w:r>
        <w:rPr>
          <w:rFonts w:hint="eastAsia"/>
          <w:u w:val="single"/>
          <w:lang w:val="en-US" w:eastAsia="zh-CN"/>
        </w:rPr>
        <w:t>渗滤液调节池出水采用提升泵输送至水解酸化池，水解酸化作用可将水中大分子难降解物质转化为小分子有机物，降低污染物浓度并提高污水可生化性。厂区内其他生产生活污水（如污泥脱水产生的污水）与渗滤液易奇进入水解酸化池，水解酸化池起到一个均衡水质的作用。</w:t>
      </w:r>
    </w:p>
    <w:p>
      <w:pPr>
        <w:rPr>
          <w:rFonts w:hint="eastAsia"/>
          <w:u w:val="single"/>
          <w:lang w:val="en-US" w:eastAsia="zh-CN"/>
        </w:rPr>
      </w:pPr>
      <w:r>
        <w:rPr>
          <w:rFonts w:hint="eastAsia"/>
          <w:u w:val="single"/>
          <w:lang w:val="en-US" w:eastAsia="zh-CN"/>
        </w:rPr>
        <w:t>水解酸化池的污水经自流进入到MBR系统的一级反硝化池。MBR系统主要包括一级反硝化池、一级碳氧化池、一级硝化池、二级反硝化池、二级硝化池和超滤膜系统等几个部分。</w:t>
      </w:r>
    </w:p>
    <w:p>
      <w:pPr>
        <w:rPr>
          <w:rFonts w:hint="eastAsia"/>
          <w:u w:val="single"/>
          <w:lang w:val="en-US" w:eastAsia="zh-CN"/>
        </w:rPr>
      </w:pPr>
      <w:r>
        <w:rPr>
          <w:rFonts w:hint="eastAsia"/>
          <w:u w:val="single"/>
          <w:lang w:val="en-US" w:eastAsia="zh-CN"/>
        </w:rPr>
        <w:t>渗滤液进入一级反硝化池内，反硝化池内溶解氧维持在缺氧环境，将硝化池回流中的硝酸盐转化为氮气，同时消耗渗滤液中大部分的有机碳源，达到无污染生物脱氮的目的。一级反硝化池出水自流进入一级碳氧化池和一级硝化池，在碳氧化池内通过提供良好的好氧环境，利用好氧微生物对有机污染物的生物降解作用将其转化为CO</w:t>
      </w:r>
      <w:r>
        <w:rPr>
          <w:rFonts w:hint="eastAsia"/>
          <w:u w:val="single"/>
          <w:vertAlign w:val="subscript"/>
          <w:lang w:val="en-US" w:eastAsia="zh-CN"/>
        </w:rPr>
        <w:t>2</w:t>
      </w:r>
      <w:r>
        <w:rPr>
          <w:rFonts w:hint="eastAsia"/>
          <w:u w:val="single"/>
          <w:lang w:val="en-US" w:eastAsia="zh-CN"/>
        </w:rPr>
        <w:t>、H</w:t>
      </w:r>
      <w:r>
        <w:rPr>
          <w:rFonts w:hint="eastAsia"/>
          <w:u w:val="single"/>
          <w:vertAlign w:val="subscript"/>
          <w:lang w:val="en-US" w:eastAsia="zh-CN"/>
        </w:rPr>
        <w:t>2</w:t>
      </w:r>
      <w:r>
        <w:rPr>
          <w:rFonts w:hint="eastAsia"/>
          <w:u w:val="single"/>
          <w:lang w:val="en-US" w:eastAsia="zh-CN"/>
        </w:rPr>
        <w:t>O等无机小分子物质。同时，有机污染物的降解去除为后段硝化反应过程提供一个良好的低碳环境，有利于提高其消化作用效率。在硝化池内通过控制溶解氧浓度，培养硝化细菌对污水中的氨氮进行硝化作用，将其转化为硝态氮物质。</w:t>
      </w:r>
    </w:p>
    <w:p>
      <w:pPr>
        <w:rPr>
          <w:rFonts w:hint="eastAsia"/>
          <w:u w:val="single"/>
          <w:lang w:val="en-US" w:eastAsia="zh-CN"/>
        </w:rPr>
      </w:pPr>
      <w:r>
        <w:rPr>
          <w:rFonts w:hint="eastAsia"/>
          <w:u w:val="single"/>
          <w:lang w:val="en-US" w:eastAsia="zh-CN"/>
        </w:rPr>
        <w:t>一级硝化反硝化池出水自流进入二级硝化反硝化池内，并向二级反硝化池内加入葡萄糖等补充C源，将残余的硝态氮转化为氮气，提高总氮的去除效率。污水直流至二级硝化反应池，降解剩余碳源物质。</w:t>
      </w:r>
    </w:p>
    <w:p>
      <w:pPr>
        <w:rPr>
          <w:rFonts w:hint="eastAsia"/>
          <w:u w:val="single"/>
          <w:lang w:val="en-US" w:eastAsia="zh-CN"/>
        </w:rPr>
      </w:pPr>
      <w:r>
        <w:rPr>
          <w:rFonts w:hint="eastAsia"/>
          <w:u w:val="single"/>
          <w:lang w:val="en-US" w:eastAsia="zh-CN"/>
        </w:rPr>
        <w:t>二级硝化池出水用泵输送至外置管式超滤膜系统，利用错流过滤的原理，将生化系统内部分水质较好的清液从混合液中分离进入超滤清液池。超滤清液池水送至纳滤、反渗透并联深度膜处理系统处理达标后排放。</w:t>
      </w:r>
    </w:p>
    <w:p>
      <w:pPr>
        <w:rPr>
          <w:rFonts w:hint="eastAsia"/>
          <w:u w:val="single"/>
          <w:lang w:val="en-US" w:eastAsia="zh-CN"/>
        </w:rPr>
      </w:pPr>
      <w:r>
        <w:rPr>
          <w:rFonts w:hint="eastAsia"/>
          <w:u w:val="single"/>
          <w:lang w:val="en-US" w:eastAsia="zh-CN"/>
        </w:rPr>
        <w:t>渗滤液污水处理站产生的剩余污泥经收集后，经污泥浓缩，在经离心脱水处理，脱水干泥回填至填埋区；污泥处理产生的污水回到生化系统重新处理。</w:t>
      </w:r>
    </w:p>
    <w:p>
      <w:pPr>
        <w:rPr>
          <w:rFonts w:hint="eastAsia"/>
          <w:u w:val="single"/>
          <w:lang w:val="en-US" w:eastAsia="zh-CN"/>
        </w:rPr>
      </w:pPr>
      <w:r>
        <w:rPr>
          <w:rFonts w:hint="eastAsia"/>
          <w:u w:val="single"/>
          <w:lang w:val="en-US" w:eastAsia="zh-CN"/>
        </w:rPr>
        <w:t>纳滤系统和反渗透系统产生的浓缩液通过管道收集进入到浓缩液池，再通过提升泵提升至垃圾填埋堆体进行合理回灌。</w:t>
      </w:r>
    </w:p>
    <w:p>
      <w:pPr>
        <w:pStyle w:val="3"/>
        <w:rPr>
          <w:rFonts w:hint="eastAsia"/>
          <w:u w:val="single"/>
          <w:lang w:val="en-US" w:eastAsia="zh-CN"/>
        </w:rPr>
      </w:pPr>
      <w:bookmarkStart w:id="27" w:name="_Toc30873"/>
      <w:r>
        <w:rPr>
          <w:rFonts w:hint="eastAsia"/>
          <w:u w:val="single"/>
          <w:lang w:val="en-US" w:eastAsia="zh-CN"/>
        </w:rPr>
        <w:t>3.3现有工程封场覆盖系统</w:t>
      </w:r>
      <w:bookmarkEnd w:id="27"/>
    </w:p>
    <w:p>
      <w:pPr>
        <w:rPr>
          <w:rFonts w:hint="eastAsia"/>
          <w:u w:val="single"/>
          <w:lang w:val="en-US" w:eastAsia="zh-CN"/>
        </w:rPr>
      </w:pPr>
      <w:r>
        <w:rPr>
          <w:rFonts w:hint="eastAsia"/>
          <w:u w:val="single"/>
          <w:lang w:val="en-US" w:eastAsia="zh-CN"/>
        </w:rPr>
        <w:t>现有工程建设时的封场覆盖系统设计如下：坡面封场有夯实粘土0.5m厚和干砌片石护坡组成；顶面覆盖系统由构造层、顶部疏水层、表面覆盖层组成；构造层的作用是支撑顶部疏水层和表面覆盖土，是选用当地粘土，并分层辗压而成，每层厚30cm，总厚度为1m，压实度≥85%，承载力达到4.5t/m</w:t>
      </w:r>
      <w:r>
        <w:rPr>
          <w:rFonts w:hint="eastAsia"/>
          <w:u w:val="single"/>
          <w:vertAlign w:val="superscript"/>
          <w:lang w:val="en-US" w:eastAsia="zh-CN"/>
        </w:rPr>
        <w:t>2</w:t>
      </w:r>
      <w:r>
        <w:rPr>
          <w:rFonts w:hint="eastAsia"/>
          <w:u w:val="single"/>
          <w:lang w:val="en-US" w:eastAsia="zh-CN"/>
        </w:rPr>
        <w:t>。疏水层作用是排除表面渗入的雨水，其结构是30cm厚，Φ40~60mm的碎石；表面覆盖层是垃圾堆体最上面的一层，作用是完成最后的终场覆盖或种树、种草绿化，此部分覆盖营养土，厚度为0.3~1m。</w:t>
      </w:r>
    </w:p>
    <w:p>
      <w:pPr>
        <w:pStyle w:val="3"/>
        <w:rPr>
          <w:rFonts w:hint="eastAsia"/>
          <w:u w:val="single"/>
          <w:lang w:val="en-US" w:eastAsia="zh-CN"/>
        </w:rPr>
      </w:pPr>
      <w:bookmarkStart w:id="28" w:name="_Toc26999"/>
      <w:r>
        <w:rPr>
          <w:rFonts w:hint="eastAsia"/>
          <w:color w:val="auto"/>
          <w:lang w:val="en-US" w:eastAsia="zh-CN"/>
        </w:rPr>
        <w:t>3.</w:t>
      </w:r>
      <w:r>
        <w:rPr>
          <w:rFonts w:hint="eastAsia"/>
          <w:color w:val="auto"/>
          <w:u w:val="single"/>
          <w:lang w:val="en-US" w:eastAsia="zh-CN"/>
        </w:rPr>
        <w:t>4现有工程污染源分析</w:t>
      </w:r>
      <w:bookmarkEnd w:id="28"/>
    </w:p>
    <w:p>
      <w:pPr>
        <w:pStyle w:val="4"/>
        <w:rPr>
          <w:rFonts w:hint="eastAsia"/>
          <w:color w:val="auto"/>
          <w:u w:val="single"/>
          <w:lang w:val="en-US" w:eastAsia="zh-CN"/>
        </w:rPr>
      </w:pPr>
      <w:r>
        <w:rPr>
          <w:rFonts w:hint="eastAsia"/>
          <w:color w:val="auto"/>
          <w:u w:val="single"/>
          <w:lang w:val="en-US" w:eastAsia="zh-CN"/>
        </w:rPr>
        <w:t>3.4.1废气</w:t>
      </w:r>
    </w:p>
    <w:p>
      <w:pPr>
        <w:rPr>
          <w:rFonts w:hint="eastAsia"/>
          <w:color w:val="auto"/>
          <w:sz w:val="24"/>
          <w:szCs w:val="24"/>
          <w:u w:val="single"/>
          <w:lang w:eastAsia="zh-CN"/>
        </w:rPr>
      </w:pPr>
      <w:r>
        <w:rPr>
          <w:rFonts w:hint="eastAsia"/>
          <w:color w:val="auto"/>
          <w:u w:val="single"/>
          <w:lang w:val="en-US" w:eastAsia="zh-CN"/>
        </w:rPr>
        <w:t>该填埋场废气主要为垃圾填埋场产生的填埋废气、垃圾运输与填埋过程中产生的扬尘、污水处理站产生的恶臭气体，其主要污染因子为</w:t>
      </w:r>
      <w:r>
        <w:rPr>
          <w:color w:val="auto"/>
          <w:sz w:val="24"/>
          <w:szCs w:val="24"/>
          <w:u w:val="single"/>
        </w:rPr>
        <w:t>H</w:t>
      </w:r>
      <w:r>
        <w:rPr>
          <w:color w:val="auto"/>
          <w:sz w:val="24"/>
          <w:szCs w:val="24"/>
          <w:u w:val="single"/>
          <w:vertAlign w:val="subscript"/>
        </w:rPr>
        <w:t>2</w:t>
      </w:r>
      <w:r>
        <w:rPr>
          <w:color w:val="auto"/>
          <w:sz w:val="24"/>
          <w:szCs w:val="24"/>
          <w:u w:val="single"/>
        </w:rPr>
        <w:t>S、NH</w:t>
      </w:r>
      <w:r>
        <w:rPr>
          <w:color w:val="auto"/>
          <w:sz w:val="24"/>
          <w:szCs w:val="24"/>
          <w:u w:val="single"/>
          <w:vertAlign w:val="subscript"/>
        </w:rPr>
        <w:t>3</w:t>
      </w:r>
      <w:r>
        <w:rPr>
          <w:color w:val="auto"/>
          <w:sz w:val="24"/>
          <w:szCs w:val="24"/>
          <w:u w:val="single"/>
        </w:rPr>
        <w:t>、</w:t>
      </w:r>
      <w:r>
        <w:rPr>
          <w:rFonts w:hint="eastAsia"/>
          <w:color w:val="auto"/>
          <w:sz w:val="24"/>
          <w:szCs w:val="24"/>
          <w:u w:val="single"/>
          <w:lang w:val="en-US" w:eastAsia="zh-CN"/>
        </w:rPr>
        <w:t>PM</w:t>
      </w:r>
      <w:r>
        <w:rPr>
          <w:rFonts w:hint="eastAsia"/>
          <w:color w:val="auto"/>
          <w:sz w:val="24"/>
          <w:szCs w:val="24"/>
          <w:u w:val="single"/>
          <w:vertAlign w:val="subscript"/>
          <w:lang w:val="en-US" w:eastAsia="zh-CN"/>
        </w:rPr>
        <w:t>10</w:t>
      </w:r>
      <w:r>
        <w:rPr>
          <w:color w:val="auto"/>
          <w:sz w:val="24"/>
          <w:szCs w:val="24"/>
          <w:u w:val="single"/>
        </w:rPr>
        <w:t>和恶臭</w:t>
      </w:r>
      <w:r>
        <w:rPr>
          <w:rFonts w:hint="eastAsia"/>
          <w:color w:val="auto"/>
          <w:sz w:val="24"/>
          <w:szCs w:val="24"/>
          <w:u w:val="single"/>
          <w:lang w:eastAsia="zh-CN"/>
        </w:rPr>
        <w:t>。该填埋场产生的废气通过沼气导排管道排入大气。</w:t>
      </w:r>
    </w:p>
    <w:p>
      <w:pPr>
        <w:rPr>
          <w:rFonts w:hint="eastAsia"/>
          <w:color w:val="auto"/>
          <w:sz w:val="24"/>
          <w:szCs w:val="24"/>
          <w:u w:val="single"/>
          <w:lang w:eastAsia="zh-CN"/>
        </w:rPr>
      </w:pPr>
      <w:r>
        <w:rPr>
          <w:rFonts w:hint="eastAsia"/>
          <w:color w:val="auto"/>
          <w:sz w:val="24"/>
          <w:szCs w:val="24"/>
          <w:u w:val="single"/>
          <w:lang w:eastAsia="zh-CN"/>
        </w:rPr>
        <w:t>根据现场调查和建设单位提供资料，本工程目前没有实施填埋场废气日常监测计划，因此本工程无废气排放监测数据。</w:t>
      </w:r>
    </w:p>
    <w:p>
      <w:pPr>
        <w:rPr>
          <w:rFonts w:hint="eastAsia"/>
          <w:color w:val="auto"/>
          <w:sz w:val="24"/>
          <w:szCs w:val="24"/>
          <w:u w:val="single"/>
          <w:lang w:val="en-US" w:eastAsia="zh-CN"/>
        </w:rPr>
      </w:pPr>
      <w:r>
        <w:rPr>
          <w:rFonts w:hint="eastAsia"/>
          <w:color w:val="auto"/>
          <w:sz w:val="24"/>
          <w:szCs w:val="24"/>
          <w:u w:val="single"/>
          <w:lang w:val="en-US" w:eastAsia="zh-CN"/>
        </w:rPr>
        <w:t>本次环评期间，特委托岳阳市衡润检测有限公司2017年1月3日~5日对该垃圾填埋场场地的北面、南面和西南面厂界进行了现状检测，检测结果见表3-1。</w:t>
      </w:r>
    </w:p>
    <w:p>
      <w:pPr>
        <w:pStyle w:val="23"/>
        <w:rPr>
          <w:rFonts w:hint="eastAsia"/>
          <w:b/>
          <w:bCs/>
          <w:color w:val="auto"/>
          <w:u w:val="single"/>
          <w:lang w:val="en-US" w:eastAsia="zh-CN"/>
        </w:rPr>
      </w:pPr>
      <w:r>
        <w:rPr>
          <w:rFonts w:hint="eastAsia"/>
          <w:b/>
          <w:bCs/>
          <w:color w:val="auto"/>
          <w:u w:val="single"/>
          <w:lang w:val="en-US" w:eastAsia="zh-CN"/>
        </w:rPr>
        <w:t>表3-1  厂界无组织废气检测结果一览表</w:t>
      </w:r>
    </w:p>
    <w:tbl>
      <w:tblPr>
        <w:tblStyle w:val="20"/>
        <w:tblW w:w="9325" w:type="dxa"/>
        <w:jc w:val="center"/>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0"/>
        <w:gridCol w:w="719"/>
        <w:gridCol w:w="700"/>
        <w:gridCol w:w="1098"/>
        <w:gridCol w:w="1185"/>
        <w:gridCol w:w="889"/>
        <w:gridCol w:w="1217"/>
        <w:gridCol w:w="883"/>
        <w:gridCol w:w="1067"/>
        <w:gridCol w:w="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00"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r>
              <w:rPr>
                <w:rFonts w:hint="eastAsia"/>
                <w:color w:val="auto"/>
                <w:u w:val="single"/>
                <w:lang w:eastAsia="zh-CN"/>
              </w:rPr>
              <w:t>检测地点</w:t>
            </w:r>
          </w:p>
        </w:tc>
        <w:tc>
          <w:tcPr>
            <w:tcW w:w="1419" w:type="dxa"/>
            <w:gridSpan w:val="2"/>
            <w:vMerge w:val="restart"/>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r>
              <w:rPr>
                <w:rFonts w:hint="eastAsia"/>
                <w:color w:val="auto"/>
                <w:u w:val="single"/>
                <w:lang w:eastAsia="zh-CN"/>
              </w:rPr>
              <w:t>检测时间</w:t>
            </w:r>
          </w:p>
        </w:tc>
        <w:tc>
          <w:tcPr>
            <w:tcW w:w="7106" w:type="dxa"/>
            <w:gridSpan w:val="7"/>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r>
              <w:rPr>
                <w:rFonts w:hint="eastAsia"/>
                <w:color w:val="auto"/>
                <w:u w:val="single"/>
                <w:lang w:eastAsia="zh-CN"/>
              </w:rPr>
              <w:t>检测结果（</w:t>
            </w:r>
            <w:r>
              <w:rPr>
                <w:rFonts w:hint="eastAsia"/>
                <w:color w:val="auto"/>
                <w:u w:val="single"/>
                <w:lang w:val="en-US" w:eastAsia="zh-CN"/>
              </w:rPr>
              <w:t>mg/m</w:t>
            </w:r>
            <w:r>
              <w:rPr>
                <w:rFonts w:hint="eastAsia"/>
                <w:color w:val="auto"/>
                <w:u w:val="single"/>
                <w:vertAlign w:val="superscript"/>
                <w:lang w:val="en-US" w:eastAsia="zh-CN"/>
              </w:rPr>
              <w:t>3</w:t>
            </w:r>
            <w:r>
              <w:rPr>
                <w:rFonts w:hint="eastAsia"/>
                <w:color w:val="auto"/>
                <w:u w:val="singl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blHeader/>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1419" w:type="dxa"/>
            <w:gridSpan w:val="2"/>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SO</w:t>
            </w:r>
            <w:r>
              <w:rPr>
                <w:rFonts w:hint="eastAsia"/>
                <w:color w:val="auto"/>
                <w:u w:val="single"/>
                <w:vertAlign w:val="subscript"/>
                <w:lang w:val="en-US" w:eastAsia="zh-CN"/>
              </w:rPr>
              <w:t>2</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r>
              <w:rPr>
                <w:rFonts w:hint="eastAsia"/>
                <w:color w:val="auto"/>
                <w:u w:val="single"/>
                <w:lang w:val="en-US" w:eastAsia="zh-CN"/>
              </w:rPr>
              <w:t>NO</w:t>
            </w:r>
            <w:r>
              <w:rPr>
                <w:rFonts w:hint="eastAsia"/>
                <w:color w:val="auto"/>
                <w:u w:val="single"/>
                <w:vertAlign w:val="subscript"/>
                <w:lang w:val="en-US" w:eastAsia="zh-CN"/>
              </w:rPr>
              <w:t>x</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NH</w:t>
            </w:r>
            <w:r>
              <w:rPr>
                <w:rFonts w:hint="eastAsia"/>
                <w:color w:val="auto"/>
                <w:u w:val="single"/>
                <w:vertAlign w:val="subscript"/>
                <w:lang w:val="en-US" w:eastAsia="zh-CN"/>
              </w:rPr>
              <w:t>3</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r>
              <w:rPr>
                <w:rFonts w:hint="eastAsia"/>
                <w:color w:val="auto"/>
                <w:u w:val="single"/>
                <w:lang w:val="en-US" w:eastAsia="zh-CN"/>
              </w:rPr>
              <w:t>H</w:t>
            </w:r>
            <w:r>
              <w:rPr>
                <w:rFonts w:hint="eastAsia"/>
                <w:color w:val="auto"/>
                <w:u w:val="single"/>
                <w:vertAlign w:val="subscript"/>
                <w:lang w:val="en-US" w:eastAsia="zh-CN"/>
              </w:rPr>
              <w:t>2</w:t>
            </w:r>
            <w:r>
              <w:rPr>
                <w:rFonts w:hint="eastAsia"/>
                <w:color w:val="auto"/>
                <w:u w:val="single"/>
                <w:lang w:val="en-US" w:eastAsia="zh-CN"/>
              </w:rPr>
              <w:t>S</w:t>
            </w:r>
          </w:p>
        </w:tc>
        <w:tc>
          <w:tcPr>
            <w:tcW w:w="88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颗粒物</w:t>
            </w:r>
          </w:p>
        </w:tc>
        <w:tc>
          <w:tcPr>
            <w:tcW w:w="106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臭气浓度</w:t>
            </w:r>
          </w:p>
        </w:tc>
        <w:tc>
          <w:tcPr>
            <w:tcW w:w="76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default"/>
                <w:color w:val="auto"/>
                <w:u w:val="single"/>
                <w:lang w:val="en-US" w:eastAsia="zh-CN"/>
              </w:rPr>
              <w:t>CH</w:t>
            </w:r>
            <w:r>
              <w:rPr>
                <w:rFonts w:hint="default"/>
                <w:color w:val="auto"/>
                <w:u w:val="single"/>
                <w:vertAlign w:val="sub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r>
              <w:rPr>
                <w:rFonts w:hint="default"/>
                <w:color w:val="auto"/>
                <w:u w:val="single"/>
              </w:rPr>
              <w:t>项目地</w:t>
            </w:r>
            <w:r>
              <w:rPr>
                <w:rFonts w:hint="eastAsia"/>
                <w:color w:val="auto"/>
                <w:u w:val="single"/>
                <w:lang w:eastAsia="zh-CN"/>
              </w:rPr>
              <w:t>北面</w:t>
            </w:r>
          </w:p>
        </w:tc>
        <w:tc>
          <w:tcPr>
            <w:tcW w:w="719"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r>
              <w:rPr>
                <w:rFonts w:hint="eastAsia"/>
                <w:color w:val="auto"/>
                <w:u w:val="single"/>
                <w:lang w:val="en-US" w:eastAsia="zh-CN"/>
              </w:rPr>
              <w:t>01月03日</w:t>
            </w:r>
          </w:p>
        </w:tc>
        <w:tc>
          <w:tcPr>
            <w:tcW w:w="700"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0.007ND</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0.008</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0.06</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0.19</w:t>
            </w:r>
          </w:p>
        </w:tc>
        <w:tc>
          <w:tcPr>
            <w:tcW w:w="10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13</w:t>
            </w:r>
          </w:p>
        </w:tc>
        <w:tc>
          <w:tcPr>
            <w:tcW w:w="7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00"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0.011</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0.031</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0.11</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00"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14:00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0.013</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0.031</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0.14</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00"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0.007ND</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0.016</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0.13</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01月04日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0.007ND</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0.005ND</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0.08</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0.13</w:t>
            </w:r>
          </w:p>
        </w:tc>
        <w:tc>
          <w:tcPr>
            <w:tcW w:w="10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10</w:t>
            </w:r>
          </w:p>
        </w:tc>
        <w:tc>
          <w:tcPr>
            <w:tcW w:w="7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0.009</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0.042</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0.15</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14:00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0.011</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0.033</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0.22</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0.007ND</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0.012</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0.17</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01月05日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0.007ND</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0.005ND</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0.09</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0.14</w:t>
            </w:r>
          </w:p>
        </w:tc>
        <w:tc>
          <w:tcPr>
            <w:tcW w:w="10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11</w:t>
            </w:r>
          </w:p>
        </w:tc>
        <w:tc>
          <w:tcPr>
            <w:tcW w:w="7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0.012</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0.029</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0.16</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14:00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0.011</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0.028</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0.19</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20:00</w:t>
            </w:r>
          </w:p>
        </w:tc>
        <w:tc>
          <w:tcPr>
            <w:tcW w:w="1098"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0.007ND</w:t>
            </w:r>
          </w:p>
        </w:tc>
        <w:tc>
          <w:tcPr>
            <w:tcW w:w="118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0.005ND</w:t>
            </w:r>
          </w:p>
        </w:tc>
        <w:tc>
          <w:tcPr>
            <w:tcW w:w="889"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0.11</w:t>
            </w:r>
          </w:p>
        </w:tc>
        <w:tc>
          <w:tcPr>
            <w:tcW w:w="1217"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r>
              <w:rPr>
                <w:rFonts w:hint="default"/>
                <w:color w:val="auto"/>
                <w:u w:val="single"/>
              </w:rPr>
              <w:t>项目地</w:t>
            </w:r>
            <w:r>
              <w:rPr>
                <w:rFonts w:hint="eastAsia"/>
                <w:color w:val="auto"/>
                <w:u w:val="single"/>
                <w:lang w:eastAsia="zh-CN"/>
              </w:rPr>
              <w:t>南面</w:t>
            </w:r>
          </w:p>
        </w:tc>
        <w:tc>
          <w:tcPr>
            <w:tcW w:w="719"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0.011</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0.016</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0.10</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0.15</w:t>
            </w:r>
          </w:p>
        </w:tc>
        <w:tc>
          <w:tcPr>
            <w:tcW w:w="10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13</w:t>
            </w:r>
          </w:p>
        </w:tc>
        <w:tc>
          <w:tcPr>
            <w:tcW w:w="7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0.020</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0.084</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0.13</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14:00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0.034</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0.088</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0.14</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0.020</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0.034</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0.14</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01月04日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0.014</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0.020</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0.09</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0.12</w:t>
            </w:r>
          </w:p>
        </w:tc>
        <w:tc>
          <w:tcPr>
            <w:tcW w:w="10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15</w:t>
            </w:r>
          </w:p>
        </w:tc>
        <w:tc>
          <w:tcPr>
            <w:tcW w:w="7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0.022</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0.073</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0.15</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14:00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0.035</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0.083</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0.14</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0.019</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0.032</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0.11</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01月05日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0.013</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0.008</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0.07</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0.11</w:t>
            </w:r>
          </w:p>
        </w:tc>
        <w:tc>
          <w:tcPr>
            <w:tcW w:w="10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17</w:t>
            </w:r>
          </w:p>
        </w:tc>
        <w:tc>
          <w:tcPr>
            <w:tcW w:w="767" w:type="dxa"/>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0.018</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0.065</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0.11</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14:00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0.029</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0.068</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0.15</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0.017</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0.025</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0.08</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default"/>
                <w:color w:val="auto"/>
                <w:u w:val="single"/>
                <w:lang w:val="en-US" w:eastAsia="zh-CN"/>
              </w:rPr>
              <w:t>项目地</w:t>
            </w:r>
            <w:r>
              <w:rPr>
                <w:rFonts w:hint="eastAsia"/>
                <w:color w:val="auto"/>
                <w:u w:val="single"/>
                <w:lang w:val="en-US" w:eastAsia="zh-CN"/>
              </w:rPr>
              <w:t>西南面</w:t>
            </w:r>
          </w:p>
        </w:tc>
        <w:tc>
          <w:tcPr>
            <w:tcW w:w="719"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0.015</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0.016</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0.10</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0.20</w:t>
            </w:r>
          </w:p>
        </w:tc>
        <w:tc>
          <w:tcPr>
            <w:tcW w:w="1067"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11</w:t>
            </w:r>
          </w:p>
        </w:tc>
        <w:tc>
          <w:tcPr>
            <w:tcW w:w="767"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0.028</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0.073</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0.15</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14:00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0.033</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0.082</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0.13</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0.005</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0.018</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0.030</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0.11</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19"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01月04日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0.012</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0.011</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0.13</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0.15</w:t>
            </w:r>
          </w:p>
        </w:tc>
        <w:tc>
          <w:tcPr>
            <w:tcW w:w="1067"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14</w:t>
            </w:r>
          </w:p>
        </w:tc>
        <w:tc>
          <w:tcPr>
            <w:tcW w:w="767"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keepNext w:val="0"/>
              <w:keepLines w:val="0"/>
              <w:suppressLineNumbers w:val="0"/>
              <w:spacing w:before="0" w:beforeAutospacing="0" w:after="0" w:afterAutospacing="0"/>
              <w:ind w:left="0" w:right="0" w:firstLine="420" w:firstLineChars="200"/>
              <w:jc w:val="center"/>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0.026</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0.058</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0.16</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keepNext w:val="0"/>
              <w:keepLines w:val="0"/>
              <w:suppressLineNumbers w:val="0"/>
              <w:spacing w:before="0" w:beforeAutospacing="0" w:after="0" w:afterAutospacing="0"/>
              <w:ind w:left="0" w:right="0" w:firstLine="420" w:firstLineChars="200"/>
              <w:jc w:val="center"/>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14:00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0.029</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0.069</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0.19</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0.004</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keepNext w:val="0"/>
              <w:keepLines w:val="0"/>
              <w:suppressLineNumbers w:val="0"/>
              <w:spacing w:before="0" w:beforeAutospacing="0" w:after="0" w:afterAutospacing="0"/>
              <w:ind w:left="0" w:right="0" w:firstLine="420" w:firstLineChars="200"/>
              <w:jc w:val="center"/>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0.014</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0.031</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0.11</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keepNext w:val="0"/>
              <w:keepLines w:val="0"/>
              <w:suppressLineNumbers w:val="0"/>
              <w:spacing w:before="0" w:beforeAutospacing="0" w:after="0" w:afterAutospacing="0"/>
              <w:ind w:left="0" w:right="0" w:firstLine="420" w:firstLineChars="200"/>
              <w:jc w:val="center"/>
              <w:rPr>
                <w:rFonts w:hint="eastAsia"/>
                <w:color w:val="auto"/>
                <w:u w:val="single"/>
                <w:lang w:eastAsia="zh-CN"/>
              </w:rPr>
            </w:pPr>
          </w:p>
        </w:tc>
        <w:tc>
          <w:tcPr>
            <w:tcW w:w="719"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01月05日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0.009</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0.008</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0.08</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0.17</w:t>
            </w:r>
          </w:p>
        </w:tc>
        <w:tc>
          <w:tcPr>
            <w:tcW w:w="1067"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12</w:t>
            </w:r>
          </w:p>
        </w:tc>
        <w:tc>
          <w:tcPr>
            <w:tcW w:w="767"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0.002ND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keepNext w:val="0"/>
              <w:keepLines w:val="0"/>
              <w:suppressLineNumbers w:val="0"/>
              <w:spacing w:before="0" w:beforeAutospacing="0" w:after="0" w:afterAutospacing="0"/>
              <w:ind w:left="0" w:right="0" w:firstLine="420" w:firstLineChars="200"/>
              <w:jc w:val="center"/>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0.019</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0.044</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0.12</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keepNext w:val="0"/>
              <w:keepLines w:val="0"/>
              <w:suppressLineNumbers w:val="0"/>
              <w:spacing w:before="0" w:beforeAutospacing="0" w:after="0" w:afterAutospacing="0"/>
              <w:ind w:left="0" w:right="0" w:firstLine="420" w:firstLineChars="200"/>
              <w:jc w:val="center"/>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14:00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0.025</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0.062</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0.17</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0.004</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00" w:type="dxa"/>
            <w:vMerge w:val="continue"/>
            <w:textDirection w:val="lrTb"/>
            <w:vAlign w:val="center"/>
          </w:tcPr>
          <w:p>
            <w:pPr>
              <w:keepNext w:val="0"/>
              <w:keepLines w:val="0"/>
              <w:suppressLineNumbers w:val="0"/>
              <w:spacing w:before="0" w:beforeAutospacing="0" w:after="0" w:afterAutospacing="0"/>
              <w:ind w:left="0" w:right="0" w:firstLine="420" w:firstLineChars="200"/>
              <w:jc w:val="center"/>
              <w:rPr>
                <w:rFonts w:hint="eastAsia"/>
                <w:color w:val="auto"/>
                <w:u w:val="single"/>
                <w:lang w:eastAsia="zh-CN"/>
              </w:rPr>
            </w:pPr>
          </w:p>
        </w:tc>
        <w:tc>
          <w:tcPr>
            <w:tcW w:w="719"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700"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20:00</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0.011</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0.025</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0.10</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0.001ND</w:t>
            </w:r>
          </w:p>
        </w:tc>
        <w:tc>
          <w:tcPr>
            <w:tcW w:w="883"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67" w:type="dxa"/>
            <w:vMerge w:val="continue"/>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219" w:type="dxa"/>
            <w:gridSpan w:val="3"/>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标准值</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0.4</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0.12</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1.5</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0.06</w:t>
            </w:r>
          </w:p>
        </w:tc>
        <w:tc>
          <w:tcPr>
            <w:tcW w:w="883" w:type="dxa"/>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1.0</w:t>
            </w:r>
          </w:p>
        </w:tc>
        <w:tc>
          <w:tcPr>
            <w:tcW w:w="1067" w:type="dxa"/>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w:t>
            </w:r>
          </w:p>
        </w:tc>
        <w:tc>
          <w:tcPr>
            <w:tcW w:w="767" w:type="dxa"/>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2219" w:type="dxa"/>
            <w:gridSpan w:val="3"/>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达标率</w:t>
            </w:r>
          </w:p>
        </w:tc>
        <w:tc>
          <w:tcPr>
            <w:tcW w:w="1098"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100%</w:t>
            </w:r>
          </w:p>
        </w:tc>
        <w:tc>
          <w:tcPr>
            <w:tcW w:w="118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100%</w:t>
            </w:r>
          </w:p>
        </w:tc>
        <w:tc>
          <w:tcPr>
            <w:tcW w:w="889"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100%</w:t>
            </w:r>
          </w:p>
        </w:tc>
        <w:tc>
          <w:tcPr>
            <w:tcW w:w="1217"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100%</w:t>
            </w:r>
          </w:p>
        </w:tc>
        <w:tc>
          <w:tcPr>
            <w:tcW w:w="883" w:type="dxa"/>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100%</w:t>
            </w:r>
          </w:p>
        </w:tc>
        <w:tc>
          <w:tcPr>
            <w:tcW w:w="1067" w:type="dxa"/>
          </w:tcPr>
          <w:p>
            <w:pPr>
              <w:pStyle w:val="23"/>
              <w:keepNext w:val="0"/>
              <w:keepLines w:val="0"/>
              <w:suppressLineNumbers w:val="0"/>
              <w:spacing w:before="0" w:beforeAutospacing="0" w:after="0" w:afterAutospacing="0"/>
              <w:ind w:left="0" w:right="0"/>
              <w:rPr>
                <w:rFonts w:hint="eastAsia"/>
                <w:color w:val="auto"/>
                <w:u w:val="single"/>
                <w:lang w:eastAsia="zh-CN"/>
              </w:rPr>
            </w:pPr>
            <w:r>
              <w:rPr>
                <w:rFonts w:hint="eastAsia"/>
                <w:color w:val="auto"/>
                <w:u w:val="single"/>
                <w:lang w:val="en-US" w:eastAsia="zh-CN"/>
              </w:rPr>
              <w:t>100%</w:t>
            </w:r>
          </w:p>
        </w:tc>
        <w:tc>
          <w:tcPr>
            <w:tcW w:w="767" w:type="dxa"/>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w:t>
            </w:r>
          </w:p>
        </w:tc>
      </w:tr>
    </w:tbl>
    <w:p>
      <w:pPr>
        <w:spacing w:line="360" w:lineRule="auto"/>
        <w:ind w:firstLine="480" w:firstLineChars="200"/>
        <w:jc w:val="left"/>
        <w:rPr>
          <w:rFonts w:hint="eastAsia"/>
          <w:color w:val="auto"/>
          <w:u w:val="single"/>
          <w:lang w:val="en-US" w:eastAsia="zh-CN"/>
        </w:rPr>
      </w:pPr>
      <w:r>
        <w:rPr>
          <w:rFonts w:hint="eastAsia"/>
          <w:color w:val="auto"/>
          <w:u w:val="single"/>
          <w:lang w:val="en-US" w:eastAsia="zh-CN"/>
        </w:rPr>
        <w:t>由上表可知，厂界无组织排放的粉尘、二氧化硫、氮氧化物浓度符合《大气污染物综合排放标准》（GB16297-1996）无组织排放限值；厂界无组织排放的氨、硫化氢、臭气浓度均符合《恶臭污染物排放标准》（GB14554-93）中表1恶臭污染物厂界标准值。</w:t>
      </w:r>
    </w:p>
    <w:p>
      <w:pPr>
        <w:pStyle w:val="4"/>
        <w:rPr>
          <w:rFonts w:hint="eastAsia"/>
          <w:color w:val="auto"/>
          <w:u w:val="single"/>
          <w:lang w:val="en-US" w:eastAsia="zh-CN"/>
        </w:rPr>
      </w:pPr>
      <w:r>
        <w:rPr>
          <w:rFonts w:hint="eastAsia"/>
          <w:color w:val="auto"/>
          <w:u w:val="single"/>
          <w:lang w:val="en-US" w:eastAsia="zh-CN"/>
        </w:rPr>
        <w:t>3.4.2废水</w:t>
      </w:r>
    </w:p>
    <w:p>
      <w:pPr>
        <w:rPr>
          <w:rFonts w:hint="eastAsia"/>
          <w:color w:val="auto"/>
          <w:u w:val="single"/>
          <w:lang w:val="en-US" w:eastAsia="zh-CN"/>
        </w:rPr>
      </w:pPr>
      <w:r>
        <w:rPr>
          <w:rFonts w:hint="eastAsia"/>
          <w:color w:val="auto"/>
          <w:u w:val="single"/>
          <w:lang w:val="en-US" w:eastAsia="zh-CN"/>
        </w:rPr>
        <w:t>该填埋场现有工程产生的废水主要为渗滤液和生活污水，渗滤液经导流沟进入渗滤液调节池，与经化粪池处理后的生活污水一起进入渗滤液污水处理站，其采用的工艺为生化+膜处理工艺，经处理达标后，通过自建的排水管道排入芭蕉湖。</w:t>
      </w:r>
    </w:p>
    <w:p>
      <w:pPr>
        <w:rPr>
          <w:rFonts w:hint="eastAsia"/>
          <w:color w:val="auto"/>
          <w:u w:val="single"/>
          <w:lang w:val="en-US" w:eastAsia="zh-CN"/>
        </w:rPr>
      </w:pPr>
      <w:r>
        <w:rPr>
          <w:rFonts w:hint="eastAsia"/>
          <w:color w:val="auto"/>
          <w:u w:val="single"/>
          <w:lang w:val="en-US" w:eastAsia="zh-CN"/>
        </w:rPr>
        <w:t>根据建设单位提供资料，本工程渗滤液调节池池底采用天然防渗层，未进行渗滤液污水处理站日常监测计划；渗滤液废水产生量为320m</w:t>
      </w:r>
      <w:r>
        <w:rPr>
          <w:rFonts w:hint="eastAsia"/>
          <w:color w:val="auto"/>
          <w:u w:val="single"/>
          <w:vertAlign w:val="superscript"/>
          <w:lang w:val="en-US" w:eastAsia="zh-CN"/>
        </w:rPr>
        <w:t>3</w:t>
      </w:r>
      <w:r>
        <w:rPr>
          <w:rFonts w:hint="eastAsia"/>
          <w:color w:val="auto"/>
          <w:u w:val="single"/>
          <w:lang w:val="en-US" w:eastAsia="zh-CN"/>
        </w:rPr>
        <w:t>/d，排水量为256m</w:t>
      </w:r>
      <w:r>
        <w:rPr>
          <w:rFonts w:hint="eastAsia"/>
          <w:color w:val="auto"/>
          <w:u w:val="single"/>
          <w:vertAlign w:val="superscript"/>
          <w:lang w:val="en-US" w:eastAsia="zh-CN"/>
        </w:rPr>
        <w:t>3</w:t>
      </w:r>
      <w:r>
        <w:rPr>
          <w:rFonts w:hint="eastAsia"/>
          <w:color w:val="auto"/>
          <w:u w:val="single"/>
          <w:lang w:val="en-US" w:eastAsia="zh-CN"/>
        </w:rPr>
        <w:t>/d，其中64m</w:t>
      </w:r>
      <w:r>
        <w:rPr>
          <w:rFonts w:hint="eastAsia"/>
          <w:color w:val="auto"/>
          <w:u w:val="single"/>
          <w:vertAlign w:val="superscript"/>
          <w:lang w:val="en-US" w:eastAsia="zh-CN"/>
        </w:rPr>
        <w:t>3</w:t>
      </w:r>
      <w:r>
        <w:rPr>
          <w:rFonts w:hint="eastAsia"/>
          <w:color w:val="auto"/>
          <w:u w:val="single"/>
          <w:lang w:val="en-US" w:eastAsia="zh-CN"/>
        </w:rPr>
        <w:t>/d废水回灌至库区。</w:t>
      </w:r>
    </w:p>
    <w:p>
      <w:pPr>
        <w:rPr>
          <w:rFonts w:hint="eastAsia"/>
          <w:color w:val="auto"/>
          <w:sz w:val="24"/>
          <w:szCs w:val="24"/>
          <w:u w:val="single"/>
          <w:lang w:val="en-US" w:eastAsia="zh-CN"/>
        </w:rPr>
      </w:pPr>
      <w:r>
        <w:rPr>
          <w:rFonts w:hint="eastAsia"/>
          <w:color w:val="auto"/>
          <w:sz w:val="24"/>
          <w:szCs w:val="24"/>
          <w:u w:val="single"/>
          <w:lang w:val="en-US" w:eastAsia="zh-CN"/>
        </w:rPr>
        <w:t>本次环评期间，特委托岳阳市衡润检测有限公司2017年1月3日~5日对污水处理站进出口进行了现场检测，其检测结果详见表3-2。</w:t>
      </w:r>
    </w:p>
    <w:p>
      <w:pPr>
        <w:pStyle w:val="23"/>
        <w:rPr>
          <w:rFonts w:hint="eastAsia"/>
          <w:b/>
          <w:bCs/>
          <w:color w:val="auto"/>
          <w:u w:val="single"/>
          <w:lang w:val="en-US" w:eastAsia="zh-CN"/>
        </w:rPr>
      </w:pPr>
      <w:r>
        <w:rPr>
          <w:rFonts w:hint="eastAsia"/>
          <w:b/>
          <w:bCs/>
          <w:color w:val="auto"/>
          <w:u w:val="single"/>
          <w:lang w:val="en-US" w:eastAsia="zh-CN"/>
        </w:rPr>
        <w:t>表3-2  污水处理站废水检测结果一览表</w:t>
      </w:r>
    </w:p>
    <w:tbl>
      <w:tblPr>
        <w:tblStyle w:val="20"/>
        <w:tblW w:w="9019" w:type="dxa"/>
        <w:jc w:val="center"/>
        <w:tblInd w:w="-4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6"/>
        <w:gridCol w:w="1043"/>
        <w:gridCol w:w="1043"/>
        <w:gridCol w:w="1043"/>
        <w:gridCol w:w="1"/>
        <w:gridCol w:w="1042"/>
        <w:gridCol w:w="1043"/>
        <w:gridCol w:w="1045"/>
        <w:gridCol w:w="1092"/>
        <w:gridCol w:w="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7" w:hRule="atLeast"/>
          <w:tblHeader/>
          <w:jc w:val="center"/>
        </w:trPr>
        <w:tc>
          <w:tcPr>
            <w:tcW w:w="1666" w:type="dxa"/>
            <w:vMerge w:val="restart"/>
            <w:vAlign w:val="center"/>
            <mc:AlternateContent>
              <mc:Choice Requires="wpsCustomData">
                <wpsCustomData:diagonals>
                  <wpsCustomData:diagonal from="10000" to="30000">
                    <wpsCustomData:border w:val="single" w:color="auto" w:sz="4" w:space="0"/>
                  </wpsCustomData:diagonal>
                </wpsCustomData:diagonals>
              </mc:Choice>
            </mc:AlternateContent>
          </w:tcPr>
          <w:p>
            <w:pPr>
              <w:pStyle w:val="23"/>
              <w:keepNext w:val="0"/>
              <w:keepLines w:val="0"/>
              <w:suppressLineNumbers w:val="0"/>
              <w:spacing w:before="0" w:beforeAutospacing="0" w:after="0" w:afterAutospacing="0"/>
              <w:ind w:left="0" w:right="0"/>
              <mc:AlternateContent>
                <mc:Choice Requires="wpsCustomData">
                  <wpsCustomData:diagonalParaType/>
                </mc:Choice>
              </mc:AlternateContent>
              <w:rPr>
                <w:rFonts w:hint="eastAsia"/>
                <w:color w:val="auto"/>
                <w:u w:val="single"/>
                <w:lang w:val="en-US" w:eastAsia="zh-CN"/>
              </w:rPr>
            </w:pPr>
            <w:r>
              <w:rPr>
                <w:rFonts w:hint="eastAsia"/>
                <w:color w:val="auto"/>
                <w:u w:val="single"/>
                <w:lang w:val="en-US" w:eastAsia="zh-CN"/>
              </w:rPr>
              <w:t xml:space="preserve">    检测因子</w:t>
            </w:r>
          </w:p>
          <w:p>
            <w:pPr>
              <w:pStyle w:val="23"/>
              <w:keepNext w:val="0"/>
              <w:keepLines w:val="0"/>
              <w:suppressLineNumbers w:val="0"/>
              <w:spacing w:before="0" w:beforeAutospacing="0" w:after="0" w:afterAutospacing="0"/>
              <w:ind w:left="0" w:right="0"/>
              <w:jc w:val="both"/>
              <w:rPr>
                <w:rFonts w:hint="eastAsia"/>
                <w:color w:val="auto"/>
                <w:u w:val="single"/>
                <w:lang w:val="en-US" w:eastAsia="zh-CN"/>
              </w:rPr>
            </w:pPr>
            <w:r>
              <w:rPr>
                <w:rFonts w:hint="eastAsia"/>
                <w:color w:val="auto"/>
                <w:u w:val="single"/>
                <w:lang w:val="en-US" w:eastAsia="zh-CN"/>
              </w:rPr>
              <w:t>采样地点</w:t>
            </w:r>
          </w:p>
        </w:tc>
        <w:tc>
          <w:tcPr>
            <w:tcW w:w="3130" w:type="dxa"/>
            <w:gridSpan w:val="4"/>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污水处理站进口（mg/L）</w:t>
            </w:r>
          </w:p>
        </w:tc>
        <w:tc>
          <w:tcPr>
            <w:tcW w:w="3130" w:type="dxa"/>
            <w:gridSpan w:val="3"/>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污水处理站出口（mg/L）</w:t>
            </w:r>
          </w:p>
        </w:tc>
        <w:tc>
          <w:tcPr>
            <w:tcW w:w="1093" w:type="dxa"/>
            <w:gridSpan w:val="2"/>
            <w:vMerge w:val="restart"/>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tblHeader/>
          <w:jc w:val="center"/>
        </w:trPr>
        <w:tc>
          <w:tcPr>
            <w:tcW w:w="1666" w:type="dxa"/>
            <w:vMerge w:val="continue"/>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01月04日</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01月05日</w:t>
            </w:r>
          </w:p>
        </w:tc>
        <w:tc>
          <w:tcPr>
            <w:tcW w:w="1043" w:type="dxa"/>
            <w:gridSpan w:val="2"/>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01月03日</w:t>
            </w:r>
          </w:p>
        </w:tc>
        <w:tc>
          <w:tcPr>
            <w:tcW w:w="1043"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01月04日</w:t>
            </w:r>
          </w:p>
        </w:tc>
        <w:tc>
          <w:tcPr>
            <w:tcW w:w="104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01月05日</w:t>
            </w:r>
          </w:p>
        </w:tc>
        <w:tc>
          <w:tcPr>
            <w:tcW w:w="1092"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PH</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8.05</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8.11</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8.06</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6.04</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6.07</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6.03</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default"/>
                <w:color w:val="auto"/>
                <w:u w:val="single"/>
                <w:lang w:val="en-US" w:eastAsia="zh-CN"/>
              </w:rPr>
              <w:t>COD</w:t>
            </w:r>
            <w:r>
              <w:rPr>
                <w:rFonts w:hint="default"/>
                <w:color w:val="auto"/>
                <w:u w:val="single"/>
                <w:vertAlign w:val="subscript"/>
                <w:lang w:val="en-US" w:eastAsia="zh-CN"/>
              </w:rPr>
              <w:t>Cr</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4110</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4230</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4180</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87</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90</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88</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default"/>
                <w:color w:val="auto"/>
                <w:u w:val="single"/>
                <w:lang w:val="en-US" w:eastAsia="zh-CN"/>
              </w:rPr>
              <w:t>BOD</w:t>
            </w:r>
            <w:r>
              <w:rPr>
                <w:rFonts w:hint="default"/>
                <w:color w:val="auto"/>
                <w:u w:val="single"/>
                <w:vertAlign w:val="subscript"/>
                <w:lang w:val="en-US" w:eastAsia="zh-CN"/>
              </w:rPr>
              <w:t>5</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2280</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1996</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2175</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24</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29</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23</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NH</w:t>
            </w:r>
            <w:r>
              <w:rPr>
                <w:rFonts w:hint="eastAsia"/>
                <w:color w:val="auto"/>
                <w:u w:val="single"/>
                <w:vertAlign w:val="subscript"/>
                <w:lang w:val="en-US" w:eastAsia="zh-CN"/>
              </w:rPr>
              <w:t>3</w:t>
            </w:r>
            <w:r>
              <w:rPr>
                <w:rFonts w:hint="eastAsia"/>
                <w:color w:val="auto"/>
                <w:u w:val="single"/>
                <w:lang w:val="en-US" w:eastAsia="zh-CN"/>
              </w:rPr>
              <w:t>-N</w:t>
            </w:r>
          </w:p>
        </w:tc>
        <w:tc>
          <w:tcPr>
            <w:tcW w:w="1043" w:type="dxa"/>
            <w:textDirection w:val="lrTb"/>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1076</w:t>
            </w:r>
          </w:p>
        </w:tc>
        <w:tc>
          <w:tcPr>
            <w:tcW w:w="1043" w:type="dxa"/>
            <w:textDirection w:val="lrTb"/>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1124</w:t>
            </w:r>
          </w:p>
        </w:tc>
        <w:tc>
          <w:tcPr>
            <w:tcW w:w="1043" w:type="dxa"/>
            <w:textDirection w:val="lrTb"/>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1128</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19.8</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21</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20.7</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SS</w:t>
            </w:r>
          </w:p>
        </w:tc>
        <w:tc>
          <w:tcPr>
            <w:tcW w:w="1043" w:type="dxa"/>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200</w:t>
            </w:r>
          </w:p>
        </w:tc>
        <w:tc>
          <w:tcPr>
            <w:tcW w:w="1043" w:type="dxa"/>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183</w:t>
            </w:r>
          </w:p>
        </w:tc>
        <w:tc>
          <w:tcPr>
            <w:tcW w:w="1043" w:type="dxa"/>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192</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12.5</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16.3</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13.5</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TN</w:t>
            </w:r>
          </w:p>
        </w:tc>
        <w:tc>
          <w:tcPr>
            <w:tcW w:w="1043" w:type="dxa"/>
            <w:textDirection w:val="lrTb"/>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1253</w:t>
            </w:r>
          </w:p>
        </w:tc>
        <w:tc>
          <w:tcPr>
            <w:tcW w:w="1043" w:type="dxa"/>
            <w:textDirection w:val="lrTb"/>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1303</w:t>
            </w:r>
          </w:p>
        </w:tc>
        <w:tc>
          <w:tcPr>
            <w:tcW w:w="1043" w:type="dxa"/>
            <w:textDirection w:val="lrTb"/>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1311</w:t>
            </w:r>
          </w:p>
        </w:tc>
        <w:tc>
          <w:tcPr>
            <w:tcW w:w="1043" w:type="dxa"/>
            <w:gridSpan w:val="2"/>
            <w:textDirection w:val="lrTb"/>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21</w:t>
            </w:r>
          </w:p>
        </w:tc>
        <w:tc>
          <w:tcPr>
            <w:tcW w:w="1043"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24</w:t>
            </w:r>
          </w:p>
        </w:tc>
        <w:tc>
          <w:tcPr>
            <w:tcW w:w="104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25</w:t>
            </w:r>
          </w:p>
        </w:tc>
        <w:tc>
          <w:tcPr>
            <w:tcW w:w="1092"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TP</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16.42</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15.88</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15.59</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0.34</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0.39</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0.32</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粪大肠菌群</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6000</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7800</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7000</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80</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90</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95</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砷</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0.0047</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0.0051</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0.0063</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0.0007</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0.0008</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0.0009</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汞</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0.00086</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0.00079</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0.00080</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0.00010</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0.00024</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0.00015</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总铬</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1.02</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0.86</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1.11</w:t>
            </w:r>
          </w:p>
        </w:tc>
        <w:tc>
          <w:tcPr>
            <w:tcW w:w="1043" w:type="dxa"/>
            <w:gridSpan w:val="2"/>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0.096</w:t>
            </w:r>
          </w:p>
        </w:tc>
        <w:tc>
          <w:tcPr>
            <w:tcW w:w="1043"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0.083</w:t>
            </w:r>
          </w:p>
        </w:tc>
        <w:tc>
          <w:tcPr>
            <w:tcW w:w="1045"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0.099</w:t>
            </w:r>
          </w:p>
        </w:tc>
        <w:tc>
          <w:tcPr>
            <w:tcW w:w="1092"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六价铬</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0.054</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0.053</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0.049</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0.011</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0.009</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0.012</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镉</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0.358</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0.412</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0.391</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0.004</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0.003</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0.003</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铅</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0.046</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0.040</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0.053</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0.0242</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0.0239</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0.0245</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铜</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0.05</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0.06</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0.05</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0.02</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0.03</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锌</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0.18</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0.13</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0.20</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0.07</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0.05</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0.08</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铁</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6.88</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6.04</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6.25</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0.43</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0.37</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0.35</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锰</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1.65</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1.32</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1.57</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0.11</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0.09</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0.14</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510" w:hRule="exact"/>
          <w:jc w:val="center"/>
        </w:trPr>
        <w:tc>
          <w:tcPr>
            <w:tcW w:w="1666"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色度</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400</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410</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400</w:t>
            </w:r>
          </w:p>
        </w:tc>
        <w:tc>
          <w:tcPr>
            <w:tcW w:w="1043" w:type="dxa"/>
            <w:gridSpan w:val="2"/>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4</w:t>
            </w:r>
          </w:p>
        </w:tc>
        <w:tc>
          <w:tcPr>
            <w:tcW w:w="1043"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5</w:t>
            </w:r>
          </w:p>
        </w:tc>
        <w:tc>
          <w:tcPr>
            <w:tcW w:w="1045"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4</w:t>
            </w:r>
          </w:p>
        </w:tc>
        <w:tc>
          <w:tcPr>
            <w:tcW w:w="1092" w:type="dxa"/>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lang w:val="en-US" w:eastAsia="zh-CN"/>
              </w:rPr>
              <w:t>40</w:t>
            </w:r>
          </w:p>
        </w:tc>
      </w:tr>
    </w:tbl>
    <w:p>
      <w:pPr>
        <w:rPr>
          <w:rFonts w:hint="eastAsia"/>
          <w:color w:val="auto"/>
          <w:u w:val="single"/>
          <w:lang w:val="en-US" w:eastAsia="zh-CN"/>
        </w:rPr>
      </w:pPr>
      <w:r>
        <w:rPr>
          <w:rFonts w:hint="eastAsia"/>
          <w:color w:val="auto"/>
          <w:u w:val="single"/>
          <w:lang w:val="en-US" w:eastAsia="zh-CN"/>
        </w:rPr>
        <w:t>由上表可知，污水处理站出口的</w:t>
      </w:r>
      <w:r>
        <w:rPr>
          <w:rFonts w:hint="default"/>
          <w:color w:val="auto"/>
          <w:u w:val="single"/>
          <w:lang w:val="en-US" w:eastAsia="zh-CN"/>
        </w:rPr>
        <w:t>COD</w:t>
      </w:r>
      <w:r>
        <w:rPr>
          <w:rFonts w:hint="default"/>
          <w:color w:val="auto"/>
          <w:u w:val="single"/>
          <w:vertAlign w:val="subscript"/>
          <w:lang w:val="en-US" w:eastAsia="zh-CN"/>
        </w:rPr>
        <w:t>Cr</w:t>
      </w:r>
      <w:r>
        <w:rPr>
          <w:rFonts w:hint="eastAsia"/>
          <w:color w:val="auto"/>
          <w:u w:val="single"/>
          <w:lang w:val="en-US" w:eastAsia="zh-CN"/>
        </w:rPr>
        <w:t>、</w:t>
      </w:r>
      <w:r>
        <w:rPr>
          <w:rFonts w:hint="default"/>
          <w:color w:val="auto"/>
          <w:u w:val="single"/>
          <w:lang w:val="en-US" w:eastAsia="zh-CN"/>
        </w:rPr>
        <w:t>BOD</w:t>
      </w:r>
      <w:r>
        <w:rPr>
          <w:rFonts w:hint="default"/>
          <w:color w:val="auto"/>
          <w:u w:val="single"/>
          <w:vertAlign w:val="subscript"/>
          <w:lang w:val="en-US" w:eastAsia="zh-CN"/>
        </w:rPr>
        <w:t>5</w:t>
      </w:r>
      <w:r>
        <w:rPr>
          <w:rFonts w:hint="eastAsia"/>
          <w:color w:val="auto"/>
          <w:u w:val="single"/>
          <w:lang w:val="en-US" w:eastAsia="zh-CN"/>
        </w:rPr>
        <w:t>、NH</w:t>
      </w:r>
      <w:r>
        <w:rPr>
          <w:rFonts w:hint="eastAsia"/>
          <w:color w:val="auto"/>
          <w:u w:val="single"/>
          <w:vertAlign w:val="subscript"/>
          <w:lang w:val="en-US" w:eastAsia="zh-CN"/>
        </w:rPr>
        <w:t>3</w:t>
      </w:r>
      <w:r>
        <w:rPr>
          <w:rFonts w:hint="eastAsia"/>
          <w:color w:val="auto"/>
          <w:u w:val="single"/>
          <w:lang w:val="en-US" w:eastAsia="zh-CN"/>
        </w:rPr>
        <w:t>-N、SS、TN、TP、粪大肠菌群、砷、汞、总铬、六价铬、镉、铅、色度等14项污染因子均满足《生活垃圾填埋场污染物控制标准》（GB1889-2008）中表2标准限值，其他污染因子均满足《污水综合排放标准》（GB8978-1996）中表4一级标准限值。</w:t>
      </w:r>
    </w:p>
    <w:p>
      <w:pPr>
        <w:pStyle w:val="4"/>
        <w:rPr>
          <w:rFonts w:hint="eastAsia"/>
          <w:color w:val="auto"/>
          <w:u w:val="single"/>
          <w:lang w:val="en-US" w:eastAsia="zh-CN"/>
        </w:rPr>
      </w:pPr>
      <w:r>
        <w:rPr>
          <w:rFonts w:hint="eastAsia"/>
          <w:color w:val="auto"/>
          <w:u w:val="single"/>
          <w:lang w:val="en-US" w:eastAsia="zh-CN"/>
        </w:rPr>
        <w:t>3.4.3噪声</w:t>
      </w:r>
    </w:p>
    <w:p>
      <w:pPr>
        <w:rPr>
          <w:rFonts w:hint="eastAsia"/>
          <w:color w:val="auto"/>
          <w:u w:val="single"/>
          <w:lang w:val="en-US" w:eastAsia="zh-CN"/>
        </w:rPr>
      </w:pPr>
      <w:r>
        <w:rPr>
          <w:rFonts w:hint="eastAsia"/>
          <w:color w:val="auto"/>
          <w:u w:val="single"/>
          <w:lang w:val="en-US" w:eastAsia="zh-CN"/>
        </w:rPr>
        <w:t>该填埋场噪声主要来源于运输车辆进出填埋场的交通运输噪声、作业区工程机械噪声和废水处理系统的机械运转噪声等。</w:t>
      </w:r>
    </w:p>
    <w:p>
      <w:pPr>
        <w:rPr>
          <w:rFonts w:hint="eastAsia"/>
          <w:color w:val="auto"/>
          <w:sz w:val="24"/>
          <w:szCs w:val="24"/>
          <w:u w:val="single"/>
          <w:lang w:val="en-US" w:eastAsia="zh-CN"/>
        </w:rPr>
      </w:pPr>
      <w:r>
        <w:rPr>
          <w:rFonts w:hint="eastAsia"/>
          <w:color w:val="auto"/>
          <w:u w:val="single"/>
          <w:lang w:val="en-US" w:eastAsia="zh-CN"/>
        </w:rPr>
        <w:t>本项目目前未实施场区噪声监测计划，因此，</w:t>
      </w:r>
      <w:r>
        <w:rPr>
          <w:rFonts w:hint="eastAsia"/>
          <w:color w:val="auto"/>
          <w:sz w:val="24"/>
          <w:szCs w:val="24"/>
          <w:u w:val="single"/>
          <w:lang w:val="en-US" w:eastAsia="zh-CN"/>
        </w:rPr>
        <w:t>本次环评期间，特委托岳阳市衡润检测有限公司2017年1月3日~4日对I周厂界进行了现场检测，检测结果详见表3-3。</w:t>
      </w:r>
    </w:p>
    <w:p>
      <w:pPr>
        <w:pStyle w:val="23"/>
        <w:rPr>
          <w:rFonts w:hint="eastAsia"/>
          <w:b/>
          <w:bCs/>
          <w:color w:val="auto"/>
          <w:u w:val="single"/>
          <w:lang w:val="en-US" w:eastAsia="zh-CN"/>
        </w:rPr>
      </w:pPr>
      <w:r>
        <w:rPr>
          <w:rFonts w:hint="eastAsia"/>
          <w:b/>
          <w:bCs/>
          <w:color w:val="auto"/>
          <w:u w:val="single"/>
          <w:lang w:val="en-US" w:eastAsia="zh-CN"/>
        </w:rPr>
        <w:t>表3-3  厂界噪声检测结果一览表</w:t>
      </w:r>
    </w:p>
    <w:tbl>
      <w:tblPr>
        <w:tblStyle w:val="20"/>
        <w:tblW w:w="85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4"/>
        <w:gridCol w:w="783"/>
        <w:gridCol w:w="1360"/>
        <w:gridCol w:w="1360"/>
        <w:gridCol w:w="1360"/>
        <w:gridCol w:w="1360"/>
        <w:gridCol w:w="13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17" w:type="dxa"/>
            <w:gridSpan w:val="2"/>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vertAlign w:val="baseline"/>
                <w:lang w:val="en-US" w:eastAsia="zh-CN"/>
              </w:rPr>
              <w:t>检测时间</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ascii="Times New Roman" w:hAnsi="Times New Roman" w:eastAsia="宋体" w:cstheme="minorBidi"/>
                <w:color w:val="auto"/>
                <w:kern w:val="2"/>
                <w:sz w:val="21"/>
                <w:szCs w:val="21"/>
                <w:u w:val="single"/>
                <w:vertAlign w:val="baseline"/>
                <w:lang w:val="en-US" w:eastAsia="zh-CN" w:bidi="ar-SA"/>
              </w:rPr>
            </w:pPr>
            <w:r>
              <w:rPr>
                <w:rFonts w:hint="eastAsia"/>
                <w:color w:val="auto"/>
                <w:u w:val="single"/>
                <w:lang w:val="en-US" w:eastAsia="zh-CN"/>
              </w:rPr>
              <w:t>厂界北</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lang w:val="en-US" w:eastAsia="zh-CN"/>
              </w:rPr>
              <w:t>厂界东</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lang w:val="en-US" w:eastAsia="zh-CN"/>
              </w:rPr>
              <w:t>厂界南</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lang w:val="en-US" w:eastAsia="zh-CN"/>
              </w:rPr>
              <w:t>厂界西</w:t>
            </w:r>
          </w:p>
        </w:tc>
        <w:tc>
          <w:tcPr>
            <w:tcW w:w="1362" w:type="dxa"/>
            <w:vAlign w:val="center"/>
          </w:tcPr>
          <w:p>
            <w:pPr>
              <w:pStyle w:val="23"/>
              <w:keepNext w:val="0"/>
              <w:keepLines w:val="0"/>
              <w:suppressLineNumbers w:val="0"/>
              <w:spacing w:before="0" w:beforeAutospacing="0" w:after="0" w:afterAutospacing="0"/>
              <w:ind w:left="0" w:right="0"/>
              <w:jc w:val="center"/>
              <w:rPr>
                <w:rFonts w:hint="eastAsia"/>
                <w:color w:val="auto"/>
                <w:u w:val="single"/>
                <w:lang w:val="en-US" w:eastAsia="zh-CN"/>
              </w:rPr>
            </w:pPr>
            <w:r>
              <w:rPr>
                <w:rFonts w:hint="eastAsia"/>
                <w:color w:val="auto"/>
                <w:u w:val="single"/>
                <w:lang w:val="en-US" w:eastAsia="zh-CN"/>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4"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vertAlign w:val="baseline"/>
                <w:lang w:val="en-US" w:eastAsia="zh-CN"/>
              </w:rPr>
              <w:t>1月3日</w:t>
            </w:r>
          </w:p>
        </w:tc>
        <w:tc>
          <w:tcPr>
            <w:tcW w:w="783"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vertAlign w:val="baseline"/>
                <w:lang w:val="en-US" w:eastAsia="zh-CN"/>
              </w:rPr>
              <w:t>昼间</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ascii="Times New Roman" w:hAnsi="Times New Roman" w:eastAsia="宋体" w:cstheme="minorBidi"/>
                <w:color w:val="auto"/>
                <w:kern w:val="2"/>
                <w:sz w:val="21"/>
                <w:szCs w:val="21"/>
                <w:u w:val="single"/>
                <w:vertAlign w:val="baseline"/>
                <w:lang w:val="en-US" w:eastAsia="zh-CN" w:bidi="ar-SA"/>
              </w:rPr>
            </w:pPr>
            <w:r>
              <w:rPr>
                <w:rFonts w:hint="eastAsia" w:cstheme="minorBidi"/>
                <w:color w:val="auto"/>
                <w:kern w:val="2"/>
                <w:sz w:val="21"/>
                <w:szCs w:val="21"/>
                <w:u w:val="single"/>
                <w:vertAlign w:val="baseline"/>
                <w:lang w:val="en-US" w:eastAsia="zh-CN" w:bidi="ar-SA"/>
              </w:rPr>
              <w:t>58.7</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vertAlign w:val="baseline"/>
                <w:lang w:val="en-US" w:eastAsia="zh-CN"/>
              </w:rPr>
              <w:t>57.2</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vertAlign w:val="baseline"/>
                <w:lang w:val="en-US" w:eastAsia="zh-CN"/>
              </w:rPr>
              <w:t>56.1</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vertAlign w:val="baseline"/>
                <w:lang w:val="en-US" w:eastAsia="zh-CN"/>
              </w:rPr>
              <w:t>59.1</w:t>
            </w:r>
          </w:p>
        </w:tc>
        <w:tc>
          <w:tcPr>
            <w:tcW w:w="1362"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vertAlign w:val="baseline"/>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4"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83" w:type="dxa"/>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vertAlign w:val="baseline"/>
                <w:lang w:val="en-US" w:eastAsia="zh-CN"/>
              </w:rPr>
              <w:t>夜间</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ascii="Times New Roman" w:hAnsi="Times New Roman" w:eastAsia="宋体" w:cstheme="minorBidi"/>
                <w:color w:val="auto"/>
                <w:kern w:val="2"/>
                <w:sz w:val="21"/>
                <w:szCs w:val="21"/>
                <w:u w:val="single"/>
                <w:vertAlign w:val="baseline"/>
                <w:lang w:val="en-US" w:eastAsia="zh-CN" w:bidi="ar-SA"/>
              </w:rPr>
            </w:pPr>
            <w:r>
              <w:rPr>
                <w:rFonts w:hint="eastAsia" w:cstheme="minorBidi"/>
                <w:color w:val="auto"/>
                <w:kern w:val="2"/>
                <w:sz w:val="21"/>
                <w:szCs w:val="21"/>
                <w:u w:val="single"/>
                <w:vertAlign w:val="baseline"/>
                <w:lang w:val="en-US" w:eastAsia="zh-CN" w:bidi="ar-SA"/>
              </w:rPr>
              <w:t>43.6</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vertAlign w:val="baseline"/>
                <w:lang w:val="en-US" w:eastAsia="zh-CN"/>
              </w:rPr>
              <w:t>44.5</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vertAlign w:val="baseline"/>
                <w:lang w:val="en-US" w:eastAsia="zh-CN"/>
              </w:rPr>
              <w:t>41.2</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vertAlign w:val="baseline"/>
                <w:lang w:val="en-US" w:eastAsia="zh-CN"/>
              </w:rPr>
              <w:t>44.6</w:t>
            </w:r>
          </w:p>
        </w:tc>
        <w:tc>
          <w:tcPr>
            <w:tcW w:w="1362" w:type="dxa"/>
            <w:vAlign w:val="center"/>
          </w:tcPr>
          <w:p>
            <w:pPr>
              <w:pStyle w:val="23"/>
              <w:keepNext w:val="0"/>
              <w:keepLines w:val="0"/>
              <w:suppressLineNumbers w:val="0"/>
              <w:spacing w:before="0" w:beforeAutospacing="0" w:after="0" w:afterAutospacing="0"/>
              <w:ind w:left="0" w:right="0"/>
              <w:jc w:val="center"/>
              <w:rPr>
                <w:rFonts w:hint="eastAsia"/>
                <w:color w:val="auto"/>
                <w:u w:val="single"/>
                <w:vertAlign w:val="baseline"/>
                <w:lang w:val="en-US" w:eastAsia="zh-CN"/>
              </w:rPr>
            </w:pPr>
            <w:r>
              <w:rPr>
                <w:rFonts w:hint="eastAsia"/>
                <w:color w:val="auto"/>
                <w:u w:val="single"/>
                <w:vertAlign w:val="baseline"/>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4"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r>
              <w:rPr>
                <w:rFonts w:hint="eastAsia"/>
                <w:color w:val="auto"/>
                <w:u w:val="single"/>
                <w:vertAlign w:val="baseline"/>
                <w:lang w:val="en-US" w:eastAsia="zh-CN"/>
              </w:rPr>
              <w:t>1月4日</w:t>
            </w:r>
          </w:p>
        </w:tc>
        <w:tc>
          <w:tcPr>
            <w:tcW w:w="783" w:type="dxa"/>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val="en-US" w:eastAsia="zh-CN"/>
              </w:rPr>
            </w:pPr>
            <w:r>
              <w:rPr>
                <w:rFonts w:hint="eastAsia"/>
                <w:color w:val="auto"/>
                <w:u w:val="single"/>
                <w:vertAlign w:val="baseline"/>
                <w:lang w:val="en-US" w:eastAsia="zh-CN"/>
              </w:rPr>
              <w:t>昼间</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ascii="Times New Roman" w:hAnsi="Times New Roman" w:eastAsia="宋体" w:cstheme="minorBidi"/>
                <w:color w:val="auto"/>
                <w:kern w:val="2"/>
                <w:sz w:val="21"/>
                <w:szCs w:val="21"/>
                <w:u w:val="single"/>
                <w:vertAlign w:val="baseline"/>
                <w:lang w:val="en-US" w:eastAsia="zh-CN" w:bidi="ar-SA"/>
              </w:rPr>
            </w:pPr>
            <w:r>
              <w:rPr>
                <w:rFonts w:hint="eastAsia" w:cstheme="minorBidi"/>
                <w:color w:val="auto"/>
                <w:kern w:val="2"/>
                <w:sz w:val="21"/>
                <w:szCs w:val="21"/>
                <w:u w:val="single"/>
                <w:vertAlign w:val="baseline"/>
                <w:lang w:val="en-US" w:eastAsia="zh-CN" w:bidi="ar-SA"/>
              </w:rPr>
              <w:t>57.3</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u w:val="single"/>
                <w:vertAlign w:val="baseline"/>
                <w:lang w:val="en-US" w:eastAsia="zh-CN"/>
              </w:rPr>
            </w:pPr>
            <w:r>
              <w:rPr>
                <w:rFonts w:hint="eastAsia"/>
                <w:color w:val="auto"/>
                <w:u w:val="single"/>
                <w:vertAlign w:val="baseline"/>
                <w:lang w:val="en-US" w:eastAsia="zh-CN"/>
              </w:rPr>
              <w:t>57.9</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u w:val="single"/>
                <w:vertAlign w:val="baseline"/>
                <w:lang w:val="en-US" w:eastAsia="zh-CN"/>
              </w:rPr>
            </w:pPr>
            <w:r>
              <w:rPr>
                <w:rFonts w:hint="eastAsia"/>
                <w:color w:val="auto"/>
                <w:u w:val="single"/>
                <w:vertAlign w:val="baseline"/>
                <w:lang w:val="en-US" w:eastAsia="zh-CN"/>
              </w:rPr>
              <w:t>58.1</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u w:val="single"/>
                <w:vertAlign w:val="baseline"/>
                <w:lang w:val="en-US" w:eastAsia="zh-CN"/>
              </w:rPr>
            </w:pPr>
            <w:r>
              <w:rPr>
                <w:rFonts w:hint="eastAsia"/>
                <w:color w:val="auto"/>
                <w:u w:val="single"/>
                <w:vertAlign w:val="baseline"/>
                <w:lang w:val="en-US" w:eastAsia="zh-CN"/>
              </w:rPr>
              <w:t>59.7</w:t>
            </w:r>
          </w:p>
        </w:tc>
        <w:tc>
          <w:tcPr>
            <w:tcW w:w="1362"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u w:val="single"/>
                <w:vertAlign w:val="baseline"/>
                <w:lang w:val="en-US" w:eastAsia="zh-CN"/>
              </w:rPr>
            </w:pPr>
            <w:r>
              <w:rPr>
                <w:rFonts w:hint="eastAsia"/>
                <w:color w:val="auto"/>
                <w:u w:val="single"/>
                <w:vertAlign w:val="baseline"/>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4"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u w:val="single"/>
                <w:lang w:val="en-US" w:eastAsia="zh-CN"/>
              </w:rPr>
            </w:pPr>
          </w:p>
        </w:tc>
        <w:tc>
          <w:tcPr>
            <w:tcW w:w="783" w:type="dxa"/>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u w:val="single"/>
                <w:lang w:val="en-US" w:eastAsia="zh-CN"/>
              </w:rPr>
            </w:pPr>
            <w:r>
              <w:rPr>
                <w:rFonts w:hint="eastAsia"/>
                <w:color w:val="auto"/>
                <w:u w:val="single"/>
                <w:vertAlign w:val="baseline"/>
                <w:lang w:val="en-US" w:eastAsia="zh-CN"/>
              </w:rPr>
              <w:t>夜间</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ascii="Times New Roman" w:hAnsi="Times New Roman" w:eastAsia="宋体" w:cstheme="minorBidi"/>
                <w:color w:val="auto"/>
                <w:kern w:val="2"/>
                <w:sz w:val="21"/>
                <w:szCs w:val="21"/>
                <w:u w:val="single"/>
                <w:vertAlign w:val="baseline"/>
                <w:lang w:val="en-US" w:eastAsia="zh-CN" w:bidi="ar-SA"/>
              </w:rPr>
            </w:pPr>
            <w:r>
              <w:rPr>
                <w:rFonts w:hint="eastAsia" w:cstheme="minorBidi"/>
                <w:color w:val="auto"/>
                <w:kern w:val="2"/>
                <w:sz w:val="21"/>
                <w:szCs w:val="21"/>
                <w:u w:val="single"/>
                <w:vertAlign w:val="baseline"/>
                <w:lang w:val="en-US" w:eastAsia="zh-CN" w:bidi="ar-SA"/>
              </w:rPr>
              <w:t>42.6</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u w:val="single"/>
                <w:vertAlign w:val="baseline"/>
                <w:lang w:val="en-US" w:eastAsia="zh-CN"/>
              </w:rPr>
            </w:pPr>
            <w:r>
              <w:rPr>
                <w:rFonts w:hint="eastAsia"/>
                <w:color w:val="auto"/>
                <w:u w:val="single"/>
                <w:vertAlign w:val="baseline"/>
                <w:lang w:val="en-US" w:eastAsia="zh-CN"/>
              </w:rPr>
              <w:t>39.7</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u w:val="single"/>
                <w:vertAlign w:val="baseline"/>
                <w:lang w:val="en-US" w:eastAsia="zh-CN"/>
              </w:rPr>
            </w:pPr>
            <w:r>
              <w:rPr>
                <w:rFonts w:hint="eastAsia"/>
                <w:color w:val="auto"/>
                <w:u w:val="single"/>
                <w:vertAlign w:val="baseline"/>
                <w:lang w:val="en-US" w:eastAsia="zh-CN"/>
              </w:rPr>
              <w:t>44.2</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u w:val="single"/>
                <w:vertAlign w:val="baseline"/>
                <w:lang w:val="en-US" w:eastAsia="zh-CN"/>
              </w:rPr>
            </w:pPr>
            <w:r>
              <w:rPr>
                <w:rFonts w:hint="eastAsia"/>
                <w:color w:val="auto"/>
                <w:u w:val="single"/>
                <w:vertAlign w:val="baseline"/>
                <w:lang w:val="en-US" w:eastAsia="zh-CN"/>
              </w:rPr>
              <w:t>43.6</w:t>
            </w:r>
          </w:p>
        </w:tc>
        <w:tc>
          <w:tcPr>
            <w:tcW w:w="1362"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u w:val="single"/>
                <w:vertAlign w:val="baseline"/>
                <w:lang w:val="en-US" w:eastAsia="zh-CN"/>
              </w:rPr>
            </w:pPr>
            <w:r>
              <w:rPr>
                <w:rFonts w:hint="eastAsia"/>
                <w:color w:val="auto"/>
                <w:u w:val="single"/>
                <w:vertAlign w:val="baseline"/>
                <w:lang w:val="en-US" w:eastAsia="zh-CN"/>
              </w:rPr>
              <w:t>50</w:t>
            </w:r>
          </w:p>
        </w:tc>
      </w:tr>
    </w:tbl>
    <w:p>
      <w:pPr>
        <w:rPr>
          <w:rFonts w:hint="eastAsia"/>
          <w:color w:val="auto"/>
          <w:u w:val="single"/>
          <w:lang w:val="en-US" w:eastAsia="zh-CN"/>
        </w:rPr>
      </w:pPr>
      <w:r>
        <w:rPr>
          <w:rFonts w:hint="eastAsia"/>
          <w:color w:val="auto"/>
          <w:u w:val="single"/>
          <w:lang w:val="en-US" w:eastAsia="zh-CN"/>
        </w:rPr>
        <w:t>由上表可知，四周厂界昼间、夜间噪声值均达到了《工业企业厂界环境噪声排放标准》（GB12348-2008）中2类标准。</w:t>
      </w:r>
    </w:p>
    <w:p>
      <w:pPr>
        <w:pStyle w:val="4"/>
        <w:rPr>
          <w:rFonts w:hint="eastAsia"/>
          <w:color w:val="auto"/>
          <w:u w:val="single"/>
          <w:lang w:val="en-US" w:eastAsia="zh-CN"/>
        </w:rPr>
      </w:pPr>
      <w:r>
        <w:rPr>
          <w:rFonts w:hint="eastAsia"/>
          <w:color w:val="auto"/>
          <w:u w:val="single"/>
          <w:lang w:val="en-US" w:eastAsia="zh-CN"/>
        </w:rPr>
        <w:t>3.4.4固体废物</w:t>
      </w:r>
    </w:p>
    <w:p>
      <w:pPr>
        <w:rPr>
          <w:rFonts w:hint="eastAsia"/>
          <w:color w:val="auto"/>
          <w:u w:val="single"/>
          <w:lang w:val="en-US" w:eastAsia="zh-CN"/>
        </w:rPr>
      </w:pPr>
      <w:r>
        <w:rPr>
          <w:rFonts w:hint="eastAsia"/>
          <w:color w:val="auto"/>
          <w:u w:val="single"/>
          <w:lang w:val="en-US" w:eastAsia="zh-CN"/>
        </w:rPr>
        <w:t>该填埋场现有工程产生的固废主要为污水处理站产生的污泥、检修替换的废膜和生活垃圾，根据建设单位提供资料，污泥产生量为13.2t/a、废膜产生量为1.6t/a、生活垃圾产生量为7.3t/a。场区内产生的固体废物均送填埋库区进行卫生填埋。</w:t>
      </w:r>
    </w:p>
    <w:p>
      <w:pPr>
        <w:rPr>
          <w:rFonts w:hint="eastAsia"/>
          <w:color w:val="auto"/>
          <w:sz w:val="24"/>
          <w:szCs w:val="24"/>
          <w:u w:val="single"/>
          <w:lang w:val="en-US" w:eastAsia="zh-CN"/>
        </w:rPr>
      </w:pPr>
      <w:r>
        <w:rPr>
          <w:rFonts w:hint="eastAsia"/>
          <w:color w:val="auto"/>
          <w:sz w:val="24"/>
          <w:szCs w:val="24"/>
          <w:u w:val="single"/>
          <w:lang w:val="en-US" w:eastAsia="zh-CN"/>
        </w:rPr>
        <w:t>综上所述，该填埋场现有工程废气、废水、噪声均能达标排放，固体废物均送至填埋库区进行填埋处理。</w:t>
      </w:r>
    </w:p>
    <w:p>
      <w:pPr>
        <w:pStyle w:val="3"/>
        <w:rPr>
          <w:rFonts w:hint="eastAsia"/>
          <w:lang w:val="en-US" w:eastAsia="zh-CN"/>
        </w:rPr>
      </w:pPr>
      <w:bookmarkStart w:id="29" w:name="_Toc12721"/>
      <w:r>
        <w:rPr>
          <w:rFonts w:hint="eastAsia"/>
          <w:lang w:val="en-US" w:eastAsia="zh-CN"/>
        </w:rPr>
        <w:t>3.5现有工程污染物排放汇总</w:t>
      </w:r>
      <w:bookmarkEnd w:id="29"/>
    </w:p>
    <w:p>
      <w:pPr>
        <w:rPr>
          <w:rFonts w:hint="eastAsia"/>
          <w:lang w:val="en-US" w:eastAsia="zh-CN"/>
        </w:rPr>
      </w:pPr>
      <w:r>
        <w:rPr>
          <w:rFonts w:hint="eastAsia"/>
          <w:lang w:val="en-US" w:eastAsia="zh-CN"/>
        </w:rPr>
        <w:t>根据对现有工程进行现状检测及建设单位提供信息，现有项目废水、废气、固废的排放情况具体如下：</w:t>
      </w:r>
    </w:p>
    <w:p>
      <w:pPr>
        <w:pStyle w:val="23"/>
        <w:rPr>
          <w:rFonts w:hint="eastAsia"/>
          <w:b/>
          <w:bCs/>
          <w:lang w:val="en-US" w:eastAsia="zh-CN"/>
        </w:rPr>
      </w:pPr>
      <w:r>
        <w:rPr>
          <w:rFonts w:hint="eastAsia"/>
          <w:b/>
          <w:bCs/>
          <w:lang w:val="en-US" w:eastAsia="zh-CN"/>
        </w:rPr>
        <w:t>表3-4  现有工程废气污染物排放情况一览表</w:t>
      </w:r>
    </w:p>
    <w:tbl>
      <w:tblPr>
        <w:tblStyle w:val="20"/>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5"/>
        <w:gridCol w:w="2535"/>
        <w:gridCol w:w="2430"/>
        <w:gridCol w:w="2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65"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类型</w:t>
            </w:r>
          </w:p>
        </w:tc>
        <w:tc>
          <w:tcPr>
            <w:tcW w:w="2535"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污染物名称</w:t>
            </w:r>
          </w:p>
        </w:tc>
        <w:tc>
          <w:tcPr>
            <w:tcW w:w="2430"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厂界浓度（mg/m</w:t>
            </w:r>
            <w:r>
              <w:rPr>
                <w:rFonts w:hint="eastAsia"/>
                <w:vertAlign w:val="superscript"/>
                <w:lang w:val="en-US" w:eastAsia="zh-CN"/>
              </w:rPr>
              <w:t>3</w:t>
            </w:r>
            <w:r>
              <w:rPr>
                <w:rFonts w:hint="eastAsia"/>
                <w:vertAlign w:val="baseline"/>
                <w:lang w:val="en-US" w:eastAsia="zh-CN"/>
              </w:rPr>
              <w:t>）</w:t>
            </w:r>
          </w:p>
        </w:tc>
        <w:tc>
          <w:tcPr>
            <w:tcW w:w="2292"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理论计算排放量（t/a）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65" w:type="dxa"/>
            <w:vMerge w:val="restart"/>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废气</w:t>
            </w:r>
          </w:p>
        </w:tc>
        <w:tc>
          <w:tcPr>
            <w:tcW w:w="2535"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color w:val="auto"/>
                <w:lang w:val="en-US" w:eastAsia="zh-CN"/>
              </w:rPr>
              <w:t>颗粒物</w:t>
            </w:r>
          </w:p>
        </w:tc>
        <w:tc>
          <w:tcPr>
            <w:tcW w:w="2430"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0.20</w:t>
            </w:r>
          </w:p>
        </w:tc>
        <w:tc>
          <w:tcPr>
            <w:tcW w:w="2292" w:type="dxa"/>
            <w:vAlign w:val="center"/>
          </w:tcPr>
          <w:p>
            <w:pPr>
              <w:pStyle w:val="23"/>
              <w:keepNext w:val="0"/>
              <w:keepLines w:val="0"/>
              <w:suppressLineNumbers w:val="0"/>
              <w:spacing w:before="0" w:beforeAutospacing="0" w:after="0" w:afterAutospacing="0"/>
              <w:ind w:left="0" w:right="0"/>
              <w:jc w:val="center"/>
              <w:rPr>
                <w:rFonts w:hint="eastAsia" w:ascii="Times New Roman" w:hAnsi="Times New Roman" w:eastAsia="宋体" w:cstheme="minorBidi"/>
                <w:kern w:val="2"/>
                <w:sz w:val="21"/>
                <w:szCs w:val="21"/>
                <w:vertAlign w:val="baseline"/>
                <w:lang w:val="en-US" w:eastAsia="zh-CN" w:bidi="ar-SA"/>
              </w:rPr>
            </w:pPr>
            <w:r>
              <w:rPr>
                <w:rFonts w:hint="eastAsia" w:ascii="Times New Roman" w:hAnsi="Times New Roman" w:eastAsia="宋体" w:cstheme="minorBidi"/>
                <w:kern w:val="2"/>
                <w:sz w:val="21"/>
                <w:szCs w:val="21"/>
                <w:vertAlign w:val="baseline"/>
                <w:lang w:val="en-US" w:eastAsia="zh-CN" w:bidi="ar-SA"/>
              </w:rPr>
              <w:t>少量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65"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c>
          <w:tcPr>
            <w:tcW w:w="2535"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color w:val="auto"/>
                <w:lang w:val="en-US" w:eastAsia="zh-CN"/>
              </w:rPr>
              <w:t>H</w:t>
            </w:r>
            <w:r>
              <w:rPr>
                <w:rFonts w:hint="eastAsia"/>
                <w:color w:val="auto"/>
                <w:vertAlign w:val="subscript"/>
                <w:lang w:val="en-US" w:eastAsia="zh-CN"/>
              </w:rPr>
              <w:t>2</w:t>
            </w:r>
            <w:r>
              <w:rPr>
                <w:rFonts w:hint="eastAsia"/>
                <w:color w:val="auto"/>
                <w:lang w:val="en-US" w:eastAsia="zh-CN"/>
              </w:rPr>
              <w:t>S</w:t>
            </w:r>
          </w:p>
        </w:tc>
        <w:tc>
          <w:tcPr>
            <w:tcW w:w="2430"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0.004</w:t>
            </w:r>
          </w:p>
        </w:tc>
        <w:tc>
          <w:tcPr>
            <w:tcW w:w="2292" w:type="dxa"/>
            <w:shd w:val="clear" w:color="auto" w:fill="auto"/>
            <w:textDirection w:val="lrTb"/>
            <w:vAlign w:val="center"/>
          </w:tcPr>
          <w:p>
            <w:pPr>
              <w:keepNext w:val="0"/>
              <w:keepLines w:val="0"/>
              <w:widowControl/>
              <w:suppressLineNumbers w:val="0"/>
              <w:spacing w:before="0" w:beforeAutospacing="0" w:after="0" w:afterAutospacing="0"/>
              <w:ind w:left="0" w:leftChars="0" w:right="0" w:firstLine="0" w:firstLineChars="0"/>
              <w:jc w:val="center"/>
              <w:rPr>
                <w:rFonts w:hint="eastAsia" w:ascii="Times New Roman" w:hAnsi="Times New Roman" w:eastAsia="宋体" w:cstheme="minorBidi"/>
                <w:kern w:val="2"/>
                <w:sz w:val="21"/>
                <w:szCs w:val="21"/>
                <w:vertAlign w:val="baseline"/>
                <w:lang w:val="en-US" w:eastAsia="zh-CN" w:bidi="ar-SA"/>
              </w:rPr>
            </w:pPr>
            <w:r>
              <w:rPr>
                <w:rFonts w:hint="eastAsia" w:cstheme="minorBidi"/>
                <w:kern w:val="2"/>
                <w:sz w:val="21"/>
                <w:szCs w:val="21"/>
                <w:vertAlign w:val="baseline"/>
                <w:lang w:val="en-US" w:eastAsia="zh-CN" w:bidi="ar-SA"/>
              </w:rPr>
              <w:t>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65"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c>
          <w:tcPr>
            <w:tcW w:w="2535"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color w:val="auto"/>
                <w:lang w:val="en-US" w:eastAsia="zh-CN"/>
              </w:rPr>
              <w:t>NH</w:t>
            </w:r>
            <w:r>
              <w:rPr>
                <w:rFonts w:hint="eastAsia"/>
                <w:color w:val="auto"/>
                <w:vertAlign w:val="subscript"/>
                <w:lang w:val="en-US" w:eastAsia="zh-CN"/>
              </w:rPr>
              <w:t>3</w:t>
            </w:r>
          </w:p>
        </w:tc>
        <w:tc>
          <w:tcPr>
            <w:tcW w:w="2430"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0.22</w:t>
            </w:r>
          </w:p>
        </w:tc>
        <w:tc>
          <w:tcPr>
            <w:tcW w:w="2292" w:type="dxa"/>
            <w:shd w:val="clear" w:color="auto" w:fill="auto"/>
            <w:textDirection w:val="lrTb"/>
            <w:vAlign w:val="center"/>
          </w:tcPr>
          <w:p>
            <w:pPr>
              <w:keepNext w:val="0"/>
              <w:keepLines w:val="0"/>
              <w:widowControl/>
              <w:suppressLineNumbers w:val="0"/>
              <w:spacing w:before="0" w:beforeAutospacing="0" w:after="0" w:afterAutospacing="0"/>
              <w:ind w:left="0" w:leftChars="0" w:right="0" w:firstLine="0" w:firstLineChars="0"/>
              <w:jc w:val="center"/>
              <w:rPr>
                <w:rFonts w:hint="eastAsia" w:ascii="Times New Roman" w:hAnsi="Times New Roman" w:eastAsia="宋体" w:cstheme="minorBidi"/>
                <w:kern w:val="2"/>
                <w:sz w:val="21"/>
                <w:szCs w:val="21"/>
                <w:vertAlign w:val="baseline"/>
                <w:lang w:val="en-US" w:eastAsia="zh-CN" w:bidi="ar-SA"/>
              </w:rPr>
            </w:pPr>
            <w:r>
              <w:rPr>
                <w:rFonts w:hint="eastAsia" w:ascii="Times New Roman" w:hAnsi="Times New Roman" w:eastAsia="宋体" w:cstheme="minorBidi"/>
                <w:kern w:val="2"/>
                <w:sz w:val="21"/>
                <w:szCs w:val="21"/>
                <w:vertAlign w:val="baseline"/>
                <w:lang w:val="en-US" w:eastAsia="zh-CN" w:bidi="ar-SA"/>
              </w:rPr>
              <w:t>2</w:t>
            </w:r>
            <w:r>
              <w:rPr>
                <w:rFonts w:hint="eastAsia" w:cstheme="minorBidi"/>
                <w:kern w:val="2"/>
                <w:sz w:val="21"/>
                <w:szCs w:val="21"/>
                <w:vertAlign w:val="baseline"/>
                <w:lang w:val="en-US" w:eastAsia="zh-CN" w:bidi="ar-SA"/>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65"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c>
          <w:tcPr>
            <w:tcW w:w="2535"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color w:val="auto"/>
                <w:lang w:val="en-US" w:eastAsia="zh-CN"/>
              </w:rPr>
              <w:t>臭气浓度</w:t>
            </w:r>
          </w:p>
        </w:tc>
        <w:tc>
          <w:tcPr>
            <w:tcW w:w="2430"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17</w:t>
            </w:r>
          </w:p>
        </w:tc>
        <w:tc>
          <w:tcPr>
            <w:tcW w:w="2292"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65"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c>
          <w:tcPr>
            <w:tcW w:w="2535" w:type="dxa"/>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eastAsia"/>
                <w:vertAlign w:val="baseline"/>
                <w:lang w:val="en-US" w:eastAsia="zh-CN"/>
              </w:rPr>
            </w:pPr>
            <w:r>
              <w:rPr>
                <w:rFonts w:hint="default"/>
                <w:color w:val="auto"/>
                <w:lang w:val="en-US" w:eastAsia="zh-CN"/>
              </w:rPr>
              <w:t>CH</w:t>
            </w:r>
            <w:r>
              <w:rPr>
                <w:rFonts w:hint="default"/>
                <w:color w:val="auto"/>
                <w:vertAlign w:val="subscript"/>
                <w:lang w:val="en-US" w:eastAsia="zh-CN"/>
              </w:rPr>
              <w:t>4</w:t>
            </w:r>
          </w:p>
        </w:tc>
        <w:tc>
          <w:tcPr>
            <w:tcW w:w="2430"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color w:val="auto"/>
                <w:lang w:val="en-US" w:eastAsia="zh-CN"/>
              </w:rPr>
              <w:t>0.002ND</w:t>
            </w:r>
          </w:p>
        </w:tc>
        <w:tc>
          <w:tcPr>
            <w:tcW w:w="2292"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551.19</w:t>
            </w:r>
          </w:p>
        </w:tc>
      </w:tr>
    </w:tbl>
    <w:p>
      <w:pPr>
        <w:pStyle w:val="23"/>
        <w:rPr>
          <w:rFonts w:hint="eastAsia"/>
          <w:b/>
          <w:bCs/>
          <w:lang w:val="en-US" w:eastAsia="zh-CN"/>
        </w:rPr>
      </w:pPr>
    </w:p>
    <w:p>
      <w:pPr>
        <w:pStyle w:val="23"/>
        <w:rPr>
          <w:rFonts w:hint="eastAsia"/>
          <w:b/>
          <w:bCs/>
          <w:lang w:val="en-US" w:eastAsia="zh-CN"/>
        </w:rPr>
      </w:pPr>
      <w:r>
        <w:rPr>
          <w:rFonts w:hint="eastAsia"/>
          <w:b/>
          <w:bCs/>
          <w:lang w:val="en-US" w:eastAsia="zh-CN"/>
        </w:rPr>
        <w:t>表3-5  现有工程废水污染物排放情况一览表</w:t>
      </w:r>
    </w:p>
    <w:tbl>
      <w:tblPr>
        <w:tblStyle w:val="20"/>
        <w:tblW w:w="85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942"/>
        <w:gridCol w:w="1231"/>
        <w:gridCol w:w="1360"/>
        <w:gridCol w:w="945"/>
        <w:gridCol w:w="1257"/>
        <w:gridCol w:w="1257"/>
        <w:gridCol w:w="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6"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类型</w:t>
            </w:r>
          </w:p>
        </w:tc>
        <w:tc>
          <w:tcPr>
            <w:tcW w:w="942" w:type="dxa"/>
            <w:vAlign w:val="center"/>
          </w:tcPr>
          <w:p>
            <w:pPr>
              <w:pStyle w:val="23"/>
              <w:keepNext w:val="0"/>
              <w:keepLines w:val="0"/>
              <w:suppressLineNumbers w:val="0"/>
              <w:spacing w:before="0" w:beforeAutospacing="0" w:after="0" w:afterAutospacing="0" w:line="240" w:lineRule="auto"/>
              <w:ind w:left="0" w:right="0"/>
              <w:jc w:val="center"/>
              <w:rPr>
                <w:rFonts w:hint="eastAsia"/>
                <w:vertAlign w:val="baseline"/>
                <w:lang w:val="en-US" w:eastAsia="zh-CN"/>
              </w:rPr>
            </w:pPr>
            <w:r>
              <w:rPr>
                <w:rFonts w:hint="eastAsia"/>
                <w:vertAlign w:val="baseline"/>
                <w:lang w:val="en-US" w:eastAsia="zh-CN"/>
              </w:rPr>
              <w:t>污染物名称</w:t>
            </w:r>
          </w:p>
        </w:tc>
        <w:tc>
          <w:tcPr>
            <w:tcW w:w="1231" w:type="dxa"/>
            <w:vAlign w:val="center"/>
          </w:tcPr>
          <w:p>
            <w:pPr>
              <w:pStyle w:val="23"/>
              <w:keepNext w:val="0"/>
              <w:keepLines w:val="0"/>
              <w:suppressLineNumbers w:val="0"/>
              <w:spacing w:before="0" w:beforeAutospacing="0" w:after="0" w:afterAutospacing="0" w:line="240" w:lineRule="auto"/>
              <w:ind w:left="0" w:right="0"/>
              <w:jc w:val="center"/>
              <w:rPr>
                <w:rFonts w:hint="eastAsia"/>
                <w:vertAlign w:val="baseline"/>
                <w:lang w:val="en-US" w:eastAsia="zh-CN"/>
              </w:rPr>
            </w:pPr>
            <w:r>
              <w:rPr>
                <w:rFonts w:hint="eastAsia"/>
                <w:vertAlign w:val="baseline"/>
                <w:lang w:val="en-US" w:eastAsia="zh-CN"/>
              </w:rPr>
              <w:t>废水</w:t>
            </w:r>
          </w:p>
          <w:p>
            <w:pPr>
              <w:pStyle w:val="23"/>
              <w:keepNext w:val="0"/>
              <w:keepLines w:val="0"/>
              <w:suppressLineNumbers w:val="0"/>
              <w:spacing w:before="0" w:beforeAutospacing="0" w:after="0" w:afterAutospacing="0" w:line="240" w:lineRule="auto"/>
              <w:ind w:left="0" w:right="0"/>
              <w:jc w:val="center"/>
              <w:rPr>
                <w:rFonts w:hint="eastAsia"/>
                <w:vertAlign w:val="baseline"/>
                <w:lang w:val="en-US" w:eastAsia="zh-CN"/>
              </w:rPr>
            </w:pPr>
            <w:r>
              <w:rPr>
                <w:rFonts w:hint="eastAsia"/>
                <w:vertAlign w:val="baseline"/>
                <w:lang w:val="en-US" w:eastAsia="zh-CN"/>
              </w:rPr>
              <w:t>产生量</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vertAlign w:val="baseline"/>
                <w:lang w:val="en-US" w:eastAsia="zh-CN"/>
              </w:rPr>
            </w:pPr>
            <w:r>
              <w:rPr>
                <w:rFonts w:hint="eastAsia"/>
                <w:vertAlign w:val="baseline"/>
                <w:lang w:val="en-US" w:eastAsia="zh-CN"/>
              </w:rPr>
              <w:t>产生浓度</w:t>
            </w:r>
            <w:r>
              <w:rPr>
                <w:rFonts w:hint="eastAsia"/>
                <w:color w:val="auto"/>
                <w:lang w:val="en-US" w:eastAsia="zh-CN"/>
              </w:rPr>
              <w:t>（mg/L）</w:t>
            </w:r>
          </w:p>
        </w:tc>
        <w:tc>
          <w:tcPr>
            <w:tcW w:w="945" w:type="dxa"/>
            <w:vAlign w:val="center"/>
          </w:tcPr>
          <w:p>
            <w:pPr>
              <w:pStyle w:val="23"/>
              <w:keepNext w:val="0"/>
              <w:keepLines w:val="0"/>
              <w:suppressLineNumbers w:val="0"/>
              <w:spacing w:before="0" w:beforeAutospacing="0" w:after="0" w:afterAutospacing="0" w:line="240" w:lineRule="auto"/>
              <w:ind w:left="0" w:right="0"/>
              <w:jc w:val="center"/>
              <w:rPr>
                <w:rFonts w:hint="eastAsia"/>
                <w:vertAlign w:val="baseline"/>
                <w:lang w:val="en-US" w:eastAsia="zh-CN"/>
              </w:rPr>
            </w:pPr>
            <w:r>
              <w:rPr>
                <w:rFonts w:hint="eastAsia"/>
                <w:vertAlign w:val="baseline"/>
                <w:lang w:val="en-US" w:eastAsia="zh-CN"/>
              </w:rPr>
              <w:t>产生量</w:t>
            </w:r>
            <w:r>
              <w:rPr>
                <w:rFonts w:hint="eastAsia"/>
                <w:color w:val="auto"/>
                <w:lang w:val="en-US" w:eastAsia="zh-CN"/>
              </w:rPr>
              <w:t>（t/a）</w:t>
            </w:r>
          </w:p>
        </w:tc>
        <w:tc>
          <w:tcPr>
            <w:tcW w:w="1257" w:type="dxa"/>
            <w:vAlign w:val="center"/>
          </w:tcPr>
          <w:p>
            <w:pPr>
              <w:pStyle w:val="23"/>
              <w:keepNext w:val="0"/>
              <w:keepLines w:val="0"/>
              <w:suppressLineNumbers w:val="0"/>
              <w:spacing w:before="0" w:beforeAutospacing="0" w:after="0" w:afterAutospacing="0" w:line="240" w:lineRule="auto"/>
              <w:ind w:left="0" w:right="0"/>
              <w:jc w:val="center"/>
              <w:rPr>
                <w:rFonts w:hint="eastAsia"/>
                <w:vertAlign w:val="baseline"/>
                <w:lang w:val="en-US" w:eastAsia="zh-CN"/>
              </w:rPr>
            </w:pPr>
            <w:r>
              <w:rPr>
                <w:rFonts w:hint="eastAsia"/>
                <w:vertAlign w:val="baseline"/>
                <w:lang w:val="en-US" w:eastAsia="zh-CN"/>
              </w:rPr>
              <w:t>废水</w:t>
            </w:r>
          </w:p>
          <w:p>
            <w:pPr>
              <w:pStyle w:val="23"/>
              <w:keepNext w:val="0"/>
              <w:keepLines w:val="0"/>
              <w:suppressLineNumbers w:val="0"/>
              <w:spacing w:before="0" w:beforeAutospacing="0" w:after="0" w:afterAutospacing="0" w:line="240" w:lineRule="auto"/>
              <w:ind w:left="0" w:right="0"/>
              <w:jc w:val="center"/>
              <w:rPr>
                <w:rFonts w:hint="eastAsia"/>
                <w:vertAlign w:val="baseline"/>
                <w:lang w:val="en-US" w:eastAsia="zh-CN"/>
              </w:rPr>
            </w:pPr>
            <w:r>
              <w:rPr>
                <w:rFonts w:hint="eastAsia"/>
                <w:vertAlign w:val="baseline"/>
                <w:lang w:val="en-US" w:eastAsia="zh-CN"/>
              </w:rPr>
              <w:t>排放量</w:t>
            </w:r>
          </w:p>
        </w:tc>
        <w:tc>
          <w:tcPr>
            <w:tcW w:w="1257" w:type="dxa"/>
            <w:vAlign w:val="center"/>
          </w:tcPr>
          <w:p>
            <w:pPr>
              <w:pStyle w:val="23"/>
              <w:keepNext w:val="0"/>
              <w:keepLines w:val="0"/>
              <w:suppressLineNumbers w:val="0"/>
              <w:spacing w:before="0" w:beforeAutospacing="0" w:after="0" w:afterAutospacing="0" w:line="240" w:lineRule="auto"/>
              <w:ind w:left="0" w:right="0"/>
              <w:jc w:val="center"/>
              <w:rPr>
                <w:rFonts w:hint="eastAsia"/>
                <w:vertAlign w:val="baseline"/>
                <w:lang w:val="en-US" w:eastAsia="zh-CN"/>
              </w:rPr>
            </w:pPr>
            <w:r>
              <w:rPr>
                <w:rFonts w:hint="eastAsia"/>
                <w:vertAlign w:val="baseline"/>
                <w:lang w:val="en-US" w:eastAsia="zh-CN"/>
              </w:rPr>
              <w:t>排放浓度</w:t>
            </w:r>
            <w:r>
              <w:rPr>
                <w:rFonts w:hint="eastAsia"/>
                <w:color w:val="auto"/>
                <w:lang w:val="en-US" w:eastAsia="zh-CN"/>
              </w:rPr>
              <w:t>（mg/L）</w:t>
            </w:r>
          </w:p>
        </w:tc>
        <w:tc>
          <w:tcPr>
            <w:tcW w:w="891" w:type="dxa"/>
            <w:vAlign w:val="center"/>
          </w:tcPr>
          <w:p>
            <w:pPr>
              <w:pStyle w:val="23"/>
              <w:keepNext w:val="0"/>
              <w:keepLines w:val="0"/>
              <w:suppressLineNumbers w:val="0"/>
              <w:spacing w:before="0" w:beforeAutospacing="0" w:after="0" w:afterAutospacing="0" w:line="240" w:lineRule="auto"/>
              <w:ind w:left="0" w:right="0"/>
              <w:jc w:val="center"/>
              <w:rPr>
                <w:rFonts w:hint="eastAsia"/>
                <w:vertAlign w:val="baseline"/>
                <w:lang w:val="en-US" w:eastAsia="zh-CN"/>
              </w:rPr>
            </w:pPr>
            <w:r>
              <w:rPr>
                <w:rFonts w:hint="eastAsia"/>
                <w:vertAlign w:val="baseline"/>
                <w:lang w:val="en-US" w:eastAsia="zh-CN"/>
              </w:rPr>
              <w:t>排放量</w:t>
            </w:r>
            <w:r>
              <w:rPr>
                <w:rFonts w:hint="eastAsia"/>
                <w:color w:val="auto"/>
                <w:lang w:val="en-US" w:eastAsia="zh-CN"/>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6" w:type="dxa"/>
            <w:vMerge w:val="restart"/>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废水</w:t>
            </w:r>
          </w:p>
        </w:tc>
        <w:tc>
          <w:tcPr>
            <w:tcW w:w="942"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COD</w:t>
            </w:r>
          </w:p>
        </w:tc>
        <w:tc>
          <w:tcPr>
            <w:tcW w:w="1231" w:type="dxa"/>
            <w:vMerge w:val="restart"/>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320m</w:t>
            </w:r>
            <w:r>
              <w:rPr>
                <w:rFonts w:hint="eastAsia"/>
                <w:vertAlign w:val="superscript"/>
                <w:lang w:val="en-US" w:eastAsia="zh-CN"/>
              </w:rPr>
              <w:t>3</w:t>
            </w:r>
            <w:r>
              <w:rPr>
                <w:rFonts w:hint="eastAsia"/>
                <w:vertAlign w:val="baseline"/>
                <w:lang w:val="en-US" w:eastAsia="zh-CN"/>
              </w:rPr>
              <w:t>/d</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4173</w:t>
            </w:r>
          </w:p>
        </w:tc>
        <w:tc>
          <w:tcPr>
            <w:tcW w:w="945"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357.4</w:t>
            </w:r>
          </w:p>
        </w:tc>
        <w:tc>
          <w:tcPr>
            <w:tcW w:w="1257" w:type="dxa"/>
            <w:vMerge w:val="restart"/>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256m</w:t>
            </w:r>
            <w:r>
              <w:rPr>
                <w:rFonts w:hint="eastAsia"/>
                <w:vertAlign w:val="superscript"/>
                <w:lang w:val="en-US" w:eastAsia="zh-CN"/>
              </w:rPr>
              <w:t>3</w:t>
            </w:r>
            <w:r>
              <w:rPr>
                <w:rFonts w:hint="eastAsia"/>
                <w:vertAlign w:val="baseline"/>
                <w:lang w:val="en-US" w:eastAsia="zh-CN"/>
              </w:rPr>
              <w:t>/d</w:t>
            </w:r>
          </w:p>
        </w:tc>
        <w:tc>
          <w:tcPr>
            <w:tcW w:w="1257"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88</w:t>
            </w:r>
          </w:p>
        </w:tc>
        <w:tc>
          <w:tcPr>
            <w:tcW w:w="891"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36"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c>
          <w:tcPr>
            <w:tcW w:w="942"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氨氮</w:t>
            </w:r>
          </w:p>
        </w:tc>
        <w:tc>
          <w:tcPr>
            <w:tcW w:w="1231"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c>
          <w:tcPr>
            <w:tcW w:w="1360"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1128</w:t>
            </w:r>
          </w:p>
        </w:tc>
        <w:tc>
          <w:tcPr>
            <w:tcW w:w="945"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131.75</w:t>
            </w:r>
          </w:p>
        </w:tc>
        <w:tc>
          <w:tcPr>
            <w:tcW w:w="1257"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c>
          <w:tcPr>
            <w:tcW w:w="1257"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21</w:t>
            </w:r>
          </w:p>
        </w:tc>
        <w:tc>
          <w:tcPr>
            <w:tcW w:w="891"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1.96</w:t>
            </w:r>
          </w:p>
        </w:tc>
      </w:tr>
    </w:tbl>
    <w:p>
      <w:pPr>
        <w:pStyle w:val="23"/>
        <w:rPr>
          <w:rFonts w:hint="eastAsia"/>
          <w:b/>
          <w:bCs/>
          <w:lang w:val="en-US" w:eastAsia="zh-CN"/>
        </w:rPr>
      </w:pPr>
      <w:r>
        <w:rPr>
          <w:rFonts w:hint="eastAsia"/>
          <w:b/>
          <w:bCs/>
          <w:lang w:val="en-US" w:eastAsia="zh-CN"/>
        </w:rPr>
        <w:t>表3-6  现有工程固废产生情况一览表</w:t>
      </w:r>
    </w:p>
    <w:tbl>
      <w:tblPr>
        <w:tblStyle w:val="20"/>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1"/>
        <w:gridCol w:w="2247"/>
        <w:gridCol w:w="2863"/>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81"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类型</w:t>
            </w:r>
          </w:p>
        </w:tc>
        <w:tc>
          <w:tcPr>
            <w:tcW w:w="2247"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污染名称</w:t>
            </w:r>
          </w:p>
        </w:tc>
        <w:tc>
          <w:tcPr>
            <w:tcW w:w="2863"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产生量（t/a）</w:t>
            </w:r>
          </w:p>
        </w:tc>
        <w:tc>
          <w:tcPr>
            <w:tcW w:w="2131"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81" w:type="dxa"/>
            <w:vMerge w:val="restart"/>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固废</w:t>
            </w:r>
          </w:p>
        </w:tc>
        <w:tc>
          <w:tcPr>
            <w:tcW w:w="2247"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污泥</w:t>
            </w:r>
          </w:p>
        </w:tc>
        <w:tc>
          <w:tcPr>
            <w:tcW w:w="2863"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13.2</w:t>
            </w:r>
          </w:p>
        </w:tc>
        <w:tc>
          <w:tcPr>
            <w:tcW w:w="2131" w:type="dxa"/>
            <w:vMerge w:val="restart"/>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color w:val="auto"/>
                <w:lang w:val="en-US" w:eastAsia="zh-CN"/>
              </w:rPr>
              <w:t>送填埋库区进行卫生填埋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281"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c>
          <w:tcPr>
            <w:tcW w:w="2247"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废膜</w:t>
            </w:r>
          </w:p>
        </w:tc>
        <w:tc>
          <w:tcPr>
            <w:tcW w:w="2863"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1.6</w:t>
            </w:r>
          </w:p>
        </w:tc>
        <w:tc>
          <w:tcPr>
            <w:tcW w:w="2131"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81"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c>
          <w:tcPr>
            <w:tcW w:w="2247"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浓缩液</w:t>
            </w:r>
          </w:p>
        </w:tc>
        <w:tc>
          <w:tcPr>
            <w:tcW w:w="2863"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23360</w:t>
            </w:r>
          </w:p>
        </w:tc>
        <w:tc>
          <w:tcPr>
            <w:tcW w:w="2131"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81"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c>
          <w:tcPr>
            <w:tcW w:w="2247"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生活垃圾</w:t>
            </w:r>
          </w:p>
        </w:tc>
        <w:tc>
          <w:tcPr>
            <w:tcW w:w="2863" w:type="dxa"/>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r>
              <w:rPr>
                <w:rFonts w:hint="eastAsia"/>
                <w:vertAlign w:val="baseline"/>
                <w:lang w:val="en-US" w:eastAsia="zh-CN"/>
              </w:rPr>
              <w:t>7.3</w:t>
            </w:r>
          </w:p>
        </w:tc>
        <w:tc>
          <w:tcPr>
            <w:tcW w:w="2131" w:type="dxa"/>
            <w:vMerge w:val="continue"/>
            <w:vAlign w:val="center"/>
          </w:tcPr>
          <w:p>
            <w:pPr>
              <w:pStyle w:val="23"/>
              <w:keepNext w:val="0"/>
              <w:keepLines w:val="0"/>
              <w:suppressLineNumbers w:val="0"/>
              <w:spacing w:before="0" w:beforeAutospacing="0" w:after="0" w:afterAutospacing="0"/>
              <w:ind w:left="0" w:right="0"/>
              <w:jc w:val="center"/>
              <w:rPr>
                <w:rFonts w:hint="eastAsia"/>
                <w:vertAlign w:val="baseline"/>
                <w:lang w:val="en-US" w:eastAsia="zh-CN"/>
              </w:rPr>
            </w:pPr>
          </w:p>
        </w:tc>
      </w:tr>
    </w:tbl>
    <w:p>
      <w:pPr>
        <w:pStyle w:val="3"/>
        <w:rPr>
          <w:rFonts w:hint="eastAsia"/>
          <w:lang w:val="en-US" w:eastAsia="zh-CN"/>
        </w:rPr>
      </w:pPr>
      <w:bookmarkStart w:id="30" w:name="_Toc3956"/>
      <w:r>
        <w:rPr>
          <w:rFonts w:hint="eastAsia"/>
          <w:lang w:val="en-US" w:eastAsia="zh-CN"/>
        </w:rPr>
        <w:t>3.6现有工程存在的主要问题及改进措施</w:t>
      </w:r>
      <w:bookmarkEnd w:id="30"/>
    </w:p>
    <w:p>
      <w:pPr>
        <w:rPr>
          <w:rFonts w:hint="eastAsia"/>
          <w:color w:val="auto"/>
          <w:sz w:val="24"/>
          <w:szCs w:val="24"/>
          <w:lang w:val="en-US" w:eastAsia="zh-CN"/>
        </w:rPr>
      </w:pPr>
      <w:r>
        <w:rPr>
          <w:rFonts w:hint="eastAsia"/>
          <w:color w:val="auto"/>
          <w:sz w:val="24"/>
          <w:szCs w:val="24"/>
          <w:lang w:val="en-US" w:eastAsia="zh-CN"/>
        </w:rPr>
        <w:t>根据现场调查和建设单位提供资料，目前，现有工程一些的存在问题。其具体情况及改进措施见表3-7。</w:t>
      </w:r>
    </w:p>
    <w:p>
      <w:pPr>
        <w:pStyle w:val="23"/>
        <w:rPr>
          <w:rFonts w:hint="eastAsia"/>
          <w:b/>
          <w:bCs/>
          <w:lang w:val="en-US" w:eastAsia="zh-CN"/>
        </w:rPr>
      </w:pPr>
      <w:r>
        <w:rPr>
          <w:rFonts w:hint="eastAsia"/>
          <w:b/>
          <w:bCs/>
          <w:lang w:val="en-US" w:eastAsia="zh-CN"/>
        </w:rPr>
        <w:t>表3-7  现有工程存在的主要问题及改进措施</w:t>
      </w:r>
    </w:p>
    <w:tbl>
      <w:tblPr>
        <w:tblStyle w:val="20"/>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4582"/>
        <w:gridCol w:w="3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trPr>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序号</w:t>
            </w:r>
          </w:p>
        </w:tc>
        <w:tc>
          <w:tcPr>
            <w:tcW w:w="4582"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主要问题</w:t>
            </w:r>
          </w:p>
        </w:tc>
        <w:tc>
          <w:tcPr>
            <w:tcW w:w="308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改进措施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1</w:t>
            </w:r>
          </w:p>
        </w:tc>
        <w:tc>
          <w:tcPr>
            <w:tcW w:w="4582"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由于城市的发展，城镇人口增加，该填埋场生活垃圾处理量高于设计值，目前垃圾处理量为800t/d，根据建设方提供资料，该填埋场现有库区填埋量将要到原设计处理总量，根据现场踏勘，堆体无序填埋。</w:t>
            </w:r>
          </w:p>
        </w:tc>
        <w:tc>
          <w:tcPr>
            <w:tcW w:w="308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库区原设计采用覆土覆盖，于2014年采用无土覆盖，经计算，现有库区尚有填埋库容77.3万m</w:t>
            </w:r>
            <w:r>
              <w:rPr>
                <w:rFonts w:hint="eastAsia"/>
                <w:u w:val="single"/>
                <w:vertAlign w:val="superscript"/>
                <w:lang w:val="en-US" w:eastAsia="zh-CN"/>
              </w:rPr>
              <w:t>3</w:t>
            </w:r>
            <w:r>
              <w:rPr>
                <w:rFonts w:hint="eastAsia"/>
                <w:u w:val="single"/>
                <w:lang w:val="en-US" w:eastAsia="zh-CN"/>
              </w:rPr>
              <w:t>，为延续库区使用年限，建议对堆体进行整形设计。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2</w:t>
            </w:r>
          </w:p>
        </w:tc>
        <w:tc>
          <w:tcPr>
            <w:tcW w:w="4582"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现有工程采用垂直防渗方式进行防渗，由于现有垃圾堆体的平面及竖向标高已超出当年的设计坑口线，导致部分区域发生渗滤液测渗现象。</w:t>
            </w:r>
          </w:p>
        </w:tc>
        <w:tc>
          <w:tcPr>
            <w:tcW w:w="308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对现有工程垂直防渗系统的强风化和中风化岩层进行垂直帷幕灌浆封闭、进行南坝渗漏治理，并定期进行防渗层监测。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3</w:t>
            </w:r>
          </w:p>
        </w:tc>
        <w:tc>
          <w:tcPr>
            <w:tcW w:w="4582"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现有工程渗滤液导排系统铺设在库区底部，由于运行多年，现有的导排系统的导流能力大为减弱，随着填埋高度的增加、垃圾压实度增加，其堆体的渗滤水位多呈不连续的滞水状态，难以有效的通过下渗方式汇集至库低的导排系统。</w:t>
            </w:r>
          </w:p>
        </w:tc>
        <w:tc>
          <w:tcPr>
            <w:tcW w:w="308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新建现有堆体表面的渗滤液导排系统，收集导排库区地面以上的渗滤液。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4</w:t>
            </w:r>
          </w:p>
        </w:tc>
        <w:tc>
          <w:tcPr>
            <w:tcW w:w="4582" w:type="dxa"/>
            <w:textDirection w:val="lrTb"/>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现有工程渗滤液调节池为自然地势形成，池底未做防渗处理；根据周边居民反馈空气中有恶臭气味。</w:t>
            </w:r>
          </w:p>
        </w:tc>
        <w:tc>
          <w:tcPr>
            <w:tcW w:w="3080" w:type="dxa"/>
            <w:textDirection w:val="lrTb"/>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对现有渗滤液调节池进行铺设防渗系统，并对调节池进行加盖处理，解决渗滤液臭气无序排放问题。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5</w:t>
            </w:r>
          </w:p>
        </w:tc>
        <w:tc>
          <w:tcPr>
            <w:tcW w:w="4582" w:type="dxa"/>
            <w:textDirection w:val="lrTb"/>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现有库区的南侧和东侧未设置截洪沟，导致场外大量雨水汇入库区，均转变为渗沥液，同时也对垃圾堆体形成冲刷作用，严重危害堆体边坡的稳定性。</w:t>
            </w:r>
          </w:p>
        </w:tc>
        <w:tc>
          <w:tcPr>
            <w:tcW w:w="3080" w:type="dxa"/>
            <w:textDirection w:val="lrTb"/>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在现有库区的南侧和东侧设置截洪沟，并与库区内现有截洪沟相链接，从而保证堆体上的径流水迅速导排。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6</w:t>
            </w:r>
          </w:p>
        </w:tc>
        <w:tc>
          <w:tcPr>
            <w:tcW w:w="4582" w:type="dxa"/>
            <w:textDirection w:val="lrTb"/>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现有工程库区堆体表面采用简易覆盖，场区填埋未进行分期分区填埋，未进行每日覆盖。</w:t>
            </w:r>
          </w:p>
        </w:tc>
        <w:tc>
          <w:tcPr>
            <w:tcW w:w="3080" w:type="dxa"/>
            <w:textDirection w:val="lrTb"/>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根据设计对填埋库区进行分期分区填埋，做到逐日覆盖，并对每一作业区完成阶段性高度后，暂时不在其上继续进行填埋时，采用HPDE膜进行中间覆盖。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7</w:t>
            </w:r>
          </w:p>
        </w:tc>
        <w:tc>
          <w:tcPr>
            <w:tcW w:w="4582"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现有工程铺设一条2.7km外排水管道，由于使用年限较久，目前存在堵塞问题。</w:t>
            </w:r>
          </w:p>
        </w:tc>
        <w:tc>
          <w:tcPr>
            <w:tcW w:w="308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对该管道进行更换。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8</w:t>
            </w:r>
          </w:p>
        </w:tc>
        <w:tc>
          <w:tcPr>
            <w:tcW w:w="4582"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现有工程目前配置的1台推土机、1台挖掘机均为2002年配置的，已达到报废年限，基本不能使用。</w:t>
            </w:r>
          </w:p>
        </w:tc>
        <w:tc>
          <w:tcPr>
            <w:tcW w:w="308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对已达到报废年限的机械设备进行更换，并根据工作现状进行增添所需要设备。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9</w:t>
            </w:r>
          </w:p>
        </w:tc>
        <w:tc>
          <w:tcPr>
            <w:tcW w:w="4582"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根据现场调查，现有工程设有5个地下水监测井，分别为1个本底井、2个污染扩散井、2个污染监视井，缺少1个排水井。</w:t>
            </w:r>
          </w:p>
        </w:tc>
        <w:tc>
          <w:tcPr>
            <w:tcW w:w="308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增加1个排水井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10</w:t>
            </w:r>
          </w:p>
        </w:tc>
        <w:tc>
          <w:tcPr>
            <w:tcW w:w="4582"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现有工程未实施日常监测计划，未对地下水监视井、防渗衬层完整性、场区内甲烷体积分数进行日常监测。</w:t>
            </w:r>
          </w:p>
        </w:tc>
        <w:tc>
          <w:tcPr>
            <w:tcW w:w="308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按照《生活垃圾填埋场污染控制标准》（GB16889-2008）中相关要求进行日常监测，并对监测资料进行存档保存。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11</w:t>
            </w:r>
          </w:p>
        </w:tc>
        <w:tc>
          <w:tcPr>
            <w:tcW w:w="4582"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现有工程设有沼气收集处理系统，但该系统存在闲置的情况</w:t>
            </w:r>
          </w:p>
        </w:tc>
        <w:tc>
          <w:tcPr>
            <w:tcW w:w="308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定期对该系统废气进行监测，并做好运行管理台账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12</w:t>
            </w:r>
          </w:p>
        </w:tc>
        <w:tc>
          <w:tcPr>
            <w:tcW w:w="4582"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渗滤液污水处理站有在线监测设备，但未正常运行和与环保部门进行联网。</w:t>
            </w:r>
          </w:p>
        </w:tc>
        <w:tc>
          <w:tcPr>
            <w:tcW w:w="3080" w:type="dxa"/>
            <w:vAlign w:val="center"/>
          </w:tcPr>
          <w:p>
            <w:pPr>
              <w:pStyle w:val="23"/>
              <w:keepNext w:val="0"/>
              <w:keepLines w:val="0"/>
              <w:suppressLineNumbers w:val="0"/>
              <w:spacing w:before="0" w:beforeAutospacing="0" w:after="0" w:afterAutospacing="0"/>
              <w:ind w:left="0" w:right="0"/>
              <w:jc w:val="center"/>
              <w:rPr>
                <w:rFonts w:hint="eastAsia"/>
                <w:u w:val="single"/>
                <w:lang w:val="en-US" w:eastAsia="zh-CN"/>
              </w:rPr>
            </w:pPr>
            <w:r>
              <w:rPr>
                <w:rFonts w:hint="eastAsia"/>
                <w:u w:val="single"/>
                <w:lang w:val="en-US" w:eastAsia="zh-CN"/>
              </w:rPr>
              <w:t>对在线监测设备进行运行和验收，并与环保部门进行联网。</w:t>
            </w:r>
          </w:p>
        </w:tc>
      </w:tr>
    </w:tbl>
    <w:p>
      <w:pPr>
        <w:numPr>
          <w:ilvl w:val="0"/>
          <w:numId w:val="0"/>
        </w:numPr>
        <w:rPr>
          <w:rFonts w:hint="eastAsia"/>
          <w:color w:val="auto"/>
          <w:sz w:val="24"/>
          <w:szCs w:val="24"/>
          <w:lang w:val="en-US" w:eastAsia="zh-CN"/>
        </w:rPr>
        <w:sectPr>
          <w:pgSz w:w="11906" w:h="16838"/>
          <w:pgMar w:top="1440" w:right="1800" w:bottom="1440" w:left="1800" w:header="851" w:footer="992" w:gutter="0"/>
          <w:pgNumType w:fmt="decimal"/>
          <w:cols w:space="425" w:num="1"/>
          <w:docGrid w:type="lines" w:linePitch="312" w:charSpace="0"/>
        </w:sectPr>
      </w:pPr>
    </w:p>
    <w:p>
      <w:pPr>
        <w:pStyle w:val="2"/>
        <w:rPr>
          <w:rFonts w:hint="eastAsia"/>
          <w:color w:val="auto"/>
          <w:lang w:val="en-US" w:eastAsia="zh-CN"/>
        </w:rPr>
      </w:pPr>
      <w:bookmarkStart w:id="31" w:name="_Toc32263"/>
      <w:r>
        <w:rPr>
          <w:rFonts w:hint="eastAsia"/>
          <w:color w:val="auto"/>
          <w:lang w:val="en-US" w:eastAsia="zh-CN"/>
        </w:rPr>
        <w:t>4、建设项目概况</w:t>
      </w:r>
      <w:bookmarkEnd w:id="31"/>
    </w:p>
    <w:p>
      <w:pPr>
        <w:pStyle w:val="3"/>
        <w:rPr>
          <w:rFonts w:hint="eastAsia"/>
          <w:color w:val="auto"/>
          <w:lang w:val="en-US" w:eastAsia="zh-CN"/>
        </w:rPr>
      </w:pPr>
      <w:bookmarkStart w:id="32" w:name="_Toc22823"/>
      <w:r>
        <w:rPr>
          <w:rFonts w:hint="eastAsia"/>
          <w:color w:val="auto"/>
          <w:lang w:val="en-US" w:eastAsia="zh-CN"/>
        </w:rPr>
        <w:t>4.1建设项目基本情况</w:t>
      </w:r>
      <w:bookmarkEnd w:id="32"/>
    </w:p>
    <w:p>
      <w:pPr>
        <w:rPr>
          <w:rFonts w:hint="eastAsia"/>
          <w:color w:val="auto"/>
          <w:lang w:val="en-US" w:eastAsia="zh-CN"/>
        </w:rPr>
      </w:pPr>
      <w:r>
        <w:rPr>
          <w:rFonts w:hint="eastAsia"/>
          <w:color w:val="auto"/>
          <w:lang w:val="en-US" w:eastAsia="zh-CN"/>
        </w:rPr>
        <w:t>项目名称：花果畈垃圾处理场防渗提质改造工程</w:t>
      </w:r>
    </w:p>
    <w:p>
      <w:pPr>
        <w:rPr>
          <w:rFonts w:hint="eastAsia"/>
          <w:color w:val="auto"/>
          <w:lang w:val="en-US" w:eastAsia="zh-CN"/>
        </w:rPr>
      </w:pPr>
      <w:r>
        <w:rPr>
          <w:rFonts w:hint="eastAsia"/>
          <w:color w:val="auto"/>
          <w:lang w:val="en-US" w:eastAsia="zh-CN"/>
        </w:rPr>
        <w:t>项目性质：技改</w:t>
      </w:r>
    </w:p>
    <w:p>
      <w:pPr>
        <w:rPr>
          <w:rFonts w:hint="eastAsia"/>
          <w:color w:val="auto"/>
          <w:lang w:val="en-US" w:eastAsia="zh-CN"/>
        </w:rPr>
      </w:pPr>
      <w:r>
        <w:rPr>
          <w:rFonts w:hint="eastAsia"/>
          <w:color w:val="auto"/>
          <w:lang w:val="en-US" w:eastAsia="zh-CN"/>
        </w:rPr>
        <w:t>建设单位：岳阳市城市管理和行政执法局</w:t>
      </w:r>
    </w:p>
    <w:p>
      <w:pPr>
        <w:rPr>
          <w:rFonts w:hint="eastAsia"/>
          <w:color w:val="auto"/>
          <w:lang w:val="en-US" w:eastAsia="zh-CN"/>
        </w:rPr>
      </w:pPr>
      <w:r>
        <w:rPr>
          <w:rFonts w:hint="eastAsia"/>
          <w:color w:val="auto"/>
          <w:lang w:val="en-US" w:eastAsia="zh-CN"/>
        </w:rPr>
        <w:t>建设地点：岳阳市岳阳楼区梅溪乡花果畈村与胥家桥村交界处花果畈垃圾填埋场现有场区内</w:t>
      </w:r>
    </w:p>
    <w:p>
      <w:pPr>
        <w:rPr>
          <w:rFonts w:hint="eastAsia"/>
          <w:color w:val="auto"/>
          <w:lang w:val="en-US" w:eastAsia="zh-CN"/>
        </w:rPr>
      </w:pPr>
      <w:r>
        <w:rPr>
          <w:rFonts w:hint="eastAsia"/>
          <w:color w:val="auto"/>
          <w:lang w:val="en-US" w:eastAsia="zh-CN"/>
        </w:rPr>
        <w:t>投资单位：岳阳市城市建设投资集团有限公司</w:t>
      </w:r>
    </w:p>
    <w:p>
      <w:pPr>
        <w:rPr>
          <w:rFonts w:hint="eastAsia"/>
          <w:color w:val="auto"/>
          <w:lang w:val="en-US" w:eastAsia="zh-CN"/>
        </w:rPr>
      </w:pPr>
      <w:r>
        <w:rPr>
          <w:rFonts w:hint="eastAsia"/>
          <w:color w:val="auto"/>
          <w:lang w:val="en-US" w:eastAsia="zh-CN"/>
        </w:rPr>
        <w:t>项目总投资：5677.6万元</w:t>
      </w:r>
    </w:p>
    <w:p>
      <w:pPr>
        <w:pStyle w:val="3"/>
        <w:rPr>
          <w:rFonts w:hint="eastAsia"/>
          <w:color w:val="auto"/>
          <w:lang w:val="en-US" w:eastAsia="zh-CN"/>
        </w:rPr>
      </w:pPr>
      <w:bookmarkStart w:id="33" w:name="_Toc22507"/>
      <w:r>
        <w:rPr>
          <w:rFonts w:hint="eastAsia"/>
          <w:color w:val="auto"/>
          <w:lang w:val="en-US" w:eastAsia="zh-CN"/>
        </w:rPr>
        <w:t>4.2技改内容</w:t>
      </w:r>
      <w:bookmarkEnd w:id="33"/>
    </w:p>
    <w:p>
      <w:pPr>
        <w:pStyle w:val="4"/>
        <w:rPr>
          <w:rFonts w:hint="eastAsia"/>
          <w:color w:val="auto"/>
          <w:lang w:val="en-US" w:eastAsia="zh-CN"/>
        </w:rPr>
      </w:pPr>
      <w:r>
        <w:rPr>
          <w:rFonts w:hint="eastAsia"/>
          <w:color w:val="auto"/>
          <w:lang w:val="en-US" w:eastAsia="zh-CN"/>
        </w:rPr>
        <w:t>4.2.1技改后处理规模</w:t>
      </w:r>
    </w:p>
    <w:p>
      <w:pPr>
        <w:rPr>
          <w:rFonts w:hint="eastAsia"/>
          <w:color w:val="auto"/>
          <w:lang w:val="en-US" w:eastAsia="zh-CN"/>
        </w:rPr>
      </w:pPr>
      <w:r>
        <w:rPr>
          <w:rFonts w:hint="eastAsia"/>
          <w:color w:val="auto"/>
          <w:lang w:val="en-US" w:eastAsia="zh-CN"/>
        </w:rPr>
        <w:t>根据建设单位提供信息，该垃圾处理场经过堆体整形后，经计算，现有库区尚有填埋库容77.3万</w:t>
      </w:r>
      <w:r>
        <w:rPr>
          <w:rFonts w:hint="eastAsia"/>
          <w:u w:val="none"/>
          <w:lang w:eastAsia="zh-CN"/>
        </w:rPr>
        <w:t>m</w:t>
      </w:r>
      <w:r>
        <w:rPr>
          <w:rFonts w:hint="eastAsia"/>
          <w:u w:val="none"/>
          <w:vertAlign w:val="superscript"/>
          <w:lang w:eastAsia="zh-CN"/>
        </w:rPr>
        <w:t>3</w:t>
      </w:r>
      <w:r>
        <w:rPr>
          <w:rFonts w:hint="eastAsia"/>
          <w:u w:val="none"/>
          <w:lang w:eastAsia="zh-CN"/>
        </w:rPr>
        <w:t>，封场标高为</w:t>
      </w:r>
      <w:r>
        <w:rPr>
          <w:rFonts w:hint="eastAsia"/>
          <w:u w:val="none"/>
          <w:lang w:val="en-US" w:eastAsia="zh-CN"/>
        </w:rPr>
        <w:t>110m</w:t>
      </w:r>
      <w:r>
        <w:rPr>
          <w:rFonts w:hint="eastAsia"/>
          <w:u w:val="none"/>
          <w:lang w:eastAsia="zh-CN"/>
        </w:rPr>
        <w:t>。</w:t>
      </w:r>
    </w:p>
    <w:p>
      <w:pPr>
        <w:rPr>
          <w:rFonts w:hint="eastAsia"/>
          <w:color w:val="auto"/>
          <w:lang w:val="en-US" w:eastAsia="zh-CN"/>
        </w:rPr>
      </w:pPr>
      <w:r>
        <w:rPr>
          <w:rFonts w:hint="eastAsia"/>
          <w:color w:val="auto"/>
          <w:lang w:val="en-US" w:eastAsia="zh-CN"/>
        </w:rPr>
        <w:t>（1）垃圾填埋量需求预测</w:t>
      </w:r>
    </w:p>
    <w:p>
      <w:pPr>
        <w:rPr>
          <w:rFonts w:hint="eastAsia"/>
          <w:u w:val="single"/>
        </w:rPr>
      </w:pPr>
      <w:r>
        <w:rPr>
          <w:rFonts w:hint="eastAsia"/>
          <w:u w:val="single"/>
        </w:rPr>
        <w:t>根据201</w:t>
      </w:r>
      <w:r>
        <w:rPr>
          <w:rFonts w:hint="eastAsia"/>
          <w:u w:val="single"/>
          <w:lang w:val="en-US" w:eastAsia="zh-CN"/>
        </w:rPr>
        <w:t>5</w:t>
      </w:r>
      <w:r>
        <w:rPr>
          <w:rFonts w:hint="eastAsia"/>
          <w:u w:val="single"/>
        </w:rPr>
        <w:t>年末岳阳</w:t>
      </w:r>
      <w:r>
        <w:rPr>
          <w:rFonts w:hint="eastAsia"/>
          <w:u w:val="single"/>
          <w:lang w:eastAsia="zh-CN"/>
        </w:rPr>
        <w:t>中心城区</w:t>
      </w:r>
      <w:r>
        <w:rPr>
          <w:rFonts w:hint="eastAsia"/>
          <w:u w:val="single"/>
        </w:rPr>
        <w:t>人口统计数据，岳阳</w:t>
      </w:r>
      <w:r>
        <w:rPr>
          <w:rFonts w:hint="eastAsia"/>
          <w:u w:val="single"/>
          <w:lang w:eastAsia="zh-CN"/>
        </w:rPr>
        <w:t>中心城区</w:t>
      </w:r>
      <w:r>
        <w:rPr>
          <w:rFonts w:hint="eastAsia"/>
          <w:u w:val="single"/>
        </w:rPr>
        <w:t>总人口为</w:t>
      </w:r>
      <w:r>
        <w:rPr>
          <w:rFonts w:hint="eastAsia"/>
          <w:u w:val="single"/>
          <w:lang w:val="en-US" w:eastAsia="zh-CN"/>
        </w:rPr>
        <w:t>84.04</w:t>
      </w:r>
      <w:r>
        <w:rPr>
          <w:rFonts w:hint="eastAsia"/>
          <w:u w:val="single"/>
        </w:rPr>
        <w:t>万人（含岳阳经开区、南湖新区、城陵矶临港产业新区，可作为岳阳市中心城区人口数据）。按人口增长率0.9%计算，2022年岳阳市中心城区人口可达89.49万人。</w:t>
      </w:r>
    </w:p>
    <w:p>
      <w:pPr>
        <w:rPr>
          <w:rFonts w:hint="eastAsia"/>
          <w:u w:val="single"/>
        </w:rPr>
      </w:pPr>
      <w:r>
        <w:rPr>
          <w:rFonts w:hint="eastAsia"/>
          <w:u w:val="single"/>
        </w:rPr>
        <w:t>岳阳市中心城区2016年—2022年人口预测见表4-1。</w:t>
      </w:r>
    </w:p>
    <w:p>
      <w:pPr>
        <w:pStyle w:val="23"/>
        <w:rPr>
          <w:rFonts w:hint="eastAsia"/>
          <w:b/>
          <w:bCs/>
          <w:u w:val="single"/>
        </w:rPr>
      </w:pPr>
      <w:r>
        <w:rPr>
          <w:rFonts w:hint="eastAsia"/>
          <w:b/>
          <w:bCs/>
          <w:u w:val="single"/>
          <w:lang w:val="zh-CN"/>
        </w:rPr>
        <w:t>表4-1   岳阳城区人口增长预测表     单位：万人</w:t>
      </w:r>
    </w:p>
    <w:tbl>
      <w:tblPr>
        <w:tblStyle w:val="19"/>
        <w:tblW w:w="900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5"/>
        <w:gridCol w:w="927"/>
        <w:gridCol w:w="1025"/>
        <w:gridCol w:w="999"/>
        <w:gridCol w:w="967"/>
        <w:gridCol w:w="936"/>
        <w:gridCol w:w="974"/>
        <w:gridCol w:w="926"/>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325"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年度</w:t>
            </w:r>
          </w:p>
        </w:tc>
        <w:tc>
          <w:tcPr>
            <w:tcW w:w="927"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2015</w:t>
            </w:r>
          </w:p>
        </w:tc>
        <w:tc>
          <w:tcPr>
            <w:tcW w:w="1025"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2016</w:t>
            </w:r>
          </w:p>
        </w:tc>
        <w:tc>
          <w:tcPr>
            <w:tcW w:w="999"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2017</w:t>
            </w:r>
          </w:p>
        </w:tc>
        <w:tc>
          <w:tcPr>
            <w:tcW w:w="967"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2018</w:t>
            </w:r>
          </w:p>
        </w:tc>
        <w:tc>
          <w:tcPr>
            <w:tcW w:w="936"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2019</w:t>
            </w:r>
          </w:p>
        </w:tc>
        <w:tc>
          <w:tcPr>
            <w:tcW w:w="974"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2020</w:t>
            </w:r>
          </w:p>
        </w:tc>
        <w:tc>
          <w:tcPr>
            <w:tcW w:w="926"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2021</w:t>
            </w:r>
          </w:p>
        </w:tc>
        <w:tc>
          <w:tcPr>
            <w:tcW w:w="924"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2022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325"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人口(万)</w:t>
            </w:r>
          </w:p>
        </w:tc>
        <w:tc>
          <w:tcPr>
            <w:tcW w:w="927"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84.04</w:t>
            </w:r>
          </w:p>
        </w:tc>
        <w:tc>
          <w:tcPr>
            <w:tcW w:w="1025"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84.81</w:t>
            </w:r>
          </w:p>
        </w:tc>
        <w:tc>
          <w:tcPr>
            <w:tcW w:w="999"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85.57</w:t>
            </w:r>
          </w:p>
        </w:tc>
        <w:tc>
          <w:tcPr>
            <w:tcW w:w="967"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86.34</w:t>
            </w:r>
          </w:p>
        </w:tc>
        <w:tc>
          <w:tcPr>
            <w:tcW w:w="936"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87.12</w:t>
            </w:r>
          </w:p>
        </w:tc>
        <w:tc>
          <w:tcPr>
            <w:tcW w:w="974"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87.9</w:t>
            </w:r>
          </w:p>
        </w:tc>
        <w:tc>
          <w:tcPr>
            <w:tcW w:w="926"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88.69</w:t>
            </w:r>
          </w:p>
        </w:tc>
        <w:tc>
          <w:tcPr>
            <w:tcW w:w="924"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89.49</w:t>
            </w:r>
          </w:p>
        </w:tc>
      </w:tr>
    </w:tbl>
    <w:p>
      <w:pPr>
        <w:rPr>
          <w:rFonts w:hint="eastAsia"/>
          <w:u w:val="single"/>
        </w:rPr>
      </w:pPr>
      <w:r>
        <w:rPr>
          <w:rFonts w:hint="eastAsia"/>
          <w:u w:val="single"/>
        </w:rPr>
        <w:t>以人均日垃圾量为1kg/人.d 计算，岳阳市中心城区生活垃圾日产量为。人均日产垃圾量见下列预测指标，岳阳市城区的生活垃圾量预测见表4-2。根据预测从2016-2022年这7年内，将产生城市生活垃圾量为222.76万吨。</w:t>
      </w:r>
    </w:p>
    <w:p>
      <w:pPr>
        <w:pStyle w:val="23"/>
        <w:rPr>
          <w:rFonts w:hint="eastAsia"/>
          <w:b/>
          <w:bCs/>
          <w:u w:val="single"/>
          <w:lang w:val="zh-CN"/>
        </w:rPr>
      </w:pPr>
      <w:r>
        <w:rPr>
          <w:rFonts w:hint="eastAsia"/>
          <w:b/>
          <w:bCs/>
          <w:u w:val="single"/>
          <w:lang w:val="zh-CN"/>
        </w:rPr>
        <w:t>表4-2   岳阳城区日产垃圾量预测表     单位：吨</w:t>
      </w:r>
    </w:p>
    <w:tbl>
      <w:tblPr>
        <w:tblStyle w:val="19"/>
        <w:tblW w:w="900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7"/>
        <w:gridCol w:w="1143"/>
        <w:gridCol w:w="1113"/>
        <w:gridCol w:w="1079"/>
        <w:gridCol w:w="1043"/>
        <w:gridCol w:w="1086"/>
        <w:gridCol w:w="1032"/>
        <w:gridCol w:w="10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477" w:type="dxa"/>
            <w:vAlign w:val="center"/>
          </w:tcPr>
          <w:p>
            <w:pPr>
              <w:pStyle w:val="23"/>
              <w:keepNext w:val="0"/>
              <w:keepLines w:val="0"/>
              <w:suppressLineNumbers w:val="0"/>
              <w:spacing w:before="0" w:beforeAutospacing="0" w:after="0" w:afterAutospacing="0"/>
              <w:ind w:left="0" w:right="0"/>
              <w:rPr>
                <w:rFonts w:hint="eastAsia"/>
                <w:u w:val="single"/>
              </w:rPr>
            </w:pPr>
            <w:bookmarkStart w:id="34" w:name="OLE_LINK6"/>
            <w:bookmarkStart w:id="35" w:name="OLE_LINK7"/>
            <w:r>
              <w:rPr>
                <w:rFonts w:hint="eastAsia"/>
                <w:u w:val="single"/>
              </w:rPr>
              <w:t>年度</w:t>
            </w:r>
          </w:p>
        </w:tc>
        <w:tc>
          <w:tcPr>
            <w:tcW w:w="1143"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2016</w:t>
            </w:r>
          </w:p>
        </w:tc>
        <w:tc>
          <w:tcPr>
            <w:tcW w:w="1113"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2017</w:t>
            </w:r>
          </w:p>
        </w:tc>
        <w:tc>
          <w:tcPr>
            <w:tcW w:w="1079"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2018</w:t>
            </w:r>
          </w:p>
        </w:tc>
        <w:tc>
          <w:tcPr>
            <w:tcW w:w="1043"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2019</w:t>
            </w:r>
          </w:p>
        </w:tc>
        <w:tc>
          <w:tcPr>
            <w:tcW w:w="1086"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2020</w:t>
            </w:r>
          </w:p>
        </w:tc>
        <w:tc>
          <w:tcPr>
            <w:tcW w:w="1032" w:type="dxa"/>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2021</w:t>
            </w:r>
          </w:p>
        </w:tc>
        <w:tc>
          <w:tcPr>
            <w:tcW w:w="1030"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2022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477"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吨</w:t>
            </w:r>
          </w:p>
        </w:tc>
        <w:tc>
          <w:tcPr>
            <w:tcW w:w="1143"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848</w:t>
            </w:r>
          </w:p>
        </w:tc>
        <w:tc>
          <w:tcPr>
            <w:tcW w:w="1113"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855</w:t>
            </w:r>
          </w:p>
        </w:tc>
        <w:tc>
          <w:tcPr>
            <w:tcW w:w="1079"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863</w:t>
            </w:r>
          </w:p>
        </w:tc>
        <w:tc>
          <w:tcPr>
            <w:tcW w:w="1043"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871</w:t>
            </w:r>
          </w:p>
        </w:tc>
        <w:tc>
          <w:tcPr>
            <w:tcW w:w="1086"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879</w:t>
            </w:r>
          </w:p>
        </w:tc>
        <w:tc>
          <w:tcPr>
            <w:tcW w:w="1032"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887</w:t>
            </w:r>
          </w:p>
        </w:tc>
        <w:tc>
          <w:tcPr>
            <w:tcW w:w="1030" w:type="dxa"/>
            <w:vAlign w:val="center"/>
          </w:tcPr>
          <w:p>
            <w:pPr>
              <w:pStyle w:val="23"/>
              <w:keepNext w:val="0"/>
              <w:keepLines w:val="0"/>
              <w:suppressLineNumbers w:val="0"/>
              <w:spacing w:before="0" w:beforeAutospacing="0" w:after="0" w:afterAutospacing="0"/>
              <w:ind w:left="0" w:right="0"/>
              <w:rPr>
                <w:rFonts w:hint="eastAsia"/>
                <w:u w:val="single"/>
              </w:rPr>
            </w:pPr>
            <w:r>
              <w:rPr>
                <w:rFonts w:hint="eastAsia"/>
                <w:u w:val="single"/>
              </w:rPr>
              <w:t>895</w:t>
            </w:r>
          </w:p>
        </w:tc>
      </w:tr>
      <w:bookmarkEnd w:id="34"/>
      <w:bookmarkEnd w:id="35"/>
    </w:tbl>
    <w:p>
      <w:pPr>
        <w:rPr>
          <w:rFonts w:hint="eastAsia"/>
          <w:color w:val="auto"/>
          <w:u w:val="single"/>
          <w:lang w:val="en-US" w:eastAsia="zh-CN"/>
        </w:rPr>
      </w:pPr>
      <w:r>
        <w:rPr>
          <w:rFonts w:hint="eastAsia"/>
          <w:color w:val="auto"/>
          <w:u w:val="single"/>
          <w:lang w:val="en-US" w:eastAsia="zh-CN"/>
        </w:rPr>
        <w:t>（2）服务年限的确定</w:t>
      </w:r>
    </w:p>
    <w:p>
      <w:pPr>
        <w:rPr>
          <w:rFonts w:hint="eastAsia"/>
          <w:u w:val="single"/>
        </w:rPr>
      </w:pPr>
      <w:r>
        <w:rPr>
          <w:rFonts w:hint="eastAsia"/>
          <w:u w:val="single"/>
        </w:rPr>
        <w:t>根据预测2016-2022年垃圾总量为222.76万吨，采用垃圾压实后容重0.9t/m</w:t>
      </w:r>
      <w:r>
        <w:rPr>
          <w:rFonts w:hint="eastAsia"/>
          <w:u w:val="single"/>
          <w:vertAlign w:val="superscript"/>
        </w:rPr>
        <w:t>3</w:t>
      </w:r>
      <w:r>
        <w:rPr>
          <w:rFonts w:hint="eastAsia"/>
          <w:u w:val="single"/>
        </w:rPr>
        <w:t>，7年垃圾总容积为248万m</w:t>
      </w:r>
      <w:r>
        <w:rPr>
          <w:rFonts w:hint="eastAsia"/>
          <w:u w:val="single"/>
          <w:vertAlign w:val="superscript"/>
        </w:rPr>
        <w:t>3</w:t>
      </w:r>
      <w:r>
        <w:rPr>
          <w:rFonts w:hint="eastAsia"/>
          <w:u w:val="single"/>
        </w:rPr>
        <w:t>。考虑逐层填埋的覆土率为10%，垃圾填埋场库容至少需要1.1×248万m3 =273万m</w:t>
      </w:r>
      <w:r>
        <w:rPr>
          <w:rFonts w:hint="eastAsia"/>
          <w:u w:val="single"/>
          <w:vertAlign w:val="superscript"/>
        </w:rPr>
        <w:t>3</w:t>
      </w:r>
      <w:r>
        <w:rPr>
          <w:rFonts w:hint="eastAsia"/>
          <w:u w:val="single"/>
        </w:rPr>
        <w:t>。</w:t>
      </w:r>
    </w:p>
    <w:p>
      <w:pPr>
        <w:rPr>
          <w:rFonts w:hint="eastAsia"/>
          <w:u w:val="single"/>
          <w:lang w:eastAsia="zh-CN"/>
        </w:rPr>
      </w:pPr>
      <w:r>
        <w:rPr>
          <w:rFonts w:hint="eastAsia"/>
          <w:u w:val="single"/>
          <w:lang w:eastAsia="zh-CN"/>
        </w:rPr>
        <w:t>本项目改造工程完成后，填埋库区有效库容77.3万m</w:t>
      </w:r>
      <w:r>
        <w:rPr>
          <w:rFonts w:hint="eastAsia"/>
          <w:u w:val="single"/>
          <w:vertAlign w:val="superscript"/>
          <w:lang w:eastAsia="zh-CN"/>
        </w:rPr>
        <w:t>3</w:t>
      </w:r>
      <w:r>
        <w:rPr>
          <w:rFonts w:hint="eastAsia"/>
          <w:u w:val="single"/>
          <w:lang w:eastAsia="zh-CN"/>
        </w:rPr>
        <w:t>，按照垃圾进场量800吨/天、压实密度为0.9吨/立方计算，可继续使用2.3年。</w:t>
      </w:r>
    </w:p>
    <w:p>
      <w:pPr>
        <w:rPr>
          <w:rFonts w:hint="eastAsia"/>
          <w:color w:val="auto"/>
          <w:u w:val="single"/>
          <w:lang w:val="en-US" w:eastAsia="zh-CN"/>
        </w:rPr>
      </w:pPr>
      <w:r>
        <w:rPr>
          <w:rFonts w:hint="eastAsia"/>
          <w:color w:val="auto"/>
          <w:u w:val="single"/>
          <w:lang w:val="en-US" w:eastAsia="zh-CN"/>
        </w:rPr>
        <w:t>（3）本工程建设规模基本内容</w:t>
      </w:r>
    </w:p>
    <w:p>
      <w:pPr>
        <w:rPr>
          <w:rFonts w:hint="eastAsia"/>
          <w:color w:val="auto"/>
          <w:u w:val="single"/>
          <w:lang w:val="en-US" w:eastAsia="zh-CN"/>
        </w:rPr>
      </w:pPr>
      <w:r>
        <w:rPr>
          <w:rFonts w:hint="eastAsia"/>
          <w:color w:val="auto"/>
          <w:u w:val="single"/>
          <w:lang w:val="en-US" w:eastAsia="zh-CN"/>
        </w:rPr>
        <w:t>工程服务对象：城区生活垃圾</w:t>
      </w:r>
    </w:p>
    <w:p>
      <w:pPr>
        <w:rPr>
          <w:rFonts w:hint="eastAsia"/>
          <w:color w:val="auto"/>
          <w:u w:val="single"/>
          <w:lang w:val="en-US" w:eastAsia="zh-CN"/>
        </w:rPr>
      </w:pPr>
      <w:r>
        <w:rPr>
          <w:rFonts w:hint="eastAsia"/>
          <w:color w:val="auto"/>
          <w:u w:val="single"/>
          <w:lang w:val="en-US" w:eastAsia="zh-CN"/>
        </w:rPr>
        <w:t>扩建规模：平均处理规模800t/d</w:t>
      </w:r>
    </w:p>
    <w:p>
      <w:pPr>
        <w:rPr>
          <w:rFonts w:hint="eastAsia"/>
          <w:color w:val="auto"/>
          <w:u w:val="single"/>
          <w:lang w:val="en-US" w:eastAsia="zh-CN"/>
        </w:rPr>
      </w:pPr>
      <w:r>
        <w:rPr>
          <w:rFonts w:hint="eastAsia"/>
          <w:color w:val="auto"/>
          <w:u w:val="single"/>
          <w:lang w:val="en-US" w:eastAsia="zh-CN"/>
        </w:rPr>
        <w:t>处理工艺：采用卫生填埋工艺</w:t>
      </w:r>
    </w:p>
    <w:p>
      <w:pPr>
        <w:rPr>
          <w:rFonts w:hint="eastAsia"/>
          <w:color w:val="auto"/>
          <w:u w:val="single"/>
          <w:lang w:val="en-US" w:eastAsia="zh-CN"/>
        </w:rPr>
      </w:pPr>
      <w:r>
        <w:rPr>
          <w:rFonts w:hint="eastAsia"/>
          <w:color w:val="auto"/>
          <w:u w:val="single"/>
          <w:lang w:val="en-US" w:eastAsia="zh-CN"/>
        </w:rPr>
        <w:t>服务年限：2.3年</w:t>
      </w:r>
    </w:p>
    <w:p>
      <w:pPr>
        <w:pStyle w:val="4"/>
        <w:rPr>
          <w:rFonts w:hint="eastAsia"/>
          <w:color w:val="auto"/>
          <w:lang w:val="en-US" w:eastAsia="zh-CN"/>
        </w:rPr>
      </w:pPr>
      <w:r>
        <w:rPr>
          <w:rFonts w:hint="eastAsia"/>
          <w:color w:val="auto"/>
          <w:lang w:val="en-US" w:eastAsia="zh-CN"/>
        </w:rPr>
        <w:t>4.2.2技改内容</w:t>
      </w:r>
    </w:p>
    <w:p>
      <w:pPr>
        <w:rPr>
          <w:rFonts w:hint="eastAsia"/>
          <w:color w:val="auto"/>
          <w:u w:val="single"/>
          <w:lang w:val="en-US" w:eastAsia="zh-CN"/>
        </w:rPr>
      </w:pPr>
      <w:r>
        <w:rPr>
          <w:rFonts w:hint="eastAsia"/>
          <w:color w:val="auto"/>
          <w:u w:val="single"/>
          <w:lang w:val="en-US" w:eastAsia="zh-CN"/>
        </w:rPr>
        <w:t>填埋区最高点标高为110m，根据现有工程情况，现有库区尚有填埋库容77.3万m</w:t>
      </w:r>
      <w:r>
        <w:rPr>
          <w:rFonts w:hint="eastAsia"/>
          <w:color w:val="auto"/>
          <w:u w:val="single"/>
          <w:vertAlign w:val="superscript"/>
          <w:lang w:val="en-US" w:eastAsia="zh-CN"/>
        </w:rPr>
        <w:t>3</w:t>
      </w:r>
      <w:r>
        <w:rPr>
          <w:rFonts w:hint="eastAsia"/>
          <w:color w:val="auto"/>
          <w:u w:val="single"/>
          <w:lang w:val="en-US" w:eastAsia="zh-CN"/>
        </w:rPr>
        <w:t>。通过本次技改库区堆体整形、采用HPDE膜覆盖等措施，使库区尚有的填埋库容77.3万m</w:t>
      </w:r>
      <w:r>
        <w:rPr>
          <w:rFonts w:hint="eastAsia"/>
          <w:color w:val="auto"/>
          <w:u w:val="single"/>
          <w:vertAlign w:val="superscript"/>
          <w:lang w:val="en-US" w:eastAsia="zh-CN"/>
        </w:rPr>
        <w:t>3</w:t>
      </w:r>
      <w:r>
        <w:rPr>
          <w:rFonts w:hint="eastAsia"/>
          <w:color w:val="auto"/>
          <w:u w:val="single"/>
          <w:vertAlign w:val="baseline"/>
          <w:lang w:val="en-US" w:eastAsia="zh-CN"/>
        </w:rPr>
        <w:t>得到利用</w:t>
      </w:r>
      <w:r>
        <w:rPr>
          <w:rFonts w:hint="eastAsia"/>
          <w:color w:val="auto"/>
          <w:u w:val="single"/>
          <w:lang w:val="en-US" w:eastAsia="zh-CN"/>
        </w:rPr>
        <w:t>；同时，为规范生活垃圾处理场作业的范围、为封场覆盖层预留空间，进行库区边界修正。根据现有工程存在的主要问题，本项目主要技改内容主要为对处理厂内的渗沥液调节池进行改造升级，将现有调节池改建为膜防渗结构密闭调节池；完善场区内雨污分流系统；完善垂直防渗系统；完善处理场的管理区和渗沥液处理区等配套设施。其主要技改内容见表4-3。</w:t>
      </w:r>
    </w:p>
    <w:p>
      <w:pPr>
        <w:pStyle w:val="23"/>
        <w:rPr>
          <w:rFonts w:hint="eastAsia"/>
          <w:b/>
          <w:bCs/>
          <w:color w:val="auto"/>
          <w:u w:val="single"/>
          <w:lang w:val="en-US" w:eastAsia="zh-CN"/>
        </w:rPr>
      </w:pPr>
      <w:r>
        <w:rPr>
          <w:rFonts w:hint="eastAsia"/>
          <w:b/>
          <w:bCs/>
          <w:color w:val="auto"/>
          <w:u w:val="single"/>
          <w:lang w:val="en-US" w:eastAsia="zh-CN"/>
        </w:rPr>
        <w:t xml:space="preserve">表4-3 </w:t>
      </w:r>
      <w:r>
        <w:rPr>
          <w:rFonts w:hint="eastAsia" w:ascii="宋体" w:hAnsi="宋体"/>
          <w:b/>
          <w:color w:val="auto"/>
          <w:sz w:val="24"/>
          <w:u w:val="single"/>
          <w:lang w:val="zh-CN"/>
        </w:rPr>
        <w:t>改造主要建设内容一览表</w:t>
      </w:r>
    </w:p>
    <w:tbl>
      <w:tblPr>
        <w:tblStyle w:val="19"/>
        <w:tblW w:w="916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2000"/>
        <w:gridCol w:w="3183"/>
        <w:gridCol w:w="33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blHeader/>
          <w:jc w:val="center"/>
        </w:trPr>
        <w:tc>
          <w:tcPr>
            <w:tcW w:w="675"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序号</w:t>
            </w:r>
          </w:p>
        </w:tc>
        <w:tc>
          <w:tcPr>
            <w:tcW w:w="2000"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名称</w:t>
            </w:r>
          </w:p>
        </w:tc>
        <w:tc>
          <w:tcPr>
            <w:tcW w:w="3183"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建设内容</w:t>
            </w:r>
          </w:p>
        </w:tc>
        <w:tc>
          <w:tcPr>
            <w:tcW w:w="3306"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1</w:t>
            </w:r>
          </w:p>
        </w:tc>
        <w:tc>
          <w:tcPr>
            <w:tcW w:w="2000"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color w:val="auto"/>
                <w:u w:val="single"/>
                <w:lang w:eastAsia="zh-CN"/>
              </w:rPr>
            </w:pPr>
            <w:r>
              <w:rPr>
                <w:rFonts w:hint="eastAsia"/>
                <w:color w:val="auto"/>
                <w:u w:val="single"/>
              </w:rPr>
              <w:t>渗沥液导排系统</w:t>
            </w:r>
          </w:p>
        </w:tc>
        <w:tc>
          <w:tcPr>
            <w:tcW w:w="3183"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color w:val="auto"/>
                <w:u w:val="single"/>
                <w:lang w:eastAsia="zh-CN"/>
              </w:rPr>
            </w:pPr>
            <w:r>
              <w:rPr>
                <w:rFonts w:hint="eastAsia"/>
                <w:color w:val="auto"/>
                <w:u w:val="single"/>
              </w:rPr>
              <w:t>垃圾挖方、铺设盲沟等</w:t>
            </w:r>
          </w:p>
        </w:tc>
        <w:tc>
          <w:tcPr>
            <w:tcW w:w="3306"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color w:val="auto"/>
                <w:u w:val="single"/>
              </w:rPr>
            </w:pPr>
            <w:r>
              <w:rPr>
                <w:rFonts w:hint="eastAsia"/>
                <w:color w:val="auto"/>
                <w:u w:val="single"/>
              </w:rPr>
              <w:t>收集导排库区地面以上部分的渗沥液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2</w:t>
            </w:r>
          </w:p>
        </w:tc>
        <w:tc>
          <w:tcPr>
            <w:tcW w:w="2000"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库区边界修整</w:t>
            </w:r>
          </w:p>
        </w:tc>
        <w:tc>
          <w:tcPr>
            <w:tcW w:w="3183"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color w:val="auto"/>
                <w:u w:val="single"/>
              </w:rPr>
            </w:pPr>
            <w:r>
              <w:rPr>
                <w:rFonts w:hint="eastAsia"/>
                <w:color w:val="auto"/>
                <w:u w:val="single"/>
              </w:rPr>
              <w:t>边坡挖填方、边坡护砌等</w:t>
            </w:r>
          </w:p>
        </w:tc>
        <w:tc>
          <w:tcPr>
            <w:tcW w:w="3306"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color w:val="auto"/>
                <w:u w:val="single"/>
              </w:rPr>
            </w:pPr>
            <w:r>
              <w:rPr>
                <w:rFonts w:hint="eastAsia"/>
                <w:color w:val="auto"/>
                <w:u w:val="single"/>
              </w:rPr>
              <w:t>规范填埋作业的范围，为封场覆盖层预留空间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3</w:t>
            </w:r>
          </w:p>
        </w:tc>
        <w:tc>
          <w:tcPr>
            <w:tcW w:w="2000"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雨污分流系统</w:t>
            </w:r>
          </w:p>
        </w:tc>
        <w:tc>
          <w:tcPr>
            <w:tcW w:w="3183"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中间覆盖膜、截洪沟等</w:t>
            </w:r>
          </w:p>
        </w:tc>
        <w:tc>
          <w:tcPr>
            <w:tcW w:w="3306"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减少渗沥液产量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4</w:t>
            </w:r>
          </w:p>
        </w:tc>
        <w:tc>
          <w:tcPr>
            <w:tcW w:w="2000"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现有调节池改造</w:t>
            </w:r>
          </w:p>
        </w:tc>
        <w:tc>
          <w:tcPr>
            <w:tcW w:w="3183"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铺设防渗系统、浮动盖等</w:t>
            </w:r>
          </w:p>
        </w:tc>
        <w:tc>
          <w:tcPr>
            <w:tcW w:w="3306"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color w:val="auto"/>
                <w:u w:val="single"/>
              </w:rPr>
            </w:pPr>
            <w:r>
              <w:rPr>
                <w:rFonts w:hint="eastAsia"/>
                <w:color w:val="auto"/>
                <w:u w:val="single"/>
              </w:rPr>
              <w:t>防止污染物扩散、减少渗沥液产量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5</w:t>
            </w:r>
          </w:p>
        </w:tc>
        <w:tc>
          <w:tcPr>
            <w:tcW w:w="2000"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垂直防渗系统</w:t>
            </w:r>
          </w:p>
        </w:tc>
        <w:tc>
          <w:tcPr>
            <w:tcW w:w="3183"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钻孔、帷幕灌浆等</w:t>
            </w:r>
          </w:p>
        </w:tc>
        <w:tc>
          <w:tcPr>
            <w:tcW w:w="3306"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防止污染物扩散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6</w:t>
            </w:r>
          </w:p>
        </w:tc>
        <w:tc>
          <w:tcPr>
            <w:tcW w:w="2000" w:type="dxa"/>
            <w:tcBorders>
              <w:top w:val="single" w:color="auto" w:sz="4" w:space="0"/>
              <w:left w:val="single" w:color="auto" w:sz="4" w:space="0"/>
              <w:bottom w:val="single" w:color="auto" w:sz="4" w:space="0"/>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u w:val="single"/>
                <w:lang w:val="en-US" w:eastAsia="zh-CN"/>
              </w:rPr>
            </w:pPr>
            <w:r>
              <w:rPr>
                <w:rFonts w:hint="eastAsia"/>
                <w:u w:val="single"/>
                <w:lang w:val="en-US" w:eastAsia="zh-CN"/>
              </w:rPr>
              <w:t>南坝渗漏治理</w:t>
            </w:r>
          </w:p>
        </w:tc>
        <w:tc>
          <w:tcPr>
            <w:tcW w:w="3183" w:type="dxa"/>
            <w:tcBorders>
              <w:top w:val="single" w:color="auto" w:sz="4" w:space="0"/>
              <w:left w:val="single" w:color="auto" w:sz="4" w:space="0"/>
              <w:bottom w:val="single" w:color="auto" w:sz="4" w:space="0"/>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u w:val="single"/>
                <w:lang w:val="en-US" w:eastAsia="zh-CN"/>
              </w:rPr>
            </w:pPr>
            <w:r>
              <w:rPr>
                <w:rFonts w:hint="eastAsia"/>
                <w:u w:val="single"/>
                <w:lang w:val="en-US" w:eastAsia="zh-CN"/>
              </w:rPr>
              <w:t>垃圾挖填，铺设防渗膜等</w:t>
            </w:r>
          </w:p>
        </w:tc>
        <w:tc>
          <w:tcPr>
            <w:tcW w:w="3306" w:type="dxa"/>
            <w:tcBorders>
              <w:top w:val="single" w:color="auto" w:sz="4" w:space="0"/>
              <w:left w:val="single" w:color="auto" w:sz="4" w:space="0"/>
              <w:bottom w:val="single" w:color="auto" w:sz="4" w:space="0"/>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u w:val="single"/>
                <w:lang w:val="en-US" w:eastAsia="zh-CN"/>
              </w:rPr>
            </w:pPr>
            <w:r>
              <w:rPr>
                <w:rFonts w:hint="eastAsia"/>
                <w:u w:val="single"/>
                <w:lang w:val="en-US" w:eastAsia="zh-CN"/>
              </w:rPr>
              <w:t>防止渗沥液渗漏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7</w:t>
            </w:r>
          </w:p>
        </w:tc>
        <w:tc>
          <w:tcPr>
            <w:tcW w:w="2000"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填埋作业设备完善</w:t>
            </w:r>
          </w:p>
        </w:tc>
        <w:tc>
          <w:tcPr>
            <w:tcW w:w="3183"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压实机、推土机、挖掘机各</w:t>
            </w:r>
            <w:r>
              <w:rPr>
                <w:rFonts w:hint="default"/>
                <w:color w:val="auto"/>
                <w:u w:val="single"/>
              </w:rPr>
              <w:t>1</w:t>
            </w:r>
            <w:r>
              <w:rPr>
                <w:rFonts w:hint="eastAsia"/>
                <w:color w:val="auto"/>
                <w:u w:val="single"/>
              </w:rPr>
              <w:t>辆</w:t>
            </w:r>
          </w:p>
        </w:tc>
        <w:tc>
          <w:tcPr>
            <w:tcW w:w="3306"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保证填埋作业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8</w:t>
            </w:r>
          </w:p>
        </w:tc>
        <w:tc>
          <w:tcPr>
            <w:tcW w:w="2000"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场外排水</w:t>
            </w:r>
          </w:p>
        </w:tc>
        <w:tc>
          <w:tcPr>
            <w:tcW w:w="3183"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铺设管道</w:t>
            </w:r>
          </w:p>
        </w:tc>
        <w:tc>
          <w:tcPr>
            <w:tcW w:w="3306"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firstLine="0" w:firstLineChars="0"/>
              <w:rPr>
                <w:rFonts w:hint="default"/>
                <w:color w:val="auto"/>
                <w:u w:val="single"/>
              </w:rPr>
            </w:pPr>
            <w:r>
              <w:rPr>
                <w:rFonts w:hint="eastAsia"/>
                <w:color w:val="auto"/>
                <w:u w:val="single"/>
              </w:rPr>
              <w:t>保证场区排水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9</w:t>
            </w:r>
          </w:p>
        </w:tc>
        <w:tc>
          <w:tcPr>
            <w:tcW w:w="2000"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堆体整形</w:t>
            </w:r>
          </w:p>
        </w:tc>
        <w:tc>
          <w:tcPr>
            <w:tcW w:w="3183"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堆体形状设计</w:t>
            </w:r>
          </w:p>
        </w:tc>
        <w:tc>
          <w:tcPr>
            <w:tcW w:w="3306" w:type="dxa"/>
            <w:tcBorders>
              <w:top w:val="single" w:color="auto" w:sz="4" w:space="0"/>
              <w:left w:val="single" w:color="auto" w:sz="4" w:space="0"/>
              <w:bottom w:val="single" w:color="auto" w:sz="4" w:space="0"/>
              <w:right w:val="single" w:color="auto" w:sz="4" w:space="0"/>
            </w:tcBorders>
            <w:textDirection w:val="lrTb"/>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eastAsia"/>
                <w:color w:val="auto"/>
                <w:u w:val="single"/>
              </w:rPr>
              <w:t>指导填埋作业规划</w:t>
            </w:r>
          </w:p>
        </w:tc>
      </w:tr>
    </w:tbl>
    <w:p>
      <w:pPr>
        <w:pStyle w:val="4"/>
        <w:rPr>
          <w:rFonts w:hint="eastAsia"/>
          <w:color w:val="auto"/>
          <w:lang w:val="en-US" w:eastAsia="zh-CN"/>
        </w:rPr>
      </w:pPr>
      <w:r>
        <w:rPr>
          <w:rFonts w:hint="eastAsia"/>
          <w:color w:val="auto"/>
          <w:lang w:val="en-US" w:eastAsia="zh-CN"/>
        </w:rPr>
        <w:t>4.2.3技改后配备的填埋设备</w:t>
      </w:r>
    </w:p>
    <w:p>
      <w:pPr>
        <w:rPr>
          <w:rFonts w:hint="eastAsia"/>
          <w:color w:val="auto"/>
          <w:lang w:val="en-US" w:eastAsia="zh-CN"/>
        </w:rPr>
      </w:pPr>
      <w:r>
        <w:rPr>
          <w:rFonts w:hint="eastAsia"/>
          <w:color w:val="auto"/>
          <w:lang w:val="en-US" w:eastAsia="zh-CN"/>
        </w:rPr>
        <w:t>本工程技改后，垃圾处理场的填埋设备情况详见表4-2。</w:t>
      </w:r>
    </w:p>
    <w:p>
      <w:pPr>
        <w:pStyle w:val="23"/>
        <w:rPr>
          <w:rFonts w:hint="eastAsia"/>
          <w:b/>
          <w:bCs/>
          <w:lang w:val="en-US" w:eastAsia="zh-CN"/>
        </w:rPr>
      </w:pPr>
      <w:r>
        <w:rPr>
          <w:rFonts w:hint="eastAsia"/>
          <w:b/>
          <w:bCs/>
          <w:lang w:val="en-US" w:eastAsia="zh-CN"/>
        </w:rPr>
        <w:t>表4-2  技改后配备的填埋作业设备一览表</w:t>
      </w:r>
    </w:p>
    <w:tbl>
      <w:tblPr>
        <w:tblStyle w:val="20"/>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4"/>
        <w:gridCol w:w="1725"/>
        <w:gridCol w:w="1605"/>
        <w:gridCol w:w="43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4"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序号</w:t>
            </w:r>
          </w:p>
        </w:tc>
        <w:tc>
          <w:tcPr>
            <w:tcW w:w="1725"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名称</w:t>
            </w:r>
          </w:p>
        </w:tc>
        <w:tc>
          <w:tcPr>
            <w:tcW w:w="1605"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数量</w:t>
            </w:r>
          </w:p>
        </w:tc>
        <w:tc>
          <w:tcPr>
            <w:tcW w:w="4348"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4" w:type="dxa"/>
            <w:textDirection w:val="lrTb"/>
            <w:vAlign w:val="top"/>
          </w:tcPr>
          <w:p>
            <w:pPr>
              <w:pStyle w:val="23"/>
              <w:keepNext w:val="0"/>
              <w:keepLines w:val="0"/>
              <w:suppressLineNumbers w:val="0"/>
              <w:spacing w:before="0" w:beforeAutospacing="0" w:after="0" w:afterAutospacing="0"/>
              <w:ind w:left="0" w:leftChars="0" w:right="0" w:rightChars="0" w:firstLine="0" w:firstLineChars="0"/>
              <w:rPr>
                <w:rFonts w:hint="eastAsia"/>
                <w:vertAlign w:val="baseline"/>
                <w:lang w:val="en-US" w:eastAsia="zh-CN"/>
              </w:rPr>
            </w:pPr>
            <w:r>
              <w:rPr>
                <w:rFonts w:hint="eastAsia"/>
                <w:vertAlign w:val="baseline"/>
                <w:lang w:val="en-US" w:eastAsia="zh-CN"/>
              </w:rPr>
              <w:t>1</w:t>
            </w:r>
          </w:p>
        </w:tc>
        <w:tc>
          <w:tcPr>
            <w:tcW w:w="1725" w:type="dxa"/>
            <w:textDirection w:val="lrTb"/>
            <w:vAlign w:val="top"/>
          </w:tcPr>
          <w:p>
            <w:pPr>
              <w:pStyle w:val="23"/>
              <w:keepNext w:val="0"/>
              <w:keepLines w:val="0"/>
              <w:suppressLineNumbers w:val="0"/>
              <w:spacing w:before="0" w:beforeAutospacing="0" w:after="0" w:afterAutospacing="0"/>
              <w:ind w:left="0" w:leftChars="0" w:right="0" w:rightChars="0" w:firstLine="0" w:firstLineChars="0"/>
              <w:rPr>
                <w:rFonts w:hint="eastAsia"/>
                <w:vertAlign w:val="baseline"/>
                <w:lang w:val="en-US" w:eastAsia="zh-CN"/>
              </w:rPr>
            </w:pPr>
            <w:r>
              <w:rPr>
                <w:rFonts w:hint="eastAsia"/>
                <w:vertAlign w:val="baseline"/>
                <w:lang w:val="en-US" w:eastAsia="zh-CN"/>
              </w:rPr>
              <w:t>推土机</w:t>
            </w:r>
          </w:p>
        </w:tc>
        <w:tc>
          <w:tcPr>
            <w:tcW w:w="1605"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2台</w:t>
            </w:r>
          </w:p>
        </w:tc>
        <w:tc>
          <w:tcPr>
            <w:tcW w:w="4348"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其中1台为现有、1台为新购置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4" w:type="dxa"/>
            <w:textDirection w:val="lrTb"/>
            <w:vAlign w:val="top"/>
          </w:tcPr>
          <w:p>
            <w:pPr>
              <w:pStyle w:val="23"/>
              <w:keepNext w:val="0"/>
              <w:keepLines w:val="0"/>
              <w:suppressLineNumbers w:val="0"/>
              <w:spacing w:before="0" w:beforeAutospacing="0" w:after="0" w:afterAutospacing="0"/>
              <w:ind w:left="0" w:leftChars="0" w:right="0" w:rightChars="0" w:firstLine="0" w:firstLineChars="0"/>
              <w:rPr>
                <w:rFonts w:hint="eastAsia"/>
                <w:vertAlign w:val="baseline"/>
                <w:lang w:val="en-US" w:eastAsia="zh-CN"/>
              </w:rPr>
            </w:pPr>
            <w:r>
              <w:rPr>
                <w:rFonts w:hint="eastAsia"/>
                <w:vertAlign w:val="baseline"/>
                <w:lang w:val="en-US" w:eastAsia="zh-CN"/>
              </w:rPr>
              <w:t>2</w:t>
            </w:r>
          </w:p>
        </w:tc>
        <w:tc>
          <w:tcPr>
            <w:tcW w:w="1725" w:type="dxa"/>
            <w:textDirection w:val="lrTb"/>
            <w:vAlign w:val="top"/>
          </w:tcPr>
          <w:p>
            <w:pPr>
              <w:pStyle w:val="23"/>
              <w:keepNext w:val="0"/>
              <w:keepLines w:val="0"/>
              <w:suppressLineNumbers w:val="0"/>
              <w:spacing w:before="0" w:beforeAutospacing="0" w:after="0" w:afterAutospacing="0"/>
              <w:ind w:left="0" w:leftChars="0" w:right="0" w:rightChars="0" w:firstLine="0" w:firstLineChars="0"/>
              <w:rPr>
                <w:rFonts w:hint="eastAsia"/>
                <w:vertAlign w:val="baseline"/>
                <w:lang w:val="en-US" w:eastAsia="zh-CN"/>
              </w:rPr>
            </w:pPr>
            <w:r>
              <w:rPr>
                <w:rFonts w:hint="eastAsia"/>
                <w:vertAlign w:val="baseline"/>
                <w:lang w:val="en-US" w:eastAsia="zh-CN"/>
              </w:rPr>
              <w:t>压实机</w:t>
            </w:r>
          </w:p>
        </w:tc>
        <w:tc>
          <w:tcPr>
            <w:tcW w:w="1605"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2台</w:t>
            </w:r>
          </w:p>
        </w:tc>
        <w:tc>
          <w:tcPr>
            <w:tcW w:w="4348"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其中1台为现有、1台为新购置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4" w:type="dxa"/>
            <w:textDirection w:val="lrTb"/>
            <w:vAlign w:val="top"/>
          </w:tcPr>
          <w:p>
            <w:pPr>
              <w:pStyle w:val="23"/>
              <w:keepNext w:val="0"/>
              <w:keepLines w:val="0"/>
              <w:suppressLineNumbers w:val="0"/>
              <w:spacing w:before="0" w:beforeAutospacing="0" w:after="0" w:afterAutospacing="0"/>
              <w:ind w:left="0" w:leftChars="0" w:right="0" w:rightChars="0" w:firstLine="0" w:firstLineChars="0"/>
              <w:rPr>
                <w:rFonts w:hint="eastAsia"/>
                <w:vertAlign w:val="baseline"/>
                <w:lang w:val="en-US" w:eastAsia="zh-CN"/>
              </w:rPr>
            </w:pPr>
            <w:r>
              <w:rPr>
                <w:rFonts w:hint="eastAsia"/>
                <w:vertAlign w:val="baseline"/>
                <w:lang w:val="en-US" w:eastAsia="zh-CN"/>
              </w:rPr>
              <w:t>3</w:t>
            </w:r>
          </w:p>
        </w:tc>
        <w:tc>
          <w:tcPr>
            <w:tcW w:w="1725" w:type="dxa"/>
            <w:textDirection w:val="lrTb"/>
            <w:vAlign w:val="top"/>
          </w:tcPr>
          <w:p>
            <w:pPr>
              <w:pStyle w:val="23"/>
              <w:keepNext w:val="0"/>
              <w:keepLines w:val="0"/>
              <w:suppressLineNumbers w:val="0"/>
              <w:spacing w:before="0" w:beforeAutospacing="0" w:after="0" w:afterAutospacing="0"/>
              <w:ind w:left="0" w:leftChars="0" w:right="0" w:rightChars="0" w:firstLine="0" w:firstLineChars="0"/>
              <w:rPr>
                <w:rFonts w:hint="eastAsia"/>
                <w:vertAlign w:val="baseline"/>
                <w:lang w:val="en-US" w:eastAsia="zh-CN"/>
              </w:rPr>
            </w:pPr>
            <w:r>
              <w:rPr>
                <w:rFonts w:hint="eastAsia"/>
                <w:vertAlign w:val="baseline"/>
                <w:lang w:val="en-US" w:eastAsia="zh-CN"/>
              </w:rPr>
              <w:t>挖掘机</w:t>
            </w:r>
          </w:p>
        </w:tc>
        <w:tc>
          <w:tcPr>
            <w:tcW w:w="1605"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1台</w:t>
            </w:r>
          </w:p>
        </w:tc>
        <w:tc>
          <w:tcPr>
            <w:tcW w:w="4348" w:type="dxa"/>
          </w:tcPr>
          <w:p>
            <w:pPr>
              <w:pStyle w:val="23"/>
              <w:keepNext w:val="0"/>
              <w:keepLines w:val="0"/>
              <w:suppressLineNumbers w:val="0"/>
              <w:spacing w:before="0" w:beforeAutospacing="0" w:after="0" w:afterAutospacing="0"/>
              <w:ind w:left="0" w:right="0"/>
              <w:rPr>
                <w:rFonts w:hint="eastAsia"/>
                <w:vertAlign w:val="baseline"/>
                <w:lang w:val="en-US" w:eastAsia="zh-CN"/>
              </w:rPr>
            </w:pPr>
            <w:r>
              <w:rPr>
                <w:rFonts w:hint="eastAsia"/>
                <w:vertAlign w:val="baseline"/>
                <w:lang w:val="en-US" w:eastAsia="zh-CN"/>
              </w:rPr>
              <w:t>新购置</w:t>
            </w:r>
          </w:p>
        </w:tc>
      </w:tr>
    </w:tbl>
    <w:p>
      <w:pPr>
        <w:pStyle w:val="4"/>
        <w:rPr>
          <w:rFonts w:hint="eastAsia"/>
          <w:color w:val="auto"/>
          <w:lang w:val="en-US" w:eastAsia="zh-CN"/>
        </w:rPr>
      </w:pPr>
      <w:r>
        <w:rPr>
          <w:rFonts w:hint="eastAsia"/>
          <w:color w:val="auto"/>
          <w:lang w:val="en-US" w:eastAsia="zh-CN"/>
        </w:rPr>
        <w:t>4.2.4主要经济技术指标</w:t>
      </w:r>
    </w:p>
    <w:p>
      <w:pPr>
        <w:rPr>
          <w:rFonts w:hint="eastAsia"/>
          <w:color w:val="auto"/>
          <w:lang w:val="en-US" w:eastAsia="zh-CN"/>
        </w:rPr>
      </w:pPr>
      <w:r>
        <w:rPr>
          <w:rFonts w:hint="eastAsia"/>
          <w:color w:val="auto"/>
          <w:lang w:val="en-US" w:eastAsia="zh-CN"/>
        </w:rPr>
        <w:t>项目主要建设经济技术指标见表4-2。</w:t>
      </w:r>
    </w:p>
    <w:p>
      <w:pPr>
        <w:pStyle w:val="23"/>
        <w:rPr>
          <w:rFonts w:hint="eastAsia"/>
          <w:color w:val="auto"/>
        </w:rPr>
      </w:pPr>
      <w:r>
        <w:rPr>
          <w:rFonts w:hint="eastAsia"/>
          <w:b/>
          <w:bCs/>
          <w:color w:val="auto"/>
          <w:lang w:eastAsia="zh-CN"/>
        </w:rPr>
        <w:t>表</w:t>
      </w:r>
      <w:r>
        <w:rPr>
          <w:rFonts w:hint="eastAsia"/>
          <w:b/>
          <w:bCs/>
          <w:color w:val="auto"/>
          <w:lang w:val="en-US" w:eastAsia="zh-CN"/>
        </w:rPr>
        <w:t xml:space="preserve">4-2  </w:t>
      </w:r>
      <w:r>
        <w:rPr>
          <w:rFonts w:hint="eastAsia"/>
          <w:b/>
          <w:bCs/>
          <w:color w:val="auto"/>
        </w:rPr>
        <w:t>主要经济技术指标表</w:t>
      </w:r>
    </w:p>
    <w:tbl>
      <w:tblPr>
        <w:tblStyle w:val="19"/>
        <w:tblW w:w="921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2483"/>
        <w:gridCol w:w="754"/>
        <w:gridCol w:w="1064"/>
        <w:gridCol w:w="4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tblHeader/>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序号</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指标名称</w:t>
            </w:r>
          </w:p>
        </w:tc>
        <w:tc>
          <w:tcPr>
            <w:tcW w:w="754" w:type="dxa"/>
            <w:vAlign w:val="center"/>
          </w:tcPr>
          <w:p>
            <w:pPr>
              <w:pStyle w:val="23"/>
              <w:keepNext w:val="0"/>
              <w:keepLines w:val="0"/>
              <w:suppressLineNumbers w:val="0"/>
              <w:spacing w:before="0" w:beforeAutospacing="0" w:after="0" w:afterAutospacing="0"/>
              <w:ind w:left="0" w:right="0"/>
              <w:rPr>
                <w:rFonts w:hint="eastAsia"/>
              </w:rPr>
            </w:pPr>
            <w:r>
              <w:rPr>
                <w:rFonts w:hint="eastAsia"/>
              </w:rPr>
              <w:t>单位</w:t>
            </w:r>
          </w:p>
        </w:tc>
        <w:tc>
          <w:tcPr>
            <w:tcW w:w="1064" w:type="dxa"/>
            <w:vAlign w:val="center"/>
          </w:tcPr>
          <w:p>
            <w:pPr>
              <w:pStyle w:val="23"/>
              <w:keepNext w:val="0"/>
              <w:keepLines w:val="0"/>
              <w:suppressLineNumbers w:val="0"/>
              <w:spacing w:before="0" w:beforeAutospacing="0" w:after="0" w:afterAutospacing="0"/>
              <w:ind w:left="0" w:right="0"/>
              <w:rPr>
                <w:rFonts w:hint="eastAsia"/>
              </w:rPr>
            </w:pPr>
            <w:r>
              <w:rPr>
                <w:rFonts w:hint="eastAsia"/>
              </w:rPr>
              <w:t>数值</w:t>
            </w:r>
          </w:p>
        </w:tc>
        <w:tc>
          <w:tcPr>
            <w:tcW w:w="4174" w:type="dxa"/>
            <w:vAlign w:val="center"/>
          </w:tcPr>
          <w:p>
            <w:pPr>
              <w:pStyle w:val="23"/>
              <w:keepNext w:val="0"/>
              <w:keepLines w:val="0"/>
              <w:suppressLineNumbers w:val="0"/>
              <w:spacing w:before="0" w:beforeAutospacing="0" w:after="0" w:afterAutospacing="0"/>
              <w:ind w:left="0" w:right="0"/>
              <w:rPr>
                <w:rFonts w:hint="eastAsia"/>
              </w:rPr>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一</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总占地面积</w:t>
            </w:r>
          </w:p>
        </w:tc>
        <w:tc>
          <w:tcPr>
            <w:tcW w:w="754" w:type="dxa"/>
            <w:vAlign w:val="center"/>
          </w:tcPr>
          <w:p>
            <w:pPr>
              <w:pStyle w:val="23"/>
              <w:keepNext w:val="0"/>
              <w:keepLines w:val="0"/>
              <w:suppressLineNumbers w:val="0"/>
              <w:spacing w:before="0" w:beforeAutospacing="0" w:after="0" w:afterAutospacing="0"/>
              <w:ind w:left="0" w:right="0"/>
              <w:rPr>
                <w:rFonts w:hint="default"/>
              </w:rPr>
            </w:pPr>
            <w:r>
              <w:rPr>
                <w:rFonts w:hint="eastAsia"/>
              </w:rPr>
              <w:t>m</w:t>
            </w:r>
            <w:r>
              <w:rPr>
                <w:rFonts w:hint="eastAsia"/>
                <w:vertAlign w:val="superscript"/>
                <w:lang w:val="en-US" w:eastAsia="zh-CN"/>
              </w:rPr>
              <w:t>2</w:t>
            </w:r>
          </w:p>
        </w:tc>
        <w:tc>
          <w:tcPr>
            <w:tcW w:w="1064" w:type="dxa"/>
            <w:vAlign w:val="center"/>
          </w:tcPr>
          <w:p>
            <w:pPr>
              <w:pStyle w:val="23"/>
              <w:keepNext w:val="0"/>
              <w:keepLines w:val="0"/>
              <w:suppressLineNumbers w:val="0"/>
              <w:spacing w:before="0" w:beforeAutospacing="0" w:after="0" w:afterAutospacing="0"/>
              <w:ind w:left="0" w:right="0"/>
              <w:rPr>
                <w:rFonts w:hint="eastAsia"/>
              </w:rPr>
            </w:pPr>
            <w:r>
              <w:rPr>
                <w:rFonts w:hint="default"/>
              </w:rPr>
              <w:t>193772.8</w:t>
            </w:r>
          </w:p>
        </w:tc>
        <w:tc>
          <w:tcPr>
            <w:tcW w:w="4174" w:type="dxa"/>
            <w:vAlign w:val="center"/>
          </w:tcPr>
          <w:p>
            <w:pPr>
              <w:pStyle w:val="23"/>
              <w:keepNext w:val="0"/>
              <w:keepLines w:val="0"/>
              <w:suppressLineNumbers w:val="0"/>
              <w:spacing w:before="0" w:beforeAutospacing="0" w:after="0" w:afterAutospacing="0"/>
              <w:ind w:left="0" w:right="0"/>
              <w:rPr>
                <w:rFonts w:hint="eastAsia"/>
              </w:rPr>
            </w:pPr>
            <w:r>
              <w:rPr>
                <w:rFonts w:hint="eastAsia"/>
              </w:rPr>
              <w:t>折合290.65亩，不含场外道路</w:t>
            </w:r>
            <w:r>
              <w:rPr>
                <w:rFonts w:hint="eastAsia"/>
                <w:lang w:eastAsia="zh-CN"/>
              </w:rPr>
              <w:t>，现有场区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1</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其中：填埋区占地面积</w:t>
            </w:r>
          </w:p>
        </w:tc>
        <w:tc>
          <w:tcPr>
            <w:tcW w:w="754" w:type="dxa"/>
            <w:vAlign w:val="center"/>
          </w:tcPr>
          <w:p>
            <w:pPr>
              <w:pStyle w:val="23"/>
              <w:keepNext w:val="0"/>
              <w:keepLines w:val="0"/>
              <w:suppressLineNumbers w:val="0"/>
              <w:spacing w:before="0" w:beforeAutospacing="0" w:after="0" w:afterAutospacing="0"/>
              <w:ind w:left="0" w:right="0"/>
              <w:rPr>
                <w:rFonts w:hint="eastAsia"/>
              </w:rPr>
            </w:pPr>
            <w:r>
              <w:rPr>
                <w:rFonts w:hint="eastAsia"/>
              </w:rPr>
              <w:t>m</w:t>
            </w:r>
            <w:r>
              <w:rPr>
                <w:rFonts w:hint="eastAsia"/>
                <w:vertAlign w:val="superscript"/>
                <w:lang w:val="en-US" w:eastAsia="zh-CN"/>
              </w:rPr>
              <w:t>2</w:t>
            </w:r>
          </w:p>
        </w:tc>
        <w:tc>
          <w:tcPr>
            <w:tcW w:w="1064" w:type="dxa"/>
            <w:vAlign w:val="center"/>
          </w:tcPr>
          <w:p>
            <w:pPr>
              <w:pStyle w:val="23"/>
              <w:keepNext w:val="0"/>
              <w:keepLines w:val="0"/>
              <w:suppressLineNumbers w:val="0"/>
              <w:spacing w:before="0" w:beforeAutospacing="0" w:after="0" w:afterAutospacing="0"/>
              <w:ind w:left="0" w:right="0"/>
              <w:rPr>
                <w:rFonts w:hint="default"/>
              </w:rPr>
            </w:pPr>
            <w:r>
              <w:rPr>
                <w:rFonts w:hint="default"/>
              </w:rPr>
              <w:t>90778</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2</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 xml:space="preserve">      道路、边坡</w:t>
            </w:r>
          </w:p>
        </w:tc>
        <w:tc>
          <w:tcPr>
            <w:tcW w:w="754" w:type="dxa"/>
            <w:vAlign w:val="center"/>
          </w:tcPr>
          <w:p>
            <w:pPr>
              <w:pStyle w:val="23"/>
              <w:keepNext w:val="0"/>
              <w:keepLines w:val="0"/>
              <w:suppressLineNumbers w:val="0"/>
              <w:spacing w:before="0" w:beforeAutospacing="0" w:after="0" w:afterAutospacing="0"/>
              <w:ind w:left="0" w:right="0"/>
              <w:rPr>
                <w:rFonts w:hint="default"/>
              </w:rPr>
            </w:pPr>
            <w:r>
              <w:rPr>
                <w:rFonts w:hint="eastAsia"/>
              </w:rPr>
              <w:t>m</w:t>
            </w:r>
            <w:r>
              <w:rPr>
                <w:rFonts w:hint="eastAsia"/>
                <w:vertAlign w:val="superscript"/>
                <w:lang w:val="en-US" w:eastAsia="zh-CN"/>
              </w:rPr>
              <w:t>2</w:t>
            </w:r>
          </w:p>
        </w:tc>
        <w:tc>
          <w:tcPr>
            <w:tcW w:w="1064" w:type="dxa"/>
            <w:vAlign w:val="center"/>
          </w:tcPr>
          <w:p>
            <w:pPr>
              <w:pStyle w:val="23"/>
              <w:keepNext w:val="0"/>
              <w:keepLines w:val="0"/>
              <w:suppressLineNumbers w:val="0"/>
              <w:spacing w:before="0" w:beforeAutospacing="0" w:after="0" w:afterAutospacing="0"/>
              <w:ind w:left="0" w:right="0"/>
              <w:rPr>
                <w:rFonts w:hint="default"/>
              </w:rPr>
            </w:pPr>
            <w:r>
              <w:rPr>
                <w:rFonts w:hint="eastAsia"/>
              </w:rPr>
              <w:t>8133.43</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3</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调节池调节池</w:t>
            </w:r>
          </w:p>
        </w:tc>
        <w:tc>
          <w:tcPr>
            <w:tcW w:w="754" w:type="dxa"/>
            <w:vAlign w:val="center"/>
          </w:tcPr>
          <w:p>
            <w:pPr>
              <w:pStyle w:val="23"/>
              <w:keepNext w:val="0"/>
              <w:keepLines w:val="0"/>
              <w:suppressLineNumbers w:val="0"/>
              <w:spacing w:before="0" w:beforeAutospacing="0" w:after="0" w:afterAutospacing="0"/>
              <w:ind w:left="0" w:right="0"/>
              <w:rPr>
                <w:rFonts w:hint="default"/>
              </w:rPr>
            </w:pPr>
            <w:r>
              <w:rPr>
                <w:rFonts w:hint="eastAsia"/>
              </w:rPr>
              <w:t>m</w:t>
            </w:r>
            <w:r>
              <w:rPr>
                <w:rFonts w:hint="eastAsia"/>
                <w:vertAlign w:val="superscript"/>
                <w:lang w:val="en-US" w:eastAsia="zh-CN"/>
              </w:rPr>
              <w:t>2</w:t>
            </w:r>
          </w:p>
        </w:tc>
        <w:tc>
          <w:tcPr>
            <w:tcW w:w="1064" w:type="dxa"/>
            <w:vAlign w:val="center"/>
          </w:tcPr>
          <w:p>
            <w:pPr>
              <w:pStyle w:val="23"/>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377.85</w:t>
            </w:r>
          </w:p>
        </w:tc>
        <w:tc>
          <w:tcPr>
            <w:tcW w:w="4174" w:type="dxa"/>
            <w:vAlign w:val="center"/>
          </w:tcPr>
          <w:p>
            <w:pPr>
              <w:pStyle w:val="23"/>
              <w:keepNext w:val="0"/>
              <w:keepLines w:val="0"/>
              <w:suppressLineNumbers w:val="0"/>
              <w:spacing w:before="0" w:beforeAutospacing="0" w:after="0" w:afterAutospacing="0"/>
              <w:ind w:left="0" w:right="0"/>
              <w:rPr>
                <w:rFonts w:hint="eastAsia"/>
                <w:lang w:eastAsia="zh-CN"/>
              </w:rPr>
            </w:pPr>
            <w:r>
              <w:rPr>
                <w:rFonts w:hint="eastAsia"/>
                <w:lang w:eastAsia="zh-CN"/>
              </w:rPr>
              <w:t>现有设施进行改造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二</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土方工程</w:t>
            </w:r>
          </w:p>
        </w:tc>
        <w:tc>
          <w:tcPr>
            <w:tcW w:w="754" w:type="dxa"/>
            <w:vAlign w:val="center"/>
          </w:tcPr>
          <w:p>
            <w:pPr>
              <w:pStyle w:val="23"/>
              <w:keepNext w:val="0"/>
              <w:keepLines w:val="0"/>
              <w:suppressLineNumbers w:val="0"/>
              <w:spacing w:before="0" w:beforeAutospacing="0" w:after="0" w:afterAutospacing="0"/>
              <w:ind w:left="0" w:right="0"/>
              <w:rPr>
                <w:rFonts w:hint="eastAsia"/>
              </w:rPr>
            </w:pPr>
          </w:p>
        </w:tc>
        <w:tc>
          <w:tcPr>
            <w:tcW w:w="1064" w:type="dxa"/>
            <w:vAlign w:val="center"/>
          </w:tcPr>
          <w:p>
            <w:pPr>
              <w:pStyle w:val="23"/>
              <w:keepNext w:val="0"/>
              <w:keepLines w:val="0"/>
              <w:suppressLineNumbers w:val="0"/>
              <w:spacing w:before="0" w:beforeAutospacing="0" w:after="0" w:afterAutospacing="0"/>
              <w:ind w:left="0" w:right="0"/>
              <w:rPr>
                <w:rFonts w:hint="default"/>
              </w:rPr>
            </w:pP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1</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总挖方</w:t>
            </w:r>
          </w:p>
        </w:tc>
        <w:tc>
          <w:tcPr>
            <w:tcW w:w="754" w:type="dxa"/>
            <w:vAlign w:val="center"/>
          </w:tcPr>
          <w:p>
            <w:pPr>
              <w:pStyle w:val="23"/>
              <w:keepNext w:val="0"/>
              <w:keepLines w:val="0"/>
              <w:suppressLineNumbers w:val="0"/>
              <w:spacing w:before="0" w:beforeAutospacing="0" w:after="0" w:afterAutospacing="0"/>
              <w:ind w:left="0" w:right="0"/>
              <w:rPr>
                <w:rFonts w:hint="default"/>
              </w:rPr>
            </w:pPr>
            <w:r>
              <w:rPr>
                <w:rFonts w:hint="eastAsia"/>
              </w:rPr>
              <w:t>m</w:t>
            </w:r>
            <w:r>
              <w:rPr>
                <w:rFonts w:hint="eastAsia"/>
                <w:vertAlign w:val="superscript"/>
                <w:lang w:val="en-US" w:eastAsia="zh-CN"/>
              </w:rPr>
              <w:t>3</w:t>
            </w:r>
          </w:p>
        </w:tc>
        <w:tc>
          <w:tcPr>
            <w:tcW w:w="1064" w:type="dxa"/>
            <w:vAlign w:val="center"/>
          </w:tcPr>
          <w:p>
            <w:pPr>
              <w:pStyle w:val="23"/>
              <w:keepNext w:val="0"/>
              <w:keepLines w:val="0"/>
              <w:suppressLineNumbers w:val="0"/>
              <w:spacing w:before="0" w:beforeAutospacing="0" w:after="0" w:afterAutospacing="0"/>
              <w:ind w:left="0" w:right="0"/>
              <w:rPr>
                <w:rFonts w:hint="default"/>
              </w:rPr>
            </w:pPr>
            <w:r>
              <w:rPr>
                <w:rFonts w:hint="eastAsia"/>
              </w:rPr>
              <w:t>3760</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2</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总填方</w:t>
            </w:r>
          </w:p>
        </w:tc>
        <w:tc>
          <w:tcPr>
            <w:tcW w:w="754" w:type="dxa"/>
            <w:vAlign w:val="center"/>
          </w:tcPr>
          <w:p>
            <w:pPr>
              <w:pStyle w:val="23"/>
              <w:keepNext w:val="0"/>
              <w:keepLines w:val="0"/>
              <w:suppressLineNumbers w:val="0"/>
              <w:spacing w:before="0" w:beforeAutospacing="0" w:after="0" w:afterAutospacing="0"/>
              <w:ind w:left="0" w:right="0"/>
              <w:rPr>
                <w:rFonts w:hint="default"/>
              </w:rPr>
            </w:pPr>
            <w:r>
              <w:rPr>
                <w:rFonts w:hint="eastAsia"/>
              </w:rPr>
              <w:t>m</w:t>
            </w:r>
            <w:r>
              <w:rPr>
                <w:rFonts w:hint="eastAsia"/>
                <w:vertAlign w:val="superscript"/>
                <w:lang w:val="en-US" w:eastAsia="zh-CN"/>
              </w:rPr>
              <w:t>3</w:t>
            </w:r>
          </w:p>
        </w:tc>
        <w:tc>
          <w:tcPr>
            <w:tcW w:w="1064" w:type="dxa"/>
            <w:vAlign w:val="center"/>
          </w:tcPr>
          <w:p>
            <w:pPr>
              <w:pStyle w:val="23"/>
              <w:keepNext w:val="0"/>
              <w:keepLines w:val="0"/>
              <w:suppressLineNumbers w:val="0"/>
              <w:spacing w:before="0" w:beforeAutospacing="0" w:after="0" w:afterAutospacing="0"/>
              <w:ind w:left="0" w:right="0"/>
              <w:rPr>
                <w:rFonts w:hint="eastAsia"/>
              </w:rPr>
            </w:pPr>
            <w:r>
              <w:rPr>
                <w:rFonts w:hint="eastAsia"/>
              </w:rPr>
              <w:t>769</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三</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卫生填埋场库容</w:t>
            </w:r>
          </w:p>
        </w:tc>
        <w:tc>
          <w:tcPr>
            <w:tcW w:w="754" w:type="dxa"/>
            <w:vAlign w:val="center"/>
          </w:tcPr>
          <w:p>
            <w:pPr>
              <w:pStyle w:val="23"/>
              <w:keepNext w:val="0"/>
              <w:keepLines w:val="0"/>
              <w:suppressLineNumbers w:val="0"/>
              <w:spacing w:before="0" w:beforeAutospacing="0" w:after="0" w:afterAutospacing="0"/>
              <w:ind w:left="0" w:right="0"/>
              <w:rPr>
                <w:rFonts w:hint="eastAsia"/>
              </w:rPr>
            </w:pPr>
            <w:r>
              <w:rPr>
                <w:rFonts w:hint="eastAsia"/>
              </w:rPr>
              <w:t>万m</w:t>
            </w:r>
            <w:r>
              <w:rPr>
                <w:rFonts w:hint="eastAsia"/>
                <w:vertAlign w:val="superscript"/>
                <w:lang w:val="en-US" w:eastAsia="zh-CN"/>
              </w:rPr>
              <w:t>3</w:t>
            </w:r>
          </w:p>
        </w:tc>
        <w:tc>
          <w:tcPr>
            <w:tcW w:w="1064" w:type="dxa"/>
            <w:vAlign w:val="center"/>
          </w:tcPr>
          <w:p>
            <w:pPr>
              <w:pStyle w:val="23"/>
              <w:keepNext w:val="0"/>
              <w:keepLines w:val="0"/>
              <w:suppressLineNumbers w:val="0"/>
              <w:spacing w:before="0" w:beforeAutospacing="0" w:after="0" w:afterAutospacing="0"/>
              <w:ind w:left="0" w:right="0"/>
              <w:rPr>
                <w:rFonts w:hint="eastAsia"/>
              </w:rPr>
            </w:pPr>
            <w:r>
              <w:rPr>
                <w:rFonts w:hint="eastAsia"/>
              </w:rPr>
              <w:t>77.3</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四</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卫生填埋场设计年限</w:t>
            </w:r>
          </w:p>
        </w:tc>
        <w:tc>
          <w:tcPr>
            <w:tcW w:w="754" w:type="dxa"/>
            <w:vAlign w:val="center"/>
          </w:tcPr>
          <w:p>
            <w:pPr>
              <w:pStyle w:val="23"/>
              <w:keepNext w:val="0"/>
              <w:keepLines w:val="0"/>
              <w:suppressLineNumbers w:val="0"/>
              <w:spacing w:before="0" w:beforeAutospacing="0" w:after="0" w:afterAutospacing="0"/>
              <w:ind w:left="0" w:right="0"/>
              <w:rPr>
                <w:rFonts w:hint="eastAsia"/>
              </w:rPr>
            </w:pPr>
            <w:r>
              <w:rPr>
                <w:rFonts w:hint="eastAsia"/>
              </w:rPr>
              <w:t>年</w:t>
            </w:r>
          </w:p>
        </w:tc>
        <w:tc>
          <w:tcPr>
            <w:tcW w:w="1064" w:type="dxa"/>
            <w:vAlign w:val="center"/>
          </w:tcPr>
          <w:p>
            <w:pPr>
              <w:pStyle w:val="23"/>
              <w:keepNext w:val="0"/>
              <w:keepLines w:val="0"/>
              <w:suppressLineNumbers w:val="0"/>
              <w:spacing w:before="0" w:beforeAutospacing="0" w:after="0" w:afterAutospacing="0"/>
              <w:ind w:left="0" w:right="0"/>
              <w:rPr>
                <w:rFonts w:hint="eastAsia"/>
              </w:rPr>
            </w:pPr>
            <w:r>
              <w:rPr>
                <w:rFonts w:hint="eastAsia"/>
              </w:rPr>
              <w:t>2.3</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五</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调节池池容</w:t>
            </w:r>
          </w:p>
        </w:tc>
        <w:tc>
          <w:tcPr>
            <w:tcW w:w="754" w:type="dxa"/>
            <w:vAlign w:val="center"/>
          </w:tcPr>
          <w:p>
            <w:pPr>
              <w:pStyle w:val="23"/>
              <w:keepNext w:val="0"/>
              <w:keepLines w:val="0"/>
              <w:suppressLineNumbers w:val="0"/>
              <w:spacing w:before="0" w:beforeAutospacing="0" w:after="0" w:afterAutospacing="0"/>
              <w:ind w:left="0" w:right="0"/>
              <w:rPr>
                <w:rFonts w:hint="eastAsia"/>
              </w:rPr>
            </w:pPr>
            <w:r>
              <w:rPr>
                <w:rFonts w:hint="eastAsia"/>
              </w:rPr>
              <w:t>m</w:t>
            </w:r>
            <w:r>
              <w:rPr>
                <w:rFonts w:hint="eastAsia"/>
                <w:vertAlign w:val="superscript"/>
                <w:lang w:val="en-US" w:eastAsia="zh-CN"/>
              </w:rPr>
              <w:t>3</w:t>
            </w:r>
          </w:p>
        </w:tc>
        <w:tc>
          <w:tcPr>
            <w:tcW w:w="1064" w:type="dxa"/>
            <w:vAlign w:val="center"/>
          </w:tcPr>
          <w:p>
            <w:pPr>
              <w:pStyle w:val="23"/>
              <w:keepNext w:val="0"/>
              <w:keepLines w:val="0"/>
              <w:suppressLineNumbers w:val="0"/>
              <w:spacing w:before="0" w:beforeAutospacing="0" w:after="0" w:afterAutospacing="0"/>
              <w:ind w:left="0" w:right="0"/>
              <w:rPr>
                <w:rFonts w:hint="eastAsia" w:eastAsia="宋体"/>
                <w:lang w:eastAsia="zh-CN"/>
              </w:rPr>
            </w:pPr>
            <w:r>
              <w:rPr>
                <w:rFonts w:hint="eastAsia"/>
                <w:lang w:val="en-US" w:eastAsia="zh-CN"/>
              </w:rPr>
              <w:t>11200</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六</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场外工程</w:t>
            </w:r>
          </w:p>
        </w:tc>
        <w:tc>
          <w:tcPr>
            <w:tcW w:w="754" w:type="dxa"/>
            <w:vAlign w:val="center"/>
          </w:tcPr>
          <w:p>
            <w:pPr>
              <w:pStyle w:val="23"/>
              <w:keepNext w:val="0"/>
              <w:keepLines w:val="0"/>
              <w:suppressLineNumbers w:val="0"/>
              <w:spacing w:before="0" w:beforeAutospacing="0" w:after="0" w:afterAutospacing="0"/>
              <w:ind w:left="0" w:right="0"/>
              <w:rPr>
                <w:rFonts w:hint="eastAsia"/>
              </w:rPr>
            </w:pPr>
          </w:p>
        </w:tc>
        <w:tc>
          <w:tcPr>
            <w:tcW w:w="1064" w:type="dxa"/>
            <w:vAlign w:val="center"/>
          </w:tcPr>
          <w:p>
            <w:pPr>
              <w:pStyle w:val="23"/>
              <w:keepNext w:val="0"/>
              <w:keepLines w:val="0"/>
              <w:suppressLineNumbers w:val="0"/>
              <w:spacing w:before="0" w:beforeAutospacing="0" w:after="0" w:afterAutospacing="0"/>
              <w:ind w:left="0" w:right="0"/>
              <w:rPr>
                <w:rFonts w:hint="eastAsia"/>
              </w:rPr>
            </w:pP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1</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场外道路</w:t>
            </w:r>
          </w:p>
        </w:tc>
        <w:tc>
          <w:tcPr>
            <w:tcW w:w="754" w:type="dxa"/>
            <w:vAlign w:val="center"/>
          </w:tcPr>
          <w:p>
            <w:pPr>
              <w:pStyle w:val="23"/>
              <w:keepNext w:val="0"/>
              <w:keepLines w:val="0"/>
              <w:suppressLineNumbers w:val="0"/>
              <w:spacing w:before="0" w:beforeAutospacing="0" w:after="0" w:afterAutospacing="0"/>
              <w:ind w:left="0" w:right="0"/>
              <w:rPr>
                <w:rFonts w:hint="default"/>
              </w:rPr>
            </w:pPr>
            <w:r>
              <w:rPr>
                <w:rFonts w:hint="default"/>
              </w:rPr>
              <w:t>m</w:t>
            </w:r>
          </w:p>
        </w:tc>
        <w:tc>
          <w:tcPr>
            <w:tcW w:w="1064" w:type="dxa"/>
            <w:vAlign w:val="center"/>
          </w:tcPr>
          <w:p>
            <w:pPr>
              <w:pStyle w:val="23"/>
              <w:keepNext w:val="0"/>
              <w:keepLines w:val="0"/>
              <w:suppressLineNumbers w:val="0"/>
              <w:spacing w:before="0" w:beforeAutospacing="0" w:after="0" w:afterAutospacing="0"/>
              <w:ind w:left="0" w:right="0"/>
              <w:rPr>
                <w:rFonts w:hint="eastAsia"/>
              </w:rPr>
            </w:pPr>
            <w:r>
              <w:rPr>
                <w:rFonts w:hint="eastAsia"/>
                <w:lang w:val="en-US" w:eastAsia="zh-CN"/>
              </w:rPr>
              <w:t>329</w:t>
            </w:r>
            <w:r>
              <w:rPr>
                <w:rFonts w:hint="eastAsia"/>
              </w:rPr>
              <w:t>.5</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2</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场外供电线路</w:t>
            </w:r>
          </w:p>
        </w:tc>
        <w:tc>
          <w:tcPr>
            <w:tcW w:w="754" w:type="dxa"/>
            <w:vAlign w:val="center"/>
          </w:tcPr>
          <w:p>
            <w:pPr>
              <w:pStyle w:val="23"/>
              <w:keepNext w:val="0"/>
              <w:keepLines w:val="0"/>
              <w:suppressLineNumbers w:val="0"/>
              <w:spacing w:before="0" w:beforeAutospacing="0" w:after="0" w:afterAutospacing="0"/>
              <w:ind w:left="0" w:right="0"/>
              <w:rPr>
                <w:rFonts w:hint="default"/>
              </w:rPr>
            </w:pPr>
            <w:r>
              <w:rPr>
                <w:rFonts w:hint="default"/>
              </w:rPr>
              <w:t>m</w:t>
            </w:r>
          </w:p>
        </w:tc>
        <w:tc>
          <w:tcPr>
            <w:tcW w:w="1064" w:type="dxa"/>
            <w:vAlign w:val="center"/>
          </w:tcPr>
          <w:p>
            <w:pPr>
              <w:pStyle w:val="23"/>
              <w:keepNext w:val="0"/>
              <w:keepLines w:val="0"/>
              <w:suppressLineNumbers w:val="0"/>
              <w:spacing w:before="0" w:beforeAutospacing="0" w:after="0" w:afterAutospacing="0"/>
              <w:ind w:left="0" w:right="0"/>
              <w:rPr>
                <w:rFonts w:hint="eastAsia"/>
              </w:rPr>
            </w:pPr>
            <w:r>
              <w:rPr>
                <w:rFonts w:hint="eastAsia"/>
              </w:rPr>
              <w:t>380</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rPr>
            </w:pPr>
            <w:r>
              <w:rPr>
                <w:rFonts w:hint="eastAsia"/>
              </w:rPr>
              <w:t>3</w:t>
            </w:r>
          </w:p>
        </w:tc>
        <w:tc>
          <w:tcPr>
            <w:tcW w:w="2483" w:type="dxa"/>
            <w:vAlign w:val="center"/>
          </w:tcPr>
          <w:p>
            <w:pPr>
              <w:pStyle w:val="23"/>
              <w:keepNext w:val="0"/>
              <w:keepLines w:val="0"/>
              <w:suppressLineNumbers w:val="0"/>
              <w:spacing w:before="0" w:beforeAutospacing="0" w:after="0" w:afterAutospacing="0"/>
              <w:ind w:left="0" w:right="0"/>
              <w:rPr>
                <w:rFonts w:hint="eastAsia"/>
              </w:rPr>
            </w:pPr>
            <w:r>
              <w:rPr>
                <w:rFonts w:hint="eastAsia"/>
              </w:rPr>
              <w:t>边坡铺砌</w:t>
            </w:r>
          </w:p>
        </w:tc>
        <w:tc>
          <w:tcPr>
            <w:tcW w:w="754" w:type="dxa"/>
            <w:vAlign w:val="center"/>
          </w:tcPr>
          <w:p>
            <w:pPr>
              <w:pStyle w:val="23"/>
              <w:keepNext w:val="0"/>
              <w:keepLines w:val="0"/>
              <w:suppressLineNumbers w:val="0"/>
              <w:spacing w:before="0" w:beforeAutospacing="0" w:after="0" w:afterAutospacing="0"/>
              <w:ind w:left="0" w:right="0"/>
              <w:rPr>
                <w:rFonts w:hint="eastAsia"/>
              </w:rPr>
            </w:pPr>
            <w:r>
              <w:rPr>
                <w:rFonts w:hint="default"/>
              </w:rPr>
              <w:t>m</w:t>
            </w:r>
          </w:p>
        </w:tc>
        <w:tc>
          <w:tcPr>
            <w:tcW w:w="1064" w:type="dxa"/>
            <w:vAlign w:val="center"/>
          </w:tcPr>
          <w:p>
            <w:pPr>
              <w:pStyle w:val="23"/>
              <w:keepNext w:val="0"/>
              <w:keepLines w:val="0"/>
              <w:suppressLineNumbers w:val="0"/>
              <w:spacing w:before="0" w:beforeAutospacing="0" w:after="0" w:afterAutospacing="0"/>
              <w:ind w:left="0" w:right="0"/>
              <w:rPr>
                <w:rFonts w:hint="eastAsia"/>
              </w:rPr>
            </w:pPr>
            <w:r>
              <w:rPr>
                <w:rFonts w:hint="eastAsia"/>
              </w:rPr>
              <w:t>8337</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lang w:eastAsia="zh-CN"/>
              </w:rPr>
            </w:pPr>
            <w:r>
              <w:rPr>
                <w:rFonts w:hint="eastAsia"/>
                <w:lang w:eastAsia="zh-CN"/>
              </w:rPr>
              <w:t>七</w:t>
            </w:r>
          </w:p>
        </w:tc>
        <w:tc>
          <w:tcPr>
            <w:tcW w:w="2483" w:type="dxa"/>
            <w:vAlign w:val="center"/>
          </w:tcPr>
          <w:p>
            <w:pPr>
              <w:pStyle w:val="23"/>
              <w:keepNext w:val="0"/>
              <w:keepLines w:val="0"/>
              <w:suppressLineNumbers w:val="0"/>
              <w:spacing w:before="0" w:beforeAutospacing="0" w:after="0" w:afterAutospacing="0"/>
              <w:ind w:left="0" w:right="0"/>
              <w:rPr>
                <w:rFonts w:hint="eastAsia"/>
                <w:lang w:eastAsia="zh-CN"/>
              </w:rPr>
            </w:pPr>
            <w:r>
              <w:rPr>
                <w:rFonts w:hint="eastAsia"/>
                <w:lang w:eastAsia="zh-CN"/>
              </w:rPr>
              <w:t>总投资</w:t>
            </w:r>
          </w:p>
        </w:tc>
        <w:tc>
          <w:tcPr>
            <w:tcW w:w="754" w:type="dxa"/>
            <w:vAlign w:val="center"/>
          </w:tcPr>
          <w:p>
            <w:pPr>
              <w:pStyle w:val="23"/>
              <w:keepNext w:val="0"/>
              <w:keepLines w:val="0"/>
              <w:suppressLineNumbers w:val="0"/>
              <w:spacing w:before="0" w:beforeAutospacing="0" w:after="0" w:afterAutospacing="0"/>
              <w:ind w:left="0" w:right="0"/>
              <w:rPr>
                <w:rFonts w:hint="eastAsia"/>
                <w:lang w:eastAsia="zh-CN"/>
              </w:rPr>
            </w:pPr>
            <w:r>
              <w:rPr>
                <w:rFonts w:hint="eastAsia"/>
                <w:lang w:eastAsia="zh-CN"/>
              </w:rPr>
              <w:t>万元</w:t>
            </w:r>
          </w:p>
        </w:tc>
        <w:tc>
          <w:tcPr>
            <w:tcW w:w="1064" w:type="dxa"/>
            <w:vAlign w:val="center"/>
          </w:tcPr>
          <w:p>
            <w:pPr>
              <w:pStyle w:val="23"/>
              <w:keepNext w:val="0"/>
              <w:keepLines w:val="0"/>
              <w:suppressLineNumbers w:val="0"/>
              <w:spacing w:before="0" w:beforeAutospacing="0" w:after="0" w:afterAutospacing="0"/>
              <w:ind w:left="0" w:right="0"/>
              <w:rPr>
                <w:rFonts w:hint="eastAsia"/>
                <w:lang w:val="en-US" w:eastAsia="zh-CN"/>
              </w:rPr>
            </w:pPr>
            <w:r>
              <w:rPr>
                <w:rFonts w:hint="eastAsia"/>
                <w:lang w:val="en-US" w:eastAsia="zh-CN"/>
              </w:rPr>
              <w:t>5677.6</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44" w:type="dxa"/>
            <w:vAlign w:val="center"/>
          </w:tcPr>
          <w:p>
            <w:pPr>
              <w:pStyle w:val="23"/>
              <w:keepNext w:val="0"/>
              <w:keepLines w:val="0"/>
              <w:suppressLineNumbers w:val="0"/>
              <w:spacing w:before="0" w:beforeAutospacing="0" w:after="0" w:afterAutospacing="0"/>
              <w:ind w:left="0" w:right="0"/>
              <w:rPr>
                <w:rFonts w:hint="eastAsia"/>
                <w:lang w:eastAsia="zh-CN"/>
              </w:rPr>
            </w:pPr>
            <w:r>
              <w:rPr>
                <w:rFonts w:hint="eastAsia"/>
                <w:lang w:eastAsia="zh-CN"/>
              </w:rPr>
              <w:t>八</w:t>
            </w:r>
          </w:p>
        </w:tc>
        <w:tc>
          <w:tcPr>
            <w:tcW w:w="2483" w:type="dxa"/>
            <w:vAlign w:val="center"/>
          </w:tcPr>
          <w:p>
            <w:pPr>
              <w:pStyle w:val="23"/>
              <w:keepNext w:val="0"/>
              <w:keepLines w:val="0"/>
              <w:suppressLineNumbers w:val="0"/>
              <w:spacing w:before="0" w:beforeAutospacing="0" w:after="0" w:afterAutospacing="0"/>
              <w:ind w:left="0" w:right="0"/>
              <w:rPr>
                <w:rFonts w:hint="eastAsia"/>
                <w:lang w:eastAsia="zh-CN"/>
              </w:rPr>
            </w:pPr>
            <w:r>
              <w:rPr>
                <w:rFonts w:hint="eastAsia"/>
                <w:lang w:eastAsia="zh-CN"/>
              </w:rPr>
              <w:t>劳动定员</w:t>
            </w:r>
          </w:p>
        </w:tc>
        <w:tc>
          <w:tcPr>
            <w:tcW w:w="754" w:type="dxa"/>
            <w:vAlign w:val="center"/>
          </w:tcPr>
          <w:p>
            <w:pPr>
              <w:pStyle w:val="23"/>
              <w:keepNext w:val="0"/>
              <w:keepLines w:val="0"/>
              <w:suppressLineNumbers w:val="0"/>
              <w:spacing w:before="0" w:beforeAutospacing="0" w:after="0" w:afterAutospacing="0"/>
              <w:ind w:left="0" w:right="0"/>
              <w:rPr>
                <w:rFonts w:hint="eastAsia"/>
                <w:lang w:eastAsia="zh-CN"/>
              </w:rPr>
            </w:pPr>
            <w:r>
              <w:rPr>
                <w:rFonts w:hint="eastAsia"/>
                <w:lang w:eastAsia="zh-CN"/>
              </w:rPr>
              <w:t>人</w:t>
            </w:r>
          </w:p>
        </w:tc>
        <w:tc>
          <w:tcPr>
            <w:tcW w:w="1064" w:type="dxa"/>
            <w:vAlign w:val="center"/>
          </w:tcPr>
          <w:p>
            <w:pPr>
              <w:pStyle w:val="23"/>
              <w:keepNext w:val="0"/>
              <w:keepLines w:val="0"/>
              <w:suppressLineNumbers w:val="0"/>
              <w:spacing w:before="0" w:beforeAutospacing="0" w:after="0" w:afterAutospacing="0"/>
              <w:ind w:left="0" w:right="0"/>
              <w:rPr>
                <w:rFonts w:hint="eastAsia"/>
                <w:lang w:val="en-US" w:eastAsia="zh-CN"/>
              </w:rPr>
            </w:pPr>
            <w:r>
              <w:rPr>
                <w:rFonts w:hint="eastAsia"/>
                <w:lang w:val="en-US" w:eastAsia="zh-CN"/>
              </w:rPr>
              <w:t>15</w:t>
            </w:r>
          </w:p>
        </w:tc>
        <w:tc>
          <w:tcPr>
            <w:tcW w:w="4174" w:type="dxa"/>
            <w:vAlign w:val="center"/>
          </w:tcPr>
          <w:p>
            <w:pPr>
              <w:pStyle w:val="23"/>
              <w:keepNext w:val="0"/>
              <w:keepLines w:val="0"/>
              <w:suppressLineNumbers w:val="0"/>
              <w:spacing w:before="0" w:beforeAutospacing="0" w:after="0" w:afterAutospacing="0"/>
              <w:ind w:left="0" w:right="0"/>
              <w:rPr>
                <w:rFonts w:hint="eastAsia"/>
              </w:rPr>
            </w:pPr>
          </w:p>
        </w:tc>
      </w:tr>
    </w:tbl>
    <w:p>
      <w:pPr>
        <w:pStyle w:val="3"/>
        <w:rPr>
          <w:rFonts w:hint="eastAsia"/>
          <w:color w:val="auto"/>
          <w:lang w:val="en-US" w:eastAsia="zh-CN"/>
        </w:rPr>
      </w:pPr>
      <w:bookmarkStart w:id="36" w:name="_Toc23844"/>
      <w:r>
        <w:rPr>
          <w:rFonts w:hint="eastAsia"/>
          <w:color w:val="auto"/>
          <w:lang w:val="en-US" w:eastAsia="zh-CN"/>
        </w:rPr>
        <w:t>4.3改扩建工程方案</w:t>
      </w:r>
      <w:bookmarkEnd w:id="36"/>
    </w:p>
    <w:p>
      <w:pPr>
        <w:rPr>
          <w:rFonts w:hint="eastAsia"/>
          <w:color w:val="auto"/>
          <w:lang w:val="en-US" w:eastAsia="zh-CN"/>
        </w:rPr>
      </w:pPr>
      <w:r>
        <w:rPr>
          <w:rFonts w:hint="eastAsia"/>
          <w:color w:val="auto"/>
          <w:lang w:val="en-US" w:eastAsia="zh-CN"/>
        </w:rPr>
        <w:t>根据库区现状情况及规范要求，现有库区改造工程主要包括边界修整、堆体整形、渗沥液导排、垂直防渗、调节池改造、雨污分流、作业机械设备等。填埋库区占地面积为90778.5平方米，通过堆体整形、库区边界修整、采用HPDE膜覆盖代替粘土覆盖等措施，使现有库区尚有的77.3万m</w:t>
      </w:r>
      <w:r>
        <w:rPr>
          <w:rFonts w:hint="eastAsia"/>
          <w:color w:val="auto"/>
          <w:vertAlign w:val="superscript"/>
          <w:lang w:val="en-US" w:eastAsia="zh-CN"/>
        </w:rPr>
        <w:t>3</w:t>
      </w:r>
      <w:r>
        <w:rPr>
          <w:rFonts w:hint="eastAsia"/>
          <w:color w:val="auto"/>
          <w:vertAlign w:val="baseline"/>
          <w:lang w:val="en-US" w:eastAsia="zh-CN"/>
        </w:rPr>
        <w:t>有效</w:t>
      </w:r>
      <w:r>
        <w:rPr>
          <w:rFonts w:hint="eastAsia"/>
          <w:color w:val="auto"/>
          <w:lang w:val="en-US" w:eastAsia="zh-CN"/>
        </w:rPr>
        <w:t>填埋库容可继续使用，按照垃圾进场量800吨/天、压实密度为0.9吨/立方计算，使用年限为2.3年；调节池占地面积3377.85m</w:t>
      </w:r>
      <w:r>
        <w:rPr>
          <w:rFonts w:hint="eastAsia"/>
          <w:color w:val="auto"/>
          <w:vertAlign w:val="superscript"/>
          <w:lang w:val="en-US" w:eastAsia="zh-CN"/>
        </w:rPr>
        <w:t>2</w:t>
      </w:r>
      <w:r>
        <w:rPr>
          <w:rFonts w:hint="eastAsia"/>
          <w:color w:val="auto"/>
          <w:lang w:val="en-US" w:eastAsia="zh-CN"/>
        </w:rPr>
        <w:t>，深度4米，池容11200m</w:t>
      </w:r>
      <w:r>
        <w:rPr>
          <w:rFonts w:hint="eastAsia"/>
          <w:color w:val="auto"/>
          <w:vertAlign w:val="superscript"/>
          <w:lang w:val="en-US" w:eastAsia="zh-CN"/>
        </w:rPr>
        <w:t>3</w:t>
      </w:r>
      <w:r>
        <w:rPr>
          <w:rFonts w:hint="eastAsia"/>
          <w:color w:val="auto"/>
          <w:lang w:val="en-US" w:eastAsia="zh-CN"/>
        </w:rPr>
        <w:t>。</w:t>
      </w:r>
    </w:p>
    <w:p>
      <w:pPr>
        <w:pStyle w:val="4"/>
        <w:rPr>
          <w:rFonts w:hint="eastAsia"/>
          <w:color w:val="auto"/>
          <w:lang w:val="en-US" w:eastAsia="zh-CN"/>
        </w:rPr>
      </w:pPr>
      <w:r>
        <w:rPr>
          <w:rFonts w:hint="eastAsia"/>
          <w:color w:val="auto"/>
          <w:lang w:val="en-US" w:eastAsia="zh-CN"/>
        </w:rPr>
        <w:t>4.3.1库区边界修整</w:t>
      </w:r>
    </w:p>
    <w:p>
      <w:pPr>
        <w:rPr>
          <w:rFonts w:hint="eastAsia"/>
          <w:color w:val="auto"/>
        </w:rPr>
      </w:pPr>
      <w:r>
        <w:rPr>
          <w:rFonts w:hint="eastAsia"/>
          <w:color w:val="auto"/>
        </w:rPr>
        <w:t>为规范填埋作业的范围、确保封场覆盖层的顺利实施，本工程需确定现有填埋库区的填埋边界线，边界线以外设置</w:t>
      </w:r>
      <w:r>
        <w:rPr>
          <w:color w:val="auto"/>
        </w:rPr>
        <w:t>3</w:t>
      </w:r>
      <w:r>
        <w:rPr>
          <w:rFonts w:hint="eastAsia"/>
          <w:color w:val="auto"/>
        </w:rPr>
        <w:t>米宽平台及截洪沟（包括已建及新建），作为日后封场覆盖层的预留铺设空间。</w:t>
      </w:r>
    </w:p>
    <w:p>
      <w:pPr>
        <w:rPr>
          <w:color w:val="auto"/>
        </w:rPr>
      </w:pPr>
      <w:r>
        <w:rPr>
          <w:rFonts w:hint="eastAsia"/>
          <w:color w:val="auto"/>
        </w:rPr>
        <w:t>根据现场情况，库区分为</w:t>
      </w:r>
      <w:r>
        <w:rPr>
          <w:rFonts w:hint="eastAsia"/>
          <w:color w:val="auto"/>
          <w:lang w:val="en-US" w:eastAsia="zh-CN"/>
        </w:rPr>
        <w:t>6</w:t>
      </w:r>
      <w:r>
        <w:rPr>
          <w:rFonts w:hint="eastAsia"/>
          <w:color w:val="auto"/>
        </w:rPr>
        <w:t>部分进行边界修整，方案分别为：</w:t>
      </w:r>
    </w:p>
    <w:p>
      <w:pPr>
        <w:rPr>
          <w:rFonts w:hint="eastAsia"/>
          <w:color w:val="auto"/>
        </w:rPr>
      </w:pPr>
      <w:r>
        <w:rPr>
          <w:rFonts w:hint="eastAsia"/>
          <w:color w:val="auto"/>
        </w:rPr>
        <w:t>（1）南侧垃圾坝</w:t>
      </w:r>
    </w:p>
    <w:p>
      <w:pPr>
        <w:rPr>
          <w:rFonts w:hint="eastAsia"/>
          <w:color w:val="auto"/>
        </w:rPr>
      </w:pPr>
      <w:r>
        <w:rPr>
          <w:rFonts w:hint="eastAsia"/>
          <w:color w:val="auto"/>
        </w:rPr>
        <w:t>南侧建有垃圾坝，垃圾坝以内5米为界，由外至内依次修建道路、截洪沟、3米宽预留平台，预留平台内侧为库区边界线。</w:t>
      </w:r>
    </w:p>
    <w:p>
      <w:pPr>
        <w:rPr>
          <w:rFonts w:hint="eastAsia"/>
          <w:color w:val="auto"/>
        </w:rPr>
      </w:pPr>
      <w:r>
        <w:rPr>
          <w:rFonts w:hint="eastAsia"/>
          <w:color w:val="auto"/>
        </w:rPr>
        <w:drawing>
          <wp:anchor distT="0" distB="0" distL="114300" distR="114300" simplePos="0" relativeHeight="251708416" behindDoc="1" locked="0" layoutInCell="1" allowOverlap="1">
            <wp:simplePos x="0" y="0"/>
            <wp:positionH relativeFrom="column">
              <wp:posOffset>-280035</wp:posOffset>
            </wp:positionH>
            <wp:positionV relativeFrom="paragraph">
              <wp:posOffset>63500</wp:posOffset>
            </wp:positionV>
            <wp:extent cx="5988685" cy="2002155"/>
            <wp:effectExtent l="0" t="0" r="12065" b="17145"/>
            <wp:wrapNone/>
            <wp:docPr id="41" name="图片 3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6" descr="1"/>
                    <pic:cNvPicPr>
                      <a:picLocks noChangeAspect="1"/>
                    </pic:cNvPicPr>
                  </pic:nvPicPr>
                  <pic:blipFill>
                    <a:blip r:embed="rId13"/>
                    <a:stretch>
                      <a:fillRect/>
                    </a:stretch>
                  </pic:blipFill>
                  <pic:spPr>
                    <a:xfrm>
                      <a:off x="0" y="0"/>
                      <a:ext cx="5988685" cy="2002155"/>
                    </a:xfrm>
                    <a:prstGeom prst="rect">
                      <a:avLst/>
                    </a:prstGeom>
                    <a:noFill/>
                    <a:ln w="9525">
                      <a:noFill/>
                    </a:ln>
                  </pic:spPr>
                </pic:pic>
              </a:graphicData>
            </a:graphic>
          </wp:anchor>
        </w:drawing>
      </w:r>
    </w:p>
    <w:p>
      <w:pPr>
        <w:rPr>
          <w:rFonts w:hint="eastAsia"/>
          <w:color w:val="auto"/>
        </w:rPr>
      </w:pPr>
    </w:p>
    <w:p>
      <w:pPr>
        <w:rPr>
          <w:rFonts w:hint="eastAsia"/>
          <w:color w:val="auto"/>
        </w:rPr>
      </w:pPr>
    </w:p>
    <w:p>
      <w:pPr>
        <w:rPr>
          <w:rFonts w:hint="eastAsia"/>
          <w:color w:val="auto"/>
        </w:rPr>
      </w:pPr>
    </w:p>
    <w:p>
      <w:pPr>
        <w:rPr>
          <w:rFonts w:hint="eastAsia"/>
          <w:color w:val="auto"/>
        </w:rPr>
      </w:pPr>
    </w:p>
    <w:p>
      <w:pPr>
        <w:rPr>
          <w:rFonts w:hint="eastAsia"/>
          <w:color w:val="auto"/>
        </w:rPr>
      </w:pPr>
    </w:p>
    <w:p>
      <w:pPr>
        <w:pStyle w:val="23"/>
        <w:rPr>
          <w:rFonts w:hint="eastAsia"/>
          <w:b/>
          <w:bCs/>
          <w:lang w:val="zh-CN"/>
        </w:rPr>
      </w:pPr>
      <w:r>
        <w:rPr>
          <w:rFonts w:hint="eastAsia"/>
          <w:b/>
          <w:bCs/>
          <w:lang w:val="zh-CN"/>
        </w:rPr>
        <w:t>图</w:t>
      </w:r>
      <w:r>
        <w:rPr>
          <w:rFonts w:hint="eastAsia"/>
          <w:b/>
          <w:bCs/>
          <w:lang w:val="en-US" w:eastAsia="zh-CN"/>
        </w:rPr>
        <w:t>4-1</w:t>
      </w:r>
      <w:r>
        <w:rPr>
          <w:rFonts w:hint="eastAsia"/>
          <w:b/>
          <w:bCs/>
          <w:lang w:val="zh-CN"/>
        </w:rPr>
        <w:t xml:space="preserve">  南侧垃圾坝修整示意图</w:t>
      </w:r>
    </w:p>
    <w:p>
      <w:pPr>
        <w:rPr>
          <w:rFonts w:hint="eastAsia"/>
          <w:color w:val="auto"/>
        </w:rPr>
      </w:pPr>
    </w:p>
    <w:p>
      <w:pPr>
        <w:rPr>
          <w:rFonts w:hint="eastAsia"/>
        </w:rPr>
      </w:pPr>
      <w:r>
        <w:t>（2）库区</w:t>
      </w:r>
      <w:r>
        <w:rPr>
          <w:rFonts w:hint="eastAsia"/>
        </w:rPr>
        <w:t>东侧南部</w:t>
      </w:r>
    </w:p>
    <w:p>
      <w:pPr>
        <w:rPr>
          <w:rFonts w:hint="eastAsia"/>
        </w:rPr>
      </w:pPr>
      <w:r>
        <w:rPr>
          <w:rFonts w:hint="eastAsia"/>
        </w:rPr>
        <w:t>现状为自然地形，从里至外依次修建3米宽预留平台、截洪沟、新建道路，最外侧山体开挖。</w:t>
      </w:r>
    </w:p>
    <w:p>
      <w:pPr>
        <w:rPr>
          <w:rFonts w:hint="eastAsia"/>
        </w:rPr>
      </w:pPr>
      <w:r>
        <w:rPr>
          <w:rFonts w:hint="eastAsia"/>
        </w:rPr>
        <w:drawing>
          <wp:anchor distT="0" distB="0" distL="114300" distR="114300" simplePos="0" relativeHeight="251708416" behindDoc="0" locked="0" layoutInCell="1" allowOverlap="1">
            <wp:simplePos x="0" y="0"/>
            <wp:positionH relativeFrom="column">
              <wp:posOffset>-657225</wp:posOffset>
            </wp:positionH>
            <wp:positionV relativeFrom="paragraph">
              <wp:posOffset>68580</wp:posOffset>
            </wp:positionV>
            <wp:extent cx="6413500" cy="2052955"/>
            <wp:effectExtent l="0" t="0" r="6350" b="4445"/>
            <wp:wrapNone/>
            <wp:docPr id="46" name="图片 3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7" descr="2"/>
                    <pic:cNvPicPr>
                      <a:picLocks noChangeAspect="1"/>
                    </pic:cNvPicPr>
                  </pic:nvPicPr>
                  <pic:blipFill>
                    <a:blip r:embed="rId14"/>
                    <a:stretch>
                      <a:fillRect/>
                    </a:stretch>
                  </pic:blipFill>
                  <pic:spPr>
                    <a:xfrm>
                      <a:off x="0" y="0"/>
                      <a:ext cx="6413500" cy="2052955"/>
                    </a:xfrm>
                    <a:prstGeom prst="rect">
                      <a:avLst/>
                    </a:prstGeom>
                    <a:noFill/>
                    <a:ln w="9525">
                      <a:noFill/>
                    </a:ln>
                  </pic:spPr>
                </pic:pic>
              </a:graphicData>
            </a:graphic>
          </wp:anchor>
        </w:drawing>
      </w:r>
    </w:p>
    <w:p>
      <w:pPr>
        <w:ind w:left="0" w:leftChars="0" w:firstLine="0" w:firstLineChars="0"/>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pStyle w:val="23"/>
        <w:rPr>
          <w:rFonts w:hint="eastAsia"/>
          <w:b/>
          <w:bCs/>
          <w:lang w:val="zh-CN" w:eastAsia="zh-CN"/>
        </w:rPr>
      </w:pPr>
      <w:r>
        <w:rPr>
          <w:rFonts w:hint="eastAsia"/>
          <w:b/>
          <w:bCs/>
          <w:lang w:val="zh-CN" w:eastAsia="zh-CN"/>
        </w:rPr>
        <w:t>图</w:t>
      </w:r>
      <w:r>
        <w:rPr>
          <w:rFonts w:hint="eastAsia"/>
          <w:b/>
          <w:bCs/>
          <w:lang w:val="en-US" w:eastAsia="zh-CN"/>
        </w:rPr>
        <w:t>4-2</w:t>
      </w:r>
      <w:r>
        <w:rPr>
          <w:rFonts w:hint="eastAsia"/>
          <w:b/>
          <w:bCs/>
          <w:lang w:val="zh-CN" w:eastAsia="zh-CN"/>
        </w:rPr>
        <w:t xml:space="preserve"> 库区东侧南部修整示意图</w:t>
      </w:r>
    </w:p>
    <w:p>
      <w:pPr>
        <w:rPr>
          <w:rFonts w:hint="eastAsia"/>
        </w:rPr>
      </w:pPr>
      <w:r>
        <w:rPr>
          <w:rFonts w:hint="eastAsia"/>
        </w:rPr>
        <w:t>（3）</w:t>
      </w:r>
      <w:r>
        <w:t>库区</w:t>
      </w:r>
      <w:r>
        <w:rPr>
          <w:rFonts w:hint="eastAsia"/>
        </w:rPr>
        <w:t>东侧中部</w:t>
      </w:r>
    </w:p>
    <w:p>
      <w:pPr>
        <w:rPr>
          <w:rFonts w:hint="eastAsia"/>
        </w:rPr>
      </w:pPr>
      <w:r>
        <w:rPr>
          <w:rFonts w:hint="eastAsia"/>
        </w:rPr>
        <w:drawing>
          <wp:anchor distT="0" distB="0" distL="114300" distR="114300" simplePos="0" relativeHeight="251709440" behindDoc="1" locked="0" layoutInCell="1" allowOverlap="1">
            <wp:simplePos x="0" y="0"/>
            <wp:positionH relativeFrom="column">
              <wp:posOffset>-417195</wp:posOffset>
            </wp:positionH>
            <wp:positionV relativeFrom="paragraph">
              <wp:posOffset>190500</wp:posOffset>
            </wp:positionV>
            <wp:extent cx="6270625" cy="2356485"/>
            <wp:effectExtent l="0" t="0" r="15875" b="5715"/>
            <wp:wrapNone/>
            <wp:docPr id="43" name="图片 3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8" descr="3"/>
                    <pic:cNvPicPr>
                      <a:picLocks noChangeAspect="1"/>
                    </pic:cNvPicPr>
                  </pic:nvPicPr>
                  <pic:blipFill>
                    <a:blip r:embed="rId15"/>
                    <a:stretch>
                      <a:fillRect/>
                    </a:stretch>
                  </pic:blipFill>
                  <pic:spPr>
                    <a:xfrm>
                      <a:off x="0" y="0"/>
                      <a:ext cx="6270625" cy="2356485"/>
                    </a:xfrm>
                    <a:prstGeom prst="rect">
                      <a:avLst/>
                    </a:prstGeom>
                    <a:noFill/>
                    <a:ln w="9525">
                      <a:noFill/>
                    </a:ln>
                  </pic:spPr>
                </pic:pic>
              </a:graphicData>
            </a:graphic>
          </wp:anchor>
        </w:drawing>
      </w:r>
      <w:r>
        <w:rPr>
          <w:rFonts w:hint="eastAsia"/>
        </w:rPr>
        <w:t>现状为已建简易路，从外至内依次修建截洪沟、3米宽预留平台。</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pStyle w:val="23"/>
        <w:rPr>
          <w:rFonts w:hint="eastAsia"/>
          <w:b/>
          <w:bCs/>
          <w:lang w:val="zh-CN" w:eastAsia="zh-CN"/>
        </w:rPr>
      </w:pPr>
      <w:r>
        <w:rPr>
          <w:rFonts w:hint="eastAsia"/>
          <w:b/>
          <w:bCs/>
          <w:lang w:val="zh-CN" w:eastAsia="zh-CN"/>
        </w:rPr>
        <w:t>图</w:t>
      </w:r>
      <w:r>
        <w:rPr>
          <w:rFonts w:hint="eastAsia"/>
          <w:b/>
          <w:bCs/>
          <w:lang w:val="en-US" w:eastAsia="zh-CN"/>
        </w:rPr>
        <w:t>4-3</w:t>
      </w:r>
      <w:r>
        <w:rPr>
          <w:rFonts w:hint="eastAsia"/>
          <w:b/>
          <w:bCs/>
          <w:lang w:val="zh-CN" w:eastAsia="zh-CN"/>
        </w:rPr>
        <w:t xml:space="preserve"> 库区东侧中部修整示意图</w:t>
      </w:r>
    </w:p>
    <w:p>
      <w:pPr>
        <w:rPr>
          <w:rFonts w:hint="eastAsia"/>
        </w:rPr>
      </w:pPr>
      <w:r>
        <w:rPr>
          <w:rFonts w:hint="eastAsia"/>
        </w:rPr>
        <w:t>（4）库区东侧北部</w:t>
      </w:r>
    </w:p>
    <w:p>
      <w:pPr>
        <w:rPr>
          <w:rFonts w:hint="eastAsia"/>
        </w:rPr>
      </w:pPr>
      <w:r>
        <w:t>该区域紧邻山体，需按照设计方案进行土石方修整</w:t>
      </w:r>
      <w:r>
        <w:rPr>
          <w:rFonts w:hint="eastAsia"/>
        </w:rPr>
        <w:t>，从里至外依次修建3米宽预留平台、截洪沟，最外侧山体开挖，</w:t>
      </w:r>
      <w:r>
        <w:t>挖方后的山体边坡采用浆砌石骨架进行护砌</w:t>
      </w:r>
      <w:r>
        <w:rPr>
          <w:rFonts w:hint="eastAsia"/>
        </w:rPr>
        <w:t>。</w:t>
      </w:r>
    </w:p>
    <w:p>
      <w:pPr>
        <w:rPr>
          <w:rFonts w:hint="eastAsia"/>
        </w:rPr>
      </w:pPr>
      <w:r>
        <w:rPr>
          <w:rFonts w:hint="eastAsia"/>
        </w:rPr>
        <w:drawing>
          <wp:inline distT="0" distB="0" distL="114300" distR="114300">
            <wp:extent cx="5029200" cy="2828925"/>
            <wp:effectExtent l="0" t="0" r="0" b="9525"/>
            <wp:docPr id="44" name="图片 3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9" descr="4"/>
                    <pic:cNvPicPr>
                      <a:picLocks noChangeAspect="1"/>
                    </pic:cNvPicPr>
                  </pic:nvPicPr>
                  <pic:blipFill>
                    <a:blip r:embed="rId16"/>
                    <a:stretch>
                      <a:fillRect/>
                    </a:stretch>
                  </pic:blipFill>
                  <pic:spPr>
                    <a:xfrm>
                      <a:off x="0" y="0"/>
                      <a:ext cx="5029200" cy="2828925"/>
                    </a:xfrm>
                    <a:prstGeom prst="rect">
                      <a:avLst/>
                    </a:prstGeom>
                    <a:noFill/>
                    <a:ln w="9525">
                      <a:noFill/>
                    </a:ln>
                  </pic:spPr>
                </pic:pic>
              </a:graphicData>
            </a:graphic>
          </wp:inline>
        </w:drawing>
      </w:r>
    </w:p>
    <w:p>
      <w:pPr>
        <w:pStyle w:val="23"/>
        <w:rPr>
          <w:rFonts w:hint="eastAsia"/>
          <w:b/>
          <w:bCs/>
          <w:lang w:val="zh-CN" w:eastAsia="zh-CN"/>
        </w:rPr>
      </w:pPr>
      <w:r>
        <w:rPr>
          <w:rFonts w:hint="eastAsia"/>
          <w:b/>
          <w:bCs/>
          <w:lang w:val="zh-CN" w:eastAsia="zh-CN"/>
        </w:rPr>
        <w:t>图</w:t>
      </w:r>
      <w:r>
        <w:rPr>
          <w:rFonts w:hint="eastAsia"/>
          <w:b/>
          <w:bCs/>
          <w:lang w:val="en-US" w:eastAsia="zh-CN"/>
        </w:rPr>
        <w:t>4-4</w:t>
      </w:r>
      <w:r>
        <w:rPr>
          <w:rFonts w:hint="eastAsia"/>
          <w:b/>
          <w:bCs/>
          <w:lang w:val="zh-CN" w:eastAsia="zh-CN"/>
        </w:rPr>
        <w:t xml:space="preserve">  库区东侧北部修整示意图</w:t>
      </w:r>
    </w:p>
    <w:p>
      <w:pPr>
        <w:rPr>
          <w:rFonts w:hint="eastAsia"/>
        </w:rPr>
      </w:pPr>
      <w:r>
        <w:rPr>
          <w:rFonts w:hint="eastAsia"/>
        </w:rPr>
        <w:t>（5）北侧垃圾坝</w:t>
      </w:r>
    </w:p>
    <w:p>
      <w:pPr>
        <w:rPr>
          <w:rFonts w:hint="eastAsia"/>
        </w:rPr>
      </w:pPr>
      <w:r>
        <w:rPr>
          <w:rFonts w:hint="eastAsia"/>
        </w:rPr>
        <w:t>北侧建有垃圾坝，坝顶标高为64.00m，以坝体内侧为界，由外至内依次截洪沟、3米宽预留平台。</w:t>
      </w:r>
    </w:p>
    <w:p>
      <w:pPr>
        <w:rPr>
          <w:rFonts w:hint="eastAsia"/>
        </w:rPr>
      </w:pPr>
      <w:r>
        <w:rPr>
          <w:rFonts w:hint="eastAsia"/>
        </w:rPr>
        <w:drawing>
          <wp:inline distT="0" distB="0" distL="114300" distR="114300">
            <wp:extent cx="4467225" cy="2867025"/>
            <wp:effectExtent l="0" t="0" r="9525" b="9525"/>
            <wp:docPr id="45" name="图片 4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0" descr="5"/>
                    <pic:cNvPicPr>
                      <a:picLocks noChangeAspect="1"/>
                    </pic:cNvPicPr>
                  </pic:nvPicPr>
                  <pic:blipFill>
                    <a:blip r:embed="rId17"/>
                    <a:stretch>
                      <a:fillRect/>
                    </a:stretch>
                  </pic:blipFill>
                  <pic:spPr>
                    <a:xfrm>
                      <a:off x="0" y="0"/>
                      <a:ext cx="4467225" cy="2867025"/>
                    </a:xfrm>
                    <a:prstGeom prst="rect">
                      <a:avLst/>
                    </a:prstGeom>
                    <a:noFill/>
                    <a:ln w="9525">
                      <a:noFill/>
                    </a:ln>
                  </pic:spPr>
                </pic:pic>
              </a:graphicData>
            </a:graphic>
          </wp:inline>
        </w:drawing>
      </w:r>
    </w:p>
    <w:p>
      <w:pPr>
        <w:pStyle w:val="23"/>
        <w:rPr>
          <w:rFonts w:hint="eastAsia"/>
          <w:b/>
          <w:bCs/>
          <w:lang w:val="zh-CN" w:eastAsia="zh-CN"/>
        </w:rPr>
      </w:pPr>
      <w:r>
        <w:rPr>
          <w:rFonts w:hint="eastAsia"/>
          <w:b/>
          <w:bCs/>
          <w:lang w:val="zh-CN" w:eastAsia="zh-CN"/>
        </w:rPr>
        <w:t>图</w:t>
      </w:r>
      <w:r>
        <w:rPr>
          <w:rFonts w:hint="eastAsia"/>
          <w:b/>
          <w:bCs/>
          <w:lang w:val="en-US" w:eastAsia="zh-CN"/>
        </w:rPr>
        <w:t>4-5</w:t>
      </w:r>
      <w:r>
        <w:rPr>
          <w:rFonts w:hint="eastAsia"/>
          <w:b/>
          <w:bCs/>
          <w:lang w:val="zh-CN" w:eastAsia="zh-CN"/>
        </w:rPr>
        <w:t xml:space="preserve"> 北侧垃圾坝修整示意图</w:t>
      </w:r>
    </w:p>
    <w:p>
      <w:pPr>
        <w:rPr>
          <w:rFonts w:hint="eastAsia"/>
        </w:rPr>
      </w:pPr>
      <w:r>
        <w:rPr>
          <w:rFonts w:hint="eastAsia"/>
        </w:rPr>
        <w:t>（6）库区西侧、北侧</w:t>
      </w:r>
    </w:p>
    <w:p>
      <w:r>
        <w:rPr>
          <w:rFonts w:hint="eastAsia"/>
        </w:rPr>
        <w:t>库区西侧、北侧已建有水泥道路及截洪沟，需新建预留平台，宽度不小于3米，</w:t>
      </w:r>
      <w:r>
        <w:t>以此作为库区的填埋边界线。</w:t>
      </w:r>
    </w:p>
    <w:p>
      <w:pPr>
        <w:pStyle w:val="23"/>
        <w:rPr>
          <w:rFonts w:hint="eastAsia"/>
          <w:b/>
          <w:bCs/>
          <w:lang w:val="zh-CN" w:eastAsia="zh-CN"/>
        </w:rPr>
      </w:pPr>
      <w:r>
        <w:rPr>
          <w:b/>
          <w:bCs/>
        </w:rPr>
        <w:drawing>
          <wp:anchor distT="0" distB="0" distL="114300" distR="114300" simplePos="0" relativeHeight="251709440" behindDoc="0" locked="0" layoutInCell="1" allowOverlap="1">
            <wp:simplePos x="0" y="0"/>
            <wp:positionH relativeFrom="column">
              <wp:posOffset>-464820</wp:posOffset>
            </wp:positionH>
            <wp:positionV relativeFrom="paragraph">
              <wp:posOffset>144145</wp:posOffset>
            </wp:positionV>
            <wp:extent cx="6140450" cy="2131060"/>
            <wp:effectExtent l="0" t="0" r="12700" b="2540"/>
            <wp:wrapTopAndBottom/>
            <wp:docPr id="42" name="图片 4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descr="6"/>
                    <pic:cNvPicPr>
                      <a:picLocks noChangeAspect="1"/>
                    </pic:cNvPicPr>
                  </pic:nvPicPr>
                  <pic:blipFill>
                    <a:blip r:embed="rId18"/>
                    <a:stretch>
                      <a:fillRect/>
                    </a:stretch>
                  </pic:blipFill>
                  <pic:spPr>
                    <a:xfrm>
                      <a:off x="0" y="0"/>
                      <a:ext cx="6140450" cy="2131060"/>
                    </a:xfrm>
                    <a:prstGeom prst="rect">
                      <a:avLst/>
                    </a:prstGeom>
                    <a:noFill/>
                    <a:ln w="9525">
                      <a:noFill/>
                    </a:ln>
                  </pic:spPr>
                </pic:pic>
              </a:graphicData>
            </a:graphic>
          </wp:anchor>
        </w:drawing>
      </w:r>
      <w:r>
        <w:rPr>
          <w:rFonts w:hint="eastAsia"/>
          <w:b/>
          <w:bCs/>
          <w:lang w:val="zh-CN" w:eastAsia="zh-CN"/>
        </w:rPr>
        <w:t>图</w:t>
      </w:r>
      <w:r>
        <w:rPr>
          <w:rFonts w:hint="eastAsia"/>
          <w:b/>
          <w:bCs/>
          <w:lang w:val="en-US" w:eastAsia="zh-CN"/>
        </w:rPr>
        <w:t>4-6</w:t>
      </w:r>
      <w:r>
        <w:rPr>
          <w:rFonts w:hint="eastAsia"/>
          <w:b/>
          <w:bCs/>
          <w:lang w:val="zh-CN" w:eastAsia="zh-CN"/>
        </w:rPr>
        <w:t xml:space="preserve">  库区西侧、北侧修整示意图</w:t>
      </w:r>
    </w:p>
    <w:p>
      <w:pPr>
        <w:rPr>
          <w:rFonts w:hint="eastAsia"/>
        </w:rPr>
      </w:pPr>
      <w:r>
        <w:t>上述方案实施后，填埋库区的作业区域面积为90778.5m2（合136.17亩），边界线基本与道路标高相同，呈“中间高、南北低”的马鞍状，东、西两侧的中间位置为最高点，标高分别为97.60m和95.00m，北侧最低点为6</w:t>
      </w:r>
      <w:r>
        <w:rPr>
          <w:rFonts w:hint="eastAsia"/>
        </w:rPr>
        <w:t>4</w:t>
      </w:r>
      <w:r>
        <w:t>.00m，南侧最低点为80.00m。</w:t>
      </w:r>
    </w:p>
    <w:p>
      <w:pPr>
        <w:pStyle w:val="4"/>
        <w:rPr>
          <w:rFonts w:hint="eastAsia"/>
          <w:color w:val="auto"/>
          <w:lang w:val="en-US" w:eastAsia="zh-CN"/>
        </w:rPr>
      </w:pPr>
      <w:r>
        <w:rPr>
          <w:rFonts w:hint="eastAsia"/>
          <w:color w:val="auto"/>
          <w:lang w:val="en-US" w:eastAsia="zh-CN"/>
        </w:rPr>
        <w:t>4.3.2垂直防渗系统</w:t>
      </w:r>
    </w:p>
    <w:p>
      <w:pPr>
        <w:rPr>
          <w:rFonts w:hint="eastAsia" w:eastAsia="宋体"/>
          <w:color w:val="auto"/>
          <w:lang w:val="en-US" w:eastAsia="zh-CN"/>
        </w:rPr>
      </w:pPr>
      <w:r>
        <w:rPr>
          <w:rFonts w:hint="eastAsia"/>
          <w:color w:val="auto"/>
          <w:lang w:val="en-US" w:eastAsia="zh-CN"/>
        </w:rPr>
        <w:t>1、防渗系统的确定</w:t>
      </w:r>
    </w:p>
    <w:p>
      <w:pPr>
        <w:rPr>
          <w:rFonts w:hint="eastAsia"/>
          <w:color w:val="auto"/>
        </w:rPr>
      </w:pPr>
      <w:r>
        <w:rPr>
          <w:rFonts w:hint="eastAsia"/>
          <w:color w:val="auto"/>
        </w:rPr>
        <w:t>根据《城市生活垃圾卫生填埋技术规范》（CJJ17-2004），填埋场必须防止对地下水的污染，不具备自然防渗条件的填埋场必须进行人工防渗。对：“自然防渗”填埋场的要求是天然粘土类衬里的渗透系数不应大于1.0×1.0</w:t>
      </w:r>
      <w:r>
        <w:rPr>
          <w:rFonts w:hint="eastAsia"/>
          <w:color w:val="auto"/>
          <w:vertAlign w:val="superscript"/>
        </w:rPr>
        <w:t>-7</w:t>
      </w:r>
      <w:r>
        <w:rPr>
          <w:rFonts w:hint="eastAsia"/>
          <w:color w:val="auto"/>
        </w:rPr>
        <w:t>cm/s，场底及四周衬里厚度不应小于2m。当填埋场不具备粘土类衬里或改良土衬里防渗要求时，宜采取人工的防渗技术措施。本填埋场的防渗若做的不好，会污染地下水并会对填埋场下游的环境造成一定影响。随着国家对水环境污染的重视，对垃圾填埋场环境影响也提出了更高的要求。填埋场的防渗做的好坏对整个填埋场是否能达到卫生填埋场的环保标准显得尤为重要，本工程场区的地质不具备自然防渗条件，因此必须采取人工防渗措施。</w:t>
      </w:r>
    </w:p>
    <w:p>
      <w:pPr>
        <w:rPr>
          <w:rFonts w:hint="eastAsia"/>
          <w:color w:val="auto"/>
        </w:rPr>
      </w:pPr>
      <w:r>
        <w:rPr>
          <w:rFonts w:hint="eastAsia"/>
          <w:color w:val="auto"/>
          <w:lang w:val="en-US" w:eastAsia="zh-CN"/>
        </w:rPr>
        <w:t>根据该垃圾填埋场运营情况，</w:t>
      </w:r>
      <w:r>
        <w:rPr>
          <w:rFonts w:hint="eastAsia"/>
          <w:color w:val="auto"/>
        </w:rPr>
        <w:t>在垃圾坝未加高前，整个填埋场基本没有发生渗漏情况，</w:t>
      </w:r>
      <w:r>
        <w:rPr>
          <w:rFonts w:hint="eastAsia"/>
          <w:color w:val="auto"/>
          <w:lang w:eastAsia="zh-CN"/>
        </w:rPr>
        <w:t>随着城市发展，</w:t>
      </w:r>
      <w:r>
        <w:rPr>
          <w:rFonts w:hint="eastAsia"/>
          <w:color w:val="auto"/>
        </w:rPr>
        <w:t>为了满足岳阳市生活垃圾填埋要求，建设单位已经对现有填埋场的垃圾坝进行加高，但现已有部分区域的垃圾堆体高出库区四周山体自然防渗的高度，产生渗沥液外溢现象。因此</w:t>
      </w:r>
      <w:r>
        <w:rPr>
          <w:rFonts w:hint="eastAsia"/>
          <w:color w:val="auto"/>
          <w:lang w:eastAsia="zh-CN"/>
        </w:rPr>
        <w:t>，</w:t>
      </w:r>
      <w:r>
        <w:rPr>
          <w:rFonts w:hint="eastAsia"/>
          <w:color w:val="auto"/>
        </w:rPr>
        <w:t>可以证明原设计采取的垂直帷幕灌浆防渗的方式是合理的，且效果很好。</w:t>
      </w:r>
    </w:p>
    <w:p>
      <w:pPr>
        <w:rPr>
          <w:rFonts w:hint="eastAsia"/>
          <w:color w:val="auto"/>
          <w:lang w:eastAsia="zh-CN"/>
        </w:rPr>
      </w:pPr>
      <w:r>
        <w:rPr>
          <w:rFonts w:hint="eastAsia"/>
          <w:color w:val="auto"/>
          <w:lang w:eastAsia="zh-CN"/>
        </w:rPr>
        <w:t>综上所述，本项目防渗采用垂直防渗。</w:t>
      </w:r>
    </w:p>
    <w:p>
      <w:pPr>
        <w:rPr>
          <w:rFonts w:hint="eastAsia" w:eastAsia="宋体"/>
          <w:color w:val="auto"/>
          <w:lang w:val="en-US" w:eastAsia="zh-CN"/>
        </w:rPr>
      </w:pPr>
      <w:r>
        <w:rPr>
          <w:rFonts w:hint="eastAsia"/>
          <w:color w:val="auto"/>
          <w:lang w:val="en-US" w:eastAsia="zh-CN"/>
        </w:rPr>
        <w:t>2、垂直防渗设计</w:t>
      </w:r>
    </w:p>
    <w:p>
      <w:pPr>
        <w:rPr>
          <w:rFonts w:hint="eastAsia"/>
          <w:color w:val="auto"/>
        </w:rPr>
      </w:pPr>
      <w:r>
        <w:rPr>
          <w:rFonts w:hint="eastAsia"/>
          <w:color w:val="auto"/>
        </w:rPr>
        <w:t>应现状填埋区升级库容的需要，垃圾堆体填埋高度将远远超出</w:t>
      </w:r>
      <w:r>
        <w:rPr>
          <w:rFonts w:hint="eastAsia"/>
          <w:color w:val="auto"/>
          <w:lang w:eastAsia="zh-CN"/>
        </w:rPr>
        <w:t>自然防渗的高度</w:t>
      </w:r>
      <w:r>
        <w:rPr>
          <w:rFonts w:hint="eastAsia"/>
          <w:color w:val="auto"/>
        </w:rPr>
        <w:t>，两侧山体的强风化和中风化透水性又好，因此为防止渗沥液外渗，需要对透水性好的强风化和中风化岩层进行垂直帷幕灌浆封闭。</w:t>
      </w:r>
    </w:p>
    <w:p>
      <w:pPr>
        <w:rPr>
          <w:rFonts w:hint="eastAsia"/>
          <w:color w:val="auto"/>
        </w:rPr>
      </w:pPr>
      <w:r>
        <w:rPr>
          <w:rFonts w:hint="eastAsia"/>
          <w:color w:val="auto"/>
        </w:rPr>
        <w:t>在填埋场东西两侧山脊（基本红线位置）设置两条垂直帷幕灌浆防渗，并与现状垃圾场南坝、北坝原垂直灌浆线连接，这样形成一个闭合垂直防渗。垂直帷幕灌浆平面长度1558米。</w:t>
      </w:r>
    </w:p>
    <w:p>
      <w:pPr>
        <w:pStyle w:val="23"/>
        <w:rPr>
          <w:color w:val="auto"/>
          <w:lang w:val="zh-CN"/>
        </w:rPr>
      </w:pPr>
      <w:r>
        <w:rPr>
          <w:color w:val="auto"/>
        </w:rPr>
        <w:object>
          <v:shape id="_x0000_i1028" o:spt="75" type="#_x0000_t75" style="height:339pt;width:414pt;" o:ole="t" filled="f" o:preferrelative="t" stroked="f" coordsize="21600,21600">
            <v:path/>
            <v:fill on="f" focussize="0,0"/>
            <v:stroke on="f"/>
            <v:imagedata r:id="rId20" cropleft="1422f" croptop="4279f" cropright="2963f" cropbottom="3224f" o:title=""/>
            <o:lock v:ext="edit" aspectratio="t"/>
            <w10:wrap type="none"/>
            <w10:anchorlock/>
          </v:shape>
          <o:OLEObject Type="Embed" ProgID="ZWCAD.Drawing" ShapeID="_x0000_i1028" DrawAspect="Content" ObjectID="_1468075728" r:id="rId19">
            <o:LockedField>false</o:LockedField>
          </o:OLEObject>
        </w:object>
      </w:r>
      <w:r>
        <w:rPr>
          <w:rFonts w:hint="eastAsia"/>
          <w:b/>
          <w:bCs/>
          <w:color w:val="auto"/>
          <w:lang w:val="zh-CN"/>
        </w:rPr>
        <w:t>图</w:t>
      </w:r>
      <w:r>
        <w:rPr>
          <w:rFonts w:hint="eastAsia"/>
          <w:b/>
          <w:bCs/>
          <w:color w:val="auto"/>
          <w:lang w:val="en-US" w:eastAsia="zh-CN"/>
        </w:rPr>
        <w:t>4-7</w:t>
      </w:r>
      <w:r>
        <w:rPr>
          <w:b/>
          <w:bCs/>
          <w:color w:val="auto"/>
          <w:lang w:val="zh-CN"/>
        </w:rPr>
        <w:t xml:space="preserve"> </w:t>
      </w:r>
      <w:r>
        <w:rPr>
          <w:rFonts w:hint="eastAsia"/>
          <w:b/>
          <w:bCs/>
          <w:color w:val="auto"/>
          <w:lang w:val="zh-CN"/>
        </w:rPr>
        <w:t>帷幕灌浆阻水示意图</w:t>
      </w:r>
    </w:p>
    <w:p>
      <w:pPr>
        <w:pStyle w:val="4"/>
        <w:rPr>
          <w:rFonts w:hint="eastAsia"/>
          <w:color w:val="auto"/>
        </w:rPr>
      </w:pPr>
      <w:r>
        <w:rPr>
          <w:rFonts w:hint="eastAsia"/>
          <w:color w:val="auto"/>
          <w:lang w:val="en-US" w:eastAsia="zh-CN"/>
        </w:rPr>
        <w:t>4.3.3</w:t>
      </w:r>
      <w:r>
        <w:rPr>
          <w:rFonts w:hint="eastAsia"/>
          <w:color w:val="auto"/>
        </w:rPr>
        <w:t>渗沥液导排系统</w:t>
      </w:r>
    </w:p>
    <w:p>
      <w:pPr>
        <w:rPr>
          <w:rFonts w:hint="eastAsia"/>
          <w:color w:val="auto"/>
        </w:rPr>
      </w:pPr>
      <w:r>
        <w:rPr>
          <w:rFonts w:hint="eastAsia"/>
          <w:color w:val="auto"/>
        </w:rPr>
        <w:t>现有填埋库区运行多年，库底的渗沥液导排系统的导流能力已大为减弱。随着填埋高度的增加，垃圾压实度也大为增加，其下渗能力十分有限，堆体的渗沥液水位多呈现为不连续的滞水状态，难以有效的通过下渗方式汇集至库底的导排系统。</w:t>
      </w:r>
    </w:p>
    <w:p>
      <w:pPr>
        <w:rPr>
          <w:color w:val="auto"/>
        </w:rPr>
      </w:pPr>
      <w:r>
        <w:rPr>
          <w:rFonts w:hint="eastAsia"/>
          <w:color w:val="auto"/>
        </w:rPr>
        <w:t>根据填埋规划，堆体最高点将高于库区边界线</w:t>
      </w:r>
      <w:r>
        <w:rPr>
          <w:color w:val="auto"/>
        </w:rPr>
        <w:t>13</w:t>
      </w:r>
      <w:r>
        <w:rPr>
          <w:rFonts w:hint="eastAsia"/>
          <w:color w:val="auto"/>
        </w:rPr>
        <w:t>～</w:t>
      </w:r>
      <w:r>
        <w:rPr>
          <w:color w:val="auto"/>
        </w:rPr>
        <w:t>45m</w:t>
      </w:r>
      <w:r>
        <w:rPr>
          <w:rFonts w:hint="eastAsia"/>
          <w:color w:val="auto"/>
        </w:rPr>
        <w:t>。若地面以上的堆体渗沥液导流不畅，水位过高易发生边坡滑坡、渗沥液侧渗等现象，影响填埋场的安全运行。因此，本工程需在现有堆体的表面新建渗沥液导排系统，便于渗沥液外排。</w:t>
      </w:r>
    </w:p>
    <w:p>
      <w:pPr>
        <w:rPr>
          <w:color w:val="auto"/>
        </w:rPr>
      </w:pPr>
      <w:r>
        <w:rPr>
          <w:rFonts w:hint="eastAsia"/>
          <w:color w:val="auto"/>
        </w:rPr>
        <w:t>在库区四周铺设渗沥液导排盲沟，其中心线位于库区边界线以内</w:t>
      </w:r>
      <w:r>
        <w:rPr>
          <w:color w:val="auto"/>
        </w:rPr>
        <w:t>4.5</w:t>
      </w:r>
      <w:r>
        <w:rPr>
          <w:rFonts w:hint="eastAsia"/>
          <w:color w:val="auto"/>
        </w:rPr>
        <w:t>米处，盲沟断面尺寸为梯形，上宽</w:t>
      </w:r>
      <w:r>
        <w:rPr>
          <w:color w:val="auto"/>
        </w:rPr>
        <w:t>3m</w:t>
      </w:r>
      <w:r>
        <w:rPr>
          <w:rFonts w:hint="eastAsia"/>
          <w:color w:val="auto"/>
        </w:rPr>
        <w:t>，下宽</w:t>
      </w:r>
      <w:r>
        <w:rPr>
          <w:color w:val="auto"/>
        </w:rPr>
        <w:t>1m</w:t>
      </w:r>
      <w:r>
        <w:rPr>
          <w:rFonts w:hint="eastAsia"/>
          <w:color w:val="auto"/>
        </w:rPr>
        <w:t>，高度</w:t>
      </w:r>
      <w:r>
        <w:rPr>
          <w:color w:val="auto"/>
        </w:rPr>
        <w:t>1m</w:t>
      </w:r>
      <w:r>
        <w:rPr>
          <w:rFonts w:hint="eastAsia"/>
          <w:color w:val="auto"/>
        </w:rPr>
        <w:t>，坡度</w:t>
      </w:r>
      <w:r>
        <w:rPr>
          <w:color w:val="auto"/>
        </w:rPr>
        <w:t>1:1</w:t>
      </w:r>
      <w:r>
        <w:rPr>
          <w:rFonts w:hint="eastAsia"/>
          <w:color w:val="auto"/>
        </w:rPr>
        <w:t>，盲沟底部放置φ</w:t>
      </w:r>
      <w:r>
        <w:rPr>
          <w:color w:val="auto"/>
        </w:rPr>
        <w:t>315 HDPE</w:t>
      </w:r>
      <w:r>
        <w:rPr>
          <w:rFonts w:hint="eastAsia"/>
          <w:color w:val="auto"/>
        </w:rPr>
        <w:t>穿孔管，盲沟用</w:t>
      </w:r>
      <w:r>
        <w:rPr>
          <w:color w:val="auto"/>
        </w:rPr>
        <w:t>400g/m</w:t>
      </w:r>
      <w:r>
        <w:rPr>
          <w:color w:val="auto"/>
          <w:vertAlign w:val="superscript"/>
        </w:rPr>
        <w:t>2</w:t>
      </w:r>
      <w:r>
        <w:rPr>
          <w:rFonts w:hint="eastAsia"/>
          <w:color w:val="auto"/>
        </w:rPr>
        <w:t>土工布包裹，周围填充φ</w:t>
      </w:r>
      <w:r>
        <w:rPr>
          <w:color w:val="auto"/>
        </w:rPr>
        <w:t>20</w:t>
      </w:r>
      <w:r>
        <w:rPr>
          <w:rFonts w:hint="eastAsia"/>
          <w:color w:val="auto"/>
        </w:rPr>
        <w:t>～</w:t>
      </w:r>
      <w:r>
        <w:rPr>
          <w:color w:val="auto"/>
        </w:rPr>
        <w:t>40mm</w:t>
      </w:r>
      <w:r>
        <w:rPr>
          <w:rFonts w:hint="eastAsia"/>
          <w:color w:val="auto"/>
        </w:rPr>
        <w:t>卵石。</w:t>
      </w:r>
    </w:p>
    <w:p>
      <w:pPr>
        <w:pStyle w:val="23"/>
        <w:rPr>
          <w:color w:val="auto"/>
          <w:lang w:val="zh-CN"/>
        </w:rPr>
      </w:pPr>
      <w:r>
        <w:rPr>
          <w:color w:val="auto"/>
          <w:lang w:val="zh-CN"/>
        </w:rPr>
        <w:drawing>
          <wp:inline distT="0" distB="0" distL="114300" distR="114300">
            <wp:extent cx="4638675" cy="2647950"/>
            <wp:effectExtent l="0" t="0" r="9525" b="0"/>
            <wp:docPr id="6" name="图片 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5"/>
                    <pic:cNvPicPr>
                      <a:picLocks noChangeAspect="1"/>
                    </pic:cNvPicPr>
                  </pic:nvPicPr>
                  <pic:blipFill>
                    <a:blip r:embed="rId21"/>
                    <a:stretch>
                      <a:fillRect/>
                    </a:stretch>
                  </pic:blipFill>
                  <pic:spPr>
                    <a:xfrm>
                      <a:off x="0" y="0"/>
                      <a:ext cx="4638675" cy="2647950"/>
                    </a:xfrm>
                    <a:prstGeom prst="rect">
                      <a:avLst/>
                    </a:prstGeom>
                    <a:noFill/>
                    <a:ln w="9525">
                      <a:noFill/>
                    </a:ln>
                  </pic:spPr>
                </pic:pic>
              </a:graphicData>
            </a:graphic>
          </wp:inline>
        </w:drawing>
      </w:r>
    </w:p>
    <w:p>
      <w:pPr>
        <w:pStyle w:val="23"/>
        <w:rPr>
          <w:color w:val="auto"/>
          <w:lang w:val="zh-CN"/>
        </w:rPr>
      </w:pPr>
      <w:r>
        <w:rPr>
          <w:rFonts w:hint="eastAsia"/>
          <w:b/>
          <w:bCs/>
          <w:color w:val="auto"/>
          <w:lang w:val="zh-CN"/>
        </w:rPr>
        <w:t>图</w:t>
      </w:r>
      <w:r>
        <w:rPr>
          <w:rFonts w:hint="eastAsia"/>
          <w:b/>
          <w:bCs/>
          <w:color w:val="auto"/>
          <w:lang w:val="en-US" w:eastAsia="zh-CN"/>
        </w:rPr>
        <w:t>4-8</w:t>
      </w:r>
      <w:r>
        <w:rPr>
          <w:b/>
          <w:bCs/>
          <w:color w:val="auto"/>
          <w:lang w:val="zh-CN"/>
        </w:rPr>
        <w:t xml:space="preserve"> </w:t>
      </w:r>
      <w:r>
        <w:rPr>
          <w:rFonts w:hint="eastAsia"/>
          <w:b/>
          <w:bCs/>
          <w:color w:val="auto"/>
          <w:lang w:val="zh-CN"/>
        </w:rPr>
        <w:t>渗沥液导排盲沟示意图</w:t>
      </w:r>
    </w:p>
    <w:p>
      <w:pPr>
        <w:rPr>
          <w:color w:val="auto"/>
        </w:rPr>
      </w:pPr>
      <w:r>
        <w:rPr>
          <w:rFonts w:hint="eastAsia"/>
          <w:color w:val="auto"/>
        </w:rPr>
        <w:t>根据盲沟高程，从分水点处导排系统分为南北两部分，流向及路径如图</w:t>
      </w:r>
      <w:r>
        <w:rPr>
          <w:rFonts w:hint="eastAsia"/>
          <w:color w:val="auto"/>
          <w:lang w:val="en-US" w:eastAsia="zh-CN"/>
        </w:rPr>
        <w:t>4-6</w:t>
      </w:r>
      <w:r>
        <w:rPr>
          <w:rFonts w:hint="eastAsia"/>
          <w:color w:val="auto"/>
        </w:rPr>
        <w:t>所示：北侧盲沟直接汇集至东北角的调节池处；南侧盲沟首先汇集至东南角的新建提升井处，然后再通过提升管泵至调节池内。</w:t>
      </w:r>
    </w:p>
    <w:p>
      <w:pPr>
        <w:autoSpaceDE w:val="0"/>
        <w:autoSpaceDN w:val="0"/>
        <w:jc w:val="center"/>
        <w:rPr>
          <w:rFonts w:hAnsi="宋体"/>
          <w:b/>
          <w:color w:val="auto"/>
          <w:sz w:val="24"/>
          <w:lang w:val="zh-CN"/>
        </w:rPr>
      </w:pPr>
    </w:p>
    <w:p>
      <w:pPr>
        <w:pStyle w:val="23"/>
        <w:rPr>
          <w:color w:val="auto"/>
          <w:lang w:val="zh-CN"/>
        </w:rPr>
      </w:pPr>
      <w:r>
        <w:rPr>
          <w:color w:val="auto"/>
        </w:rPr>
        <mc:AlternateContent>
          <mc:Choice Requires="wps">
            <w:drawing>
              <wp:anchor distT="0" distB="0" distL="114300" distR="114300" simplePos="0" relativeHeight="251679744" behindDoc="0" locked="0" layoutInCell="1" allowOverlap="1">
                <wp:simplePos x="0" y="0"/>
                <wp:positionH relativeFrom="column">
                  <wp:posOffset>1083310</wp:posOffset>
                </wp:positionH>
                <wp:positionV relativeFrom="paragraph">
                  <wp:posOffset>1584960</wp:posOffset>
                </wp:positionV>
                <wp:extent cx="716915" cy="360680"/>
                <wp:effectExtent l="4445" t="4445" r="21590" b="15875"/>
                <wp:wrapNone/>
                <wp:docPr id="33" name="文本框 29"/>
                <wp:cNvGraphicFramePr/>
                <a:graphic xmlns:a="http://schemas.openxmlformats.org/drawingml/2006/main">
                  <a:graphicData uri="http://schemas.microsoft.com/office/word/2010/wordprocessingShape">
                    <wps:wsp>
                      <wps:cNvSpPr txBox="1"/>
                      <wps:spPr>
                        <a:xfrm>
                          <a:off x="0" y="0"/>
                          <a:ext cx="716915" cy="360680"/>
                        </a:xfrm>
                        <a:prstGeom prst="rect">
                          <a:avLst/>
                        </a:prstGeom>
                        <a:solidFill>
                          <a:srgbClr val="FFFF99"/>
                        </a:solidFill>
                        <a:ln w="9525" cap="flat" cmpd="sng">
                          <a:solidFill>
                            <a:srgbClr val="FF00FF"/>
                          </a:solidFill>
                          <a:prstDash val="solid"/>
                          <a:miter/>
                          <a:headEnd type="none" w="med" len="med"/>
                          <a:tailEnd type="none" w="med" len="med"/>
                        </a:ln>
                      </wps:spPr>
                      <wps:txbx>
                        <w:txbxContent>
                          <w:p>
                            <w:pPr>
                              <w:ind w:left="0" w:leftChars="0" w:firstLine="0" w:firstLineChars="0"/>
                            </w:pPr>
                            <w:r>
                              <w:rPr>
                                <w:rFonts w:hint="eastAsia"/>
                              </w:rPr>
                              <w:t>分水点</w:t>
                            </w:r>
                          </w:p>
                          <w:p/>
                        </w:txbxContent>
                      </wps:txbx>
                      <wps:bodyPr upright="1"/>
                    </wps:wsp>
                  </a:graphicData>
                </a:graphic>
              </wp:anchor>
            </w:drawing>
          </mc:Choice>
          <mc:Fallback>
            <w:pict>
              <v:shape id="文本框 29" o:spid="_x0000_s1026" o:spt="202" type="#_x0000_t202" style="position:absolute;left:0pt;margin-left:85.3pt;margin-top:124.8pt;height:28.4pt;width:56.45pt;z-index:251679744;mso-width-relative:page;mso-height-relative:page;" fillcolor="#FFFF99" filled="t" stroked="t" coordsize="21600,21600" o:gfxdata="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FsUUv2AAAAAsBAAAPAAAAAAAAAAEAIAAAACIAAABkcnMvZG93bnJldi54bWxQ&#10;SwECFAAUAAAACACHTuJADcnUGvcBAADpAwAADgAAAAAAAAABACAAAAAnAQAAZHJzL2Uyb0RvYy54&#10;bWxQSwUGAAAAAAYABgBZAQAAkAUAAAAA&#10;">
                <v:fill on="t" focussize="0,0"/>
                <v:stroke color="#FF00FF" joinstyle="miter"/>
                <v:imagedata o:title=""/>
                <o:lock v:ext="edit" aspectratio="f"/>
                <v:textbox>
                  <w:txbxContent>
                    <w:p>
                      <w:pPr>
                        <w:ind w:left="0" w:leftChars="0" w:firstLine="0" w:firstLineChars="0"/>
                      </w:pPr>
                      <w:r>
                        <w:rPr>
                          <w:rFonts w:hint="eastAsia"/>
                        </w:rPr>
                        <w:t>分水点</w:t>
                      </w:r>
                    </w:p>
                    <w:p/>
                  </w:txbxContent>
                </v:textbox>
              </v:shape>
            </w:pict>
          </mc:Fallback>
        </mc:AlternateContent>
      </w:r>
      <w:r>
        <w:rPr>
          <w:color w:val="auto"/>
        </w:rPr>
        <mc:AlternateContent>
          <mc:Choice Requires="wps">
            <w:drawing>
              <wp:anchor distT="0" distB="0" distL="114300" distR="114300" simplePos="0" relativeHeight="251706368" behindDoc="0" locked="0" layoutInCell="1" allowOverlap="1">
                <wp:simplePos x="0" y="0"/>
                <wp:positionH relativeFrom="column">
                  <wp:posOffset>2600325</wp:posOffset>
                </wp:positionH>
                <wp:positionV relativeFrom="paragraph">
                  <wp:posOffset>4061460</wp:posOffset>
                </wp:positionV>
                <wp:extent cx="48895" cy="48260"/>
                <wp:effectExtent l="13335" t="13335" r="13970" b="14605"/>
                <wp:wrapNone/>
                <wp:docPr id="10" name="直线 2"/>
                <wp:cNvGraphicFramePr/>
                <a:graphic xmlns:a="http://schemas.openxmlformats.org/drawingml/2006/main">
                  <a:graphicData uri="http://schemas.microsoft.com/office/word/2010/wordprocessingShape">
                    <wps:wsp>
                      <wps:cNvCnPr/>
                      <wps:spPr>
                        <a:xfrm>
                          <a:off x="0" y="0"/>
                          <a:ext cx="48895" cy="48260"/>
                        </a:xfrm>
                        <a:prstGeom prst="line">
                          <a:avLst/>
                        </a:prstGeom>
                        <a:ln w="38100" cap="flat" cmpd="sng">
                          <a:solidFill>
                            <a:srgbClr val="FF00FF"/>
                          </a:solidFill>
                          <a:prstDash val="solid"/>
                          <a:headEnd type="none" w="med" len="med"/>
                          <a:tailEnd type="none" w="med" len="med"/>
                        </a:ln>
                      </wps:spPr>
                      <wps:bodyPr upright="1"/>
                    </wps:wsp>
                  </a:graphicData>
                </a:graphic>
              </wp:anchor>
            </w:drawing>
          </mc:Choice>
          <mc:Fallback>
            <w:pict>
              <v:line id="直线 2" o:spid="_x0000_s1026" o:spt="20" style="position:absolute;left:0pt;margin-left:204.75pt;margin-top:319.8pt;height:3.8pt;width:3.85pt;z-index:251706368;mso-width-relative:page;mso-height-relative:page;" filled="f" stroked="t" coordsize="21600,21600" o:gfxdata="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X3mdV2AAAAAsBAAAPAAAAAAAAAAEA&#10;IAAAACIAAABkcnMvZG93bnJldi54bWxQSwECFAAUAAAACACHTuJAh8r3INYBAACRAwAADgAAAAAA&#10;AAABACAAAAAnAQAAZHJzL2Uyb0RvYy54bWxQSwUGAAAAAAYABgBZAQAAbwUAAAAA&#10;">
                <v:fill on="f" focussize="0,0"/>
                <v:stroke weight="3pt" color="#FF00FF" joinstyle="round"/>
                <v:imagedata o:title=""/>
                <o:lock v:ext="edit" aspectratio="f"/>
              </v:line>
            </w:pict>
          </mc:Fallback>
        </mc:AlternateContent>
      </w:r>
      <w:r>
        <w:rPr>
          <w:color w:val="auto"/>
        </w:rPr>
        <mc:AlternateContent>
          <mc:Choice Requires="wps">
            <w:drawing>
              <wp:anchor distT="0" distB="0" distL="114300" distR="114300" simplePos="0" relativeHeight="251678720" behindDoc="0" locked="0" layoutInCell="1" allowOverlap="1">
                <wp:simplePos x="0" y="0"/>
                <wp:positionH relativeFrom="column">
                  <wp:posOffset>1632585</wp:posOffset>
                </wp:positionH>
                <wp:positionV relativeFrom="paragraph">
                  <wp:posOffset>387350</wp:posOffset>
                </wp:positionV>
                <wp:extent cx="2419350" cy="3714750"/>
                <wp:effectExtent l="19050" t="19050" r="19050" b="19050"/>
                <wp:wrapNone/>
                <wp:docPr id="8" name="任意多边形 3"/>
                <wp:cNvGraphicFramePr/>
                <a:graphic xmlns:a="http://schemas.openxmlformats.org/drawingml/2006/main">
                  <a:graphicData uri="http://schemas.microsoft.com/office/word/2010/wordprocessingShape">
                    <wps:wsp>
                      <wps:cNvSpPr/>
                      <wps:spPr>
                        <a:xfrm>
                          <a:off x="0" y="0"/>
                          <a:ext cx="2419350" cy="3714750"/>
                        </a:xfrm>
                        <a:custGeom>
                          <a:avLst/>
                          <a:gdLst/>
                          <a:ahLst/>
                          <a:cxnLst/>
                          <a:pathLst>
                            <a:path w="3810" h="5850">
                              <a:moveTo>
                                <a:pt x="0" y="5025"/>
                              </a:moveTo>
                              <a:lnTo>
                                <a:pt x="180" y="5460"/>
                              </a:lnTo>
                              <a:lnTo>
                                <a:pt x="840" y="5715"/>
                              </a:lnTo>
                              <a:lnTo>
                                <a:pt x="1170" y="5670"/>
                              </a:lnTo>
                              <a:lnTo>
                                <a:pt x="1470" y="5850"/>
                              </a:lnTo>
                              <a:lnTo>
                                <a:pt x="2190" y="4950"/>
                              </a:lnTo>
                              <a:lnTo>
                                <a:pt x="2505" y="4845"/>
                              </a:lnTo>
                              <a:lnTo>
                                <a:pt x="2685" y="4395"/>
                              </a:lnTo>
                              <a:lnTo>
                                <a:pt x="2610" y="3480"/>
                              </a:lnTo>
                              <a:lnTo>
                                <a:pt x="3075" y="2670"/>
                              </a:lnTo>
                              <a:lnTo>
                                <a:pt x="3690" y="1980"/>
                              </a:lnTo>
                              <a:lnTo>
                                <a:pt x="3810" y="885"/>
                              </a:lnTo>
                              <a:lnTo>
                                <a:pt x="3495" y="120"/>
                              </a:lnTo>
                              <a:lnTo>
                                <a:pt x="3120" y="0"/>
                              </a:lnTo>
                              <a:lnTo>
                                <a:pt x="2775" y="315"/>
                              </a:lnTo>
                              <a:lnTo>
                                <a:pt x="2430" y="750"/>
                              </a:lnTo>
                              <a:lnTo>
                                <a:pt x="2055" y="1320"/>
                              </a:lnTo>
                              <a:lnTo>
                                <a:pt x="1605" y="1995"/>
                              </a:lnTo>
                              <a:lnTo>
                                <a:pt x="1320" y="2280"/>
                              </a:lnTo>
                              <a:lnTo>
                                <a:pt x="1230" y="2580"/>
                              </a:lnTo>
                              <a:lnTo>
                                <a:pt x="885" y="3105"/>
                              </a:lnTo>
                              <a:lnTo>
                                <a:pt x="720" y="3375"/>
                              </a:lnTo>
                              <a:lnTo>
                                <a:pt x="825" y="3780"/>
                              </a:lnTo>
                              <a:lnTo>
                                <a:pt x="720" y="4065"/>
                              </a:lnTo>
                              <a:lnTo>
                                <a:pt x="0" y="5025"/>
                              </a:lnTo>
                              <a:close/>
                            </a:path>
                          </a:pathLst>
                        </a:custGeom>
                        <a:noFill/>
                        <a:ln w="38100" cap="flat" cmpd="sng">
                          <a:solidFill>
                            <a:srgbClr val="FF00FF"/>
                          </a:solidFill>
                          <a:prstDash val="dash"/>
                          <a:headEnd type="none" w="med" len="med"/>
                          <a:tailEnd type="none" w="med" len="med"/>
                        </a:ln>
                      </wps:spPr>
                      <wps:bodyPr upright="1"/>
                    </wps:wsp>
                  </a:graphicData>
                </a:graphic>
              </wp:anchor>
            </w:drawing>
          </mc:Choice>
          <mc:Fallback>
            <w:pict>
              <v:shape id="任意多边形 3" o:spid="_x0000_s1026" o:spt="100" style="position:absolute;left:0pt;margin-left:128.55pt;margin-top:30.5pt;height:292.5pt;width:190.5pt;z-index:251678720;mso-width-relative:page;mso-height-relative:page;" filled="f" stroked="t" coordsize="3810,5850" o:gfxdata="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" path="m0,5025l180,5460,840,5715,1170,5670,1470,5850,2190,4950,2505,4845,2685,4395,2610,3480,3075,2670,3690,1980,3810,885,3495,120,3120,0,2775,315,2430,750,2055,1320,1605,1995,1320,2280,1230,2580,885,3105,720,3375,825,3780,720,4065,0,5025xe">
                <v:fill on="f" focussize="0,0"/>
                <v:stroke weight="3pt" color="#FF00FF" joinstyle="round" dashstyle="dash"/>
                <v:imagedata o:title=""/>
                <o:lock v:ext="edit" aspectratio="f"/>
              </v:shape>
            </w:pict>
          </mc:Fallback>
        </mc:AlternateContent>
      </w:r>
      <w:r>
        <w:rPr>
          <w:color w:val="auto"/>
        </w:rPr>
        <mc:AlternateContent>
          <mc:Choice Requires="wps">
            <w:drawing>
              <wp:anchor distT="0" distB="0" distL="114300" distR="114300" simplePos="0" relativeHeight="251704320" behindDoc="0" locked="0" layoutInCell="1" allowOverlap="1">
                <wp:simplePos x="0" y="0"/>
                <wp:positionH relativeFrom="column">
                  <wp:posOffset>2644140</wp:posOffset>
                </wp:positionH>
                <wp:positionV relativeFrom="paragraph">
                  <wp:posOffset>4098925</wp:posOffset>
                </wp:positionV>
                <wp:extent cx="154940" cy="98425"/>
                <wp:effectExtent l="20955" t="38735" r="33655" b="53340"/>
                <wp:wrapNone/>
                <wp:docPr id="7" name="矩形 4"/>
                <wp:cNvGraphicFramePr/>
                <a:graphic xmlns:a="http://schemas.openxmlformats.org/drawingml/2006/main">
                  <a:graphicData uri="http://schemas.microsoft.com/office/word/2010/wordprocessingShape">
                    <wps:wsp>
                      <wps:cNvSpPr/>
                      <wps:spPr>
                        <a:xfrm rot="1800000">
                          <a:off x="0" y="0"/>
                          <a:ext cx="154940" cy="98425"/>
                        </a:xfrm>
                        <a:prstGeom prst="rect">
                          <a:avLst/>
                        </a:prstGeom>
                        <a:solidFill>
                          <a:srgbClr val="FF9900"/>
                        </a:solidFill>
                        <a:ln w="9525" cap="flat" cmpd="sng">
                          <a:solidFill>
                            <a:srgbClr val="FF0000"/>
                          </a:solidFill>
                          <a:prstDash val="solid"/>
                          <a:miter/>
                          <a:headEnd type="none" w="med" len="med"/>
                          <a:tailEnd type="none" w="med" len="med"/>
                        </a:ln>
                      </wps:spPr>
                      <wps:bodyPr upright="1"/>
                    </wps:wsp>
                  </a:graphicData>
                </a:graphic>
              </wp:anchor>
            </w:drawing>
          </mc:Choice>
          <mc:Fallback>
            <w:pict>
              <v:rect id="矩形 4" o:spid="_x0000_s1026" o:spt="1" style="position:absolute;left:0pt;margin-left:208.2pt;margin-top:322.75pt;height:7.75pt;width:12.2pt;rotation:1966080f;z-index:251704320;mso-width-relative:page;mso-height-relative:page;" fillcolor="#FF9900" filled="t" stroked="t" coordsize="21600,21600" o:gfxdata="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4y&#10;LtcAAAALAQAADwAAAAAAAAABACAAAAAiAAAAZHJzL2Rvd25yZXYueG1sUEsBAhQAFAAAAAgAh07i&#10;QDjbp/fqAQAA3AMAAA4AAAAAAAAAAQAgAAAAJgEAAGRycy9lMm9Eb2MueG1sUEsFBgAAAAAGAAYA&#10;WQEAAIIFAAAAAA==&#10;">
                <v:fill on="t" focussize="0,0"/>
                <v:stroke color="#FF0000" joinstyle="miter"/>
                <v:imagedata o:title=""/>
                <o:lock v:ext="edit" aspectratio="f"/>
              </v:rect>
            </w:pict>
          </mc:Fallback>
        </mc:AlternateContent>
      </w:r>
      <w:r>
        <w:rPr>
          <w:color w:val="auto"/>
        </w:rPr>
        <mc:AlternateContent>
          <mc:Choice Requires="wps">
            <w:drawing>
              <wp:anchor distT="0" distB="0" distL="114300" distR="114300" simplePos="0" relativeHeight="251705344" behindDoc="0" locked="0" layoutInCell="1" allowOverlap="1">
                <wp:simplePos x="0" y="0"/>
                <wp:positionH relativeFrom="column">
                  <wp:posOffset>2800350</wp:posOffset>
                </wp:positionH>
                <wp:positionV relativeFrom="paragraph">
                  <wp:posOffset>4160520</wp:posOffset>
                </wp:positionV>
                <wp:extent cx="811530" cy="328930"/>
                <wp:effectExtent l="0" t="0" r="0" b="0"/>
                <wp:wrapNone/>
                <wp:docPr id="5" name="文本框 5"/>
                <wp:cNvGraphicFramePr/>
                <a:graphic xmlns:a="http://schemas.openxmlformats.org/drawingml/2006/main">
                  <a:graphicData uri="http://schemas.microsoft.com/office/word/2010/wordprocessingShape">
                    <wps:wsp>
                      <wps:cNvSpPr txBox="1"/>
                      <wps:spPr>
                        <a:xfrm>
                          <a:off x="0" y="0"/>
                          <a:ext cx="811530" cy="328930"/>
                        </a:xfrm>
                        <a:prstGeom prst="rect">
                          <a:avLst/>
                        </a:prstGeom>
                        <a:noFill/>
                        <a:ln w="9525">
                          <a:noFill/>
                        </a:ln>
                      </wps:spPr>
                      <wps:txbx>
                        <w:txbxContent>
                          <w:p>
                            <w:pPr>
                              <w:ind w:left="0" w:leftChars="0" w:firstLine="0" w:firstLineChars="0"/>
                            </w:pPr>
                            <w:r>
                              <w:rPr>
                                <w:rFonts w:hint="eastAsia"/>
                              </w:rPr>
                              <w:t>提升井</w:t>
                            </w:r>
                          </w:p>
                          <w:p/>
                        </w:txbxContent>
                      </wps:txbx>
                      <wps:bodyPr upright="1"/>
                    </wps:wsp>
                  </a:graphicData>
                </a:graphic>
              </wp:anchor>
            </w:drawing>
          </mc:Choice>
          <mc:Fallback>
            <w:pict>
              <v:shape id="_x0000_s1026" o:spid="_x0000_s1026" o:spt="202" type="#_x0000_t202" style="position:absolute;left:0pt;margin-left:220.5pt;margin-top:327.6pt;height:25.9pt;width:63.9pt;z-index:251705344;mso-width-relative:page;mso-height-relative:page;" filled="f" stroked="f" coordsize="21600,21600" o:gfxdata="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BaDDKV2AAAAAsBAAAPAAAAAAAAAAEAIAAAACIAAABk&#10;cnMvZG93bnJldi54bWxQSwECFAAUAAAACACHTuJAfcfpkJQBAAAIAwAADgAAAAAAAAABACAAAAAn&#10;AQAAZHJzL2Uyb0RvYy54bWxQSwUGAAAAAAYABgBZAQAALQUAAAAA&#10;">
                <v:fill on="f" focussize="0,0"/>
                <v:stroke on="f"/>
                <v:imagedata o:title=""/>
                <o:lock v:ext="edit" aspectratio="f"/>
                <v:textbox>
                  <w:txbxContent>
                    <w:p>
                      <w:pPr>
                        <w:ind w:left="0" w:leftChars="0" w:firstLine="0" w:firstLineChars="0"/>
                      </w:pPr>
                      <w:r>
                        <w:rPr>
                          <w:rFonts w:hint="eastAsia"/>
                        </w:rPr>
                        <w:t>提升井</w:t>
                      </w:r>
                    </w:p>
                    <w:p/>
                  </w:txbxContent>
                </v:textbox>
              </v:shape>
            </w:pict>
          </mc:Fallback>
        </mc:AlternateContent>
      </w:r>
      <w:r>
        <w:rPr>
          <w:color w:val="auto"/>
        </w:rPr>
        <mc:AlternateContent>
          <mc:Choice Requires="wps">
            <w:drawing>
              <wp:anchor distT="0" distB="0" distL="114300" distR="114300" simplePos="0" relativeHeight="251700224" behindDoc="0" locked="0" layoutInCell="1" allowOverlap="1">
                <wp:simplePos x="0" y="0"/>
                <wp:positionH relativeFrom="column">
                  <wp:posOffset>3533775</wp:posOffset>
                </wp:positionH>
                <wp:positionV relativeFrom="paragraph">
                  <wp:posOffset>2872740</wp:posOffset>
                </wp:positionV>
                <wp:extent cx="0" cy="342900"/>
                <wp:effectExtent l="38100" t="0" r="38100" b="0"/>
                <wp:wrapNone/>
                <wp:docPr id="9" name="直线 6"/>
                <wp:cNvGraphicFramePr/>
                <a:graphic xmlns:a="http://schemas.openxmlformats.org/drawingml/2006/main">
                  <a:graphicData uri="http://schemas.microsoft.com/office/word/2010/wordprocessingShape">
                    <wps:wsp>
                      <wps:cNvCnPr/>
                      <wps:spPr>
                        <a:xfrm flipH="1" flipV="1">
                          <a:off x="0" y="0"/>
                          <a:ext cx="0" cy="3429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6" o:spid="_x0000_s1026" o:spt="20" style="position:absolute;left:0pt;flip:x y;margin-left:278.25pt;margin-top:226.2pt;height:27pt;width:0pt;z-index:251700224;mso-width-relative:page;mso-height-relative:page;" filled="f" stroked="t" coordsize="21600,21600" o:gfxdata="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OVyg2AAAAAsBAAAP&#10;AAAAAAAAAAEAIAAAACIAAABkcnMvZG93bnJldi54bWxQSwECFAAUAAAACACHTuJALgcUvN8BAACk&#10;AwAADgAAAAAAAAABACAAAAAnAQAAZHJzL2Uyb0RvYy54bWxQSwUGAAAAAAYABgBZAQAAeAU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703296" behindDoc="0" locked="0" layoutInCell="1" allowOverlap="1">
                <wp:simplePos x="0" y="0"/>
                <wp:positionH relativeFrom="column">
                  <wp:posOffset>3800475</wp:posOffset>
                </wp:positionH>
                <wp:positionV relativeFrom="paragraph">
                  <wp:posOffset>1981200</wp:posOffset>
                </wp:positionV>
                <wp:extent cx="133350" cy="243840"/>
                <wp:effectExtent l="4445" t="0" r="14605" b="3810"/>
                <wp:wrapNone/>
                <wp:docPr id="11" name="直线 7"/>
                <wp:cNvGraphicFramePr/>
                <a:graphic xmlns:a="http://schemas.openxmlformats.org/drawingml/2006/main">
                  <a:graphicData uri="http://schemas.microsoft.com/office/word/2010/wordprocessingShape">
                    <wps:wsp>
                      <wps:cNvCnPr/>
                      <wps:spPr>
                        <a:xfrm flipV="1">
                          <a:off x="0" y="0"/>
                          <a:ext cx="133350" cy="243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7" o:spid="_x0000_s1026" o:spt="20" style="position:absolute;left:0pt;flip:y;margin-left:299.25pt;margin-top:156pt;height:19.2pt;width:10.5pt;z-index:251703296;mso-width-relative:page;mso-height-relative:page;" filled="f" stroked="t" coordsize="21600,21600" o:gfxdata="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w0WMdoAAAAL&#10;AQAADwAAAAAAAAABACAAAAAiAAAAZHJzL2Rvd25yZXYueG1sUEsBAhQAFAAAAAgAh07iQPkW6STh&#10;AQAAoAMAAA4AAAAAAAAAAQAgAAAAKQEAAGRycy9lMm9Eb2MueG1sUEsFBgAAAAAGAAYAWQEAAHwF&#10;A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96128" behindDoc="0" locked="0" layoutInCell="1" allowOverlap="1">
                <wp:simplePos x="0" y="0"/>
                <wp:positionH relativeFrom="column">
                  <wp:posOffset>2733675</wp:posOffset>
                </wp:positionH>
                <wp:positionV relativeFrom="paragraph">
                  <wp:posOffset>1323975</wp:posOffset>
                </wp:positionV>
                <wp:extent cx="1617345" cy="2790825"/>
                <wp:effectExtent l="14605" t="19050" r="6350" b="28575"/>
                <wp:wrapNone/>
                <wp:docPr id="12" name="任意多边形 8"/>
                <wp:cNvGraphicFramePr/>
                <a:graphic xmlns:a="http://schemas.openxmlformats.org/drawingml/2006/main">
                  <a:graphicData uri="http://schemas.microsoft.com/office/word/2010/wordprocessingShape">
                    <wps:wsp>
                      <wps:cNvSpPr/>
                      <wps:spPr>
                        <a:xfrm>
                          <a:off x="0" y="0"/>
                          <a:ext cx="1617345" cy="2790825"/>
                        </a:xfrm>
                        <a:custGeom>
                          <a:avLst/>
                          <a:gdLst/>
                          <a:ahLst/>
                          <a:cxnLst/>
                          <a:pathLst>
                            <a:path w="2655" h="4395">
                              <a:moveTo>
                                <a:pt x="0" y="4395"/>
                              </a:moveTo>
                              <a:lnTo>
                                <a:pt x="465" y="3855"/>
                              </a:lnTo>
                              <a:lnTo>
                                <a:pt x="930" y="3510"/>
                              </a:lnTo>
                              <a:lnTo>
                                <a:pt x="1170" y="3000"/>
                              </a:lnTo>
                              <a:lnTo>
                                <a:pt x="1065" y="2040"/>
                              </a:lnTo>
                              <a:lnTo>
                                <a:pt x="2085" y="615"/>
                              </a:lnTo>
                              <a:lnTo>
                                <a:pt x="2175" y="0"/>
                              </a:lnTo>
                              <a:lnTo>
                                <a:pt x="2655" y="60"/>
                              </a:lnTo>
                            </a:path>
                          </a:pathLst>
                        </a:custGeom>
                        <a:noFill/>
                        <a:ln w="38100" cap="flat" cmpd="sng">
                          <a:solidFill>
                            <a:srgbClr val="FF0000"/>
                          </a:solidFill>
                          <a:prstDash val="solid"/>
                          <a:headEnd type="none" w="med" len="med"/>
                          <a:tailEnd type="none" w="med" len="med"/>
                        </a:ln>
                      </wps:spPr>
                      <wps:bodyPr upright="1"/>
                    </wps:wsp>
                  </a:graphicData>
                </a:graphic>
              </wp:anchor>
            </w:drawing>
          </mc:Choice>
          <mc:Fallback>
            <w:pict>
              <v:shape id="任意多边形 8" o:spid="_x0000_s1026" o:spt="100" style="position:absolute;left:0pt;margin-left:215.25pt;margin-top:104.25pt;height:219.75pt;width:127.35pt;z-index:251696128;mso-width-relative:page;mso-height-relative:page;" filled="f" stroked="t" coordsize="2655,4395" o:gfxdata="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BGjFInYAAAACwEAAA8AAAAAAAAAAQAgAAAAIgAAAGRycy9kb3ducmV2LnhtbFBLAQIU&#10;ABQAAAAIAIdO4kCb5vj5ZQIAAD8FAAAOAAAAAAAAAAEAIAAAACcBAABkcnMvZTJvRG9jLnhtbFBL&#10;BQYAAAAABgAGAFkBAAD+BQAAAAA=&#10;" path="m0,4395l465,3855,930,3510,1170,3000,1065,2040,2085,615,2175,0,2655,60e">
                <v:fill on="f" focussize="0,0"/>
                <v:stroke weight="3pt" color="#FF0000" joinstyle="round"/>
                <v:imagedata o:title=""/>
                <o:lock v:ext="edit" aspectratio="f"/>
              </v:shape>
            </w:pict>
          </mc:Fallback>
        </mc:AlternateContent>
      </w:r>
      <w:r>
        <w:rPr>
          <w:color w:val="auto"/>
        </w:rPr>
        <mc:AlternateContent>
          <mc:Choice Requires="wps">
            <w:drawing>
              <wp:anchor distT="0" distB="0" distL="114300" distR="114300" simplePos="0" relativeHeight="251698176" behindDoc="0" locked="0" layoutInCell="1" allowOverlap="1">
                <wp:simplePos x="0" y="0"/>
                <wp:positionH relativeFrom="column">
                  <wp:posOffset>4133850</wp:posOffset>
                </wp:positionH>
                <wp:positionV relativeFrom="paragraph">
                  <wp:posOffset>1089660</wp:posOffset>
                </wp:positionV>
                <wp:extent cx="222885" cy="22225"/>
                <wp:effectExtent l="635" t="23495" r="5080" b="30480"/>
                <wp:wrapNone/>
                <wp:docPr id="13" name="直线 9"/>
                <wp:cNvGraphicFramePr/>
                <a:graphic xmlns:a="http://schemas.openxmlformats.org/drawingml/2006/main">
                  <a:graphicData uri="http://schemas.microsoft.com/office/word/2010/wordprocessingShape">
                    <wps:wsp>
                      <wps:cNvCnPr/>
                      <wps:spPr>
                        <a:xfrm>
                          <a:off x="0" y="0"/>
                          <a:ext cx="222885" cy="2222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9" o:spid="_x0000_s1026" o:spt="20" style="position:absolute;left:0pt;margin-left:325.5pt;margin-top:85.8pt;height:1.75pt;width:17.55pt;z-index:251698176;mso-width-relative:page;mso-height-relative:page;" filled="f" stroked="t" coordsize="21600,21600" o:gfxdata="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kFJxF2gAAAAsBAAAPAAAAAAAAAAEA&#10;IAAAACIAAABkcnMvZG93bnJldi54bWxQSwECFAAUAAAACACHTuJAox1F39QBAACVAwAADgAAAAAA&#10;AAABACAAAAApAQAAZHJzL2Uyb0RvYy54bWxQSwUGAAAAAAYABgBZAQAAbwU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97152" behindDoc="0" locked="0" layoutInCell="1" allowOverlap="1">
                <wp:simplePos x="0" y="0"/>
                <wp:positionH relativeFrom="column">
                  <wp:posOffset>4133850</wp:posOffset>
                </wp:positionH>
                <wp:positionV relativeFrom="paragraph">
                  <wp:posOffset>1485900</wp:posOffset>
                </wp:positionV>
                <wp:extent cx="266700" cy="53340"/>
                <wp:effectExtent l="635" t="4445" r="18415" b="37465"/>
                <wp:wrapNone/>
                <wp:docPr id="14" name="直线 10"/>
                <wp:cNvGraphicFramePr/>
                <a:graphic xmlns:a="http://schemas.openxmlformats.org/drawingml/2006/main">
                  <a:graphicData uri="http://schemas.microsoft.com/office/word/2010/wordprocessingShape">
                    <wps:wsp>
                      <wps:cNvCnPr/>
                      <wps:spPr>
                        <a:xfrm>
                          <a:off x="0" y="0"/>
                          <a:ext cx="266700" cy="533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10" o:spid="_x0000_s1026" o:spt="20" style="position:absolute;left:0pt;margin-left:325.5pt;margin-top:117pt;height:4.2pt;width:21pt;z-index:251697152;mso-width-relative:page;mso-height-relative:page;" filled="f" stroked="t" coordsize="21600,21600" o:gfxdata="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EpTm3jbAAAACwEAAA8AAAAA&#10;AAAAAQAgAAAAIgAAAGRycy9kb3ducmV2LnhtbFBLAQIUABQAAAAIAIdO4kAjMtRD2AEAAJYDAAAO&#10;AAAAAAAAAAEAIAAAACoBAABkcnMvZTJvRG9jLnhtbFBLBQYAAAAABgAGAFkBAAB0BQ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702272" behindDoc="0" locked="0" layoutInCell="1" allowOverlap="1">
                <wp:simplePos x="0" y="0"/>
                <wp:positionH relativeFrom="column">
                  <wp:posOffset>4400550</wp:posOffset>
                </wp:positionH>
                <wp:positionV relativeFrom="paragraph">
                  <wp:posOffset>1684020</wp:posOffset>
                </wp:positionV>
                <wp:extent cx="705485" cy="350520"/>
                <wp:effectExtent l="4445" t="4445" r="13970" b="6985"/>
                <wp:wrapNone/>
                <wp:docPr id="15" name="文本框 11"/>
                <wp:cNvGraphicFramePr/>
                <a:graphic xmlns:a="http://schemas.openxmlformats.org/drawingml/2006/main">
                  <a:graphicData uri="http://schemas.microsoft.com/office/word/2010/wordprocessingShape">
                    <wps:wsp>
                      <wps:cNvSpPr txBox="1"/>
                      <wps:spPr>
                        <a:xfrm>
                          <a:off x="0" y="0"/>
                          <a:ext cx="705485" cy="350520"/>
                        </a:xfrm>
                        <a:prstGeom prst="rect">
                          <a:avLst/>
                        </a:prstGeom>
                        <a:solidFill>
                          <a:srgbClr val="FFFF99"/>
                        </a:solidFill>
                        <a:ln w="9525" cap="flat" cmpd="sng">
                          <a:solidFill>
                            <a:srgbClr val="FF00FF"/>
                          </a:solidFill>
                          <a:prstDash val="solid"/>
                          <a:miter/>
                          <a:headEnd type="none" w="med" len="med"/>
                          <a:tailEnd type="none" w="med" len="med"/>
                        </a:ln>
                      </wps:spPr>
                      <wps:txbx>
                        <w:txbxContent>
                          <w:p>
                            <w:pPr>
                              <w:ind w:left="0" w:leftChars="0" w:firstLine="0" w:firstLineChars="0"/>
                            </w:pPr>
                            <w:r>
                              <w:rPr>
                                <w:rFonts w:hint="eastAsia"/>
                              </w:rPr>
                              <w:t>调节池</w:t>
                            </w:r>
                          </w:p>
                          <w:p/>
                        </w:txbxContent>
                      </wps:txbx>
                      <wps:bodyPr upright="1"/>
                    </wps:wsp>
                  </a:graphicData>
                </a:graphic>
              </wp:anchor>
            </w:drawing>
          </mc:Choice>
          <mc:Fallback>
            <w:pict>
              <v:shape id="文本框 11" o:spid="_x0000_s1026" o:spt="202" type="#_x0000_t202" style="position:absolute;left:0pt;margin-left:346.5pt;margin-top:132.6pt;height:27.6pt;width:55.55pt;z-index:251702272;mso-width-relative:page;mso-height-relative:page;" fillcolor="#FFFF99" filled="t" stroked="t" coordsize="21600,21600" o:gfxdata="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KZZ6N9gAAAALAQAADwAAAAAAAAABACAAAAAiAAAAZHJzL2Rvd25yZXYueG1sUEsB&#10;AhQAFAAAAAgAh07iQLqy75/1AQAA6QMAAA4AAAAAAAAAAQAgAAAAJwEAAGRycy9lMm9Eb2MueG1s&#10;UEsFBgAAAAAGAAYAWQEAAI4FAAAAAA==&#10;">
                <v:fill on="t" focussize="0,0"/>
                <v:stroke color="#FF00FF" joinstyle="miter"/>
                <v:imagedata o:title=""/>
                <o:lock v:ext="edit" aspectratio="f"/>
                <v:textbox>
                  <w:txbxContent>
                    <w:p>
                      <w:pPr>
                        <w:ind w:left="0" w:leftChars="0" w:firstLine="0" w:firstLineChars="0"/>
                      </w:pPr>
                      <w:r>
                        <w:rPr>
                          <w:rFonts w:hint="eastAsia"/>
                        </w:rPr>
                        <w:t>调节池</w:t>
                      </w:r>
                    </w:p>
                    <w:p/>
                  </w:txbxContent>
                </v:textbox>
              </v:shape>
            </w:pict>
          </mc:Fallback>
        </mc:AlternateContent>
      </w:r>
      <w:r>
        <w:rPr>
          <w:color w:val="auto"/>
        </w:rPr>
        <mc:AlternateContent>
          <mc:Choice Requires="wps">
            <w:drawing>
              <wp:anchor distT="0" distB="0" distL="114300" distR="114300" simplePos="0" relativeHeight="251701248" behindDoc="0" locked="0" layoutInCell="1" allowOverlap="1">
                <wp:simplePos x="0" y="0"/>
                <wp:positionH relativeFrom="column">
                  <wp:posOffset>4282440</wp:posOffset>
                </wp:positionH>
                <wp:positionV relativeFrom="paragraph">
                  <wp:posOffset>1176020</wp:posOffset>
                </wp:positionV>
                <wp:extent cx="615950" cy="355600"/>
                <wp:effectExtent l="12700" t="12700" r="19050" b="12700"/>
                <wp:wrapNone/>
                <wp:docPr id="16" name="任意多边形 12"/>
                <wp:cNvGraphicFramePr/>
                <a:graphic xmlns:a="http://schemas.openxmlformats.org/drawingml/2006/main">
                  <a:graphicData uri="http://schemas.microsoft.com/office/word/2010/wordprocessingShape">
                    <wps:wsp>
                      <wps:cNvSpPr/>
                      <wps:spPr>
                        <a:xfrm>
                          <a:off x="0" y="0"/>
                          <a:ext cx="615950" cy="355600"/>
                        </a:xfrm>
                        <a:custGeom>
                          <a:avLst/>
                          <a:gdLst/>
                          <a:ahLst/>
                          <a:cxnLst/>
                          <a:pathLst>
                            <a:path w="970" h="560">
                              <a:moveTo>
                                <a:pt x="60" y="0"/>
                              </a:moveTo>
                              <a:lnTo>
                                <a:pt x="0" y="400"/>
                              </a:lnTo>
                              <a:lnTo>
                                <a:pt x="340" y="560"/>
                              </a:lnTo>
                              <a:lnTo>
                                <a:pt x="720" y="520"/>
                              </a:lnTo>
                              <a:lnTo>
                                <a:pt x="970" y="420"/>
                              </a:lnTo>
                              <a:lnTo>
                                <a:pt x="650" y="50"/>
                              </a:lnTo>
                              <a:lnTo>
                                <a:pt x="510" y="60"/>
                              </a:lnTo>
                              <a:lnTo>
                                <a:pt x="60" y="0"/>
                              </a:lnTo>
                              <a:close/>
                            </a:path>
                          </a:pathLst>
                        </a:custGeom>
                        <a:solidFill>
                          <a:srgbClr val="FF9900">
                            <a:alpha val="59000"/>
                          </a:srgbClr>
                        </a:solidFill>
                        <a:ln w="25400" cap="flat" cmpd="sng">
                          <a:solidFill>
                            <a:srgbClr val="FF0000"/>
                          </a:solidFill>
                          <a:prstDash val="dash"/>
                          <a:headEnd type="none" w="med" len="med"/>
                          <a:tailEnd type="none" w="med" len="med"/>
                        </a:ln>
                      </wps:spPr>
                      <wps:bodyPr upright="1"/>
                    </wps:wsp>
                  </a:graphicData>
                </a:graphic>
              </wp:anchor>
            </w:drawing>
          </mc:Choice>
          <mc:Fallback>
            <w:pict>
              <v:shape id="任意多边形 12" o:spid="_x0000_s1026" o:spt="100" style="position:absolute;left:0pt;margin-left:337.2pt;margin-top:92.6pt;height:28pt;width:48.5pt;z-index:251701248;mso-width-relative:page;mso-height-relative:page;" fillcolor="#FF9900" filled="t" stroked="t" coordsize="970,560" o:gfxdata="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sZrZl2gAAAAsBAAAPAAAAAAAAAAEAIAAAACIAAABkcnMvZG93bnJl&#10;di54bWxQSwECFAAUAAAACACHTuJA/MveiG0CAACABQAADgAAAAAAAAABACAAAAApAQAAZHJzL2Uy&#10;b0RvYy54bWxQSwUGAAAAAAYABgBZAQAACAYAAAAA&#10;" path="m60,0l0,400,340,560,720,520,970,420,650,50,510,60,60,0xe">
                <v:fill on="t" opacity="38666f" focussize="0,0"/>
                <v:stroke weight="2pt" color="#FF0000" joinstyle="round" dashstyle="dash"/>
                <v:imagedata o:title=""/>
                <o:lock v:ext="edit" aspectratio="f"/>
              </v:shape>
            </w:pict>
          </mc:Fallback>
        </mc:AlternateContent>
      </w:r>
      <w:r>
        <w:rPr>
          <w:color w:val="auto"/>
        </w:rPr>
        <mc:AlternateContent>
          <mc:Choice Requires="wps">
            <w:drawing>
              <wp:anchor distT="0" distB="0" distL="114300" distR="114300" simplePos="0" relativeHeight="251699200" behindDoc="0" locked="0" layoutInCell="1" allowOverlap="1">
                <wp:simplePos x="0" y="0"/>
                <wp:positionH relativeFrom="column">
                  <wp:posOffset>2867025</wp:posOffset>
                </wp:positionH>
                <wp:positionV relativeFrom="paragraph">
                  <wp:posOffset>3863340</wp:posOffset>
                </wp:positionV>
                <wp:extent cx="133350" cy="243840"/>
                <wp:effectExtent l="4445" t="0" r="14605" b="3810"/>
                <wp:wrapNone/>
                <wp:docPr id="17" name="直线 13"/>
                <wp:cNvGraphicFramePr/>
                <a:graphic xmlns:a="http://schemas.openxmlformats.org/drawingml/2006/main">
                  <a:graphicData uri="http://schemas.microsoft.com/office/word/2010/wordprocessingShape">
                    <wps:wsp>
                      <wps:cNvCnPr/>
                      <wps:spPr>
                        <a:xfrm flipV="1">
                          <a:off x="0" y="0"/>
                          <a:ext cx="133350" cy="243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13" o:spid="_x0000_s1026" o:spt="20" style="position:absolute;left:0pt;flip:y;margin-left:225.75pt;margin-top:304.2pt;height:19.2pt;width:10.5pt;z-index:251699200;mso-width-relative:page;mso-height-relative:page;" filled="f" stroked="t" coordsize="21600,21600" o:gfxdata="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q2u3aAAAA&#10;CwEAAA8AAAAAAAAAAQAgAAAAIgAAAGRycy9kb3ducmV2LnhtbFBLAQIUABQAAAAIAIdO4kAJphpq&#10;4gEAAKEDAAAOAAAAAAAAAAEAIAAAACkBAABkcnMvZTJvRG9jLnhtbFBLBQYAAAAABgAGAFkBAAB9&#10;BQ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84864" behindDoc="0" locked="0" layoutInCell="1" allowOverlap="1">
                <wp:simplePos x="0" y="0"/>
                <wp:positionH relativeFrom="column">
                  <wp:posOffset>3133725</wp:posOffset>
                </wp:positionH>
                <wp:positionV relativeFrom="paragraph">
                  <wp:posOffset>2872740</wp:posOffset>
                </wp:positionV>
                <wp:extent cx="0" cy="297180"/>
                <wp:effectExtent l="38100" t="0" r="38100" b="7620"/>
                <wp:wrapNone/>
                <wp:docPr id="18" name="直线 14"/>
                <wp:cNvGraphicFramePr/>
                <a:graphic xmlns:a="http://schemas.openxmlformats.org/drawingml/2006/main">
                  <a:graphicData uri="http://schemas.microsoft.com/office/word/2010/wordprocessingShape">
                    <wps:wsp>
                      <wps:cNvCnPr/>
                      <wps:spPr>
                        <a:xfrm flipH="1">
                          <a:off x="0" y="0"/>
                          <a:ext cx="0" cy="2971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14" o:spid="_x0000_s1026" o:spt="20" style="position:absolute;left:0pt;flip:x;margin-left:246.75pt;margin-top:226.2pt;height:23.4pt;width:0pt;z-index:251684864;mso-width-relative:page;mso-height-relative:page;" filled="f" stroked="t" coordsize="21600,21600" o:gfxdata="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J4gM99gAAAALAQAADwAA&#10;AAAAAAABACAAAAAiAAAAZHJzL2Rvd25yZXYueG1sUEsBAhQAFAAAAAgAh07iQCDCOdrdAQAAnAMA&#10;AA4AAAAAAAAAAQAgAAAAJwEAAGRycy9lMm9Eb2MueG1sUEsFBgAAAAAGAAYAWQEAAHYFA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95104" behindDoc="0" locked="0" layoutInCell="1" allowOverlap="1">
                <wp:simplePos x="0" y="0"/>
                <wp:positionH relativeFrom="column">
                  <wp:posOffset>4006215</wp:posOffset>
                </wp:positionH>
                <wp:positionV relativeFrom="paragraph">
                  <wp:posOffset>1181735</wp:posOffset>
                </wp:positionV>
                <wp:extent cx="339090" cy="73025"/>
                <wp:effectExtent l="3810" t="18415" r="19050" b="22860"/>
                <wp:wrapNone/>
                <wp:docPr id="19" name="直线 15"/>
                <wp:cNvGraphicFramePr/>
                <a:graphic xmlns:a="http://schemas.openxmlformats.org/drawingml/2006/main">
                  <a:graphicData uri="http://schemas.microsoft.com/office/word/2010/wordprocessingShape">
                    <wps:wsp>
                      <wps:cNvCnPr/>
                      <wps:spPr>
                        <a:xfrm>
                          <a:off x="0" y="0"/>
                          <a:ext cx="339090" cy="73025"/>
                        </a:xfrm>
                        <a:prstGeom prst="line">
                          <a:avLst/>
                        </a:prstGeom>
                        <a:ln w="38100" cap="flat" cmpd="sng">
                          <a:solidFill>
                            <a:srgbClr val="FF00FF"/>
                          </a:solidFill>
                          <a:prstDash val="solid"/>
                          <a:headEnd type="none" w="med" len="med"/>
                          <a:tailEnd type="none" w="med" len="med"/>
                        </a:ln>
                      </wps:spPr>
                      <wps:bodyPr upright="1"/>
                    </wps:wsp>
                  </a:graphicData>
                </a:graphic>
              </wp:anchor>
            </w:drawing>
          </mc:Choice>
          <mc:Fallback>
            <w:pict>
              <v:line id="直线 15" o:spid="_x0000_s1026" o:spt="20" style="position:absolute;left:0pt;margin-left:315.45pt;margin-top:93.05pt;height:5.75pt;width:26.7pt;z-index:251695104;mso-width-relative:page;mso-height-relative:page;" filled="f" stroked="t" coordsize="21600,21600" o:gfxdata="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pYasEtcAAAALAQAADwAAAAAAAAABACAA&#10;AAAiAAAAZHJzL2Rvd25yZXYueG1sUEsBAhQAFAAAAAgAh07iQHKu397VAQAAkwMAAA4AAAAAAAAA&#10;AQAgAAAAJgEAAGRycy9lMm9Eb2MueG1sUEsFBgAAAAAGAAYAWQEAAG0FAAAAAA==&#10;">
                <v:fill on="f" focussize="0,0"/>
                <v:stroke weight="3pt" color="#FF00FF" joinstyle="round"/>
                <v:imagedata o:title=""/>
                <o:lock v:ext="edit" aspectratio="f"/>
              </v:line>
            </w:pict>
          </mc:Fallback>
        </mc:AlternateContent>
      </w:r>
      <w:r>
        <w:rPr>
          <w:color w:val="auto"/>
        </w:rPr>
        <mc:AlternateContent>
          <mc:Choice Requires="wps">
            <w:drawing>
              <wp:anchor distT="0" distB="0" distL="114300" distR="114300" simplePos="0" relativeHeight="251694080" behindDoc="0" locked="0" layoutInCell="1" allowOverlap="1">
                <wp:simplePos x="0" y="0"/>
                <wp:positionH relativeFrom="column">
                  <wp:posOffset>3867150</wp:posOffset>
                </wp:positionH>
                <wp:positionV relativeFrom="paragraph">
                  <wp:posOffset>891540</wp:posOffset>
                </wp:positionV>
                <wp:extent cx="19050" cy="297180"/>
                <wp:effectExtent l="33020" t="0" r="24130" b="7620"/>
                <wp:wrapNone/>
                <wp:docPr id="20" name="直线 16"/>
                <wp:cNvGraphicFramePr/>
                <a:graphic xmlns:a="http://schemas.openxmlformats.org/drawingml/2006/main">
                  <a:graphicData uri="http://schemas.microsoft.com/office/word/2010/wordprocessingShape">
                    <wps:wsp>
                      <wps:cNvCnPr/>
                      <wps:spPr>
                        <a:xfrm flipH="1">
                          <a:off x="0" y="0"/>
                          <a:ext cx="19050" cy="2971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16" o:spid="_x0000_s1026" o:spt="20" style="position:absolute;left:0pt;flip:x;margin-left:304.5pt;margin-top:70.2pt;height:23.4pt;width:1.5pt;z-index:251694080;mso-width-relative:page;mso-height-relative:page;" filled="f" stroked="t" coordsize="21600,21600" o:gfxdata="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oOmfMNoAAAAL&#10;AQAADwAAAAAAAAABACAAAAAiAAAAZHJzL2Rvd25yZXYueG1sUEsBAhQAFAAAAAgAh07iQDK5lqPh&#10;AQAAoAMAAA4AAAAAAAAAAQAgAAAAKQEAAGRycy9lMm9Eb2MueG1sUEsFBgAAAAAGAAYAWQEAAHwF&#10;A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92032" behindDoc="0" locked="0" layoutInCell="1" allowOverlap="1">
                <wp:simplePos x="0" y="0"/>
                <wp:positionH relativeFrom="column">
                  <wp:posOffset>3400425</wp:posOffset>
                </wp:positionH>
                <wp:positionV relativeFrom="paragraph">
                  <wp:posOffset>594360</wp:posOffset>
                </wp:positionV>
                <wp:extent cx="200025" cy="198120"/>
                <wp:effectExtent l="3175" t="0" r="6350" b="11430"/>
                <wp:wrapNone/>
                <wp:docPr id="21" name="直线 17"/>
                <wp:cNvGraphicFramePr/>
                <a:graphic xmlns:a="http://schemas.openxmlformats.org/drawingml/2006/main">
                  <a:graphicData uri="http://schemas.microsoft.com/office/word/2010/wordprocessingShape">
                    <wps:wsp>
                      <wps:cNvCnPr/>
                      <wps:spPr>
                        <a:xfrm flipV="1">
                          <a:off x="0" y="0"/>
                          <a:ext cx="20002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17" o:spid="_x0000_s1026" o:spt="20" style="position:absolute;left:0pt;flip:y;margin-left:267.75pt;margin-top:46.8pt;height:15.6pt;width:15.75pt;z-index:251692032;mso-width-relative:page;mso-height-relative:page;" filled="f" stroked="t" coordsize="21600,21600" o:gfxdata="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1AwUf2gAAAAoB&#10;AAAPAAAAAAAAAAEAIAAAACIAAABkcnMvZG93bnJldi54bWxQSwECFAAUAAAACACHTuJAv71ZPeAB&#10;AAChAwAADgAAAAAAAAABACAAAAApAQAAZHJzL2Uyb0RvYy54bWxQSwUGAAAAAAYABgBZAQAAewUA&#10;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91008" behindDoc="0" locked="0" layoutInCell="1" allowOverlap="1">
                <wp:simplePos x="0" y="0"/>
                <wp:positionH relativeFrom="column">
                  <wp:posOffset>3000375</wp:posOffset>
                </wp:positionH>
                <wp:positionV relativeFrom="paragraph">
                  <wp:posOffset>1089660</wp:posOffset>
                </wp:positionV>
                <wp:extent cx="133350" cy="243840"/>
                <wp:effectExtent l="4445" t="0" r="14605" b="3810"/>
                <wp:wrapNone/>
                <wp:docPr id="22" name="直线 18"/>
                <wp:cNvGraphicFramePr/>
                <a:graphic xmlns:a="http://schemas.openxmlformats.org/drawingml/2006/main">
                  <a:graphicData uri="http://schemas.microsoft.com/office/word/2010/wordprocessingShape">
                    <wps:wsp>
                      <wps:cNvCnPr/>
                      <wps:spPr>
                        <a:xfrm flipV="1">
                          <a:off x="0" y="0"/>
                          <a:ext cx="133350" cy="243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18" o:spid="_x0000_s1026" o:spt="20" style="position:absolute;left:0pt;flip:y;margin-left:236.25pt;margin-top:85.8pt;height:19.2pt;width:10.5pt;z-index:251691008;mso-width-relative:page;mso-height-relative:page;" filled="f" stroked="t" coordsize="21600,21600" o:gfxdata="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Ct+Ki9sA&#10;AAALAQAADwAAAAAAAAABACAAAAAiAAAAZHJzL2Rvd25yZXYueG1sUEsBAhQAFAAAAAgAh07iQCH9&#10;LXvjAQAAoQMAAA4AAAAAAAAAAQAgAAAAKgEAAGRycy9lMm9Eb2MueG1sUEsFBgAAAAAGAAYAWQEA&#10;AH8FA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93056" behindDoc="0" locked="0" layoutInCell="1" allowOverlap="1">
                <wp:simplePos x="0" y="0"/>
                <wp:positionH relativeFrom="column">
                  <wp:posOffset>3667125</wp:posOffset>
                </wp:positionH>
                <wp:positionV relativeFrom="paragraph">
                  <wp:posOffset>1584960</wp:posOffset>
                </wp:positionV>
                <wp:extent cx="200025" cy="243840"/>
                <wp:effectExtent l="3810" t="0" r="5715" b="3810"/>
                <wp:wrapNone/>
                <wp:docPr id="23" name="直线 19"/>
                <wp:cNvGraphicFramePr/>
                <a:graphic xmlns:a="http://schemas.openxmlformats.org/drawingml/2006/main">
                  <a:graphicData uri="http://schemas.microsoft.com/office/word/2010/wordprocessingShape">
                    <wps:wsp>
                      <wps:cNvCnPr/>
                      <wps:spPr>
                        <a:xfrm flipV="1">
                          <a:off x="0" y="0"/>
                          <a:ext cx="200025" cy="243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19" o:spid="_x0000_s1026" o:spt="20" style="position:absolute;left:0pt;flip:y;margin-left:288.75pt;margin-top:124.8pt;height:19.2pt;width:15.75pt;z-index:251693056;mso-width-relative:page;mso-height-relative:page;" filled="f" stroked="t" coordsize="21600,21600" o:gfxdata="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6I4wzbAAAA&#10;CwEAAA8AAAAAAAAAAQAgAAAAIgAAAGRycy9kb3ducmV2LnhtbFBLAQIUABQAAAAIAIdO4kCh+tYm&#10;4QEAAKEDAAAOAAAAAAAAAAEAIAAAACoBAABkcnMvZTJvRG9jLnhtbFBLBQYAAAAABgAGAFkBAAB9&#10;BQ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89984" behindDoc="0" locked="0" layoutInCell="1" allowOverlap="1">
                <wp:simplePos x="0" y="0"/>
                <wp:positionH relativeFrom="column">
                  <wp:posOffset>3200400</wp:posOffset>
                </wp:positionH>
                <wp:positionV relativeFrom="paragraph">
                  <wp:posOffset>2179320</wp:posOffset>
                </wp:positionV>
                <wp:extent cx="133350" cy="243840"/>
                <wp:effectExtent l="4445" t="0" r="14605" b="3810"/>
                <wp:wrapNone/>
                <wp:docPr id="24" name="直线 20"/>
                <wp:cNvGraphicFramePr/>
                <a:graphic xmlns:a="http://schemas.openxmlformats.org/drawingml/2006/main">
                  <a:graphicData uri="http://schemas.microsoft.com/office/word/2010/wordprocessingShape">
                    <wps:wsp>
                      <wps:cNvCnPr/>
                      <wps:spPr>
                        <a:xfrm flipV="1">
                          <a:off x="0" y="0"/>
                          <a:ext cx="133350" cy="243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20" o:spid="_x0000_s1026" o:spt="20" style="position:absolute;left:0pt;flip:y;margin-left:252pt;margin-top:171.6pt;height:19.2pt;width:10.5pt;z-index:251689984;mso-width-relative:page;mso-height-relative:page;" filled="f" stroked="t" coordsize="21600,21600" o:gfxdata="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f55grbAAAA&#10;CwEAAA8AAAAAAAAAAQAgAAAAIgAAAGRycy9kb3ducmV2LnhtbFBLAQIUABQAAAAIAIdO4kAru4E4&#10;4QEAAKEDAAAOAAAAAAAAAAEAIAAAACoBAABkcnMvZTJvRG9jLnhtbFBLBQYAAAAABgAGAFkBAAB9&#10;BQ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88960" behindDoc="0" locked="0" layoutInCell="1" allowOverlap="1">
                <wp:simplePos x="0" y="0"/>
                <wp:positionH relativeFrom="column">
                  <wp:posOffset>2533650</wp:posOffset>
                </wp:positionH>
                <wp:positionV relativeFrom="paragraph">
                  <wp:posOffset>1882140</wp:posOffset>
                </wp:positionV>
                <wp:extent cx="145415" cy="191770"/>
                <wp:effectExtent l="3810" t="0" r="3175" b="17780"/>
                <wp:wrapNone/>
                <wp:docPr id="25" name="直线 21"/>
                <wp:cNvGraphicFramePr/>
                <a:graphic xmlns:a="http://schemas.openxmlformats.org/drawingml/2006/main">
                  <a:graphicData uri="http://schemas.microsoft.com/office/word/2010/wordprocessingShape">
                    <wps:wsp>
                      <wps:cNvCnPr/>
                      <wps:spPr>
                        <a:xfrm flipV="1">
                          <a:off x="0" y="0"/>
                          <a:ext cx="145415" cy="19177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21" o:spid="_x0000_s1026" o:spt="20" style="position:absolute;left:0pt;flip:y;margin-left:199.5pt;margin-top:148.2pt;height:15.1pt;width:11.45pt;z-index:251688960;mso-width-relative:page;mso-height-relative:page;" filled="f" stroked="t" coordsize="21600,21600" o:gfxdata="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xFBXDbAAAA&#10;CwEAAA8AAAAAAAAAAQAgAAAAIgAAAGRycy9kb3ducmV2LnhtbFBLAQIUABQAAAAIAIdO4kA5erb0&#10;4QEAAKEDAAAOAAAAAAAAAAEAIAAAACoBAABkcnMvZTJvRG9jLnhtbFBLBQYAAAAABgAGAFkBAAB9&#10;BQ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85888" behindDoc="0" locked="0" layoutInCell="1" allowOverlap="1">
                <wp:simplePos x="0" y="0"/>
                <wp:positionH relativeFrom="column">
                  <wp:posOffset>1933575</wp:posOffset>
                </wp:positionH>
                <wp:positionV relativeFrom="paragraph">
                  <wp:posOffset>3169920</wp:posOffset>
                </wp:positionV>
                <wp:extent cx="133350" cy="198120"/>
                <wp:effectExtent l="0" t="2540" r="19050" b="8890"/>
                <wp:wrapNone/>
                <wp:docPr id="26" name="直线 22"/>
                <wp:cNvGraphicFramePr/>
                <a:graphic xmlns:a="http://schemas.openxmlformats.org/drawingml/2006/main">
                  <a:graphicData uri="http://schemas.microsoft.com/office/word/2010/wordprocessingShape">
                    <wps:wsp>
                      <wps:cNvCnPr/>
                      <wps:spPr>
                        <a:xfrm flipH="1">
                          <a:off x="0" y="0"/>
                          <a:ext cx="133350"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22" o:spid="_x0000_s1026" o:spt="20" style="position:absolute;left:0pt;flip:x;margin-left:152.25pt;margin-top:249.6pt;height:15.6pt;width:10.5pt;z-index:251685888;mso-width-relative:page;mso-height-relative:page;" filled="f" stroked="t" coordsize="21600,21600" o:gfxdata="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f843j2gAA&#10;AAsBAAAPAAAAAAAAAAEAIAAAACIAAABkcnMvZG93bnJldi54bWxQSwECFAAUAAAACACHTuJAF2WR&#10;8+MBAAChAwAADgAAAAAAAAABACAAAAApAQAAZHJzL2Uyb0RvYy54bWxQSwUGAAAAAAYABgBZAQAA&#10;fgU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86912" behindDoc="0" locked="0" layoutInCell="1" allowOverlap="1">
                <wp:simplePos x="0" y="0"/>
                <wp:positionH relativeFrom="column">
                  <wp:posOffset>2667000</wp:posOffset>
                </wp:positionH>
                <wp:positionV relativeFrom="paragraph">
                  <wp:posOffset>3566160</wp:posOffset>
                </wp:positionV>
                <wp:extent cx="133350" cy="198120"/>
                <wp:effectExtent l="0" t="2540" r="19050" b="8890"/>
                <wp:wrapNone/>
                <wp:docPr id="27" name="直线 23"/>
                <wp:cNvGraphicFramePr/>
                <a:graphic xmlns:a="http://schemas.openxmlformats.org/drawingml/2006/main">
                  <a:graphicData uri="http://schemas.microsoft.com/office/word/2010/wordprocessingShape">
                    <wps:wsp>
                      <wps:cNvCnPr/>
                      <wps:spPr>
                        <a:xfrm flipH="1">
                          <a:off x="0" y="0"/>
                          <a:ext cx="133350"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23" o:spid="_x0000_s1026" o:spt="20" style="position:absolute;left:0pt;flip:x;margin-left:210pt;margin-top:280.8pt;height:15.6pt;width:10.5pt;z-index:251686912;mso-width-relative:page;mso-height-relative:page;" filled="f" stroked="t" coordsize="21600,21600" o:gfxdata="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O7JODZAAAA&#10;CwEAAA8AAAAAAAAAAQAgAAAAIgAAAGRycy9kb3ducmV2LnhtbFBLAQIUABQAAAAIAIdO4kDjikN4&#10;4wEAAKEDAAAOAAAAAAAAAAEAIAAAACgBAABkcnMvZTJvRG9jLnhtbFBLBQYAAAAABgAGAFkBAAB9&#10;BQ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87936" behindDoc="0" locked="0" layoutInCell="1" allowOverlap="1">
                <wp:simplePos x="0" y="0"/>
                <wp:positionH relativeFrom="column">
                  <wp:posOffset>2000250</wp:posOffset>
                </wp:positionH>
                <wp:positionV relativeFrom="paragraph">
                  <wp:posOffset>3764280</wp:posOffset>
                </wp:positionV>
                <wp:extent cx="333375" cy="99060"/>
                <wp:effectExtent l="1270" t="4445" r="8255" b="29845"/>
                <wp:wrapNone/>
                <wp:docPr id="28" name="直线 24"/>
                <wp:cNvGraphicFramePr/>
                <a:graphic xmlns:a="http://schemas.openxmlformats.org/drawingml/2006/main">
                  <a:graphicData uri="http://schemas.microsoft.com/office/word/2010/wordprocessingShape">
                    <wps:wsp>
                      <wps:cNvCnPr/>
                      <wps:spPr>
                        <a:xfrm>
                          <a:off x="0" y="0"/>
                          <a:ext cx="333375" cy="990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24" o:spid="_x0000_s1026" o:spt="20" style="position:absolute;left:0pt;margin-left:157.5pt;margin-top:296.4pt;height:7.8pt;width:26.25pt;z-index:251687936;mso-width-relative:page;mso-height-relative:page;" filled="f" stroked="t" coordsize="21600,21600" o:gfxdata="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NzsjefcAAAACwEAAA8AAAAA&#10;AAAAAQAgAAAAIgAAAGRycy9kb3ducmV2LnhtbFBLAQIUABQAAAAIAIdO4kC0S+Fo1wEAAJYDAAAO&#10;AAAAAAAAAAEAIAAAACsBAABkcnMvZTJvRG9jLnhtbFBLBQYAAAAABgAGAFkBAAB0BQ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83840" behindDoc="0" locked="0" layoutInCell="1" allowOverlap="1">
                <wp:simplePos x="0" y="0"/>
                <wp:positionH relativeFrom="column">
                  <wp:posOffset>2155825</wp:posOffset>
                </wp:positionH>
                <wp:positionV relativeFrom="paragraph">
                  <wp:posOffset>2377440</wp:posOffset>
                </wp:positionV>
                <wp:extent cx="133350" cy="198120"/>
                <wp:effectExtent l="0" t="2540" r="19050" b="8890"/>
                <wp:wrapNone/>
                <wp:docPr id="29" name="直线 25"/>
                <wp:cNvGraphicFramePr/>
                <a:graphic xmlns:a="http://schemas.openxmlformats.org/drawingml/2006/main">
                  <a:graphicData uri="http://schemas.microsoft.com/office/word/2010/wordprocessingShape">
                    <wps:wsp>
                      <wps:cNvCnPr/>
                      <wps:spPr>
                        <a:xfrm flipH="1">
                          <a:off x="0" y="0"/>
                          <a:ext cx="133350"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直线 25" o:spid="_x0000_s1026" o:spt="20" style="position:absolute;left:0pt;flip:x;margin-left:169.75pt;margin-top:187.2pt;height:15.6pt;width:10.5pt;z-index:251683840;mso-width-relative:page;mso-height-relative:page;" filled="f" stroked="t" coordsize="21600,21600" o:gfxdata="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tqUHz2gAA&#10;AAsBAAAPAAAAAAAAAAEAIAAAACIAAABkcnMvZG93bnJldi54bWxQSwECFAAUAAAACACHTuJAuemM&#10;XeMBAAChAwAADgAAAAAAAAABACAAAAApAQAAZHJzL2Uyb0RvYy54bWxQSwUGAAAAAAYABgBZAQAA&#10;fgUAAAAA&#10;">
                <v:fill on="f" focussize="0,0"/>
                <v:stroke color="#000000" joinstyle="round" endarrow="block"/>
                <v:imagedata o:title=""/>
                <o:lock v:ext="edit" aspectratio="f"/>
              </v:line>
            </w:pict>
          </mc:Fallback>
        </mc:AlternateContent>
      </w:r>
      <w:r>
        <w:rPr>
          <w:color w:val="auto"/>
        </w:rPr>
        <mc:AlternateContent>
          <mc:Choice Requires="wps">
            <w:drawing>
              <wp:anchor distT="0" distB="0" distL="114300" distR="114300" simplePos="0" relativeHeight="251681792" behindDoc="0" locked="0" layoutInCell="1" allowOverlap="1">
                <wp:simplePos x="0" y="0"/>
                <wp:positionH relativeFrom="column">
                  <wp:posOffset>3867150</wp:posOffset>
                </wp:positionH>
                <wp:positionV relativeFrom="paragraph">
                  <wp:posOffset>2674620</wp:posOffset>
                </wp:positionV>
                <wp:extent cx="705485" cy="318135"/>
                <wp:effectExtent l="4445" t="5080" r="13970" b="19685"/>
                <wp:wrapNone/>
                <wp:docPr id="30" name="文本框 26"/>
                <wp:cNvGraphicFramePr/>
                <a:graphic xmlns:a="http://schemas.openxmlformats.org/drawingml/2006/main">
                  <a:graphicData uri="http://schemas.microsoft.com/office/word/2010/wordprocessingShape">
                    <wps:wsp>
                      <wps:cNvSpPr txBox="1"/>
                      <wps:spPr>
                        <a:xfrm>
                          <a:off x="0" y="0"/>
                          <a:ext cx="705485" cy="318135"/>
                        </a:xfrm>
                        <a:prstGeom prst="rect">
                          <a:avLst/>
                        </a:prstGeom>
                        <a:solidFill>
                          <a:srgbClr val="FFFF99"/>
                        </a:solidFill>
                        <a:ln w="9525" cap="flat" cmpd="sng">
                          <a:solidFill>
                            <a:srgbClr val="FF00FF"/>
                          </a:solidFill>
                          <a:prstDash val="solid"/>
                          <a:miter/>
                          <a:headEnd type="none" w="med" len="med"/>
                          <a:tailEnd type="none" w="med" len="med"/>
                        </a:ln>
                      </wps:spPr>
                      <wps:txbx>
                        <w:txbxContent>
                          <w:p>
                            <w:pPr>
                              <w:ind w:left="0" w:leftChars="0" w:firstLine="0" w:firstLineChars="0"/>
                            </w:pPr>
                            <w:r>
                              <w:rPr>
                                <w:rFonts w:hint="eastAsia"/>
                              </w:rPr>
                              <w:t>分水点</w:t>
                            </w:r>
                          </w:p>
                          <w:p/>
                        </w:txbxContent>
                      </wps:txbx>
                      <wps:bodyPr upright="1"/>
                    </wps:wsp>
                  </a:graphicData>
                </a:graphic>
              </wp:anchor>
            </w:drawing>
          </mc:Choice>
          <mc:Fallback>
            <w:pict>
              <v:shape id="文本框 26" o:spid="_x0000_s1026" o:spt="202" type="#_x0000_t202" style="position:absolute;left:0pt;margin-left:304.5pt;margin-top:210.6pt;height:25.05pt;width:55.55pt;z-index:251681792;mso-width-relative:page;mso-height-relative:page;" fillcolor="#FFFF99" filled="t" stroked="t" coordsize="21600,21600" o:gfxdata="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cnvVL2AAAAAsBAAAPAAAAAAAAAAEAIAAAACIAAABkcnMvZG93bnJldi54bWxQSwEC&#10;FAAUAAAACACHTuJAgJ3JtfQBAADpAwAADgAAAAAAAAABACAAAAAnAQAAZHJzL2Uyb0RvYy54bWxQ&#10;SwUGAAAAAAYABgBZAQAAjQUAAAAA&#10;">
                <v:fill on="t" focussize="0,0"/>
                <v:stroke color="#FF00FF" joinstyle="miter"/>
                <v:imagedata o:title=""/>
                <o:lock v:ext="edit" aspectratio="f"/>
                <v:textbox>
                  <w:txbxContent>
                    <w:p>
                      <w:pPr>
                        <w:ind w:left="0" w:leftChars="0" w:firstLine="0" w:firstLineChars="0"/>
                      </w:pPr>
                      <w:r>
                        <w:rPr>
                          <w:rFonts w:hint="eastAsia"/>
                        </w:rPr>
                        <w:t>分水点</w:t>
                      </w:r>
                    </w:p>
                    <w:p/>
                  </w:txbxContent>
                </v:textbox>
              </v:shape>
            </w:pict>
          </mc:Fallback>
        </mc:AlternateContent>
      </w:r>
      <w:r>
        <w:rPr>
          <w:color w:val="auto"/>
        </w:rPr>
        <mc:AlternateContent>
          <mc:Choice Requires="wps">
            <w:drawing>
              <wp:anchor distT="0" distB="0" distL="114300" distR="114300" simplePos="0" relativeHeight="251682816" behindDoc="0" locked="0" layoutInCell="1" allowOverlap="1">
                <wp:simplePos x="0" y="0"/>
                <wp:positionH relativeFrom="column">
                  <wp:posOffset>3333750</wp:posOffset>
                </wp:positionH>
                <wp:positionV relativeFrom="paragraph">
                  <wp:posOffset>2476500</wp:posOffset>
                </wp:positionV>
                <wp:extent cx="533400" cy="297180"/>
                <wp:effectExtent l="5715" t="9525" r="13335" b="17145"/>
                <wp:wrapNone/>
                <wp:docPr id="31" name="直线 27"/>
                <wp:cNvGraphicFramePr/>
                <a:graphic xmlns:a="http://schemas.openxmlformats.org/drawingml/2006/main">
                  <a:graphicData uri="http://schemas.microsoft.com/office/word/2010/wordprocessingShape">
                    <wps:wsp>
                      <wps:cNvCnPr/>
                      <wps:spPr>
                        <a:xfrm>
                          <a:off x="0" y="0"/>
                          <a:ext cx="533400" cy="297180"/>
                        </a:xfrm>
                        <a:prstGeom prst="line">
                          <a:avLst/>
                        </a:prstGeom>
                        <a:ln w="22225" cap="flat" cmpd="sng">
                          <a:solidFill>
                            <a:srgbClr val="000000"/>
                          </a:solidFill>
                          <a:prstDash val="solid"/>
                          <a:headEnd type="none" w="med" len="med"/>
                          <a:tailEnd type="none" w="med" len="med"/>
                        </a:ln>
                      </wps:spPr>
                      <wps:bodyPr upright="1"/>
                    </wps:wsp>
                  </a:graphicData>
                </a:graphic>
              </wp:anchor>
            </w:drawing>
          </mc:Choice>
          <mc:Fallback>
            <w:pict>
              <v:line id="直线 27" o:spid="_x0000_s1026" o:spt="20" style="position:absolute;left:0pt;margin-left:262.5pt;margin-top:195pt;height:23.4pt;width:42pt;z-index:251682816;mso-width-relative:page;mso-height-relative:page;" filled="f" stroked="t" coordsize="21600,21600" o:gfxdata="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A9kHY2gAAAAsBAAAPAAAAAAAAAAEA&#10;IAAAACIAAABkcnMvZG93bnJldi54bWxQSwECFAAUAAAACACHTuJAZEW2qNQBAACUAwAADgAAAAAA&#10;AAABACAAAAApAQAAZHJzL2Uyb0RvYy54bWxQSwUGAAAAAAYABgBZAQAAbwUAAAAA&#10;">
                <v:fill on="f" focussize="0,0"/>
                <v:stroke weight="1.75pt" color="#000000" joinstyle="round"/>
                <v:imagedata o:title=""/>
                <o:lock v:ext="edit" aspectratio="f"/>
              </v:line>
            </w:pict>
          </mc:Fallback>
        </mc:AlternateContent>
      </w:r>
      <w:r>
        <w:rPr>
          <w:color w:val="auto"/>
        </w:rPr>
        <mc:AlternateContent>
          <mc:Choice Requires="wps">
            <w:drawing>
              <wp:anchor distT="0" distB="0" distL="114300" distR="114300" simplePos="0" relativeHeight="251680768" behindDoc="0" locked="0" layoutInCell="1" allowOverlap="1">
                <wp:simplePos x="0" y="0"/>
                <wp:positionH relativeFrom="column">
                  <wp:posOffset>1800225</wp:posOffset>
                </wp:positionH>
                <wp:positionV relativeFrom="paragraph">
                  <wp:posOffset>1783080</wp:posOffset>
                </wp:positionV>
                <wp:extent cx="533400" cy="396240"/>
                <wp:effectExtent l="6350" t="8890" r="12700" b="13970"/>
                <wp:wrapNone/>
                <wp:docPr id="32" name="直线 28"/>
                <wp:cNvGraphicFramePr/>
                <a:graphic xmlns:a="http://schemas.openxmlformats.org/drawingml/2006/main">
                  <a:graphicData uri="http://schemas.microsoft.com/office/word/2010/wordprocessingShape">
                    <wps:wsp>
                      <wps:cNvCnPr/>
                      <wps:spPr>
                        <a:xfrm>
                          <a:off x="0" y="0"/>
                          <a:ext cx="533400" cy="396240"/>
                        </a:xfrm>
                        <a:prstGeom prst="line">
                          <a:avLst/>
                        </a:prstGeom>
                        <a:ln w="22225" cap="flat" cmpd="sng">
                          <a:solidFill>
                            <a:srgbClr val="000000"/>
                          </a:solidFill>
                          <a:prstDash val="solid"/>
                          <a:headEnd type="none" w="med" len="med"/>
                          <a:tailEnd type="none" w="med" len="med"/>
                        </a:ln>
                      </wps:spPr>
                      <wps:bodyPr upright="1"/>
                    </wps:wsp>
                  </a:graphicData>
                </a:graphic>
              </wp:anchor>
            </w:drawing>
          </mc:Choice>
          <mc:Fallback>
            <w:pict>
              <v:line id="直线 28" o:spid="_x0000_s1026" o:spt="20" style="position:absolute;left:0pt;margin-left:141.75pt;margin-top:140.4pt;height:31.2pt;width:42pt;z-index:251680768;mso-width-relative:page;mso-height-relative:page;" filled="f" stroked="t" coordsize="21600,21600" o:gfxdata="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3GmCb2QAAAAsBAAAPAAAAAAAAAAEA&#10;IAAAACIAAABkcnMvZG93bnJldi54bWxQSwECFAAUAAAACACHTuJAnt/UUNUBAACUAwAADgAAAAAA&#10;AAABACAAAAAoAQAAZHJzL2Uyb0RvYy54bWxQSwUGAAAAAAYABgBZAQAAbwUAAAAA&#10;">
                <v:fill on="f" focussize="0,0"/>
                <v:stroke weight="1.75pt" color="#000000" joinstyle="round"/>
                <v:imagedata o:title=""/>
                <o:lock v:ext="edit" aspectratio="f"/>
              </v:line>
            </w:pict>
          </mc:Fallback>
        </mc:AlternateContent>
      </w:r>
      <w:r>
        <w:rPr>
          <w:color w:val="auto"/>
        </w:rPr>
        <w:drawing>
          <wp:inline distT="0" distB="0" distL="114300" distR="114300">
            <wp:extent cx="5153025" cy="5381625"/>
            <wp:effectExtent l="0" t="0" r="9525" b="9525"/>
            <wp:docPr id="34" name="图片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descr="4"/>
                    <pic:cNvPicPr>
                      <a:picLocks noChangeAspect="1"/>
                    </pic:cNvPicPr>
                  </pic:nvPicPr>
                  <pic:blipFill>
                    <a:blip r:embed="rId22"/>
                    <a:stretch>
                      <a:fillRect/>
                    </a:stretch>
                  </pic:blipFill>
                  <pic:spPr>
                    <a:xfrm>
                      <a:off x="0" y="0"/>
                      <a:ext cx="5153025" cy="5381625"/>
                    </a:xfrm>
                    <a:prstGeom prst="rect">
                      <a:avLst/>
                    </a:prstGeom>
                    <a:noFill/>
                    <a:ln w="9525">
                      <a:noFill/>
                    </a:ln>
                  </pic:spPr>
                </pic:pic>
              </a:graphicData>
            </a:graphic>
          </wp:inline>
        </w:drawing>
      </w:r>
    </w:p>
    <w:p>
      <w:pPr>
        <w:pStyle w:val="23"/>
        <w:rPr>
          <w:rFonts w:hint="eastAsia"/>
          <w:b/>
          <w:bCs/>
          <w:color w:val="auto"/>
          <w:lang w:val="zh-CN"/>
        </w:rPr>
      </w:pPr>
      <w:r>
        <w:rPr>
          <w:rFonts w:hint="eastAsia"/>
          <w:b/>
          <w:bCs/>
          <w:color w:val="auto"/>
          <w:lang w:val="zh-CN"/>
        </w:rPr>
        <w:t>图</w:t>
      </w:r>
      <w:r>
        <w:rPr>
          <w:rFonts w:hint="eastAsia"/>
          <w:b/>
          <w:bCs/>
          <w:color w:val="auto"/>
          <w:lang w:val="en-US" w:eastAsia="zh-CN"/>
        </w:rPr>
        <w:t>4-9</w:t>
      </w:r>
      <w:r>
        <w:rPr>
          <w:b/>
          <w:bCs/>
          <w:color w:val="auto"/>
          <w:lang w:val="zh-CN"/>
        </w:rPr>
        <w:t xml:space="preserve">  </w:t>
      </w:r>
      <w:r>
        <w:rPr>
          <w:rFonts w:hint="eastAsia"/>
          <w:b/>
          <w:bCs/>
          <w:color w:val="auto"/>
          <w:lang w:val="zh-CN"/>
        </w:rPr>
        <w:t>渗沥液导排系统平面示意图</w:t>
      </w:r>
    </w:p>
    <w:p>
      <w:pPr>
        <w:pStyle w:val="4"/>
        <w:rPr>
          <w:rFonts w:hint="eastAsia"/>
          <w:b/>
          <w:bCs/>
          <w:color w:val="auto"/>
          <w:lang w:val="en-US" w:eastAsia="zh-CN"/>
        </w:rPr>
      </w:pPr>
      <w:r>
        <w:rPr>
          <w:rFonts w:hint="eastAsia"/>
          <w:b/>
          <w:bCs/>
          <w:color w:val="auto"/>
          <w:lang w:val="en-US" w:eastAsia="zh-CN"/>
        </w:rPr>
        <w:t>4.3.4调节池改造</w:t>
      </w:r>
    </w:p>
    <w:p>
      <w:pPr>
        <w:rPr>
          <w:rFonts w:hint="eastAsia"/>
          <w:color w:val="auto"/>
        </w:rPr>
      </w:pPr>
      <w:r>
        <w:rPr>
          <w:rFonts w:hint="eastAsia"/>
          <w:color w:val="auto"/>
        </w:rPr>
        <w:t>现有调节池由自然地势形成，未做防渗处理，敞开式，坐落在填埋库区的东北角，其南侧为渗沥液处理站。本工程需将调节池进行改造，修整边坡，铺设防渗系统并安装浮动盖</w:t>
      </w:r>
      <w:r>
        <w:rPr>
          <w:rFonts w:hint="eastAsia"/>
          <w:color w:val="auto"/>
          <w:lang w:eastAsia="zh-CN"/>
        </w:rPr>
        <w:t>。</w:t>
      </w:r>
    </w:p>
    <w:p>
      <w:pPr>
        <w:rPr>
          <w:rFonts w:hint="eastAsia"/>
          <w:color w:val="auto"/>
          <w:lang w:val="en-US" w:eastAsia="zh-CN"/>
        </w:rPr>
      </w:pPr>
      <w:r>
        <w:rPr>
          <w:rFonts w:hint="eastAsia"/>
          <w:color w:val="auto"/>
          <w:lang w:val="en-US" w:eastAsia="zh-CN"/>
        </w:rPr>
        <w:t>1、防渗系统</w:t>
      </w:r>
    </w:p>
    <w:p>
      <w:pPr>
        <w:rPr>
          <w:rFonts w:hint="eastAsia"/>
          <w:color w:val="auto"/>
          <w:lang w:eastAsia="zh-CN"/>
        </w:rPr>
      </w:pPr>
      <w:r>
        <w:rPr>
          <w:rFonts w:hint="eastAsia"/>
          <w:color w:val="auto"/>
          <w:lang w:val="zh-CN"/>
        </w:rPr>
        <w:t>根据现状地形确定50.50m标高点，修建截洪沟平台，宽度2米；随后向下按照1:1.5坡度填筑边坡至48.50m标高，修建调节池平台，宽度2.3米，设置锚固沟、护栏等；最后再向下按照1:2坡度填筑边坡至43.00m标高，以此作为调节池池底</w:t>
      </w:r>
      <w:r>
        <w:rPr>
          <w:rFonts w:hint="eastAsia"/>
          <w:color w:val="auto"/>
        </w:rPr>
        <w:t>。调节池的底部防渗结构由下至上依次为：压实地基</w:t>
      </w:r>
      <w:r>
        <w:rPr>
          <w:rFonts w:hint="eastAsia"/>
          <w:color w:val="auto"/>
          <w:lang w:eastAsia="zh-CN"/>
        </w:rPr>
        <w:t>、</w:t>
      </w:r>
      <w:r>
        <w:rPr>
          <w:color w:val="auto"/>
        </w:rPr>
        <w:t>4800g/m</w:t>
      </w:r>
      <w:r>
        <w:rPr>
          <w:color w:val="auto"/>
          <w:vertAlign w:val="superscript"/>
        </w:rPr>
        <w:t>2</w:t>
      </w:r>
      <w:r>
        <w:rPr>
          <w:color w:val="auto"/>
        </w:rPr>
        <w:t>GCL</w:t>
      </w:r>
      <w:r>
        <w:rPr>
          <w:rFonts w:hint="eastAsia"/>
          <w:color w:val="auto"/>
        </w:rPr>
        <w:t>钠基膨润土垫</w:t>
      </w:r>
      <w:r>
        <w:rPr>
          <w:rFonts w:hint="eastAsia"/>
          <w:color w:val="auto"/>
          <w:lang w:eastAsia="zh-CN"/>
        </w:rPr>
        <w:t>、</w:t>
      </w:r>
      <w:r>
        <w:rPr>
          <w:color w:val="auto"/>
        </w:rPr>
        <w:t>2.0mm</w:t>
      </w:r>
      <w:r>
        <w:rPr>
          <w:rFonts w:hint="eastAsia"/>
          <w:color w:val="auto"/>
        </w:rPr>
        <w:t>厚</w:t>
      </w:r>
      <w:r>
        <w:rPr>
          <w:color w:val="auto"/>
        </w:rPr>
        <w:t>HDPE</w:t>
      </w:r>
      <w:r>
        <w:rPr>
          <w:rFonts w:hint="eastAsia"/>
          <w:color w:val="auto"/>
        </w:rPr>
        <w:t>防渗膜</w:t>
      </w:r>
      <w:r>
        <w:rPr>
          <w:rFonts w:hint="eastAsia"/>
          <w:color w:val="auto"/>
          <w:lang w:eastAsia="zh-CN"/>
        </w:rPr>
        <w:t>、</w:t>
      </w:r>
      <w:r>
        <w:rPr>
          <w:color w:val="auto"/>
        </w:rPr>
        <w:t>600g/m</w:t>
      </w:r>
      <w:r>
        <w:rPr>
          <w:color w:val="auto"/>
          <w:vertAlign w:val="superscript"/>
        </w:rPr>
        <w:t>2</w:t>
      </w:r>
      <w:r>
        <w:rPr>
          <w:rFonts w:hint="eastAsia"/>
          <w:color w:val="auto"/>
        </w:rPr>
        <w:t>土工布</w:t>
      </w:r>
      <w:r>
        <w:rPr>
          <w:rFonts w:hint="eastAsia"/>
          <w:color w:val="auto"/>
          <w:lang w:eastAsia="zh-CN"/>
        </w:rPr>
        <w:t>、</w:t>
      </w:r>
      <w:r>
        <w:rPr>
          <w:color w:val="auto"/>
        </w:rPr>
        <w:t>100mm</w:t>
      </w:r>
      <w:r>
        <w:rPr>
          <w:rFonts w:hint="eastAsia"/>
          <w:color w:val="auto"/>
        </w:rPr>
        <w:t>粗砂</w:t>
      </w:r>
      <w:r>
        <w:rPr>
          <w:rFonts w:hint="eastAsia"/>
          <w:color w:val="auto"/>
          <w:lang w:eastAsia="zh-CN"/>
        </w:rPr>
        <w:t>、</w:t>
      </w:r>
      <w:r>
        <w:rPr>
          <w:color w:val="auto"/>
        </w:rPr>
        <w:t>500</w:t>
      </w:r>
      <w:r>
        <w:rPr>
          <w:rFonts w:hint="eastAsia"/>
          <w:color w:val="auto"/>
        </w:rPr>
        <w:t>×</w:t>
      </w:r>
      <w:r>
        <w:rPr>
          <w:color w:val="auto"/>
        </w:rPr>
        <w:t>500</w:t>
      </w:r>
      <w:r>
        <w:rPr>
          <w:rFonts w:hint="eastAsia"/>
          <w:color w:val="auto"/>
        </w:rPr>
        <w:t>×</w:t>
      </w:r>
      <w:r>
        <w:rPr>
          <w:color w:val="auto"/>
        </w:rPr>
        <w:t>80</w:t>
      </w:r>
      <w:r>
        <w:rPr>
          <w:rFonts w:hint="eastAsia"/>
          <w:color w:val="auto"/>
        </w:rPr>
        <w:t>混凝土预制砖</w:t>
      </w:r>
      <w:r>
        <w:rPr>
          <w:rFonts w:hint="eastAsia"/>
          <w:color w:val="auto"/>
          <w:lang w:eastAsia="zh-CN"/>
        </w:rPr>
        <w:t>；</w:t>
      </w:r>
      <w:r>
        <w:rPr>
          <w:rFonts w:hint="eastAsia"/>
          <w:color w:val="auto"/>
        </w:rPr>
        <w:t>调节池的边坡防渗结构由下至上依次为：边坡基础面</w:t>
      </w:r>
      <w:r>
        <w:rPr>
          <w:rFonts w:hint="eastAsia"/>
          <w:color w:val="auto"/>
          <w:lang w:eastAsia="zh-CN"/>
        </w:rPr>
        <w:t>、</w:t>
      </w:r>
      <w:r>
        <w:rPr>
          <w:color w:val="auto"/>
        </w:rPr>
        <w:t>4800g/m</w:t>
      </w:r>
      <w:r>
        <w:rPr>
          <w:color w:val="auto"/>
          <w:vertAlign w:val="superscript"/>
        </w:rPr>
        <w:t>2</w:t>
      </w:r>
      <w:r>
        <w:rPr>
          <w:color w:val="auto"/>
        </w:rPr>
        <w:t>GCL</w:t>
      </w:r>
      <w:r>
        <w:rPr>
          <w:rFonts w:hint="eastAsia"/>
          <w:color w:val="auto"/>
        </w:rPr>
        <w:t>钠基膨润土垫</w:t>
      </w:r>
      <w:r>
        <w:rPr>
          <w:rFonts w:hint="eastAsia"/>
          <w:color w:val="auto"/>
          <w:lang w:eastAsia="zh-CN"/>
        </w:rPr>
        <w:t>、</w:t>
      </w:r>
      <w:r>
        <w:rPr>
          <w:color w:val="auto"/>
        </w:rPr>
        <w:t>2.0mm</w:t>
      </w:r>
      <w:r>
        <w:rPr>
          <w:rFonts w:hint="eastAsia"/>
          <w:color w:val="auto"/>
        </w:rPr>
        <w:t>厚</w:t>
      </w:r>
      <w:r>
        <w:rPr>
          <w:color w:val="auto"/>
        </w:rPr>
        <w:t>HDPE</w:t>
      </w:r>
      <w:r>
        <w:rPr>
          <w:rFonts w:hint="eastAsia"/>
          <w:color w:val="auto"/>
        </w:rPr>
        <w:t>防渗膜</w:t>
      </w:r>
      <w:r>
        <w:rPr>
          <w:rFonts w:hint="eastAsia"/>
          <w:color w:val="auto"/>
          <w:lang w:eastAsia="zh-CN"/>
        </w:rPr>
        <w:t>。</w:t>
      </w:r>
    </w:p>
    <w:p>
      <w:pPr>
        <w:rPr>
          <w:rFonts w:hint="eastAsia"/>
          <w:color w:val="auto"/>
          <w:lang w:val="en-US" w:eastAsia="zh-CN"/>
        </w:rPr>
      </w:pPr>
      <w:r>
        <w:rPr>
          <w:rFonts w:hint="eastAsia"/>
          <w:color w:val="auto"/>
          <w:lang w:val="en-US" w:eastAsia="zh-CN"/>
        </w:rPr>
        <w:t>2、浮动盖</w:t>
      </w:r>
    </w:p>
    <w:p>
      <w:pPr>
        <w:rPr>
          <w:rFonts w:hint="eastAsia"/>
          <w:color w:val="auto"/>
        </w:rPr>
      </w:pPr>
      <w:r>
        <w:rPr>
          <w:rFonts w:hint="eastAsia"/>
          <w:color w:val="auto"/>
        </w:rPr>
        <w:t>本工程浮动盖采用</w:t>
      </w:r>
      <w:r>
        <w:rPr>
          <w:color w:val="auto"/>
        </w:rPr>
        <w:t>HDPE</w:t>
      </w:r>
      <w:r>
        <w:rPr>
          <w:rFonts w:hint="eastAsia"/>
          <w:color w:val="auto"/>
        </w:rPr>
        <w:t>膜材料。</w:t>
      </w:r>
    </w:p>
    <w:p>
      <w:pPr>
        <w:rPr>
          <w:rFonts w:hint="eastAsia"/>
          <w:color w:val="auto"/>
        </w:rPr>
      </w:pPr>
      <w:r>
        <w:rPr>
          <w:rFonts w:hint="eastAsia" w:ascii="宋体" w:hAnsi="宋体"/>
          <w:color w:val="000000"/>
          <w:sz w:val="28"/>
          <w:szCs w:val="28"/>
        </w:rPr>
        <w:drawing>
          <wp:anchor distT="0" distB="0" distL="114300" distR="114300" simplePos="0" relativeHeight="251707392" behindDoc="0" locked="0" layoutInCell="1" allowOverlap="1">
            <wp:simplePos x="0" y="0"/>
            <wp:positionH relativeFrom="column">
              <wp:posOffset>-582295</wp:posOffset>
            </wp:positionH>
            <wp:positionV relativeFrom="paragraph">
              <wp:posOffset>55880</wp:posOffset>
            </wp:positionV>
            <wp:extent cx="6393180" cy="1486535"/>
            <wp:effectExtent l="0" t="0" r="7620" b="18415"/>
            <wp:wrapNone/>
            <wp:docPr id="39" name="图片 3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5" descr="7"/>
                    <pic:cNvPicPr>
                      <a:picLocks noChangeAspect="1"/>
                    </pic:cNvPicPr>
                  </pic:nvPicPr>
                  <pic:blipFill>
                    <a:blip r:embed="rId23"/>
                    <a:stretch>
                      <a:fillRect/>
                    </a:stretch>
                  </pic:blipFill>
                  <pic:spPr>
                    <a:xfrm>
                      <a:off x="0" y="0"/>
                      <a:ext cx="6393180" cy="1486535"/>
                    </a:xfrm>
                    <a:prstGeom prst="rect">
                      <a:avLst/>
                    </a:prstGeom>
                    <a:noFill/>
                    <a:ln w="9525">
                      <a:noFill/>
                    </a:ln>
                  </pic:spPr>
                </pic:pic>
              </a:graphicData>
            </a:graphic>
          </wp:anchor>
        </w:drawing>
      </w:r>
    </w:p>
    <w:p>
      <w:pPr>
        <w:rPr>
          <w:rFonts w:hint="eastAsia"/>
          <w:color w:val="auto"/>
        </w:rPr>
      </w:pPr>
    </w:p>
    <w:p>
      <w:pPr>
        <w:rPr>
          <w:rFonts w:hint="eastAsia"/>
          <w:color w:val="auto"/>
        </w:rPr>
      </w:pPr>
    </w:p>
    <w:p>
      <w:pPr>
        <w:rPr>
          <w:rFonts w:hint="eastAsia"/>
          <w:color w:val="auto"/>
        </w:rPr>
      </w:pPr>
    </w:p>
    <w:p>
      <w:pPr>
        <w:snapToGrid w:val="0"/>
        <w:spacing w:line="520" w:lineRule="atLeast"/>
        <w:ind w:left="0" w:leftChars="0" w:firstLine="0" w:firstLineChars="0"/>
        <w:rPr>
          <w:rFonts w:hint="eastAsia" w:ascii="宋体" w:hAnsi="宋体"/>
          <w:color w:val="000000"/>
          <w:sz w:val="28"/>
          <w:szCs w:val="28"/>
        </w:rPr>
      </w:pPr>
    </w:p>
    <w:p>
      <w:pPr>
        <w:snapToGrid w:val="0"/>
        <w:spacing w:line="520" w:lineRule="atLeast"/>
        <w:ind w:left="0"/>
        <w:jc w:val="center"/>
        <w:rPr>
          <w:rFonts w:hint="eastAsia" w:ascii="Times New Roman" w:hAnsi="Times New Roman" w:eastAsia="宋体" w:cstheme="minorBidi"/>
          <w:b/>
          <w:bCs/>
          <w:color w:val="auto"/>
          <w:kern w:val="2"/>
          <w:sz w:val="21"/>
          <w:szCs w:val="21"/>
          <w:lang w:val="zh-CN" w:eastAsia="zh-CN" w:bidi="ar-SA"/>
        </w:rPr>
      </w:pPr>
      <w:r>
        <w:rPr>
          <w:rFonts w:ascii="Times New Roman" w:hAnsi="Times New Roman" w:eastAsia="宋体" w:cstheme="minorBidi"/>
          <w:b/>
          <w:bCs/>
          <w:color w:val="auto"/>
          <w:kern w:val="2"/>
          <w:sz w:val="21"/>
          <w:szCs w:val="21"/>
          <w:lang w:val="zh-CN" w:eastAsia="zh-CN" w:bidi="ar-SA"/>
        </w:rPr>
        <w:t>图</w:t>
      </w:r>
      <w:r>
        <w:rPr>
          <w:rFonts w:hint="eastAsia" w:cstheme="minorBidi"/>
          <w:b/>
          <w:bCs/>
          <w:color w:val="auto"/>
          <w:kern w:val="2"/>
          <w:sz w:val="21"/>
          <w:szCs w:val="21"/>
          <w:lang w:val="en-US" w:eastAsia="zh-CN" w:bidi="ar-SA"/>
        </w:rPr>
        <w:t>4-10</w:t>
      </w:r>
      <w:r>
        <w:rPr>
          <w:rFonts w:ascii="Times New Roman" w:hAnsi="Times New Roman" w:eastAsia="宋体" w:cstheme="minorBidi"/>
          <w:b/>
          <w:bCs/>
          <w:color w:val="auto"/>
          <w:kern w:val="2"/>
          <w:sz w:val="21"/>
          <w:szCs w:val="21"/>
          <w:lang w:val="zh-CN" w:eastAsia="zh-CN" w:bidi="ar-SA"/>
        </w:rPr>
        <w:t xml:space="preserve"> </w:t>
      </w:r>
      <w:r>
        <w:rPr>
          <w:rFonts w:hint="eastAsia" w:ascii="Times New Roman" w:hAnsi="Times New Roman" w:eastAsia="宋体" w:cstheme="minorBidi"/>
          <w:b/>
          <w:bCs/>
          <w:color w:val="auto"/>
          <w:kern w:val="2"/>
          <w:sz w:val="21"/>
          <w:szCs w:val="21"/>
          <w:lang w:val="zh-CN" w:eastAsia="zh-CN" w:bidi="ar-SA"/>
        </w:rPr>
        <w:t>调节池及浮动盖剖面图</w:t>
      </w:r>
    </w:p>
    <w:p>
      <w:pPr>
        <w:rPr>
          <w:color w:val="auto"/>
        </w:rPr>
      </w:pPr>
      <w:r>
        <w:rPr>
          <w:rFonts w:hint="eastAsia"/>
          <w:color w:val="auto"/>
        </w:rPr>
        <w:t>（</w:t>
      </w:r>
      <w:r>
        <w:rPr>
          <w:color w:val="auto"/>
        </w:rPr>
        <w:t>1</w:t>
      </w:r>
      <w:r>
        <w:rPr>
          <w:rFonts w:hint="eastAsia"/>
          <w:color w:val="auto"/>
        </w:rPr>
        <w:t>）浮动盖材料</w:t>
      </w:r>
    </w:p>
    <w:p>
      <w:pPr>
        <w:rPr>
          <w:color w:val="auto"/>
        </w:rPr>
      </w:pPr>
      <w:r>
        <w:rPr>
          <w:rFonts w:hint="eastAsia"/>
          <w:color w:val="auto"/>
        </w:rPr>
        <w:t>选用</w:t>
      </w:r>
      <w:r>
        <w:rPr>
          <w:color w:val="auto"/>
        </w:rPr>
        <w:t>2.0mmHDPE</w:t>
      </w:r>
      <w:r>
        <w:rPr>
          <w:rFonts w:hint="eastAsia"/>
          <w:color w:val="auto"/>
        </w:rPr>
        <w:t>光面膜作为浮动盖的主体材料，焊接质量满足防渗施工相关工程技术规范的要求。</w:t>
      </w:r>
    </w:p>
    <w:p>
      <w:pPr>
        <w:rPr>
          <w:color w:val="auto"/>
        </w:rPr>
      </w:pPr>
      <w:r>
        <w:rPr>
          <w:rFonts w:hint="eastAsia"/>
          <w:color w:val="auto"/>
        </w:rPr>
        <w:t>（</w:t>
      </w:r>
      <w:r>
        <w:rPr>
          <w:color w:val="auto"/>
        </w:rPr>
        <w:t>2</w:t>
      </w:r>
      <w:r>
        <w:rPr>
          <w:rFonts w:hint="eastAsia"/>
          <w:color w:val="auto"/>
        </w:rPr>
        <w:t>）气体收集</w:t>
      </w:r>
    </w:p>
    <w:p>
      <w:pPr>
        <w:rPr>
          <w:color w:val="auto"/>
        </w:rPr>
      </w:pPr>
      <w:r>
        <w:rPr>
          <w:rFonts w:hint="eastAsia"/>
          <w:color w:val="auto"/>
        </w:rPr>
        <w:t>调节池内的渗沥液会在厌氧环境下生成甲烷、硫化氢等气体，需要将这些气体收集排出。本工程设计利用集气管来收集调节池内产生的气体，再通过穿膜竖管将气体导出。</w:t>
      </w:r>
    </w:p>
    <w:p>
      <w:pPr>
        <w:rPr>
          <w:rFonts w:hint="eastAsia"/>
          <w:color w:val="auto"/>
        </w:rPr>
      </w:pPr>
      <w:r>
        <w:rPr>
          <w:rFonts w:hint="eastAsia"/>
          <w:color w:val="auto"/>
        </w:rPr>
        <w:t>集气花管为φ</w:t>
      </w:r>
      <w:r>
        <w:rPr>
          <w:color w:val="auto"/>
        </w:rPr>
        <w:t>200mm HDPE</w:t>
      </w:r>
      <w:r>
        <w:rPr>
          <w:rFonts w:hint="eastAsia"/>
          <w:color w:val="auto"/>
        </w:rPr>
        <w:t>穿孔管，位于在调节池边坡上、浮动盖下方，在浮动盖主体之前安装完毕。集气管采用水平安装的方式，距调节池上口</w:t>
      </w:r>
      <w:r>
        <w:rPr>
          <w:color w:val="auto"/>
        </w:rPr>
        <w:t>0.5</w:t>
      </w:r>
      <w:r>
        <w:rPr>
          <w:rFonts w:hint="eastAsia"/>
          <w:color w:val="auto"/>
        </w:rPr>
        <w:t>米左右的位置上，每隔</w:t>
      </w:r>
      <w:r>
        <w:rPr>
          <w:color w:val="auto"/>
        </w:rPr>
        <w:t>1m</w:t>
      </w:r>
      <w:r>
        <w:rPr>
          <w:rFonts w:hint="eastAsia"/>
          <w:color w:val="auto"/>
        </w:rPr>
        <w:t>用宽</w:t>
      </w:r>
      <w:r>
        <w:rPr>
          <w:color w:val="auto"/>
        </w:rPr>
        <w:t>20c</w:t>
      </w:r>
      <w:r>
        <w:rPr>
          <w:rFonts w:hint="eastAsia"/>
          <w:color w:val="auto"/>
        </w:rPr>
        <w:t>m的土工膜条将花管吊装在锚固沟中。</w:t>
      </w:r>
    </w:p>
    <w:p>
      <w:pPr>
        <w:rPr>
          <w:rFonts w:hint="eastAsia"/>
          <w:color w:val="auto"/>
        </w:rPr>
      </w:pPr>
      <w:r>
        <w:rPr>
          <w:rFonts w:hint="eastAsia"/>
          <w:color w:val="auto"/>
        </w:rPr>
        <w:t>排气竖管采用φ160mm HDPE管，高度2米，间距40米布置，共计6根，顶部用三通作为管帽，将调节池内的气体导</w:t>
      </w:r>
      <w:r>
        <w:rPr>
          <w:rFonts w:hint="eastAsia"/>
          <w:color w:val="auto"/>
          <w:lang w:eastAsia="zh-CN"/>
        </w:rPr>
        <w:t>出。</w:t>
      </w:r>
    </w:p>
    <w:p>
      <w:pPr>
        <w:rPr>
          <w:color w:val="auto"/>
        </w:rPr>
      </w:pPr>
      <w:r>
        <w:rPr>
          <w:rFonts w:hint="eastAsia"/>
          <w:color w:val="auto"/>
        </w:rPr>
        <w:t>（</w:t>
      </w:r>
      <w:r>
        <w:rPr>
          <w:color w:val="auto"/>
        </w:rPr>
        <w:t>3</w:t>
      </w:r>
      <w:r>
        <w:rPr>
          <w:rFonts w:hint="eastAsia"/>
          <w:color w:val="auto"/>
        </w:rPr>
        <w:t>）配重</w:t>
      </w:r>
    </w:p>
    <w:p>
      <w:pPr>
        <w:rPr>
          <w:color w:val="auto"/>
        </w:rPr>
      </w:pPr>
      <w:r>
        <w:rPr>
          <w:rFonts w:hint="eastAsia"/>
          <w:color w:val="auto"/>
        </w:rPr>
        <w:t>为保证气体能顺利排出和调节池浮动盖系统的稳定，在浮动盖上安装φ</w:t>
      </w:r>
      <w:r>
        <w:rPr>
          <w:color w:val="auto"/>
        </w:rPr>
        <w:t>200mm HDPE</w:t>
      </w:r>
      <w:r>
        <w:rPr>
          <w:rFonts w:hint="eastAsia"/>
          <w:color w:val="auto"/>
        </w:rPr>
        <w:t>配重管。管内灌重砂，两端用配套管帽密封，管长</w:t>
      </w:r>
      <w:r>
        <w:rPr>
          <w:color w:val="auto"/>
        </w:rPr>
        <w:t>3</w:t>
      </w:r>
      <w:r>
        <w:rPr>
          <w:rFonts w:hint="eastAsia"/>
          <w:color w:val="auto"/>
        </w:rPr>
        <w:t>米，间距</w:t>
      </w:r>
      <w:r>
        <w:rPr>
          <w:color w:val="auto"/>
        </w:rPr>
        <w:t>1</w:t>
      </w:r>
      <w:r>
        <w:rPr>
          <w:rFonts w:hint="eastAsia"/>
          <w:color w:val="auto"/>
        </w:rPr>
        <w:t>米，用铁链连接，配重灌下方安装加强膜。</w:t>
      </w:r>
    </w:p>
    <w:p>
      <w:pPr>
        <w:rPr>
          <w:rFonts w:hint="eastAsia"/>
          <w:color w:val="auto"/>
        </w:rPr>
      </w:pPr>
      <w:r>
        <w:rPr>
          <w:rFonts w:hint="eastAsia"/>
          <w:color w:val="auto"/>
        </w:rPr>
        <w:t>为防止在边坡处配重管因膜起伏而发生撅起现象，故变坡处采用装沙膜袋代替配重管。</w:t>
      </w:r>
    </w:p>
    <w:p>
      <w:pPr>
        <w:rPr>
          <w:color w:val="auto"/>
        </w:rPr>
      </w:pPr>
      <w:r>
        <w:rPr>
          <w:rFonts w:hint="eastAsia"/>
          <w:color w:val="auto"/>
        </w:rPr>
        <w:t>（</w:t>
      </w:r>
      <w:r>
        <w:rPr>
          <w:color w:val="auto"/>
        </w:rPr>
        <w:t>4</w:t>
      </w:r>
      <w:r>
        <w:rPr>
          <w:rFonts w:hint="eastAsia"/>
          <w:color w:val="auto"/>
        </w:rPr>
        <w:t>）浮力单元</w:t>
      </w:r>
    </w:p>
    <w:p>
      <w:pPr>
        <w:rPr>
          <w:color w:val="auto"/>
        </w:rPr>
      </w:pPr>
      <w:r>
        <w:rPr>
          <w:rFonts w:hint="eastAsia"/>
          <w:color w:val="auto"/>
        </w:rPr>
        <w:t>调节池浮动盖面积较大，气体自然外排困难，会在浮动盖下形成小的气包，同时加之膜上雨水的封堵气包会越来越大，最终影响整个工程的使用。</w:t>
      </w:r>
    </w:p>
    <w:p>
      <w:pPr>
        <w:rPr>
          <w:color w:val="auto"/>
        </w:rPr>
      </w:pPr>
      <w:r>
        <w:rPr>
          <w:rFonts w:hint="eastAsia"/>
          <w:color w:val="auto"/>
        </w:rPr>
        <w:t>为保证气体顺利排出，本工程选用成排φ</w:t>
      </w:r>
      <w:r>
        <w:rPr>
          <w:color w:val="auto"/>
        </w:rPr>
        <w:t>260mm PE</w:t>
      </w:r>
      <w:r>
        <w:rPr>
          <w:rFonts w:hint="eastAsia"/>
          <w:color w:val="auto"/>
        </w:rPr>
        <w:t>浮球，之间用防腐缆绳穿在一起，在浮动盖上隔段固定。浮球性能与土工膜相似，较其他材料有更好的化学稳定性，保证浮球在高浓度污水中不被腐蚀。</w:t>
      </w:r>
    </w:p>
    <w:p>
      <w:pPr>
        <w:rPr>
          <w:color w:val="auto"/>
        </w:rPr>
      </w:pPr>
      <w:r>
        <w:rPr>
          <w:rFonts w:hint="eastAsia"/>
          <w:color w:val="auto"/>
        </w:rPr>
        <w:t>浮球作为浮动单元，还起到导气的作用，浮球的浮力保证浮动盖和液面之间有</w:t>
      </w:r>
      <w:r>
        <w:rPr>
          <w:color w:val="auto"/>
        </w:rPr>
        <w:t>2</w:t>
      </w:r>
      <w:r>
        <w:rPr>
          <w:rFonts w:hint="eastAsia"/>
          <w:color w:val="auto"/>
        </w:rPr>
        <w:t>～</w:t>
      </w:r>
      <w:r>
        <w:rPr>
          <w:color w:val="auto"/>
        </w:rPr>
        <w:t>5cm</w:t>
      </w:r>
      <w:r>
        <w:rPr>
          <w:rFonts w:hint="eastAsia"/>
          <w:color w:val="auto"/>
        </w:rPr>
        <w:t>的空隙，产生的气体可以通过成排浮球形成的空隙通道排至边坡处，再沿坡面爬至集气管或集气支管排出。</w:t>
      </w:r>
    </w:p>
    <w:p>
      <w:pPr>
        <w:rPr>
          <w:color w:val="auto"/>
        </w:rPr>
      </w:pPr>
      <w:r>
        <w:rPr>
          <w:rFonts w:hint="eastAsia"/>
          <w:color w:val="auto"/>
        </w:rPr>
        <w:t>（</w:t>
      </w:r>
      <w:r>
        <w:rPr>
          <w:color w:val="auto"/>
        </w:rPr>
        <w:t>5</w:t>
      </w:r>
      <w:r>
        <w:rPr>
          <w:rFonts w:hint="eastAsia"/>
          <w:color w:val="auto"/>
        </w:rPr>
        <w:t>）锚固</w:t>
      </w:r>
    </w:p>
    <w:p>
      <w:pPr>
        <w:rPr>
          <w:color w:val="auto"/>
        </w:rPr>
      </w:pPr>
      <w:r>
        <w:rPr>
          <w:rFonts w:hint="eastAsia"/>
          <w:color w:val="auto"/>
        </w:rPr>
        <w:t>配重管链条、浮球固定缆绳和浮动盖主体膜均在调节池的锚固沟中进行锚固。</w:t>
      </w:r>
    </w:p>
    <w:p>
      <w:pPr>
        <w:rPr>
          <w:color w:val="auto"/>
        </w:rPr>
      </w:pPr>
      <w:r>
        <w:rPr>
          <w:rFonts w:hint="eastAsia"/>
          <w:color w:val="auto"/>
        </w:rPr>
        <w:t>（</w:t>
      </w:r>
      <w:r>
        <w:rPr>
          <w:color w:val="auto"/>
        </w:rPr>
        <w:t>6</w:t>
      </w:r>
      <w:r>
        <w:rPr>
          <w:rFonts w:hint="eastAsia"/>
          <w:color w:val="auto"/>
        </w:rPr>
        <w:t>）检查孔</w:t>
      </w:r>
    </w:p>
    <w:p>
      <w:pPr>
        <w:rPr>
          <w:color w:val="auto"/>
        </w:rPr>
      </w:pPr>
      <w:r>
        <w:rPr>
          <w:rFonts w:hint="eastAsia"/>
          <w:color w:val="auto"/>
        </w:rPr>
        <w:t>使用φ</w:t>
      </w:r>
      <w:r>
        <w:rPr>
          <w:color w:val="auto"/>
        </w:rPr>
        <w:t>630mm HDPE</w:t>
      </w:r>
      <w:r>
        <w:rPr>
          <w:rFonts w:hint="eastAsia"/>
          <w:color w:val="auto"/>
        </w:rPr>
        <w:t>法兰短管作检查孔，并配备</w:t>
      </w:r>
      <w:r>
        <w:rPr>
          <w:color w:val="auto"/>
        </w:rPr>
        <w:t>20mm HDPE</w:t>
      </w:r>
      <w:r>
        <w:rPr>
          <w:rFonts w:hint="eastAsia"/>
          <w:color w:val="auto"/>
        </w:rPr>
        <w:t>板作为检查孔盖板，之间用螺栓、密封垫和检查孔连接，检查孔旁设置检修通道，如图</w:t>
      </w:r>
      <w:r>
        <w:rPr>
          <w:color w:val="auto"/>
        </w:rPr>
        <w:t>6-14</w:t>
      </w:r>
      <w:r>
        <w:rPr>
          <w:rFonts w:hint="eastAsia"/>
          <w:color w:val="auto"/>
        </w:rPr>
        <w:t>所示。底部配备外包</w:t>
      </w:r>
      <w:r>
        <w:rPr>
          <w:color w:val="auto"/>
        </w:rPr>
        <w:t>HDPE</w:t>
      </w:r>
      <w:r>
        <w:rPr>
          <w:rFonts w:hint="eastAsia"/>
          <w:color w:val="auto"/>
        </w:rPr>
        <w:t>膜的泡沫板，为其提供浮力。</w:t>
      </w:r>
    </w:p>
    <w:p>
      <w:pPr>
        <w:rPr>
          <w:rFonts w:hint="eastAsia"/>
          <w:color w:val="auto"/>
        </w:rPr>
      </w:pPr>
      <w:r>
        <w:rPr>
          <w:rFonts w:hint="eastAsia"/>
          <w:color w:val="auto"/>
        </w:rPr>
        <w:t>浮动盖上设置外包</w:t>
      </w:r>
      <w:r>
        <w:rPr>
          <w:color w:val="auto"/>
        </w:rPr>
        <w:t>HDPE</w:t>
      </w:r>
      <w:r>
        <w:rPr>
          <w:rFonts w:hint="eastAsia"/>
          <w:color w:val="auto"/>
        </w:rPr>
        <w:t>膜的自熄性聚乙烯苯板，形成检修通道，在检修或取样时为工作人员提供支撑。</w:t>
      </w:r>
    </w:p>
    <w:p>
      <w:pPr>
        <w:rPr>
          <w:rFonts w:hint="eastAsia"/>
          <w:color w:val="auto"/>
          <w:lang w:val="en-US" w:eastAsia="zh-CN"/>
        </w:rPr>
      </w:pPr>
      <w:r>
        <w:rPr>
          <w:rFonts w:hint="eastAsia"/>
          <w:color w:val="auto"/>
          <w:lang w:val="en-US" w:eastAsia="zh-CN"/>
        </w:rPr>
        <w:t>3、施工方案</w:t>
      </w:r>
    </w:p>
    <w:p>
      <w:pPr>
        <w:rPr>
          <w:rFonts w:hint="eastAsia"/>
          <w:color w:val="auto"/>
          <w:u w:val="single"/>
          <w:lang w:val="en-US" w:eastAsia="zh-CN"/>
        </w:rPr>
      </w:pPr>
      <w:r>
        <w:rPr>
          <w:rFonts w:hint="eastAsia"/>
          <w:color w:val="auto"/>
          <w:u w:val="single"/>
          <w:lang w:val="en-US" w:eastAsia="zh-CN"/>
        </w:rPr>
        <w:t>渗滤液调节池施工过程无法进行渗滤液的收集和暂存，因此，本项目在实施渗滤液调节池改造时，渗滤液经渗滤导排管道收集后，通过提升泵直接提升至填埋区进行回灌。对于调节池内现有的渗滤液，采用提升泵直接提升至填埋区进行回灌。</w:t>
      </w:r>
    </w:p>
    <w:p>
      <w:pPr>
        <w:pStyle w:val="4"/>
        <w:rPr>
          <w:rFonts w:hint="eastAsia"/>
          <w:color w:val="auto"/>
          <w:lang w:val="en-US" w:eastAsia="zh-CN"/>
        </w:rPr>
      </w:pPr>
      <w:r>
        <w:rPr>
          <w:rFonts w:hint="eastAsia"/>
          <w:color w:val="auto"/>
          <w:lang w:val="en-US" w:eastAsia="zh-CN"/>
        </w:rPr>
        <w:t>4.3.5雨污分流系统</w:t>
      </w:r>
    </w:p>
    <w:p>
      <w:pPr>
        <w:rPr>
          <w:rFonts w:hint="eastAsia"/>
          <w:color w:val="auto"/>
        </w:rPr>
      </w:pPr>
      <w:r>
        <w:rPr>
          <w:rFonts w:hint="eastAsia"/>
          <w:color w:val="auto"/>
        </w:rPr>
        <w:t>现有南侧和东侧未设置截洪沟，雨水导排系统建设不完整，导致场外大量雨水汇入库区，从而转变为大量渗沥液，同时也对垃圾堆体形成冲刷作用，危害堆体边坡的稳定性。此外，堆体表面采用简易覆盖方式，现场恶臭气味严重，雨水基本转本转化为渗沥液</w:t>
      </w:r>
      <w:r>
        <w:rPr>
          <w:rFonts w:hint="eastAsia"/>
          <w:color w:val="auto"/>
          <w:lang w:eastAsia="zh-CN"/>
        </w:rPr>
        <w:t>。</w:t>
      </w:r>
    </w:p>
    <w:p>
      <w:pPr>
        <w:rPr>
          <w:rFonts w:hint="eastAsia"/>
          <w:color w:val="auto"/>
        </w:rPr>
      </w:pPr>
      <w:r>
        <w:rPr>
          <w:rFonts w:hint="eastAsia"/>
          <w:color w:val="auto"/>
        </w:rPr>
        <w:t>因此，本工程需对雨污分流系统进行改造完善，主要包括如下两部分内容：</w:t>
      </w:r>
    </w:p>
    <w:p>
      <w:pPr>
        <w:rPr>
          <w:rFonts w:hint="eastAsia"/>
          <w:color w:val="auto"/>
        </w:rPr>
      </w:pPr>
      <w:r>
        <w:rPr>
          <w:rFonts w:hint="eastAsia"/>
          <w:color w:val="auto"/>
        </w:rPr>
        <w:t>库区与外部的雨污分流措施：在填埋库区未建有截洪沟的区域修建截洪沟，与现有截洪沟相衔接，从而保证堆体上的径流水迅速导排，也可防止库区以外的雨水进入填埋库区。</w:t>
      </w:r>
    </w:p>
    <w:p>
      <w:pPr>
        <w:rPr>
          <w:rFonts w:hint="eastAsia"/>
          <w:color w:val="auto"/>
        </w:rPr>
      </w:pPr>
      <w:r>
        <w:rPr>
          <w:rFonts w:hint="eastAsia"/>
          <w:color w:val="auto"/>
        </w:rPr>
        <w:t>库区内部的雨污分流措施：采用HDPE膜作为中间覆盖材料，形成向四周的排水坡度，保证雨水沿覆膜后的堆体表面流至库区周边的截洪沟，减少渗沥液产生量，有效遏制臭味及轻质物飞散。</w:t>
      </w:r>
    </w:p>
    <w:p>
      <w:pPr>
        <w:rPr>
          <w:rFonts w:hint="eastAsia" w:eastAsia="宋体"/>
          <w:color w:val="auto"/>
          <w:lang w:val="en-US" w:eastAsia="zh-CN"/>
        </w:rPr>
      </w:pPr>
      <w:r>
        <w:rPr>
          <w:rFonts w:hint="eastAsia"/>
          <w:color w:val="auto"/>
          <w:lang w:val="en-US" w:eastAsia="zh-CN"/>
        </w:rPr>
        <w:t>1、截洪沟</w:t>
      </w:r>
    </w:p>
    <w:p>
      <w:pPr>
        <w:rPr>
          <w:rFonts w:hint="eastAsia"/>
          <w:color w:val="auto"/>
          <w:lang w:eastAsia="zh-CN"/>
        </w:rPr>
      </w:pPr>
      <w:r>
        <w:rPr>
          <w:rFonts w:hint="eastAsia"/>
          <w:color w:val="auto"/>
        </w:rPr>
        <w:t>本工程主要在现有库区未建设截洪沟的区域与调节池周边修建截洪沟</w:t>
      </w:r>
      <w:r>
        <w:rPr>
          <w:rFonts w:hint="eastAsia"/>
          <w:color w:val="auto"/>
          <w:lang w:eastAsia="zh-CN"/>
        </w:rPr>
        <w:t>。</w:t>
      </w:r>
      <w:r>
        <w:rPr>
          <w:rFonts w:hint="eastAsia"/>
          <w:color w:val="auto"/>
        </w:rPr>
        <w:t>截洪沟采用浆砌石结构，超高</w:t>
      </w:r>
      <w:r>
        <w:rPr>
          <w:color w:val="auto"/>
        </w:rPr>
        <w:t>0.2m</w:t>
      </w:r>
      <w:r>
        <w:rPr>
          <w:rFonts w:hint="eastAsia"/>
          <w:color w:val="auto"/>
        </w:rPr>
        <w:t>，底部设置</w:t>
      </w:r>
      <w:r>
        <w:rPr>
          <w:color w:val="auto"/>
        </w:rPr>
        <w:t>10cm</w:t>
      </w:r>
      <w:r>
        <w:rPr>
          <w:rFonts w:hint="eastAsia"/>
          <w:color w:val="auto"/>
        </w:rPr>
        <w:t>厚天然沙砾垫层</w:t>
      </w:r>
      <w:r>
        <w:rPr>
          <w:rFonts w:hint="eastAsia"/>
          <w:color w:val="auto"/>
          <w:lang w:eastAsia="zh-CN"/>
        </w:rPr>
        <w:t>。</w:t>
      </w:r>
    </w:p>
    <w:p>
      <w:pPr>
        <w:rPr>
          <w:rFonts w:hint="eastAsia"/>
          <w:color w:val="auto"/>
          <w:lang w:val="en-US" w:eastAsia="zh-CN"/>
        </w:rPr>
      </w:pPr>
      <w:r>
        <w:rPr>
          <w:rFonts w:hint="eastAsia"/>
          <w:color w:val="auto"/>
          <w:lang w:eastAsia="zh-CN"/>
        </w:rPr>
        <w:t>防洪标准：</w:t>
      </w:r>
      <w:r>
        <w:rPr>
          <w:rFonts w:hint="eastAsia"/>
          <w:color w:val="auto"/>
          <w:lang w:val="zh-CN"/>
        </w:rPr>
        <w:t>按照《生活垃圾卫生填埋处理技术规范》（GB 50869-2013）规定，</w:t>
      </w:r>
      <w:r>
        <w:rPr>
          <w:rFonts w:hint="eastAsia"/>
          <w:color w:val="auto"/>
        </w:rPr>
        <w:t>本工程洪雨水导排系统的防洪标准应按照50年标准设计，100年标准校核来执行。</w:t>
      </w:r>
    </w:p>
    <w:p>
      <w:pPr>
        <w:rPr>
          <w:color w:val="auto"/>
        </w:rPr>
      </w:pPr>
      <w:r>
        <w:rPr>
          <w:rFonts w:hint="eastAsia"/>
          <w:color w:val="auto"/>
        </w:rPr>
        <w:t>现有库区：新建截洪沟以最高点</w:t>
      </w:r>
      <w:r>
        <w:rPr>
          <w:color w:val="auto"/>
        </w:rPr>
        <w:t>97.60m</w:t>
      </w:r>
      <w:r>
        <w:rPr>
          <w:rFonts w:hint="eastAsia"/>
          <w:color w:val="auto"/>
        </w:rPr>
        <w:t>处为分水点，分为南、北两部分，北侧与东北角的现有截洪沟顺接，南侧从分水点修至西南角的现有截洪沟处，从而分别排出场外。截洪沟坡度与库区平台的坡度保持一致。</w:t>
      </w:r>
    </w:p>
    <w:p>
      <w:pPr>
        <w:rPr>
          <w:rFonts w:hint="eastAsia"/>
          <w:color w:val="auto"/>
        </w:rPr>
      </w:pPr>
      <w:r>
        <w:rPr>
          <w:rFonts w:hint="eastAsia"/>
          <w:color w:val="auto"/>
        </w:rPr>
        <w:t>调节池：周边设置截洪沟，汇水通过重力流导排至调节池东侧下游区域。</w:t>
      </w:r>
    </w:p>
    <w:p>
      <w:pPr>
        <w:rPr>
          <w:rFonts w:hint="eastAsia"/>
          <w:color w:val="auto"/>
          <w:lang w:val="en-US" w:eastAsia="zh-CN"/>
        </w:rPr>
      </w:pPr>
      <w:r>
        <w:rPr>
          <w:rFonts w:hint="eastAsia"/>
          <w:color w:val="auto"/>
          <w:lang w:val="en-US" w:eastAsia="zh-CN"/>
        </w:rPr>
        <w:t>2、中间覆盖</w:t>
      </w:r>
    </w:p>
    <w:p>
      <w:pPr>
        <w:rPr>
          <w:rFonts w:hint="eastAsia"/>
          <w:color w:val="auto"/>
          <w:lang w:eastAsia="zh-CN"/>
        </w:rPr>
      </w:pPr>
      <w:r>
        <w:rPr>
          <w:rFonts w:hint="eastAsia"/>
          <w:color w:val="auto"/>
        </w:rPr>
        <w:t>本工程采用0.75mm HDPE防渗膜作为中间覆盖材料，填埋垃圾到一定高度后进行HDPE膜焊接覆盖，待需要重新在已覆盖区进行填埋时，需将已铺设的HDPE膜裁开、卷起并集中堆放，随后便在该区域进行填埋作业；待作业完成后，将原HDPE膜展开、铺设、清洗、打磨、焊接，最终完成覆盖。既：填埋→HDPE焊接覆盖→裁开HDPE膜继续填埋→重新HDPE膜焊接覆盖</w:t>
      </w:r>
      <w:r>
        <w:rPr>
          <w:rFonts w:hint="eastAsia"/>
          <w:color w:val="auto"/>
          <w:lang w:eastAsia="zh-CN"/>
        </w:rPr>
        <w:t>。</w:t>
      </w:r>
    </w:p>
    <w:p>
      <w:pPr>
        <w:pStyle w:val="4"/>
        <w:rPr>
          <w:rFonts w:hint="eastAsia"/>
          <w:color w:val="auto"/>
          <w:lang w:val="en-US" w:eastAsia="zh-CN"/>
        </w:rPr>
      </w:pPr>
      <w:r>
        <w:rPr>
          <w:rFonts w:hint="eastAsia"/>
          <w:color w:val="auto"/>
          <w:lang w:val="en-US" w:eastAsia="zh-CN"/>
        </w:rPr>
        <w:t>4.3.6填埋作业设备完善</w:t>
      </w:r>
    </w:p>
    <w:p>
      <w:pPr>
        <w:rPr>
          <w:rFonts w:hint="eastAsia"/>
          <w:color w:val="auto"/>
        </w:rPr>
      </w:pPr>
      <w:r>
        <w:rPr>
          <w:rFonts w:hint="eastAsia"/>
          <w:color w:val="auto"/>
        </w:rPr>
        <w:t>岳阳花果畈垃圾场填埋作业设备目前只配备2台推土机、1台压实机和1台挖掘机，其中1台推土机和1台挖掘机是2002年配置的，已经达到报废年限，基本不能使用。</w:t>
      </w:r>
      <w:r>
        <w:rPr>
          <w:rFonts w:hint="eastAsia"/>
          <w:color w:val="auto"/>
          <w:lang w:eastAsia="zh-CN"/>
        </w:rPr>
        <w:t>因此，本次改造工程</w:t>
      </w:r>
      <w:r>
        <w:rPr>
          <w:rFonts w:hint="eastAsia"/>
          <w:color w:val="auto"/>
        </w:rPr>
        <w:t>增加配置1台33t功率250KW的垃圾压实机</w:t>
      </w:r>
      <w:r>
        <w:rPr>
          <w:rFonts w:hint="eastAsia"/>
          <w:color w:val="auto"/>
          <w:lang w:eastAsia="zh-CN"/>
        </w:rPr>
        <w:t>、</w:t>
      </w:r>
      <w:r>
        <w:rPr>
          <w:rFonts w:hint="eastAsia"/>
          <w:color w:val="auto"/>
        </w:rPr>
        <w:t>1台功率175KW推土机</w:t>
      </w:r>
      <w:r>
        <w:rPr>
          <w:rFonts w:hint="eastAsia"/>
          <w:color w:val="auto"/>
          <w:lang w:eastAsia="zh-CN"/>
        </w:rPr>
        <w:t>和</w:t>
      </w:r>
      <w:r>
        <w:rPr>
          <w:rFonts w:hint="eastAsia"/>
          <w:color w:val="auto"/>
          <w:lang w:val="en-US" w:eastAsia="zh-CN"/>
        </w:rPr>
        <w:t>1台挖掘机</w:t>
      </w:r>
      <w:r>
        <w:rPr>
          <w:rFonts w:hint="eastAsia"/>
          <w:color w:val="auto"/>
        </w:rPr>
        <w:t>。</w:t>
      </w:r>
    </w:p>
    <w:p>
      <w:pPr>
        <w:pStyle w:val="4"/>
        <w:rPr>
          <w:rFonts w:hint="eastAsia"/>
          <w:color w:val="auto"/>
          <w:lang w:val="en-US" w:eastAsia="zh-CN"/>
        </w:rPr>
      </w:pPr>
      <w:r>
        <w:rPr>
          <w:rFonts w:hint="eastAsia"/>
          <w:color w:val="auto"/>
          <w:lang w:val="en-US" w:eastAsia="zh-CN"/>
        </w:rPr>
        <w:t>4.3.7场外排水</w:t>
      </w:r>
    </w:p>
    <w:p>
      <w:pPr>
        <w:rPr>
          <w:rFonts w:hint="eastAsia"/>
          <w:color w:val="auto"/>
        </w:rPr>
      </w:pPr>
      <w:r>
        <w:rPr>
          <w:rFonts w:hint="eastAsia"/>
          <w:color w:val="auto"/>
        </w:rPr>
        <w:t>岳阳花果畈垃圾场有一条2.7公里外排水管道，</w:t>
      </w:r>
      <w:r>
        <w:rPr>
          <w:rFonts w:hint="eastAsia"/>
          <w:color w:val="auto"/>
          <w:lang w:eastAsia="zh-CN"/>
        </w:rPr>
        <w:t>排放污水处理站尾水至芭蕉湖。</w:t>
      </w:r>
      <w:r>
        <w:rPr>
          <w:rFonts w:hint="eastAsia"/>
          <w:color w:val="auto"/>
        </w:rPr>
        <w:t>但是由于年久失修，目前於堵严重，因此本次设计对该管道进行更换，设计一条2.7公里的塑料排水管道。</w:t>
      </w:r>
    </w:p>
    <w:p>
      <w:pPr>
        <w:pStyle w:val="4"/>
        <w:rPr>
          <w:rFonts w:hint="eastAsia"/>
          <w:color w:val="auto"/>
          <w:lang w:val="en-US" w:eastAsia="zh-CN"/>
        </w:rPr>
      </w:pPr>
      <w:r>
        <w:rPr>
          <w:rFonts w:hint="eastAsia"/>
          <w:color w:val="auto"/>
          <w:lang w:val="en-US" w:eastAsia="zh-CN"/>
        </w:rPr>
        <w:t>4.3.8南坝测漏治理</w:t>
      </w:r>
    </w:p>
    <w:p>
      <w:pPr>
        <w:rPr>
          <w:rFonts w:hint="eastAsia"/>
        </w:rPr>
      </w:pPr>
      <w:r>
        <w:rPr>
          <w:rFonts w:hint="eastAsia"/>
        </w:rPr>
        <w:t>2014年政府决定加高垃圾场南北两侧垃圾坝，以增加库容，满足现场垃圾填埋。南北两侧坝体基本在原坝体基础上加高5米，南坝是在原坝体顶部及两侧坝肩加高5米浆砌石面板坝，但是并未考虑新老坝体衔接处及施工缝处的防渗，同时新建南坝两侧直接位于强风化岩层，坝基与岩层结合部位及强风化岩层均可发生渗漏。</w:t>
      </w:r>
    </w:p>
    <w:p>
      <w:pPr>
        <w:rPr>
          <w:rFonts w:hint="eastAsia"/>
        </w:rPr>
      </w:pPr>
      <w:r>
        <w:rPr>
          <w:rFonts w:hint="eastAsia"/>
        </w:rPr>
        <w:t>关于新建南坝位于强风化岩层部分，在垂直防渗设计中已经考虑该部分防渗设计，本部分治理设计主要是针对坝面渗漏进行治理。治理措施主要是采用2.0mm HDPE土工膜对坝体渗漏区域上游坝面进行覆盖，具体做法是：首先进行南坝内侧垃圾开挖，开挖按照1:3稳定边坡进行开挖，开挖完成后对坝面板进行清理干净，然后根据渗漏区域边界化学植筋浇筑混凝土，混凝土中预埋“E”型锚固连接锁，土工膜与“E”型锚固连接锁焊接，坝顶顶部土工膜锚固采用间距1米锚杆结合钢板进行锚固，土工膜上下采用600g/m2土工布进行保护，同时最外侧再铺设一层6.3mm复合排水网，起到保护土工膜作用和便于渗沥液向下渗。</w:t>
      </w:r>
    </w:p>
    <w:p>
      <w:pPr>
        <w:rPr>
          <w:rFonts w:hint="eastAsia"/>
        </w:rPr>
      </w:pPr>
      <w:r>
        <w:rPr>
          <w:rFonts w:hint="eastAsia"/>
        </w:rPr>
        <w:t>为降低南坝坝前渗沥液水位，在南坝坝前设置1.5米宽渗沥液导排层，将坝前积存渗沥液尽快导排至场底，可通过场底原设计的渗沥液导排管导排至北坝下游调节池。考虑该管道可能於堵，设计在渗沥液导排层设置两个dn1000 HDPE管道竖向提升管，管内放置提升泵，将收集的渗沥液提升至调节池内。</w:t>
      </w:r>
    </w:p>
    <w:p>
      <w:pPr>
        <w:pStyle w:val="4"/>
        <w:rPr>
          <w:rFonts w:hint="eastAsia"/>
          <w:lang w:eastAsia="zh-CN"/>
        </w:rPr>
      </w:pPr>
      <w:r>
        <w:rPr>
          <w:rFonts w:hint="eastAsia"/>
          <w:lang w:val="en-US" w:eastAsia="zh-CN"/>
        </w:rPr>
        <w:t>4.3.9堆体整形设计</w:t>
      </w:r>
    </w:p>
    <w:p>
      <w:r>
        <w:t>垃圾堆体从填埋边界线开始按照1:3的坡度进行填埋作业，每升高5米设置3米宽的平台，最高点标高110.00m。</w:t>
      </w:r>
    </w:p>
    <w:p>
      <w:pPr>
        <w:rPr>
          <w:rFonts w:hint="eastAsia"/>
        </w:rPr>
      </w:pPr>
      <w:r>
        <w:t>库区内设置</w:t>
      </w:r>
      <w:r>
        <w:rPr>
          <w:rFonts w:hint="eastAsia"/>
        </w:rPr>
        <w:t>2条道路：一条为盘山道</w:t>
      </w:r>
      <w:r>
        <w:t>，从西南角进场口80.00m标高处</w:t>
      </w:r>
      <w:r>
        <w:rPr>
          <w:rFonts w:hint="eastAsia"/>
        </w:rPr>
        <w:t>沿堆体边坡</w:t>
      </w:r>
      <w:r>
        <w:t>延伸至最高点110.00m处，用于垃圾车辆进出库区，坡度不大于7%，宽度7米</w:t>
      </w:r>
      <w:r>
        <w:rPr>
          <w:rFonts w:hint="eastAsia"/>
        </w:rPr>
        <w:t>，填埋作业时为泥结碎石路面，封场后建为沥青路面；另一条为新建道路，</w:t>
      </w:r>
      <w:r>
        <w:t>从西南角进场口80.00m标高处</w:t>
      </w:r>
      <w:r>
        <w:rPr>
          <w:rFonts w:hint="eastAsia"/>
        </w:rPr>
        <w:t>沿南侧垃圾坝及库区边界线延伸</w:t>
      </w:r>
      <w:r>
        <w:t>至</w:t>
      </w:r>
      <w:r>
        <w:rPr>
          <w:rFonts w:hint="eastAsia"/>
        </w:rPr>
        <w:t>库区东侧88</w:t>
      </w:r>
      <w:r>
        <w:t>.00m处</w:t>
      </w:r>
      <w:r>
        <w:rPr>
          <w:rFonts w:hint="eastAsia"/>
        </w:rPr>
        <w:t>，宽度7米，泥结碎石路面。</w:t>
      </w:r>
    </w:p>
    <w:p>
      <w:pPr>
        <w:pStyle w:val="3"/>
        <w:rPr>
          <w:rFonts w:hint="eastAsia"/>
          <w:u w:val="single"/>
          <w:lang w:val="en-US" w:eastAsia="zh-CN"/>
        </w:rPr>
      </w:pPr>
      <w:bookmarkStart w:id="37" w:name="_Toc29468"/>
      <w:r>
        <w:rPr>
          <w:rFonts w:hint="eastAsia"/>
          <w:u w:val="single"/>
          <w:lang w:val="en-US" w:eastAsia="zh-CN"/>
        </w:rPr>
        <w:t>4.4封场覆盖</w:t>
      </w:r>
      <w:bookmarkEnd w:id="37"/>
    </w:p>
    <w:p>
      <w:pPr>
        <w:rPr>
          <w:rFonts w:hint="eastAsia"/>
          <w:u w:val="single"/>
          <w:lang w:val="en-US" w:eastAsia="zh-CN"/>
        </w:rPr>
      </w:pPr>
      <w:r>
        <w:rPr>
          <w:rFonts w:hint="eastAsia"/>
          <w:u w:val="single"/>
          <w:lang w:val="en-US" w:eastAsia="zh-CN"/>
        </w:rPr>
        <w:t>根据章节3.3现有工程封场覆盖系统，由于设计年限较早，目前已经不适用，因此，本次技改提出封场覆盖基本要求。填埋场的终场覆盖系统组成从下至上为：导气层、防渗层、排水层、覆盖支持土层、营养植被层。根据填埋场稳定化要求，封场工程</w:t>
      </w:r>
      <w:r>
        <w:rPr>
          <w:rFonts w:hint="eastAsia"/>
          <w:u w:val="single"/>
          <w:lang w:val="zh-CN" w:eastAsia="zh-CN"/>
        </w:rPr>
        <w:t>待填埋完毕后另行设计、施工。</w:t>
      </w:r>
      <w:r>
        <w:rPr>
          <w:rFonts w:hint="eastAsia"/>
          <w:u w:val="single"/>
          <w:lang w:val="en-US" w:eastAsia="zh-CN"/>
        </w:rPr>
        <w:t>封场后土地可作为绿化用地、公园等。</w:t>
      </w:r>
    </w:p>
    <w:p>
      <w:pPr>
        <w:rPr>
          <w:u w:val="single"/>
          <w:lang w:val="zh-CN"/>
        </w:rPr>
      </w:pPr>
      <w:r>
        <w:rPr>
          <w:u w:val="single"/>
          <w:lang w:val="zh-CN"/>
        </w:rPr>
        <w:t>根据《生活垃圾卫生填埋处理技术规范》（GB 50869-2013）及《生活垃圾卫生填埋场封场技术规程》（CJJ 112-2007）的要求，本工程终场覆盖系统结构层（自垃圾堆体由里向外）确定为：垃圾层+排气层+防渗层（HDPE膜+GCL）+排水层+保护层（粘土层）＋植被层的结构形式。</w:t>
      </w:r>
    </w:p>
    <w:p>
      <w:pPr>
        <w:rPr>
          <w:u w:val="single"/>
          <w:lang w:val="zh-CN"/>
        </w:rPr>
      </w:pPr>
      <w:bookmarkStart w:id="38" w:name="_Toc362000141"/>
      <w:bookmarkStart w:id="39" w:name="_Toc414279239"/>
      <w:r>
        <w:rPr>
          <w:u w:val="single"/>
          <w:lang w:val="zh-CN"/>
        </w:rPr>
        <w:t>（1）排气层</w:t>
      </w:r>
      <w:bookmarkEnd w:id="38"/>
      <w:bookmarkEnd w:id="39"/>
    </w:p>
    <w:p>
      <w:pPr>
        <w:rPr>
          <w:u w:val="single"/>
          <w:lang w:val="zh-CN"/>
        </w:rPr>
      </w:pPr>
      <w:r>
        <w:rPr>
          <w:u w:val="single"/>
          <w:lang w:val="zh-CN"/>
        </w:rPr>
        <w:t>排气层兼具排水导气的功能，选用6.0mm三维土工复合排水网，直接满铺在垃圾堆体之上，排水网的上、下端与防渗层共同锚固。</w:t>
      </w:r>
    </w:p>
    <w:p>
      <w:pPr>
        <w:rPr>
          <w:u w:val="single"/>
          <w:lang w:val="zh-CN"/>
        </w:rPr>
      </w:pPr>
      <w:r>
        <w:rPr>
          <w:u w:val="single"/>
          <w:lang w:val="zh-CN"/>
        </w:rPr>
        <w:t>（2）阻隔层</w:t>
      </w:r>
    </w:p>
    <w:p>
      <w:pPr>
        <w:rPr>
          <w:u w:val="single"/>
          <w:lang w:val="zh-CN"/>
        </w:rPr>
      </w:pPr>
      <w:r>
        <w:rPr>
          <w:u w:val="single"/>
          <w:lang w:val="zh-CN"/>
        </w:rPr>
        <w:t>本工程采用1.0mm双糙面HDPE膜做为阻隔层，铺装在排气层的外侧边坡上，上、下两端需进行锚固。</w:t>
      </w:r>
    </w:p>
    <w:p>
      <w:pPr>
        <w:rPr>
          <w:u w:val="single"/>
          <w:lang w:val="zh-CN"/>
        </w:rPr>
      </w:pPr>
      <w:r>
        <w:rPr>
          <w:u w:val="single"/>
          <w:lang w:val="zh-CN"/>
        </w:rPr>
        <w:t>（3）排水层</w:t>
      </w:r>
    </w:p>
    <w:p>
      <w:pPr>
        <w:rPr>
          <w:u w:val="single"/>
          <w:lang w:val="zh-CN"/>
        </w:rPr>
      </w:pPr>
      <w:r>
        <w:rPr>
          <w:u w:val="single"/>
          <w:lang w:val="zh-CN"/>
        </w:rPr>
        <w:t>排水层位于防渗粘土层与植被层中间，选用6.0mm三维土工复合排水网，直接满铺在防渗层之上，排水网的上、下端与防渗层共同锚固，收集的汇水可直接排放至排水明渠内。</w:t>
      </w:r>
    </w:p>
    <w:p>
      <w:pPr>
        <w:rPr>
          <w:u w:val="single"/>
          <w:lang w:val="zh-CN"/>
        </w:rPr>
      </w:pPr>
      <w:r>
        <w:rPr>
          <w:u w:val="single"/>
          <w:lang w:val="zh-CN"/>
        </w:rPr>
        <w:t>（4）保护层</w:t>
      </w:r>
    </w:p>
    <w:p>
      <w:pPr>
        <w:rPr>
          <w:u w:val="single"/>
          <w:lang w:val="zh-CN"/>
        </w:rPr>
      </w:pPr>
      <w:r>
        <w:rPr>
          <w:u w:val="single"/>
          <w:lang w:val="zh-CN"/>
        </w:rPr>
        <w:t>保护层为粘土，设置厚度为450mm，直接置于阻隔层之上。该层可使降落在最终覆盖层上的雨水向堆体四侧排出，尽量防止冰冻穿透进压实粘土层，并保护阻隔层不受植物根系、紫外线和其它有害因素的伤害。保护层也能够促进植物生长，能容纳大多数非木本植物的根系，提供一定的持水能力，从而削弱降雨的水分侵入并在旱季维持植物生长。</w:t>
      </w:r>
    </w:p>
    <w:p>
      <w:pPr>
        <w:rPr>
          <w:u w:val="single"/>
          <w:lang w:val="zh-CN"/>
        </w:rPr>
      </w:pPr>
      <w:r>
        <w:rPr>
          <w:u w:val="single"/>
          <w:lang w:val="zh-CN"/>
        </w:rPr>
        <w:t>（5）植被层</w:t>
      </w:r>
    </w:p>
    <w:p>
      <w:pPr>
        <w:rPr>
          <w:u w:val="single"/>
          <w:lang w:val="zh-CN"/>
        </w:rPr>
      </w:pPr>
      <w:r>
        <w:rPr>
          <w:u w:val="single"/>
          <w:lang w:val="zh-CN"/>
        </w:rPr>
        <w:t>植被层由厚度为300mm的营养土质和植被组成，以保护填埋场覆盖层免受风霜雨雪的侵害。同时，植被层为填埋场最终的生态恢复层，它能美化周边环境，防止雨水冲蚀土壤，利于径流的收集及导排。</w:t>
      </w:r>
    </w:p>
    <w:p>
      <w:pPr>
        <w:rPr>
          <w:u w:val="single"/>
          <w:lang w:val="zh-CN"/>
        </w:rPr>
      </w:pPr>
      <w:r>
        <w:rPr>
          <w:u w:val="single"/>
          <w:lang w:val="zh-CN"/>
        </w:rPr>
        <w:t>封场初期绿化宜选择根浅的对 NH3、SO2、HCl、H2S 等填埋气体有抗性的植物，如常绿灌木(如海桐、山茶、尾兰、小叶女贞、紫穗槐)和种植草皮(如 狗牙根、蜈蚣等)。填埋场封场后三年内不准开发利用，要继续监测，注意防火、 防爆。三年后可根据情况种植花卉、蔬菜。</w:t>
      </w:r>
    </w:p>
    <w:p>
      <w:pPr>
        <w:rPr>
          <w:rFonts w:hint="eastAsia"/>
          <w:u w:val="single"/>
          <w:lang w:val="zh-CN"/>
        </w:rPr>
      </w:pPr>
      <w:r>
        <w:rPr>
          <w:u w:val="single"/>
          <w:lang w:val="zh-CN"/>
        </w:rPr>
        <w:t>垃圾填埋场的植被恢复是环境保护重点措施之一，在填埋场种植花草后，土 壤的有机质、速效氮磷、钾和 pH 均有大幅度改善。填埋场经封场处理，表面形成一定的坡度，开设表面排水沟，及时将表面雨水导排出场外，减少污水产生量，做到封场一片，绿化一片，尽快恢复生态环境。</w:t>
      </w:r>
    </w:p>
    <w:p>
      <w:pPr>
        <w:pStyle w:val="3"/>
        <w:rPr>
          <w:rFonts w:hint="eastAsia"/>
          <w:lang w:val="en-US" w:eastAsia="zh-CN"/>
        </w:rPr>
      </w:pPr>
      <w:bookmarkStart w:id="40" w:name="_Toc446"/>
      <w:r>
        <w:rPr>
          <w:rFonts w:hint="eastAsia"/>
          <w:lang w:val="en-US" w:eastAsia="zh-CN"/>
        </w:rPr>
        <w:t>4.5公用工程</w:t>
      </w:r>
      <w:bookmarkEnd w:id="40"/>
    </w:p>
    <w:p>
      <w:pPr>
        <w:pStyle w:val="4"/>
        <w:rPr>
          <w:rFonts w:hint="eastAsia"/>
          <w:color w:val="auto"/>
          <w:lang w:val="en-US" w:eastAsia="zh-CN"/>
        </w:rPr>
      </w:pPr>
      <w:r>
        <w:rPr>
          <w:rFonts w:hint="eastAsia"/>
          <w:color w:val="auto"/>
          <w:lang w:val="en-US" w:eastAsia="zh-CN"/>
        </w:rPr>
        <w:t>4.5.1给排水</w:t>
      </w:r>
    </w:p>
    <w:p>
      <w:pPr>
        <w:numPr>
          <w:ilvl w:val="0"/>
          <w:numId w:val="6"/>
        </w:numPr>
        <w:rPr>
          <w:rFonts w:hint="eastAsia"/>
          <w:color w:val="auto"/>
          <w:lang w:val="en-US" w:eastAsia="zh-CN"/>
        </w:rPr>
      </w:pPr>
      <w:r>
        <w:rPr>
          <w:rFonts w:hint="eastAsia"/>
          <w:color w:val="auto"/>
          <w:lang w:val="en-US" w:eastAsia="zh-CN"/>
        </w:rPr>
        <w:t>给水</w:t>
      </w:r>
    </w:p>
    <w:p>
      <w:pPr>
        <w:rPr>
          <w:rFonts w:hint="eastAsia"/>
          <w:color w:val="auto"/>
          <w:lang w:val="en-US" w:eastAsia="zh-CN"/>
        </w:rPr>
      </w:pPr>
      <w:r>
        <w:rPr>
          <w:rFonts w:hint="eastAsia"/>
          <w:color w:val="auto"/>
          <w:lang w:val="en-US" w:eastAsia="zh-CN"/>
        </w:rPr>
        <w:t>该垃圾填埋场用水包括生活用水、消防用水、生产用水，由市政供水管网供水。本项目依托现有工程供水系统供水。</w:t>
      </w:r>
    </w:p>
    <w:p>
      <w:pPr>
        <w:numPr>
          <w:ilvl w:val="0"/>
          <w:numId w:val="6"/>
        </w:numPr>
        <w:rPr>
          <w:rFonts w:hint="eastAsia"/>
          <w:color w:val="auto"/>
          <w:lang w:val="en-US" w:eastAsia="zh-CN"/>
        </w:rPr>
      </w:pPr>
      <w:r>
        <w:rPr>
          <w:rFonts w:hint="eastAsia"/>
          <w:color w:val="auto"/>
          <w:lang w:val="en-US" w:eastAsia="zh-CN"/>
        </w:rPr>
        <w:t>排水</w:t>
      </w:r>
    </w:p>
    <w:p>
      <w:pPr>
        <w:rPr>
          <w:rFonts w:hint="eastAsia"/>
          <w:color w:val="auto"/>
          <w:lang w:val="en-US" w:eastAsia="zh-CN"/>
        </w:rPr>
      </w:pPr>
      <w:r>
        <w:rPr>
          <w:rFonts w:hint="eastAsia"/>
          <w:color w:val="auto"/>
          <w:lang w:val="en-US" w:eastAsia="zh-CN"/>
        </w:rPr>
        <w:t>本工程废水主要为渗滤液和生活污水，该废水经污水处理站处理达标后，通过自建的管道排入芭蕉湖。</w:t>
      </w:r>
    </w:p>
    <w:p>
      <w:pPr>
        <w:pStyle w:val="4"/>
        <w:rPr>
          <w:rFonts w:hint="eastAsia"/>
          <w:color w:val="auto"/>
          <w:lang w:val="en-US" w:eastAsia="zh-CN"/>
        </w:rPr>
      </w:pPr>
      <w:r>
        <w:rPr>
          <w:rFonts w:hint="eastAsia"/>
          <w:color w:val="auto"/>
          <w:lang w:val="en-US" w:eastAsia="zh-CN"/>
        </w:rPr>
        <w:t>4.5.2供电</w:t>
      </w:r>
    </w:p>
    <w:p>
      <w:pPr>
        <w:rPr>
          <w:rFonts w:hint="eastAsia"/>
          <w:color w:val="auto"/>
          <w:lang w:val="en-US" w:eastAsia="zh-CN"/>
        </w:rPr>
      </w:pPr>
      <w:r>
        <w:rPr>
          <w:rFonts w:hint="eastAsia"/>
          <w:color w:val="auto"/>
          <w:lang w:val="en-US" w:eastAsia="zh-CN"/>
        </w:rPr>
        <w:t>本工程用电负荷等级为三级负荷，单电源供电。处理场10kV外部供电电源引自地区供电网。场内设30kVA/10kV杆上变电站一座，低压输出0.4/0.23kV。</w:t>
      </w:r>
    </w:p>
    <w:p>
      <w:pPr>
        <w:pStyle w:val="4"/>
        <w:rPr>
          <w:rFonts w:hint="eastAsia"/>
          <w:color w:val="auto"/>
          <w:lang w:val="en-US" w:eastAsia="zh-CN"/>
        </w:rPr>
      </w:pPr>
      <w:r>
        <w:rPr>
          <w:rFonts w:hint="eastAsia"/>
          <w:color w:val="auto"/>
          <w:lang w:val="en-US" w:eastAsia="zh-CN"/>
        </w:rPr>
        <w:t>4.5.3工作制度与劳动定员</w:t>
      </w:r>
    </w:p>
    <w:p>
      <w:pPr>
        <w:spacing w:line="360" w:lineRule="auto"/>
        <w:ind w:firstLine="482"/>
        <w:rPr>
          <w:rFonts w:hint="eastAsia"/>
          <w:color w:val="auto"/>
          <w:sz w:val="24"/>
          <w:szCs w:val="24"/>
        </w:rPr>
      </w:pPr>
      <w:r>
        <w:rPr>
          <w:color w:val="auto"/>
          <w:sz w:val="24"/>
          <w:szCs w:val="24"/>
        </w:rPr>
        <w:t>本工程</w:t>
      </w:r>
      <w:r>
        <w:rPr>
          <w:rFonts w:hint="eastAsia"/>
          <w:color w:val="auto"/>
          <w:sz w:val="24"/>
          <w:szCs w:val="24"/>
        </w:rPr>
        <w:t>目前实施全年无休运行，即全年工作日为365d，填埋时间为白天，夜晚不填埋。</w:t>
      </w:r>
    </w:p>
    <w:p>
      <w:pPr>
        <w:rPr>
          <w:rFonts w:hint="eastAsia"/>
          <w:color w:val="auto"/>
          <w:lang w:val="en-US" w:eastAsia="zh-CN"/>
        </w:rPr>
      </w:pPr>
      <w:r>
        <w:rPr>
          <w:rFonts w:hint="eastAsia"/>
          <w:color w:val="auto"/>
          <w:sz w:val="24"/>
          <w:szCs w:val="24"/>
        </w:rPr>
        <w:t>本工程目前在岗职工</w:t>
      </w:r>
      <w:r>
        <w:rPr>
          <w:rFonts w:hint="eastAsia"/>
          <w:color w:val="auto"/>
          <w:sz w:val="24"/>
          <w:szCs w:val="24"/>
          <w:lang w:val="en-US" w:eastAsia="zh-CN"/>
        </w:rPr>
        <w:t>15</w:t>
      </w:r>
      <w:r>
        <w:rPr>
          <w:rFonts w:hint="eastAsia"/>
          <w:color w:val="auto"/>
          <w:sz w:val="24"/>
          <w:szCs w:val="24"/>
        </w:rPr>
        <w:t>人，其中管理人员5人，填埋和运输工人</w:t>
      </w:r>
      <w:r>
        <w:rPr>
          <w:rFonts w:hint="eastAsia"/>
          <w:color w:val="auto"/>
          <w:sz w:val="24"/>
          <w:szCs w:val="24"/>
          <w:lang w:val="en-US" w:eastAsia="zh-CN"/>
        </w:rPr>
        <w:t>15</w:t>
      </w:r>
      <w:r>
        <w:rPr>
          <w:rFonts w:hint="eastAsia"/>
          <w:color w:val="auto"/>
          <w:sz w:val="24"/>
          <w:szCs w:val="24"/>
        </w:rPr>
        <w:t>人。</w:t>
      </w:r>
    </w:p>
    <w:p>
      <w:pPr>
        <w:pStyle w:val="4"/>
        <w:rPr>
          <w:rFonts w:hint="eastAsia"/>
          <w:color w:val="auto"/>
          <w:lang w:val="en-US" w:eastAsia="zh-CN"/>
        </w:rPr>
      </w:pPr>
      <w:r>
        <w:rPr>
          <w:rFonts w:hint="eastAsia"/>
          <w:color w:val="auto"/>
          <w:lang w:val="en-US" w:eastAsia="zh-CN"/>
        </w:rPr>
        <w:t>4.5.4其他</w:t>
      </w:r>
    </w:p>
    <w:p>
      <w:pPr>
        <w:rPr>
          <w:rFonts w:hint="eastAsia"/>
          <w:color w:val="auto"/>
          <w:lang w:val="en-US" w:eastAsia="zh-CN"/>
        </w:rPr>
      </w:pPr>
      <w:r>
        <w:rPr>
          <w:rFonts w:hint="eastAsia"/>
          <w:color w:val="auto"/>
          <w:lang w:val="en-US" w:eastAsia="zh-CN"/>
        </w:rPr>
        <w:t>该垃圾填埋场内不设食堂与住宿。</w:t>
      </w:r>
    </w:p>
    <w:p>
      <w:pPr>
        <w:rPr>
          <w:rFonts w:hint="eastAsia"/>
          <w:color w:val="auto"/>
          <w:lang w:val="en-US" w:eastAsia="zh-CN"/>
        </w:rPr>
        <w:sectPr>
          <w:pgSz w:w="11906" w:h="16838"/>
          <w:pgMar w:top="1440" w:right="1800" w:bottom="1440" w:left="1800" w:header="851" w:footer="992" w:gutter="0"/>
          <w:pgNumType w:fmt="decimal"/>
          <w:cols w:space="425" w:num="1"/>
          <w:docGrid w:type="lines" w:linePitch="312" w:charSpace="0"/>
        </w:sectPr>
      </w:pPr>
    </w:p>
    <w:p>
      <w:pPr>
        <w:pStyle w:val="2"/>
        <w:numPr>
          <w:ilvl w:val="0"/>
          <w:numId w:val="0"/>
        </w:numPr>
        <w:rPr>
          <w:rFonts w:hint="eastAsia"/>
          <w:color w:val="auto"/>
          <w:lang w:val="en-US" w:eastAsia="zh-CN"/>
        </w:rPr>
      </w:pPr>
      <w:bookmarkStart w:id="41" w:name="_Toc24551"/>
      <w:r>
        <w:rPr>
          <w:rFonts w:hint="eastAsia"/>
          <w:color w:val="auto"/>
          <w:lang w:val="en-US" w:eastAsia="zh-CN"/>
        </w:rPr>
        <w:t>5、工程分析</w:t>
      </w:r>
      <w:bookmarkEnd w:id="41"/>
    </w:p>
    <w:p>
      <w:pPr>
        <w:pStyle w:val="3"/>
        <w:rPr>
          <w:rFonts w:hint="eastAsia"/>
          <w:color w:val="auto"/>
          <w:lang w:val="en-US" w:eastAsia="zh-CN"/>
        </w:rPr>
      </w:pPr>
      <w:bookmarkStart w:id="42" w:name="_Toc29745"/>
      <w:r>
        <w:rPr>
          <w:rFonts w:hint="eastAsia"/>
          <w:color w:val="auto"/>
          <w:lang w:val="en-US" w:eastAsia="zh-CN"/>
        </w:rPr>
        <w:t>5.1工艺流程</w:t>
      </w:r>
      <w:bookmarkEnd w:id="42"/>
    </w:p>
    <w:p>
      <w:pPr>
        <w:rPr>
          <w:rFonts w:hint="eastAsia" w:cstheme="minorBidi"/>
          <w:color w:val="auto"/>
          <w:kern w:val="2"/>
          <w:sz w:val="24"/>
          <w:szCs w:val="24"/>
          <w:lang w:val="en-US" w:eastAsia="zh-CN" w:bidi="ar-SA"/>
        </w:rPr>
      </w:pPr>
      <w:r>
        <w:rPr>
          <w:rFonts w:hint="eastAsia" w:cstheme="minorBidi"/>
          <w:color w:val="auto"/>
          <w:kern w:val="2"/>
          <w:sz w:val="24"/>
          <w:szCs w:val="24"/>
          <w:lang w:val="en-US" w:eastAsia="zh-CN" w:bidi="ar-SA"/>
        </w:rPr>
        <w:t>技改前后，填埋场采用的填埋工艺不变，均采用卫生填埋工艺。生活垃圾经环卫部门的垃圾运输车运至垃圾填埋场，经垃圾填埋场入口处的地磅称重后进入相应的垃圾库区，在现场人员的指挥下按填埋作业顺序进行卸料、摊铺、压实、灭虫和覆盖，垃圾按单元分层填埋。</w:t>
      </w:r>
    </w:p>
    <w:p>
      <w:pPr>
        <w:rPr>
          <w:rFonts w:hint="eastAsia" w:cstheme="minorBidi"/>
          <w:color w:val="auto"/>
          <w:kern w:val="2"/>
          <w:sz w:val="24"/>
          <w:szCs w:val="24"/>
          <w:lang w:val="en-US" w:eastAsia="zh-CN" w:bidi="ar-SA"/>
        </w:rPr>
      </w:pPr>
      <w:r>
        <w:rPr>
          <w:rFonts w:hint="eastAsia" w:cstheme="minorBidi"/>
          <w:color w:val="auto"/>
          <w:kern w:val="2"/>
          <w:sz w:val="24"/>
          <w:szCs w:val="24"/>
          <w:lang w:val="en-US" w:eastAsia="zh-CN" w:bidi="ar-SA"/>
        </w:rPr>
        <w:t>根据现有工程，技改前覆盖采用喷浆无土覆盖，堆体表面采取简易覆盖方式，且一个作业区完成阶段性高度后，暂时不在其上继续进行填埋时，未进行中间覆盖。</w:t>
      </w:r>
    </w:p>
    <w:p>
      <w:pPr>
        <w:rPr>
          <w:rFonts w:hint="eastAsia" w:cstheme="minorBidi"/>
          <w:color w:val="auto"/>
          <w:kern w:val="2"/>
          <w:sz w:val="24"/>
          <w:szCs w:val="24"/>
          <w:lang w:val="en-US" w:eastAsia="zh-CN" w:bidi="ar-SA"/>
        </w:rPr>
      </w:pPr>
      <w:r>
        <w:rPr>
          <w:rFonts w:hint="eastAsia" w:cstheme="minorBidi"/>
          <w:color w:val="auto"/>
          <w:kern w:val="2"/>
          <w:sz w:val="24"/>
          <w:szCs w:val="24"/>
          <w:lang w:val="en-US" w:eastAsia="zh-CN" w:bidi="ar-SA"/>
        </w:rPr>
        <w:t>本次技改后，覆盖方式采用HDPE膜进行防渗覆盖，并对一个作业区完成阶段性高度后，暂时不在其上继续进行填埋时，进行中间覆盖。技改后工艺流程见图5-1。</w:t>
      </w:r>
    </w:p>
    <w:p>
      <w:pPr>
        <w:ind w:left="0" w:leftChars="0" w:firstLine="0" w:firstLineChars="0"/>
        <w:jc w:val="center"/>
        <w:rPr>
          <w:rFonts w:hint="eastAsia"/>
          <w:b/>
          <w:bCs/>
          <w:color w:val="auto"/>
          <w:lang w:val="en-US" w:eastAsia="zh-CN"/>
        </w:rPr>
      </w:pPr>
      <w:r>
        <w:rPr>
          <w:rFonts w:hint="eastAsia"/>
          <w:color w:val="auto"/>
          <w:lang w:val="en-US" w:eastAsia="zh-CN"/>
        </w:rPr>
        <w:object>
          <v:shape id="_x0000_i1029" o:spt="75" type="#_x0000_t75" style="height:81.6pt;width:415.15pt;" o:ole="t" filled="f" o:preferrelative="t" stroked="f" coordsize="21600,21600">
            <v:path/>
            <v:fill on="f" focussize="0,0"/>
            <v:stroke on="f"/>
            <v:imagedata r:id="rId25" o:title=""/>
            <o:lock v:ext="edit" aspectratio="f"/>
            <w10:wrap type="none"/>
            <w10:anchorlock/>
          </v:shape>
          <o:OLEObject Type="Embed" ProgID="Visio.Drawing.11" ShapeID="_x0000_i1029" DrawAspect="Content" ObjectID="_1468075729" r:id="rId24">
            <o:LockedField>false</o:LockedField>
          </o:OLEObject>
        </w:object>
      </w:r>
      <w:r>
        <w:rPr>
          <w:rStyle w:val="38"/>
          <w:rFonts w:hint="eastAsia"/>
          <w:b/>
          <w:bCs/>
          <w:lang w:val="en-US" w:eastAsia="zh-CN"/>
        </w:rPr>
        <w:t>图5-1：生活垃圾填埋工艺流程图</w:t>
      </w:r>
    </w:p>
    <w:p>
      <w:pPr>
        <w:rPr>
          <w:rFonts w:hint="eastAsia"/>
          <w:color w:val="auto"/>
        </w:rPr>
      </w:pPr>
      <w:r>
        <w:rPr>
          <w:rFonts w:hint="eastAsia"/>
          <w:b/>
          <w:bCs/>
          <w:color w:val="auto"/>
        </w:rPr>
        <w:t>填埋作业总体工艺</w:t>
      </w:r>
      <w:r>
        <w:rPr>
          <w:rFonts w:hint="eastAsia"/>
          <w:b/>
          <w:bCs/>
          <w:color w:val="auto"/>
          <w:lang w:eastAsia="zh-CN"/>
        </w:rPr>
        <w:t>简述</w:t>
      </w:r>
    </w:p>
    <w:p>
      <w:pPr>
        <w:rPr>
          <w:rFonts w:hint="eastAsia"/>
          <w:color w:val="auto"/>
        </w:rPr>
      </w:pPr>
      <w:r>
        <w:rPr>
          <w:color w:val="auto"/>
        </w:rPr>
        <w:t>城市生活垃圾由环卫部门的垃圾运输车运至垃圾填埋场，经垃圾填埋场入口处的地磅称重检后</w:t>
      </w:r>
      <w:r>
        <w:rPr>
          <w:rFonts w:hint="eastAsia"/>
          <w:color w:val="auto"/>
        </w:rPr>
        <w:t>通过进场道路</w:t>
      </w:r>
      <w:r>
        <w:rPr>
          <w:color w:val="auto"/>
        </w:rPr>
        <w:t>进入</w:t>
      </w:r>
      <w:r>
        <w:rPr>
          <w:rFonts w:hint="eastAsia"/>
          <w:color w:val="auto"/>
        </w:rPr>
        <w:t>到库区上游西北角，沿马道进入库区底部，从垃圾坝内坡脚处开始向场底上游填埋垃圾，当填埋至垃圾坝顶标高处，标高至75米高程时，开始沿坝顶向上游填埋，边填埋边按1：3进行收坡封场，每升高5米设一道马道平台，平台宽3米。坝顶标高75米至场外北侧环场道路85米高程之间按此方式填埋。当填埋高度至85米高程时，场内作业路被垃圾所覆盖，需要在封场表面修建填埋作业道路，随堆体的升高，填埋作业道路也升高，填埋作业、封场作业和填埋作业道路建设同步进行。垃圾堆体进行封场时，将封场覆盖的土工膜与库区防渗土工膜焊接，防止垃圾渗沥液沿封场边坡侧渗。在每道马道平台上设置排水沟，以便于封场后坡面排水。在垃圾填埋单元逐层推进时，不断安放导气</w:t>
      </w:r>
      <w:r>
        <w:rPr>
          <w:rFonts w:hint="eastAsia"/>
          <w:color w:val="auto"/>
          <w:lang w:eastAsia="zh-CN"/>
        </w:rPr>
        <w:t>管道</w:t>
      </w:r>
      <w:r>
        <w:rPr>
          <w:rFonts w:hint="eastAsia"/>
          <w:color w:val="auto"/>
        </w:rPr>
        <w:t>。</w:t>
      </w:r>
    </w:p>
    <w:p>
      <w:pPr>
        <w:pStyle w:val="4"/>
        <w:rPr>
          <w:rFonts w:hint="eastAsia"/>
          <w:color w:val="auto"/>
          <w:lang w:val="en-US" w:eastAsia="zh-CN"/>
        </w:rPr>
      </w:pPr>
      <w:r>
        <w:rPr>
          <w:rFonts w:hint="eastAsia"/>
          <w:color w:val="auto"/>
          <w:lang w:val="en-US" w:eastAsia="zh-CN"/>
        </w:rPr>
        <w:t>5.1.3渗滤液工艺流程</w:t>
      </w:r>
    </w:p>
    <w:p>
      <w:pPr>
        <w:ind w:left="0" w:leftChars="0" w:firstLine="0" w:firstLineChars="0"/>
        <w:jc w:val="center"/>
        <w:rPr>
          <w:rFonts w:hint="eastAsia"/>
          <w:b/>
          <w:bCs/>
          <w:color w:val="auto"/>
          <w:sz w:val="21"/>
          <w:szCs w:val="21"/>
          <w:lang w:val="en-US" w:eastAsia="zh-CN"/>
        </w:rPr>
      </w:pPr>
      <w:r>
        <w:rPr>
          <w:rFonts w:hint="eastAsia"/>
          <w:b/>
          <w:bCs/>
          <w:color w:val="auto"/>
          <w:sz w:val="21"/>
          <w:szCs w:val="21"/>
          <w:lang w:val="en-US" w:eastAsia="zh-CN"/>
        </w:rPr>
        <w:object>
          <v:shape id="_x0000_i1030" o:spt="75" type="#_x0000_t75" style="height:95.25pt;width:415pt;" o:ole="t" filled="f" o:preferrelative="t" stroked="f" coordsize="21600,21600">
            <v:path/>
            <v:fill on="f" focussize="0,0"/>
            <v:stroke on="f"/>
            <v:imagedata r:id="rId12" o:title=""/>
            <o:lock v:ext="edit" aspectratio="f"/>
            <w10:wrap type="none"/>
            <w10:anchorlock/>
          </v:shape>
          <o:OLEObject Type="Embed" ProgID="Visio.Drawing.11" ShapeID="_x0000_i1030" DrawAspect="Content" ObjectID="_1468075730" r:id="rId26">
            <o:LockedField>false</o:LockedField>
          </o:OLEObject>
        </w:object>
      </w:r>
    </w:p>
    <w:p>
      <w:pPr>
        <w:ind w:left="0" w:leftChars="0" w:firstLine="0" w:firstLineChars="0"/>
        <w:jc w:val="center"/>
        <w:rPr>
          <w:rFonts w:hint="eastAsia"/>
          <w:b/>
          <w:bCs/>
          <w:color w:val="auto"/>
          <w:sz w:val="21"/>
          <w:szCs w:val="21"/>
          <w:lang w:val="en-US" w:eastAsia="zh-CN"/>
        </w:rPr>
      </w:pPr>
      <w:r>
        <w:rPr>
          <w:rFonts w:hint="eastAsia"/>
          <w:b/>
          <w:bCs/>
          <w:color w:val="auto"/>
          <w:sz w:val="21"/>
          <w:szCs w:val="21"/>
          <w:lang w:val="en-US" w:eastAsia="zh-CN"/>
        </w:rPr>
        <w:t>图5-2：渗滤液污水处理工艺流程图</w:t>
      </w:r>
    </w:p>
    <w:p>
      <w:pPr>
        <w:rPr>
          <w:rFonts w:hint="eastAsia"/>
          <w:color w:val="auto"/>
          <w:lang w:val="en-US" w:eastAsia="zh-CN"/>
        </w:rPr>
      </w:pPr>
      <w:r>
        <w:rPr>
          <w:rFonts w:hint="eastAsia"/>
          <w:color w:val="auto"/>
          <w:lang w:val="en-US" w:eastAsia="zh-CN"/>
        </w:rPr>
        <w:t>工艺流程说明：</w:t>
      </w:r>
    </w:p>
    <w:p>
      <w:pPr>
        <w:rPr>
          <w:rFonts w:hint="eastAsia"/>
          <w:color w:val="auto"/>
          <w:lang w:val="en-US" w:eastAsia="zh-CN"/>
        </w:rPr>
      </w:pPr>
      <w:r>
        <w:rPr>
          <w:rFonts w:hint="eastAsia"/>
          <w:color w:val="auto"/>
          <w:lang w:val="en-US" w:eastAsia="zh-CN"/>
        </w:rPr>
        <w:t>渗滤液经导流沟或提升泵排入调节池进行混合暂存。</w:t>
      </w:r>
    </w:p>
    <w:p>
      <w:pPr>
        <w:numPr>
          <w:ilvl w:val="0"/>
          <w:numId w:val="7"/>
        </w:numPr>
        <w:rPr>
          <w:rFonts w:hint="eastAsia"/>
          <w:color w:val="auto"/>
          <w:lang w:val="en-US" w:eastAsia="zh-CN"/>
        </w:rPr>
      </w:pPr>
      <w:r>
        <w:rPr>
          <w:rFonts w:hint="eastAsia"/>
          <w:color w:val="auto"/>
          <w:lang w:val="en-US" w:eastAsia="zh-CN"/>
        </w:rPr>
        <w:t>水解酸化</w:t>
      </w:r>
    </w:p>
    <w:p>
      <w:pPr>
        <w:rPr>
          <w:rFonts w:hint="eastAsia"/>
          <w:color w:val="auto"/>
          <w:lang w:val="en-US" w:eastAsia="zh-CN"/>
        </w:rPr>
      </w:pPr>
      <w:r>
        <w:rPr>
          <w:rFonts w:hint="eastAsia"/>
          <w:color w:val="auto"/>
          <w:lang w:val="en-US" w:eastAsia="zh-CN"/>
        </w:rPr>
        <w:t>水解酸化处理是将难生物降解的大分子物质转化为易生物降解的小分子物质的过程而改善废水的可生化性。</w:t>
      </w:r>
    </w:p>
    <w:p>
      <w:pPr>
        <w:numPr>
          <w:ilvl w:val="0"/>
          <w:numId w:val="7"/>
        </w:numPr>
        <w:rPr>
          <w:rFonts w:hint="eastAsia"/>
          <w:color w:val="auto"/>
          <w:lang w:val="en-US" w:eastAsia="zh-CN"/>
        </w:rPr>
      </w:pPr>
      <w:r>
        <w:rPr>
          <w:rFonts w:hint="eastAsia"/>
          <w:color w:val="auto"/>
          <w:lang w:val="en-US" w:eastAsia="zh-CN"/>
        </w:rPr>
        <w:t>反硝化反应+硝化反应</w:t>
      </w:r>
    </w:p>
    <w:p>
      <w:pPr>
        <w:rPr>
          <w:rFonts w:hint="eastAsia"/>
          <w:color w:val="auto"/>
          <w:lang w:val="en-US" w:eastAsia="zh-CN"/>
        </w:rPr>
      </w:pPr>
      <w:r>
        <w:rPr>
          <w:rFonts w:hint="eastAsia"/>
          <w:color w:val="auto"/>
          <w:lang w:val="en-US" w:eastAsia="zh-CN"/>
        </w:rPr>
        <w:t>经水解酸化后的污水流入反硝化反应池和硝化反应池中，反硝化反应池与硝化反应池处于联通状态，该两部分反应主要进行脱氮作用</w:t>
      </w:r>
    </w:p>
    <w:p>
      <w:pPr>
        <w:numPr>
          <w:ilvl w:val="0"/>
          <w:numId w:val="7"/>
        </w:numPr>
        <w:rPr>
          <w:rFonts w:hint="eastAsia"/>
          <w:color w:val="auto"/>
          <w:lang w:val="en-US" w:eastAsia="zh-CN"/>
        </w:rPr>
      </w:pPr>
      <w:r>
        <w:rPr>
          <w:rFonts w:hint="eastAsia"/>
          <w:color w:val="auto"/>
          <w:lang w:val="en-US" w:eastAsia="zh-CN"/>
        </w:rPr>
        <w:t>膜反应</w:t>
      </w:r>
    </w:p>
    <w:p>
      <w:pPr>
        <w:rPr>
          <w:rFonts w:hint="eastAsia"/>
          <w:color w:val="auto"/>
        </w:rPr>
      </w:pPr>
      <w:r>
        <w:rPr>
          <w:rFonts w:hint="eastAsia"/>
          <w:color w:val="auto"/>
          <w:lang w:val="en-US" w:eastAsia="zh-CN"/>
        </w:rPr>
        <w:t>超滤膜</w:t>
      </w:r>
      <w:r>
        <w:rPr>
          <w:rFonts w:hint="eastAsia"/>
          <w:color w:val="auto"/>
        </w:rPr>
        <w:t>通常是指不对称多孔膜，表面孔径在20~50 nm，可截留分子质量范围较宽，超滤是一种筛孔分离过程，其中溶剂和小分子溶质透过膜被收集，而大分子溶质被膜截留成为浓缩液。</w:t>
      </w:r>
      <w:r>
        <w:rPr>
          <w:rFonts w:hint="eastAsia"/>
          <w:color w:val="auto"/>
          <w:lang w:eastAsia="zh-CN"/>
        </w:rPr>
        <w:t>被截留物质主要为蛋白质、各类酶、细菌、病毒、胶体、微粒子等。</w:t>
      </w:r>
    </w:p>
    <w:p>
      <w:pPr>
        <w:rPr>
          <w:rFonts w:hint="eastAsia"/>
          <w:color w:val="auto"/>
          <w:lang w:eastAsia="zh-CN"/>
        </w:rPr>
      </w:pPr>
      <w:r>
        <w:rPr>
          <w:rFonts w:hint="eastAsia"/>
          <w:color w:val="auto"/>
          <w:lang w:eastAsia="zh-CN"/>
        </w:rPr>
        <w:t>纳滤</w:t>
      </w:r>
      <w:r>
        <w:rPr>
          <w:rFonts w:hint="eastAsia"/>
          <w:color w:val="auto"/>
        </w:rPr>
        <w:t>从反渗透技术中分离出来的一种膜分离技术，是超低压反渗透技术的延续和发展分支</w:t>
      </w:r>
      <w:r>
        <w:rPr>
          <w:rFonts w:hint="eastAsia"/>
          <w:color w:val="auto"/>
          <w:lang w:eastAsia="zh-CN"/>
        </w:rPr>
        <w:t>，</w:t>
      </w:r>
      <w:r>
        <w:rPr>
          <w:rFonts w:hint="eastAsia"/>
          <w:color w:val="auto"/>
        </w:rPr>
        <w:t>纳滤膜存在着纳米级的细孔，且截留率大于95％的最小分子约为1mm</w:t>
      </w:r>
      <w:r>
        <w:rPr>
          <w:rFonts w:hint="eastAsia"/>
          <w:color w:val="auto"/>
          <w:lang w:eastAsia="zh-CN"/>
        </w:rPr>
        <w:t>。被截留物质主要为有机物、色素、硬度及部分高价离子。</w:t>
      </w:r>
    </w:p>
    <w:p>
      <w:pPr>
        <w:rPr>
          <w:rFonts w:hint="eastAsia"/>
          <w:color w:val="auto"/>
          <w:lang w:val="en-US" w:eastAsia="zh-CN"/>
        </w:rPr>
      </w:pPr>
      <w:r>
        <w:rPr>
          <w:rFonts w:hint="eastAsia"/>
          <w:color w:val="auto"/>
          <w:lang w:eastAsia="zh-CN"/>
        </w:rPr>
        <w:t>反渗透是</w:t>
      </w:r>
      <w:r>
        <w:rPr>
          <w:rFonts w:hint="eastAsia"/>
          <w:color w:val="auto"/>
        </w:rPr>
        <w:t>在浓溶液一侧施加一个大于渗透压的压力时，溶剂的流动方向将与原来的渗透方向相反，开始从浓溶液向稀溶液一侧流动，是一种在压力驱动下，借助于半透膜的选择截留作用将溶液中的溶质与溶剂分开的分离方法，将原水中的无机离子、细菌、病毒、有机物及胶体等杂质去除。</w:t>
      </w:r>
    </w:p>
    <w:p>
      <w:pPr>
        <w:pStyle w:val="3"/>
        <w:rPr>
          <w:rFonts w:hint="eastAsia"/>
          <w:color w:val="auto"/>
          <w:lang w:val="en-US" w:eastAsia="zh-CN"/>
        </w:rPr>
      </w:pPr>
      <w:bookmarkStart w:id="43" w:name="_Toc1078"/>
      <w:r>
        <w:rPr>
          <w:rFonts w:hint="eastAsia"/>
          <w:color w:val="auto"/>
          <w:lang w:val="en-US" w:eastAsia="zh-CN"/>
        </w:rPr>
        <w:t>5.2施工期污染源分析</w:t>
      </w:r>
      <w:bookmarkEnd w:id="43"/>
    </w:p>
    <w:p>
      <w:pPr>
        <w:pStyle w:val="4"/>
        <w:rPr>
          <w:rFonts w:hint="eastAsia"/>
          <w:color w:val="auto"/>
          <w:lang w:val="en-US" w:eastAsia="zh-CN"/>
        </w:rPr>
      </w:pPr>
      <w:r>
        <w:rPr>
          <w:rFonts w:hint="eastAsia"/>
          <w:color w:val="auto"/>
          <w:lang w:val="en-US" w:eastAsia="zh-CN"/>
        </w:rPr>
        <w:t>5.3.1施工期废气</w:t>
      </w:r>
    </w:p>
    <w:p>
      <w:pPr>
        <w:rPr>
          <w:color w:val="auto"/>
        </w:rPr>
      </w:pPr>
      <w:r>
        <w:rPr>
          <w:color w:val="auto"/>
        </w:rPr>
        <w:t>本项目建设阶段的大气污染源主要来自建筑材料搬运、露天堆场和裸露场地的风力扬尘，土石方和建筑材料运输所产生的动力道路扬尘，此外还有少量汽车尾气等。</w:t>
      </w:r>
    </w:p>
    <w:p>
      <w:pPr>
        <w:rPr>
          <w:color w:val="auto"/>
        </w:rPr>
      </w:pPr>
      <w:r>
        <w:rPr>
          <w:color w:val="auto"/>
        </w:rPr>
        <w:t>施工期扬尘影响包括以下方面：黄沙、水泥等建筑材料运输装卸过程中产生的扬尘；混凝土搅拌作业时产生的扬尘；建材堆场的风力扬尘；建筑材料运输产生的交通道路扬尘。</w:t>
      </w:r>
    </w:p>
    <w:p>
      <w:pPr>
        <w:rPr>
          <w:color w:val="auto"/>
        </w:rPr>
      </w:pPr>
      <w:r>
        <w:rPr>
          <w:color w:val="auto"/>
        </w:rPr>
        <w:t>对整个施工期而言，施工产生的扬尘主要集中在土建施工阶段，按起尘的原因可分为风力起尘和动力起尘。露天堆放的建材(如黄沙、水泥等)及裸露的施工区表层浮尘由于天气干燥及大风，产生风力扬尘；而动力起尘，主要是在土地开挖、建材的装卸、搅拌的过程中，由于外力而产生的尘粒再悬浮而造成，其中施工及装卸车辆造成的扬尘最为严重。</w:t>
      </w:r>
    </w:p>
    <w:p>
      <w:pPr>
        <w:rPr>
          <w:color w:val="auto"/>
        </w:rPr>
      </w:pPr>
      <w:r>
        <w:rPr>
          <w:color w:val="auto"/>
        </w:rPr>
        <w:t>(1) 露天堆场和裸露场地的风力扬尘</w:t>
      </w:r>
    </w:p>
    <w:p>
      <w:pPr>
        <w:rPr>
          <w:color w:val="auto"/>
        </w:rPr>
      </w:pPr>
      <w:r>
        <w:rPr>
          <w:color w:val="auto"/>
        </w:rPr>
        <w:t>由于施工的需要，一些建材需露天堆放；一些施工点表层土壤需人工开挖、堆放，在气候干燥又有风的情况下，会产生扬尘，其扬尘量可按堆放场起尘的经验公式计算：</w:t>
      </w:r>
    </w:p>
    <w:p>
      <w:pPr>
        <w:rPr>
          <w:color w:val="auto"/>
        </w:rPr>
      </w:pPr>
      <w:r>
        <w:rPr>
          <w:color w:val="auto"/>
        </w:rPr>
        <w:t>Q=2.1(V50-V0)3e-1.023W</w:t>
      </w:r>
    </w:p>
    <w:p>
      <w:pPr>
        <w:rPr>
          <w:color w:val="auto"/>
        </w:rPr>
      </w:pPr>
      <w:r>
        <w:rPr>
          <w:color w:val="auto"/>
        </w:rPr>
        <w:t>式中：Q-起尘量，kg/t.a；</w:t>
      </w:r>
    </w:p>
    <w:p>
      <w:pPr>
        <w:rPr>
          <w:color w:val="auto"/>
        </w:rPr>
      </w:pPr>
      <w:r>
        <w:rPr>
          <w:color w:val="auto"/>
        </w:rPr>
        <w:t>　V50-距地面50米处风速，m/s；</w:t>
      </w:r>
    </w:p>
    <w:p>
      <w:pPr>
        <w:rPr>
          <w:color w:val="auto"/>
        </w:rPr>
      </w:pPr>
      <w:r>
        <w:rPr>
          <w:color w:val="auto"/>
        </w:rPr>
        <w:t>　V0-起尘风速，m/s；</w:t>
      </w:r>
    </w:p>
    <w:p>
      <w:pPr>
        <w:rPr>
          <w:color w:val="auto"/>
        </w:rPr>
      </w:pPr>
      <w:r>
        <w:rPr>
          <w:color w:val="auto"/>
        </w:rPr>
        <w:t>　W―尘粒的含水率，%</w:t>
      </w:r>
    </w:p>
    <w:p>
      <w:pPr>
        <w:rPr>
          <w:color w:val="auto"/>
        </w:rPr>
      </w:pPr>
      <w:r>
        <w:rPr>
          <w:color w:val="auto"/>
        </w:rPr>
        <w:t>V0与粒径和含水率有关，因此，减少露天堆放和保证一定的含水率及减少裸露地面是减少风力起尘的有效手段。</w:t>
      </w:r>
    </w:p>
    <w:p>
      <w:pPr>
        <w:rPr>
          <w:color w:val="auto"/>
        </w:rPr>
      </w:pPr>
      <w:r>
        <w:rPr>
          <w:color w:val="auto"/>
        </w:rPr>
        <w:t>尘粒在空气中的传播扩散情况与风速等气象条件有关，也与尘粒本身的沉降速度有关。不同的尘粒的沉降速度见表</w:t>
      </w:r>
      <w:r>
        <w:rPr>
          <w:rFonts w:hint="eastAsia"/>
          <w:color w:val="auto"/>
          <w:lang w:val="en-US" w:eastAsia="zh-CN"/>
        </w:rPr>
        <w:t>5</w:t>
      </w:r>
      <w:r>
        <w:rPr>
          <w:color w:val="auto"/>
        </w:rPr>
        <w:t>-1。</w:t>
      </w:r>
    </w:p>
    <w:p>
      <w:pPr>
        <w:rPr>
          <w:color w:val="auto"/>
        </w:rPr>
      </w:pPr>
    </w:p>
    <w:p>
      <w:pPr>
        <w:rPr>
          <w:color w:val="auto"/>
        </w:rPr>
      </w:pPr>
    </w:p>
    <w:p>
      <w:pPr>
        <w:rPr>
          <w:color w:val="auto"/>
        </w:rPr>
      </w:pPr>
    </w:p>
    <w:p>
      <w:pPr>
        <w:pStyle w:val="23"/>
        <w:rPr>
          <w:b/>
          <w:bCs/>
          <w:color w:val="auto"/>
        </w:rPr>
      </w:pPr>
      <w:r>
        <w:rPr>
          <w:b/>
          <w:bCs/>
          <w:color w:val="auto"/>
        </w:rPr>
        <w:t>表</w:t>
      </w:r>
      <w:r>
        <w:rPr>
          <w:rFonts w:hint="eastAsia"/>
          <w:b/>
          <w:bCs/>
          <w:color w:val="auto"/>
          <w:lang w:val="en-US" w:eastAsia="zh-CN"/>
        </w:rPr>
        <w:t>5</w:t>
      </w:r>
      <w:r>
        <w:rPr>
          <w:b/>
          <w:bCs/>
          <w:color w:val="auto"/>
        </w:rPr>
        <w:t>-1 不同粒径尘粒的沉降速度</w:t>
      </w:r>
    </w:p>
    <w:tbl>
      <w:tblPr>
        <w:tblStyle w:val="19"/>
        <w:tblW w:w="8293"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
      <w:tblGrid>
        <w:gridCol w:w="1885"/>
        <w:gridCol w:w="956"/>
        <w:gridCol w:w="908"/>
        <w:gridCol w:w="909"/>
        <w:gridCol w:w="922"/>
        <w:gridCol w:w="957"/>
        <w:gridCol w:w="907"/>
        <w:gridCol w:w="84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88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粒径(µm)</w:t>
            </w:r>
          </w:p>
        </w:tc>
        <w:tc>
          <w:tcPr>
            <w:tcW w:w="95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10</w:t>
            </w:r>
          </w:p>
        </w:tc>
        <w:tc>
          <w:tcPr>
            <w:tcW w:w="90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20</w:t>
            </w:r>
          </w:p>
        </w:tc>
        <w:tc>
          <w:tcPr>
            <w:tcW w:w="9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30</w:t>
            </w:r>
          </w:p>
        </w:tc>
        <w:tc>
          <w:tcPr>
            <w:tcW w:w="92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40</w:t>
            </w:r>
          </w:p>
        </w:tc>
        <w:tc>
          <w:tcPr>
            <w:tcW w:w="95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50</w:t>
            </w:r>
          </w:p>
        </w:tc>
        <w:tc>
          <w:tcPr>
            <w:tcW w:w="90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60</w:t>
            </w:r>
          </w:p>
        </w:tc>
        <w:tc>
          <w:tcPr>
            <w:tcW w:w="84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70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88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沉降速度(m/s)</w:t>
            </w:r>
          </w:p>
        </w:tc>
        <w:tc>
          <w:tcPr>
            <w:tcW w:w="95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0.003</w:t>
            </w:r>
          </w:p>
        </w:tc>
        <w:tc>
          <w:tcPr>
            <w:tcW w:w="90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0.012</w:t>
            </w:r>
          </w:p>
        </w:tc>
        <w:tc>
          <w:tcPr>
            <w:tcW w:w="9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0.027</w:t>
            </w:r>
          </w:p>
        </w:tc>
        <w:tc>
          <w:tcPr>
            <w:tcW w:w="92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0.048</w:t>
            </w:r>
          </w:p>
        </w:tc>
        <w:tc>
          <w:tcPr>
            <w:tcW w:w="95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0.075</w:t>
            </w:r>
          </w:p>
        </w:tc>
        <w:tc>
          <w:tcPr>
            <w:tcW w:w="90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0.108</w:t>
            </w:r>
          </w:p>
        </w:tc>
        <w:tc>
          <w:tcPr>
            <w:tcW w:w="84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0.147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88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粒径(µm)</w:t>
            </w:r>
          </w:p>
        </w:tc>
        <w:tc>
          <w:tcPr>
            <w:tcW w:w="95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80</w:t>
            </w:r>
          </w:p>
        </w:tc>
        <w:tc>
          <w:tcPr>
            <w:tcW w:w="90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90</w:t>
            </w:r>
          </w:p>
        </w:tc>
        <w:tc>
          <w:tcPr>
            <w:tcW w:w="9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100</w:t>
            </w:r>
          </w:p>
        </w:tc>
        <w:tc>
          <w:tcPr>
            <w:tcW w:w="92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150</w:t>
            </w:r>
          </w:p>
        </w:tc>
        <w:tc>
          <w:tcPr>
            <w:tcW w:w="95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200</w:t>
            </w:r>
          </w:p>
        </w:tc>
        <w:tc>
          <w:tcPr>
            <w:tcW w:w="90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250</w:t>
            </w:r>
          </w:p>
        </w:tc>
        <w:tc>
          <w:tcPr>
            <w:tcW w:w="84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300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88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沉降速度(m/s)</w:t>
            </w:r>
          </w:p>
        </w:tc>
        <w:tc>
          <w:tcPr>
            <w:tcW w:w="95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0.158</w:t>
            </w:r>
          </w:p>
        </w:tc>
        <w:tc>
          <w:tcPr>
            <w:tcW w:w="90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0.170</w:t>
            </w:r>
          </w:p>
        </w:tc>
        <w:tc>
          <w:tcPr>
            <w:tcW w:w="9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0.182</w:t>
            </w:r>
          </w:p>
        </w:tc>
        <w:tc>
          <w:tcPr>
            <w:tcW w:w="92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0.239</w:t>
            </w:r>
          </w:p>
        </w:tc>
        <w:tc>
          <w:tcPr>
            <w:tcW w:w="95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0.804</w:t>
            </w:r>
          </w:p>
        </w:tc>
        <w:tc>
          <w:tcPr>
            <w:tcW w:w="90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1.005</w:t>
            </w:r>
          </w:p>
        </w:tc>
        <w:tc>
          <w:tcPr>
            <w:tcW w:w="84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1.829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88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粒径(µm)</w:t>
            </w:r>
          </w:p>
        </w:tc>
        <w:tc>
          <w:tcPr>
            <w:tcW w:w="95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450</w:t>
            </w:r>
          </w:p>
        </w:tc>
        <w:tc>
          <w:tcPr>
            <w:tcW w:w="90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550</w:t>
            </w:r>
          </w:p>
        </w:tc>
        <w:tc>
          <w:tcPr>
            <w:tcW w:w="9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650</w:t>
            </w:r>
          </w:p>
        </w:tc>
        <w:tc>
          <w:tcPr>
            <w:tcW w:w="92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750</w:t>
            </w:r>
          </w:p>
        </w:tc>
        <w:tc>
          <w:tcPr>
            <w:tcW w:w="95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850</w:t>
            </w:r>
          </w:p>
        </w:tc>
        <w:tc>
          <w:tcPr>
            <w:tcW w:w="90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950</w:t>
            </w:r>
          </w:p>
        </w:tc>
        <w:tc>
          <w:tcPr>
            <w:tcW w:w="84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1050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88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沉降速度(m/s)</w:t>
            </w:r>
          </w:p>
        </w:tc>
        <w:tc>
          <w:tcPr>
            <w:tcW w:w="95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2.211</w:t>
            </w:r>
          </w:p>
        </w:tc>
        <w:tc>
          <w:tcPr>
            <w:tcW w:w="90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2.614</w:t>
            </w:r>
          </w:p>
        </w:tc>
        <w:tc>
          <w:tcPr>
            <w:tcW w:w="9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3.016</w:t>
            </w:r>
          </w:p>
        </w:tc>
        <w:tc>
          <w:tcPr>
            <w:tcW w:w="92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3.418</w:t>
            </w:r>
          </w:p>
        </w:tc>
        <w:tc>
          <w:tcPr>
            <w:tcW w:w="95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3.820</w:t>
            </w:r>
          </w:p>
        </w:tc>
        <w:tc>
          <w:tcPr>
            <w:tcW w:w="90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4.222</w:t>
            </w:r>
          </w:p>
        </w:tc>
        <w:tc>
          <w:tcPr>
            <w:tcW w:w="84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4.624</w:t>
            </w:r>
          </w:p>
        </w:tc>
      </w:tr>
    </w:tbl>
    <w:p>
      <w:pPr>
        <w:rPr>
          <w:color w:val="auto"/>
        </w:rPr>
      </w:pPr>
      <w:r>
        <w:rPr>
          <w:color w:val="auto"/>
        </w:rPr>
        <w:t>(2) 车辆行驶的动力起尘</w:t>
      </w:r>
    </w:p>
    <w:p>
      <w:pPr>
        <w:rPr>
          <w:color w:val="auto"/>
        </w:rPr>
      </w:pPr>
      <w:r>
        <w:rPr>
          <w:color w:val="auto"/>
        </w:rPr>
        <w:t>据有关文献，车辆行驶产生的扬尘占总扬尘的60%以上，车辆行驶产生的扬尘，在完全干燥情况下，可按下列经验公式计算：</w:t>
      </w:r>
    </w:p>
    <w:p>
      <w:pPr>
        <w:rPr>
          <w:color w:val="auto"/>
        </w:rPr>
      </w:pPr>
      <w:r>
        <w:rPr>
          <w:color w:val="auto"/>
        </w:rPr>
        <w:t xml:space="preserve">   Q＝0.123(V/5)(W/6.8)</w:t>
      </w:r>
      <w:r>
        <w:rPr>
          <w:color w:val="auto"/>
          <w:vertAlign w:val="superscript"/>
        </w:rPr>
        <w:t>0.85</w:t>
      </w:r>
      <w:r>
        <w:rPr>
          <w:color w:val="auto"/>
        </w:rPr>
        <w:t>(P/0.5)</w:t>
      </w:r>
      <w:r>
        <w:rPr>
          <w:color w:val="auto"/>
          <w:vertAlign w:val="superscript"/>
        </w:rPr>
        <w:t>0.75</w:t>
      </w:r>
    </w:p>
    <w:p>
      <w:pPr>
        <w:rPr>
          <w:color w:val="auto"/>
        </w:rPr>
      </w:pPr>
      <w:r>
        <w:rPr>
          <w:color w:val="auto"/>
        </w:rPr>
        <w:t>式中：Q-汽车行驶时的扬尘，kg/km·辆；</w:t>
      </w:r>
    </w:p>
    <w:p>
      <w:pPr>
        <w:rPr>
          <w:color w:val="auto"/>
        </w:rPr>
      </w:pPr>
      <w:r>
        <w:rPr>
          <w:color w:val="auto"/>
        </w:rPr>
        <w:t>V-汽车速度，km/h；</w:t>
      </w:r>
    </w:p>
    <w:p>
      <w:pPr>
        <w:rPr>
          <w:color w:val="auto"/>
        </w:rPr>
      </w:pPr>
      <w:r>
        <w:rPr>
          <w:color w:val="auto"/>
        </w:rPr>
        <w:t xml:space="preserve">  W-汽车载重量，t；</w:t>
      </w:r>
    </w:p>
    <w:p>
      <w:pPr>
        <w:rPr>
          <w:color w:val="auto"/>
        </w:rPr>
      </w:pPr>
      <w:r>
        <w:rPr>
          <w:color w:val="auto"/>
        </w:rPr>
        <w:t xml:space="preserve">  P-道路表面粉尘量，kg/m2。</w:t>
      </w:r>
    </w:p>
    <w:p>
      <w:pPr>
        <w:rPr>
          <w:color w:val="auto"/>
        </w:rPr>
      </w:pPr>
      <w:r>
        <w:rPr>
          <w:color w:val="auto"/>
        </w:rPr>
        <w:t>表4.3-2中为一辆10吨卡车，通过一段长度为1km的路面时，不同路面清洁程度、不同行驶速度情况下的扬尘量。由此可见，在同样路面清洁程度条件下，车速越快，扬尘量越大；而在同样车速情况下，路面越脏，扬尘量越大。因此限速行驶及保持路面的清洁是减少汽车扬尘的有效办法。</w:t>
      </w:r>
    </w:p>
    <w:p>
      <w:pPr>
        <w:pStyle w:val="23"/>
        <w:rPr>
          <w:b/>
          <w:bCs/>
          <w:color w:val="auto"/>
        </w:rPr>
      </w:pPr>
      <w:r>
        <w:rPr>
          <w:b/>
          <w:bCs/>
          <w:color w:val="auto"/>
        </w:rPr>
        <w:t>表</w:t>
      </w:r>
      <w:r>
        <w:rPr>
          <w:rFonts w:hint="eastAsia"/>
          <w:b/>
          <w:bCs/>
          <w:color w:val="auto"/>
          <w:lang w:val="en-US" w:eastAsia="zh-CN"/>
        </w:rPr>
        <w:t>5</w:t>
      </w:r>
      <w:r>
        <w:rPr>
          <w:b/>
          <w:bCs/>
          <w:color w:val="auto"/>
        </w:rPr>
        <w:t>-2 在不同车速和地面清洁程度的汽车扬尘(单位：kg/辆•km)</w:t>
      </w:r>
    </w:p>
    <w:tbl>
      <w:tblPr>
        <w:tblStyle w:val="19"/>
        <w:tblW w:w="8293"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
      <w:tblGrid>
        <w:gridCol w:w="1726"/>
        <w:gridCol w:w="1095"/>
        <w:gridCol w:w="1194"/>
        <w:gridCol w:w="995"/>
        <w:gridCol w:w="1294"/>
        <w:gridCol w:w="1095"/>
        <w:gridCol w:w="894"/>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726" w:type="dxa"/>
            <w:vAlign w:val="top"/>
          </w:tcPr>
          <w:p>
            <w:pPr>
              <w:pStyle w:val="23"/>
              <w:keepNext w:val="0"/>
              <w:keepLines w:val="0"/>
              <w:suppressLineNumbers w:val="0"/>
              <w:spacing w:before="0" w:beforeAutospacing="0" w:after="0" w:afterAutospacing="0"/>
              <w:ind w:left="0" w:right="0"/>
              <w:rPr>
                <w:rFonts w:hint="default"/>
                <w:color w:val="auto"/>
              </w:rPr>
            </w:pPr>
            <w:r>
              <w:rPr>
                <w:rFonts w:hint="default"/>
                <w:color w:val="auto"/>
              </w:rPr>
              <w:t>P</w:t>
            </w:r>
          </w:p>
          <w:p>
            <w:pPr>
              <w:pStyle w:val="23"/>
              <w:keepNext w:val="0"/>
              <w:keepLines w:val="0"/>
              <w:suppressLineNumbers w:val="0"/>
              <w:spacing w:before="0" w:beforeAutospacing="0" w:after="0" w:afterAutospacing="0"/>
              <w:ind w:left="0" w:right="0"/>
              <w:rPr>
                <w:rFonts w:hint="default"/>
                <w:color w:val="auto"/>
              </w:rPr>
            </w:pPr>
            <w:r>
              <w:rPr>
                <w:rFonts w:hint="default"/>
                <w:color w:val="auto"/>
              </w:rPr>
              <w:t>车速</w:t>
            </w:r>
          </w:p>
        </w:tc>
        <w:tc>
          <w:tcPr>
            <w:tcW w:w="10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w:t>
            </w:r>
          </w:p>
        </w:tc>
        <w:tc>
          <w:tcPr>
            <w:tcW w:w="11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0.2</w:t>
            </w:r>
          </w:p>
        </w:tc>
        <w:tc>
          <w:tcPr>
            <w:tcW w:w="9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0.3</w:t>
            </w:r>
          </w:p>
        </w:tc>
        <w:tc>
          <w:tcPr>
            <w:tcW w:w="12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0.4</w:t>
            </w:r>
          </w:p>
        </w:tc>
        <w:tc>
          <w:tcPr>
            <w:tcW w:w="10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0.5</w:t>
            </w:r>
          </w:p>
        </w:tc>
        <w:tc>
          <w:tcPr>
            <w:tcW w:w="8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72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5 ( km/hr )</w:t>
            </w:r>
          </w:p>
        </w:tc>
        <w:tc>
          <w:tcPr>
            <w:tcW w:w="10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0.051</w:t>
            </w:r>
          </w:p>
        </w:tc>
        <w:tc>
          <w:tcPr>
            <w:tcW w:w="11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0.086</w:t>
            </w:r>
          </w:p>
        </w:tc>
        <w:tc>
          <w:tcPr>
            <w:tcW w:w="9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0.116</w:t>
            </w:r>
          </w:p>
        </w:tc>
        <w:tc>
          <w:tcPr>
            <w:tcW w:w="12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0.144</w:t>
            </w:r>
          </w:p>
        </w:tc>
        <w:tc>
          <w:tcPr>
            <w:tcW w:w="10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0.171</w:t>
            </w:r>
          </w:p>
        </w:tc>
        <w:tc>
          <w:tcPr>
            <w:tcW w:w="8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0.287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72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10 ( km/hr )</w:t>
            </w:r>
          </w:p>
        </w:tc>
        <w:tc>
          <w:tcPr>
            <w:tcW w:w="10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0.102</w:t>
            </w:r>
          </w:p>
        </w:tc>
        <w:tc>
          <w:tcPr>
            <w:tcW w:w="11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0.171</w:t>
            </w:r>
          </w:p>
        </w:tc>
        <w:tc>
          <w:tcPr>
            <w:tcW w:w="9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0.232</w:t>
            </w:r>
          </w:p>
        </w:tc>
        <w:tc>
          <w:tcPr>
            <w:tcW w:w="12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0.289</w:t>
            </w:r>
          </w:p>
        </w:tc>
        <w:tc>
          <w:tcPr>
            <w:tcW w:w="10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0.341</w:t>
            </w:r>
          </w:p>
        </w:tc>
        <w:tc>
          <w:tcPr>
            <w:tcW w:w="8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0.574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72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15 ( km/hr )</w:t>
            </w:r>
          </w:p>
        </w:tc>
        <w:tc>
          <w:tcPr>
            <w:tcW w:w="10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0.153</w:t>
            </w:r>
          </w:p>
        </w:tc>
        <w:tc>
          <w:tcPr>
            <w:tcW w:w="11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0.257</w:t>
            </w:r>
          </w:p>
        </w:tc>
        <w:tc>
          <w:tcPr>
            <w:tcW w:w="9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0.349</w:t>
            </w:r>
          </w:p>
        </w:tc>
        <w:tc>
          <w:tcPr>
            <w:tcW w:w="12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0.433</w:t>
            </w:r>
          </w:p>
        </w:tc>
        <w:tc>
          <w:tcPr>
            <w:tcW w:w="10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0.512</w:t>
            </w:r>
          </w:p>
        </w:tc>
        <w:tc>
          <w:tcPr>
            <w:tcW w:w="8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0.861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108" w:type="dxa"/>
            <w:bottom w:w="28" w:type="dxa"/>
            <w:right w:w="108" w:type="dxa"/>
          </w:tblCellMar>
        </w:tblPrEx>
        <w:trPr>
          <w:trHeight w:val="20" w:hRule="atLeast"/>
          <w:jc w:val="center"/>
        </w:trPr>
        <w:tc>
          <w:tcPr>
            <w:tcW w:w="172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20 ( km/hr )</w:t>
            </w:r>
          </w:p>
        </w:tc>
        <w:tc>
          <w:tcPr>
            <w:tcW w:w="10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0.255</w:t>
            </w:r>
          </w:p>
        </w:tc>
        <w:tc>
          <w:tcPr>
            <w:tcW w:w="11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0.429</w:t>
            </w:r>
          </w:p>
        </w:tc>
        <w:tc>
          <w:tcPr>
            <w:tcW w:w="9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0.582</w:t>
            </w:r>
          </w:p>
        </w:tc>
        <w:tc>
          <w:tcPr>
            <w:tcW w:w="12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0.722</w:t>
            </w:r>
          </w:p>
        </w:tc>
        <w:tc>
          <w:tcPr>
            <w:tcW w:w="109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0.853</w:t>
            </w:r>
          </w:p>
        </w:tc>
        <w:tc>
          <w:tcPr>
            <w:tcW w:w="89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1.435</w:t>
            </w:r>
          </w:p>
        </w:tc>
      </w:tr>
    </w:tbl>
    <w:p>
      <w:pPr>
        <w:rPr>
          <w:color w:val="auto"/>
        </w:rPr>
      </w:pPr>
      <w:r>
        <w:rPr>
          <w:color w:val="auto"/>
        </w:rPr>
        <w:t>本项目的粉尘主要表现在交通沿线和工地附近，尤其是天气干燥及风速较大时影响更为明显，从而使该区块及周围近地区大气中总悬浮颗粒(TSP)浓度增大。</w:t>
      </w:r>
    </w:p>
    <w:p>
      <w:pPr>
        <w:pStyle w:val="4"/>
        <w:rPr>
          <w:rFonts w:hint="eastAsia"/>
          <w:color w:val="auto"/>
          <w:lang w:val="en-US" w:eastAsia="zh-CN"/>
        </w:rPr>
      </w:pPr>
      <w:r>
        <w:rPr>
          <w:rFonts w:hint="eastAsia"/>
          <w:color w:val="auto"/>
          <w:lang w:val="en-US" w:eastAsia="zh-CN"/>
        </w:rPr>
        <w:t>5.3.2施工期废水</w:t>
      </w:r>
    </w:p>
    <w:p>
      <w:pPr>
        <w:rPr>
          <w:rFonts w:hint="eastAsia"/>
          <w:color w:val="auto"/>
          <w:lang w:val="en-US" w:eastAsia="zh-CN"/>
        </w:rPr>
      </w:pPr>
      <w:r>
        <w:rPr>
          <w:rFonts w:hint="eastAsia"/>
          <w:color w:val="auto"/>
          <w:lang w:eastAsia="zh-CN"/>
        </w:rPr>
        <w:t>本项目施工期废水主要有施工废水和施工人员产生的生活污水。施</w:t>
      </w:r>
      <w:r>
        <w:rPr>
          <w:color w:val="auto"/>
        </w:rPr>
        <w:t>工废水污染物主要包括：库区、管线槽开挖渗出的泥水，施工场地泥浆废水，汽车、机械设备维修、冲洗废水</w:t>
      </w:r>
      <w:r>
        <w:rPr>
          <w:rFonts w:hint="eastAsia"/>
          <w:color w:val="auto"/>
          <w:lang w:eastAsia="zh-CN"/>
        </w:rPr>
        <w:t>，其主要污染物为</w:t>
      </w:r>
      <w:r>
        <w:rPr>
          <w:rFonts w:hint="eastAsia"/>
          <w:color w:val="auto"/>
          <w:lang w:val="en-US" w:eastAsia="zh-CN"/>
        </w:rPr>
        <w:t>SS</w:t>
      </w:r>
      <w:r>
        <w:rPr>
          <w:color w:val="auto"/>
        </w:rPr>
        <w:t>。</w:t>
      </w:r>
      <w:r>
        <w:rPr>
          <w:rFonts w:hint="eastAsia"/>
          <w:color w:val="auto"/>
          <w:lang w:eastAsia="zh-CN"/>
        </w:rPr>
        <w:t>生活污水主要为施工人员如厕、洗手产生的废水，其污染物主要为</w:t>
      </w:r>
      <w:r>
        <w:rPr>
          <w:rFonts w:hint="eastAsia"/>
          <w:color w:val="auto"/>
          <w:lang w:val="en-US" w:eastAsia="zh-CN"/>
        </w:rPr>
        <w:t>COD、氨氮等。施工期施工人员产生的生活污水依托现有工程化粪池处理后排入厂区内污水处理站。施工废水通过导流沟进入厂区内污水处理站的调节池中。</w:t>
      </w:r>
    </w:p>
    <w:p>
      <w:pPr>
        <w:pStyle w:val="4"/>
        <w:rPr>
          <w:rFonts w:hint="eastAsia"/>
          <w:snapToGrid w:val="0"/>
          <w:color w:val="auto"/>
          <w:kern w:val="0"/>
          <w:sz w:val="24"/>
          <w:lang w:val="en-US" w:eastAsia="zh-CN"/>
        </w:rPr>
      </w:pPr>
      <w:r>
        <w:rPr>
          <w:rFonts w:hint="eastAsia"/>
          <w:snapToGrid w:val="0"/>
          <w:color w:val="auto"/>
          <w:kern w:val="0"/>
          <w:sz w:val="24"/>
          <w:lang w:val="en-US" w:eastAsia="zh-CN"/>
        </w:rPr>
        <w:t>5.3.3施工期噪声</w:t>
      </w:r>
    </w:p>
    <w:p>
      <w:pPr>
        <w:rPr>
          <w:rFonts w:hint="eastAsia"/>
          <w:color w:val="auto"/>
          <w:lang w:val="en-US" w:eastAsia="zh-CN"/>
        </w:rPr>
      </w:pPr>
      <w:r>
        <w:rPr>
          <w:rFonts w:hint="eastAsia"/>
          <w:color w:val="auto"/>
          <w:lang w:val="en-US" w:eastAsia="zh-CN"/>
        </w:rPr>
        <w:t>本工程施工期进行调节池改造、库区边界修正、导排系统施工、垂直防渗系统施工等，这些工程建设过程中会使用的挖掘机、推土机、钻孔机等机械设备和运输车辆。</w:t>
      </w:r>
    </w:p>
    <w:p>
      <w:pPr>
        <w:pStyle w:val="23"/>
        <w:rPr>
          <w:b/>
          <w:bCs/>
          <w:color w:val="auto"/>
        </w:rPr>
      </w:pPr>
      <w:r>
        <w:rPr>
          <w:b/>
          <w:bCs/>
          <w:color w:val="auto"/>
        </w:rPr>
        <w:t>表</w:t>
      </w:r>
      <w:r>
        <w:rPr>
          <w:rFonts w:hint="eastAsia"/>
          <w:b/>
          <w:bCs/>
          <w:color w:val="auto"/>
          <w:lang w:val="en-US" w:eastAsia="zh-CN"/>
        </w:rPr>
        <w:t>5</w:t>
      </w:r>
      <w:r>
        <w:rPr>
          <w:b/>
          <w:bCs/>
          <w:color w:val="auto"/>
        </w:rPr>
        <w:t>-</w:t>
      </w:r>
      <w:r>
        <w:rPr>
          <w:rFonts w:hint="eastAsia"/>
          <w:b/>
          <w:bCs/>
          <w:color w:val="auto"/>
          <w:lang w:val="en-US" w:eastAsia="zh-CN"/>
        </w:rPr>
        <w:t>3</w:t>
      </w:r>
      <w:r>
        <w:rPr>
          <w:b/>
          <w:bCs/>
          <w:color w:val="auto"/>
        </w:rPr>
        <w:t xml:space="preserve"> 建筑施工机械噪声声级 (dB)</w:t>
      </w:r>
    </w:p>
    <w:tbl>
      <w:tblPr>
        <w:tblStyle w:val="19"/>
        <w:tblW w:w="87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1810"/>
        <w:gridCol w:w="1810"/>
        <w:gridCol w:w="1810"/>
        <w:gridCol w:w="18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481"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名称</w:t>
            </w:r>
          </w:p>
        </w:tc>
        <w:tc>
          <w:tcPr>
            <w:tcW w:w="3620" w:type="dxa"/>
            <w:gridSpan w:val="2"/>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距离声源10 m</w:t>
            </w:r>
          </w:p>
        </w:tc>
        <w:tc>
          <w:tcPr>
            <w:tcW w:w="3619" w:type="dxa"/>
            <w:gridSpan w:val="2"/>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距离声源30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481"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181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噪声声级范围</w:t>
            </w:r>
          </w:p>
        </w:tc>
        <w:tc>
          <w:tcPr>
            <w:tcW w:w="181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平均噪声级</w:t>
            </w:r>
          </w:p>
        </w:tc>
        <w:tc>
          <w:tcPr>
            <w:tcW w:w="181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噪声声级范围</w:t>
            </w:r>
          </w:p>
        </w:tc>
        <w:tc>
          <w:tcPr>
            <w:tcW w:w="18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平均噪声级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481"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推土机</w:t>
            </w:r>
          </w:p>
        </w:tc>
        <w:tc>
          <w:tcPr>
            <w:tcW w:w="1810"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76～88</w:t>
            </w:r>
          </w:p>
        </w:tc>
        <w:tc>
          <w:tcPr>
            <w:tcW w:w="1810"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81</w:t>
            </w:r>
          </w:p>
        </w:tc>
        <w:tc>
          <w:tcPr>
            <w:tcW w:w="1810"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67～79</w:t>
            </w:r>
          </w:p>
        </w:tc>
        <w:tc>
          <w:tcPr>
            <w:tcW w:w="1809"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481"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挖掘机</w:t>
            </w:r>
          </w:p>
        </w:tc>
        <w:tc>
          <w:tcPr>
            <w:tcW w:w="1810"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80～96</w:t>
            </w:r>
          </w:p>
        </w:tc>
        <w:tc>
          <w:tcPr>
            <w:tcW w:w="1810"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84</w:t>
            </w:r>
          </w:p>
        </w:tc>
        <w:tc>
          <w:tcPr>
            <w:tcW w:w="1810"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71～87</w:t>
            </w:r>
          </w:p>
        </w:tc>
        <w:tc>
          <w:tcPr>
            <w:tcW w:w="1809"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481"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eastAsia"/>
                <w:color w:val="auto"/>
                <w:lang w:val="en-US" w:eastAsia="zh-CN"/>
              </w:rPr>
              <w:t>钻孔机</w:t>
            </w:r>
          </w:p>
        </w:tc>
        <w:tc>
          <w:tcPr>
            <w:tcW w:w="1810" w:type="dxa"/>
            <w:textDirection w:val="lrTb"/>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84～95</w:t>
            </w:r>
          </w:p>
        </w:tc>
        <w:tc>
          <w:tcPr>
            <w:tcW w:w="1810" w:type="dxa"/>
            <w:textDirection w:val="lrTb"/>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89</w:t>
            </w:r>
          </w:p>
        </w:tc>
        <w:tc>
          <w:tcPr>
            <w:tcW w:w="1810" w:type="dxa"/>
            <w:textDirection w:val="lrTb"/>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70～88</w:t>
            </w:r>
          </w:p>
        </w:tc>
        <w:tc>
          <w:tcPr>
            <w:tcW w:w="1809" w:type="dxa"/>
            <w:textDirection w:val="lrTb"/>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79</w:t>
            </w:r>
          </w:p>
        </w:tc>
      </w:tr>
    </w:tbl>
    <w:p>
      <w:pPr>
        <w:pStyle w:val="4"/>
        <w:rPr>
          <w:rFonts w:hint="eastAsia"/>
          <w:color w:val="auto"/>
          <w:lang w:val="en-US" w:eastAsia="zh-CN"/>
        </w:rPr>
      </w:pPr>
      <w:r>
        <w:rPr>
          <w:rFonts w:hint="eastAsia"/>
          <w:color w:val="auto"/>
          <w:lang w:val="en-US" w:eastAsia="zh-CN"/>
        </w:rPr>
        <w:t>5.3.4施工期固废</w:t>
      </w:r>
    </w:p>
    <w:p>
      <w:pPr>
        <w:rPr>
          <w:color w:val="auto"/>
        </w:rPr>
      </w:pPr>
      <w:r>
        <w:rPr>
          <w:color w:val="auto"/>
        </w:rPr>
        <w:t>施工期固废包括：库区</w:t>
      </w:r>
      <w:r>
        <w:rPr>
          <w:rFonts w:hint="eastAsia"/>
          <w:color w:val="auto"/>
          <w:lang w:eastAsia="zh-CN"/>
        </w:rPr>
        <w:t>边界修整</w:t>
      </w:r>
      <w:r>
        <w:rPr>
          <w:color w:val="auto"/>
        </w:rPr>
        <w:t>、</w:t>
      </w:r>
      <w:r>
        <w:rPr>
          <w:rFonts w:hint="eastAsia"/>
          <w:color w:val="auto"/>
          <w:lang w:eastAsia="zh-CN"/>
        </w:rPr>
        <w:t>导流沟、截洪沟等</w:t>
      </w:r>
      <w:r>
        <w:rPr>
          <w:color w:val="auto"/>
        </w:rPr>
        <w:t>开挖产生的废弃渣土；建筑垃圾；以及施工人员生活垃圾。</w:t>
      </w:r>
    </w:p>
    <w:p>
      <w:pPr>
        <w:rPr>
          <w:color w:val="auto"/>
        </w:rPr>
      </w:pPr>
      <w:r>
        <w:rPr>
          <w:color w:val="auto"/>
        </w:rPr>
        <w:t>根据土石方平衡：该项目开挖土石方</w:t>
      </w:r>
      <w:r>
        <w:rPr>
          <w:rFonts w:hint="eastAsia"/>
          <w:color w:val="auto"/>
          <w:lang w:val="en-US" w:eastAsia="zh-CN"/>
        </w:rPr>
        <w:t>3760</w:t>
      </w:r>
      <w:r>
        <w:rPr>
          <w:color w:val="auto"/>
        </w:rPr>
        <w:t>m</w:t>
      </w:r>
      <w:r>
        <w:rPr>
          <w:color w:val="auto"/>
          <w:vertAlign w:val="superscript"/>
        </w:rPr>
        <w:t>3</w:t>
      </w:r>
      <w:r>
        <w:rPr>
          <w:color w:val="auto"/>
        </w:rPr>
        <w:t>，回填土石方</w:t>
      </w:r>
      <w:r>
        <w:rPr>
          <w:rFonts w:hint="eastAsia"/>
          <w:color w:val="auto"/>
          <w:lang w:val="en-US" w:eastAsia="zh-CN"/>
        </w:rPr>
        <w:t>769</w:t>
      </w:r>
      <w:r>
        <w:rPr>
          <w:color w:val="auto"/>
        </w:rPr>
        <w:t>m</w:t>
      </w:r>
      <w:r>
        <w:rPr>
          <w:color w:val="auto"/>
          <w:vertAlign w:val="superscript"/>
        </w:rPr>
        <w:t>3</w:t>
      </w:r>
      <w:r>
        <w:rPr>
          <w:color w:val="auto"/>
        </w:rPr>
        <w:t>，</w:t>
      </w:r>
      <w:r>
        <w:rPr>
          <w:rFonts w:hint="eastAsia"/>
          <w:color w:val="auto"/>
          <w:lang w:eastAsia="zh-CN"/>
        </w:rPr>
        <w:t>废弃</w:t>
      </w:r>
      <w:r>
        <w:rPr>
          <w:color w:val="auto"/>
        </w:rPr>
        <w:t>土石方</w:t>
      </w:r>
      <w:r>
        <w:rPr>
          <w:rFonts w:hint="eastAsia"/>
          <w:color w:val="auto"/>
          <w:lang w:val="en-US" w:eastAsia="zh-CN"/>
        </w:rPr>
        <w:t>2991</w:t>
      </w:r>
      <w:r>
        <w:rPr>
          <w:color w:val="auto"/>
        </w:rPr>
        <w:t>m</w:t>
      </w:r>
      <w:r>
        <w:rPr>
          <w:color w:val="auto"/>
          <w:vertAlign w:val="superscript"/>
        </w:rPr>
        <w:t>3</w:t>
      </w:r>
      <w:r>
        <w:rPr>
          <w:color w:val="auto"/>
        </w:rPr>
        <w:t>。</w:t>
      </w:r>
    </w:p>
    <w:p>
      <w:pPr>
        <w:rPr>
          <w:color w:val="auto"/>
        </w:rPr>
      </w:pPr>
      <w:r>
        <w:rPr>
          <w:color w:val="auto"/>
        </w:rPr>
        <w:t>通过类比调查</w:t>
      </w:r>
      <w:r>
        <w:rPr>
          <w:rFonts w:hint="eastAsia"/>
          <w:color w:val="auto"/>
          <w:lang w:eastAsia="zh-CN"/>
        </w:rPr>
        <w:t>，</w:t>
      </w:r>
      <w:r>
        <w:rPr>
          <w:color w:val="auto"/>
        </w:rPr>
        <w:t>本项目产生建筑垃圾约</w:t>
      </w:r>
      <w:r>
        <w:rPr>
          <w:rFonts w:hint="eastAsia"/>
          <w:color w:val="auto"/>
          <w:lang w:val="en-US" w:eastAsia="zh-CN"/>
        </w:rPr>
        <w:t>10</w:t>
      </w:r>
      <w:r>
        <w:rPr>
          <w:color w:val="auto"/>
        </w:rPr>
        <w:t>0 t。</w:t>
      </w:r>
    </w:p>
    <w:p>
      <w:pPr>
        <w:rPr>
          <w:color w:val="auto"/>
        </w:rPr>
      </w:pPr>
      <w:r>
        <w:rPr>
          <w:color w:val="auto"/>
        </w:rPr>
        <w:t>施工人员生活垃圾产生量若按每人每日1 kg计，施工人员平均出工人数按</w:t>
      </w:r>
      <w:r>
        <w:rPr>
          <w:rFonts w:hint="eastAsia"/>
          <w:color w:val="auto"/>
          <w:lang w:val="en-US" w:eastAsia="zh-CN"/>
        </w:rPr>
        <w:t>3</w:t>
      </w:r>
      <w:r>
        <w:rPr>
          <w:color w:val="auto"/>
        </w:rPr>
        <w:t>0人，施工期约为</w:t>
      </w:r>
      <w:r>
        <w:rPr>
          <w:rFonts w:hint="eastAsia"/>
          <w:color w:val="auto"/>
          <w:lang w:val="en-US" w:eastAsia="zh-CN"/>
        </w:rPr>
        <w:t>5个月</w:t>
      </w:r>
      <w:r>
        <w:rPr>
          <w:color w:val="auto"/>
        </w:rPr>
        <w:t>，则共产生约生活垃圾</w:t>
      </w:r>
      <w:r>
        <w:rPr>
          <w:rFonts w:hint="eastAsia"/>
          <w:color w:val="auto"/>
          <w:lang w:val="en-US" w:eastAsia="zh-CN"/>
        </w:rPr>
        <w:t>4.5</w:t>
      </w:r>
      <w:r>
        <w:rPr>
          <w:color w:val="auto"/>
        </w:rPr>
        <w:t>t。</w:t>
      </w:r>
    </w:p>
    <w:p>
      <w:pPr>
        <w:pStyle w:val="3"/>
        <w:rPr>
          <w:rFonts w:hint="eastAsia"/>
          <w:color w:val="auto"/>
          <w:lang w:val="en-US" w:eastAsia="zh-CN"/>
        </w:rPr>
      </w:pPr>
      <w:bookmarkStart w:id="44" w:name="_Toc8687"/>
      <w:r>
        <w:rPr>
          <w:rFonts w:hint="eastAsia"/>
          <w:color w:val="auto"/>
          <w:lang w:val="en-US" w:eastAsia="zh-CN"/>
        </w:rPr>
        <w:t>5.4营运期及封场期污染源分析</w:t>
      </w:r>
      <w:bookmarkEnd w:id="44"/>
    </w:p>
    <w:p>
      <w:pPr>
        <w:pStyle w:val="4"/>
        <w:rPr>
          <w:rFonts w:hint="eastAsia"/>
          <w:color w:val="auto"/>
          <w:lang w:val="en-US" w:eastAsia="zh-CN"/>
        </w:rPr>
      </w:pPr>
      <w:r>
        <w:rPr>
          <w:rFonts w:hint="eastAsia"/>
          <w:color w:val="auto"/>
          <w:lang w:val="en-US" w:eastAsia="zh-CN"/>
        </w:rPr>
        <w:t>5.4.1废气</w:t>
      </w:r>
    </w:p>
    <w:p>
      <w:pPr>
        <w:rPr>
          <w:rFonts w:hint="eastAsia"/>
          <w:color w:val="auto"/>
          <w:lang w:val="en-US" w:eastAsia="zh-CN"/>
        </w:rPr>
      </w:pPr>
      <w:r>
        <w:rPr>
          <w:rFonts w:hint="eastAsia"/>
          <w:color w:val="auto"/>
          <w:lang w:val="en-US" w:eastAsia="zh-CN"/>
        </w:rPr>
        <w:t>本项目废气主要有填埋区产生的填埋废气及渗滤液污水处理站产生的恶臭气体。</w:t>
      </w:r>
    </w:p>
    <w:p>
      <w:pPr>
        <w:rPr>
          <w:rFonts w:hint="eastAsia"/>
          <w:color w:val="auto"/>
          <w:lang w:val="en-US" w:eastAsia="zh-CN"/>
        </w:rPr>
      </w:pPr>
      <w:r>
        <w:rPr>
          <w:rFonts w:hint="eastAsia"/>
          <w:color w:val="auto"/>
          <w:lang w:val="en-US" w:eastAsia="zh-CN"/>
        </w:rPr>
        <w:t>1、填埋废气</w:t>
      </w:r>
    </w:p>
    <w:p>
      <w:pPr>
        <w:rPr>
          <w:rFonts w:hint="eastAsia"/>
          <w:color w:val="auto"/>
          <w:lang w:val="en-US" w:eastAsia="zh-CN"/>
        </w:rPr>
      </w:pPr>
      <w:r>
        <w:rPr>
          <w:rFonts w:hint="eastAsia"/>
          <w:color w:val="auto"/>
          <w:lang w:val="en-US" w:eastAsia="zh-CN"/>
        </w:rPr>
        <w:t>本技改项目填埋内容为生活垃圾，通过对该垃圾填埋场进行整体整形、采用HPDE膜覆盖等措施，使库区尚有的填埋库容77.3万m</w:t>
      </w:r>
      <w:r>
        <w:rPr>
          <w:rFonts w:hint="eastAsia"/>
          <w:color w:val="auto"/>
          <w:vertAlign w:val="superscript"/>
          <w:lang w:val="en-US" w:eastAsia="zh-CN"/>
        </w:rPr>
        <w:t>3</w:t>
      </w:r>
      <w:r>
        <w:rPr>
          <w:rFonts w:hint="eastAsia"/>
          <w:color w:val="auto"/>
          <w:vertAlign w:val="baseline"/>
          <w:lang w:val="en-US" w:eastAsia="zh-CN"/>
        </w:rPr>
        <w:t>得到利用</w:t>
      </w:r>
      <w:r>
        <w:rPr>
          <w:rFonts w:hint="eastAsia"/>
          <w:color w:val="auto"/>
          <w:lang w:val="en-US" w:eastAsia="zh-CN"/>
        </w:rPr>
        <w:t>，日处理量为800t/d，使用年限2.3年。</w:t>
      </w:r>
    </w:p>
    <w:p>
      <w:pPr>
        <w:rPr>
          <w:rFonts w:hint="eastAsia"/>
          <w:color w:val="auto"/>
          <w:lang w:val="en-US" w:eastAsia="zh-CN"/>
        </w:rPr>
      </w:pPr>
      <w:r>
        <w:rPr>
          <w:rFonts w:hint="eastAsia"/>
          <w:color w:val="auto"/>
          <w:lang w:val="en-US" w:eastAsia="zh-CN"/>
        </w:rPr>
        <w:t>根据表3-1中对现有工程厂界无组织废气现状监测结果，厂界</w:t>
      </w:r>
      <w:r>
        <w:rPr>
          <w:color w:val="auto"/>
          <w:sz w:val="24"/>
          <w:szCs w:val="24"/>
        </w:rPr>
        <w:t>H</w:t>
      </w:r>
      <w:r>
        <w:rPr>
          <w:color w:val="auto"/>
          <w:sz w:val="24"/>
          <w:szCs w:val="24"/>
          <w:vertAlign w:val="subscript"/>
        </w:rPr>
        <w:t>2</w:t>
      </w:r>
      <w:r>
        <w:rPr>
          <w:color w:val="auto"/>
          <w:sz w:val="24"/>
          <w:szCs w:val="24"/>
        </w:rPr>
        <w:t>S、NH</w:t>
      </w:r>
      <w:r>
        <w:rPr>
          <w:color w:val="auto"/>
          <w:sz w:val="24"/>
          <w:szCs w:val="24"/>
          <w:vertAlign w:val="subscript"/>
        </w:rPr>
        <w:t>3</w:t>
      </w:r>
      <w:r>
        <w:rPr>
          <w:color w:val="auto"/>
          <w:sz w:val="24"/>
          <w:szCs w:val="24"/>
        </w:rPr>
        <w:t>、</w:t>
      </w:r>
      <w:r>
        <w:rPr>
          <w:rFonts w:hint="eastAsia"/>
          <w:color w:val="auto"/>
          <w:sz w:val="24"/>
          <w:szCs w:val="24"/>
          <w:lang w:eastAsia="zh-CN"/>
        </w:rPr>
        <w:t>臭气浓度均</w:t>
      </w:r>
      <w:r>
        <w:rPr>
          <w:rFonts w:hint="eastAsia"/>
          <w:color w:val="auto"/>
          <w:lang w:val="en-US" w:eastAsia="zh-CN"/>
        </w:rPr>
        <w:t>符合《恶臭污染物排放标准》（GB14554-93）中表1恶臭污染物厂界标准值。</w:t>
      </w:r>
    </w:p>
    <w:p>
      <w:pPr>
        <w:keepNext w:val="0"/>
        <w:keepLines w:val="0"/>
        <w:widowControl w:val="0"/>
        <w:suppressLineNumbers w:val="0"/>
        <w:spacing w:before="0" w:beforeAutospacing="0" w:after="0" w:afterAutospacing="0" w:line="360" w:lineRule="auto"/>
        <w:ind w:left="0" w:right="0" w:firstLine="480" w:firstLineChars="200"/>
        <w:jc w:val="both"/>
        <w:rPr>
          <w:rFonts w:hint="eastAsia"/>
          <w:color w:val="auto"/>
          <w:lang w:val="en-US" w:eastAsia="zh-CN"/>
        </w:rPr>
      </w:pPr>
      <w:r>
        <w:rPr>
          <w:rFonts w:hint="eastAsia"/>
          <w:color w:val="auto"/>
          <w:lang w:val="en-US" w:eastAsia="zh-CN"/>
        </w:rPr>
        <w:t>（1）填埋气特性</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Times New Roman" w:hAnsi="Times New Roman" w:eastAsia="宋体" w:cs="宋体"/>
          <w:color w:val="auto"/>
          <w:kern w:val="2"/>
          <w:sz w:val="24"/>
          <w:szCs w:val="20"/>
          <w:lang w:val="en-US" w:eastAsia="zh-CN" w:bidi="ar"/>
        </w:rPr>
      </w:pPr>
      <w:r>
        <w:rPr>
          <w:rFonts w:hint="eastAsia"/>
          <w:color w:val="auto"/>
          <w:lang w:val="en-US" w:eastAsia="zh-CN"/>
        </w:rPr>
        <w:t>垃圾填埋废气主要是由于生活垃圾</w:t>
      </w:r>
      <w:r>
        <w:rPr>
          <w:rFonts w:hint="eastAsia" w:ascii="Times New Roman" w:hAnsi="Times New Roman" w:eastAsia="宋体" w:cs="宋体"/>
          <w:color w:val="auto"/>
          <w:kern w:val="2"/>
          <w:sz w:val="24"/>
          <w:szCs w:val="20"/>
          <w:lang w:val="en-US" w:eastAsia="zh-CN" w:bidi="ar"/>
        </w:rPr>
        <w:t>在填埋处理过程中其有机废物经厌氧降解产生的混合气体，主要成份包括</w:t>
      </w:r>
      <w:r>
        <w:rPr>
          <w:rFonts w:hint="default" w:ascii="Times New Roman" w:hAnsi="Times New Roman" w:eastAsia="宋体" w:cs="Times New Roman"/>
          <w:color w:val="auto"/>
          <w:kern w:val="2"/>
          <w:sz w:val="24"/>
          <w:szCs w:val="20"/>
          <w:lang w:val="en-US" w:eastAsia="zh-CN" w:bidi="ar"/>
        </w:rPr>
        <w:t>CH</w:t>
      </w:r>
      <w:r>
        <w:rPr>
          <w:rFonts w:hint="default" w:ascii="Times New Roman" w:hAnsi="Times New Roman" w:eastAsia="宋体" w:cs="Times New Roman"/>
          <w:color w:val="auto"/>
          <w:kern w:val="2"/>
          <w:sz w:val="24"/>
          <w:szCs w:val="20"/>
          <w:vertAlign w:val="subscript"/>
          <w:lang w:val="en-US" w:eastAsia="zh-CN" w:bidi="ar"/>
        </w:rPr>
        <w:t>4</w:t>
      </w:r>
      <w:r>
        <w:rPr>
          <w:rFonts w:hint="eastAsia" w:ascii="Times New Roman" w:hAnsi="Times New Roman" w:eastAsia="宋体" w:cs="宋体"/>
          <w:color w:val="auto"/>
          <w:kern w:val="2"/>
          <w:sz w:val="24"/>
          <w:szCs w:val="20"/>
          <w:lang w:val="en-US" w:eastAsia="zh-CN" w:bidi="ar"/>
        </w:rPr>
        <w:t>、</w:t>
      </w:r>
      <w:r>
        <w:rPr>
          <w:rFonts w:hint="default" w:ascii="Times New Roman" w:hAnsi="Times New Roman" w:eastAsia="宋体" w:cs="Times New Roman"/>
          <w:color w:val="auto"/>
          <w:kern w:val="2"/>
          <w:sz w:val="24"/>
          <w:szCs w:val="20"/>
          <w:lang w:val="en-US" w:eastAsia="zh-CN" w:bidi="ar"/>
        </w:rPr>
        <w:t>CO</w:t>
      </w:r>
      <w:r>
        <w:rPr>
          <w:rFonts w:hint="default" w:ascii="Times New Roman" w:hAnsi="Times New Roman" w:eastAsia="宋体" w:cs="Times New Roman"/>
          <w:color w:val="auto"/>
          <w:kern w:val="2"/>
          <w:sz w:val="24"/>
          <w:szCs w:val="20"/>
          <w:vertAlign w:val="subscript"/>
          <w:lang w:val="en-US" w:eastAsia="zh-CN" w:bidi="ar"/>
        </w:rPr>
        <w:t>2</w:t>
      </w:r>
      <w:r>
        <w:rPr>
          <w:rFonts w:hint="eastAsia" w:ascii="Times New Roman" w:hAnsi="Times New Roman" w:eastAsia="宋体" w:cs="宋体"/>
          <w:color w:val="auto"/>
          <w:kern w:val="2"/>
          <w:sz w:val="24"/>
          <w:szCs w:val="20"/>
          <w:lang w:val="en-US" w:eastAsia="zh-CN" w:bidi="ar"/>
        </w:rPr>
        <w:t>、</w:t>
      </w:r>
      <w:r>
        <w:rPr>
          <w:rFonts w:hint="default" w:ascii="Times New Roman" w:hAnsi="Times New Roman" w:eastAsia="宋体" w:cs="Times New Roman"/>
          <w:color w:val="auto"/>
          <w:kern w:val="2"/>
          <w:sz w:val="24"/>
          <w:szCs w:val="20"/>
          <w:lang w:val="en-US" w:eastAsia="zh-CN" w:bidi="ar"/>
        </w:rPr>
        <w:t>H</w:t>
      </w:r>
      <w:r>
        <w:rPr>
          <w:rFonts w:hint="default" w:ascii="Times New Roman" w:hAnsi="Times New Roman" w:eastAsia="宋体" w:cs="Times New Roman"/>
          <w:color w:val="auto"/>
          <w:kern w:val="2"/>
          <w:sz w:val="24"/>
          <w:szCs w:val="20"/>
          <w:vertAlign w:val="subscript"/>
          <w:lang w:val="en-US" w:eastAsia="zh-CN" w:bidi="ar"/>
        </w:rPr>
        <w:t>2</w:t>
      </w:r>
      <w:r>
        <w:rPr>
          <w:rFonts w:hint="eastAsia" w:ascii="Times New Roman" w:hAnsi="Times New Roman" w:eastAsia="宋体" w:cs="宋体"/>
          <w:color w:val="auto"/>
          <w:kern w:val="2"/>
          <w:sz w:val="24"/>
          <w:szCs w:val="20"/>
          <w:lang w:val="en-US" w:eastAsia="zh-CN" w:bidi="ar"/>
        </w:rPr>
        <w:t>、</w:t>
      </w:r>
      <w:r>
        <w:rPr>
          <w:rFonts w:hint="default" w:ascii="Times New Roman" w:hAnsi="Times New Roman" w:eastAsia="宋体" w:cs="Times New Roman"/>
          <w:color w:val="auto"/>
          <w:kern w:val="2"/>
          <w:sz w:val="24"/>
          <w:szCs w:val="20"/>
          <w:lang w:val="en-US" w:eastAsia="zh-CN" w:bidi="ar"/>
        </w:rPr>
        <w:t>N</w:t>
      </w:r>
      <w:r>
        <w:rPr>
          <w:rFonts w:hint="default" w:ascii="Times New Roman" w:hAnsi="Times New Roman" w:eastAsia="宋体" w:cs="Times New Roman"/>
          <w:color w:val="auto"/>
          <w:kern w:val="2"/>
          <w:sz w:val="24"/>
          <w:szCs w:val="20"/>
          <w:vertAlign w:val="subscript"/>
          <w:lang w:val="en-US" w:eastAsia="zh-CN" w:bidi="ar"/>
        </w:rPr>
        <w:t>2</w:t>
      </w:r>
      <w:r>
        <w:rPr>
          <w:rFonts w:hint="eastAsia" w:ascii="Times New Roman" w:hAnsi="Times New Roman" w:eastAsia="宋体" w:cs="宋体"/>
          <w:color w:val="auto"/>
          <w:kern w:val="2"/>
          <w:sz w:val="24"/>
          <w:szCs w:val="20"/>
          <w:lang w:val="en-US" w:eastAsia="zh-CN" w:bidi="ar"/>
        </w:rPr>
        <w:t>、</w:t>
      </w:r>
      <w:r>
        <w:rPr>
          <w:rFonts w:hint="default" w:ascii="Times New Roman" w:hAnsi="Times New Roman" w:eastAsia="宋体" w:cs="Times New Roman"/>
          <w:color w:val="auto"/>
          <w:kern w:val="2"/>
          <w:sz w:val="24"/>
          <w:szCs w:val="20"/>
          <w:lang w:val="en-US" w:eastAsia="zh-CN" w:bidi="ar"/>
        </w:rPr>
        <w:t>CO</w:t>
      </w:r>
      <w:r>
        <w:rPr>
          <w:rFonts w:hint="eastAsia" w:ascii="Times New Roman" w:hAnsi="Times New Roman" w:eastAsia="宋体" w:cs="宋体"/>
          <w:color w:val="auto"/>
          <w:kern w:val="2"/>
          <w:sz w:val="24"/>
          <w:szCs w:val="20"/>
          <w:lang w:val="en-US" w:eastAsia="zh-CN" w:bidi="ar"/>
        </w:rPr>
        <w:t>、</w:t>
      </w:r>
      <w:r>
        <w:rPr>
          <w:rFonts w:hint="default" w:ascii="Times New Roman" w:hAnsi="Times New Roman" w:eastAsia="宋体" w:cs="Times New Roman"/>
          <w:color w:val="auto"/>
          <w:kern w:val="2"/>
          <w:sz w:val="24"/>
          <w:szCs w:val="20"/>
          <w:lang w:val="en-US" w:eastAsia="zh-CN" w:bidi="ar"/>
        </w:rPr>
        <w:t>O</w:t>
      </w:r>
      <w:r>
        <w:rPr>
          <w:rFonts w:hint="default" w:ascii="Times New Roman" w:hAnsi="Times New Roman" w:eastAsia="宋体" w:cs="Times New Roman"/>
          <w:color w:val="auto"/>
          <w:kern w:val="2"/>
          <w:sz w:val="24"/>
          <w:szCs w:val="20"/>
          <w:vertAlign w:val="subscript"/>
          <w:lang w:val="en-US" w:eastAsia="zh-CN" w:bidi="ar"/>
        </w:rPr>
        <w:t>2</w:t>
      </w:r>
      <w:r>
        <w:rPr>
          <w:rFonts w:hint="eastAsia" w:ascii="Times New Roman" w:hAnsi="Times New Roman" w:eastAsia="宋体" w:cs="宋体"/>
          <w:color w:val="auto"/>
          <w:kern w:val="2"/>
          <w:sz w:val="24"/>
          <w:szCs w:val="20"/>
          <w:lang w:val="en-US" w:eastAsia="zh-CN" w:bidi="ar"/>
        </w:rPr>
        <w:t>，还有一些微量气体，如</w:t>
      </w:r>
      <w:r>
        <w:rPr>
          <w:rFonts w:hint="default" w:ascii="Times New Roman" w:hAnsi="Times New Roman" w:eastAsia="宋体" w:cs="Times New Roman"/>
          <w:color w:val="auto"/>
          <w:kern w:val="2"/>
          <w:sz w:val="24"/>
          <w:szCs w:val="20"/>
          <w:lang w:val="en-US" w:eastAsia="zh-CN" w:bidi="ar"/>
        </w:rPr>
        <w:t>H</w:t>
      </w:r>
      <w:r>
        <w:rPr>
          <w:rFonts w:hint="default" w:ascii="Times New Roman" w:hAnsi="Times New Roman" w:eastAsia="宋体" w:cs="Times New Roman"/>
          <w:color w:val="auto"/>
          <w:kern w:val="2"/>
          <w:sz w:val="24"/>
          <w:szCs w:val="20"/>
          <w:vertAlign w:val="subscript"/>
          <w:lang w:val="en-US" w:eastAsia="zh-CN" w:bidi="ar"/>
        </w:rPr>
        <w:t>2</w:t>
      </w:r>
      <w:r>
        <w:rPr>
          <w:rFonts w:hint="default" w:ascii="Times New Roman" w:hAnsi="Times New Roman" w:eastAsia="宋体" w:cs="Times New Roman"/>
          <w:color w:val="auto"/>
          <w:kern w:val="2"/>
          <w:sz w:val="24"/>
          <w:szCs w:val="20"/>
          <w:lang w:val="en-US" w:eastAsia="zh-CN" w:bidi="ar"/>
        </w:rPr>
        <w:t>S</w:t>
      </w:r>
      <w:r>
        <w:rPr>
          <w:rFonts w:hint="eastAsia" w:ascii="Times New Roman" w:hAnsi="Times New Roman" w:eastAsia="宋体" w:cs="宋体"/>
          <w:color w:val="auto"/>
          <w:kern w:val="2"/>
          <w:sz w:val="24"/>
          <w:szCs w:val="20"/>
          <w:lang w:val="en-US" w:eastAsia="zh-CN" w:bidi="ar"/>
        </w:rPr>
        <w:t>、</w:t>
      </w:r>
      <w:r>
        <w:rPr>
          <w:rFonts w:hint="default" w:ascii="Times New Roman" w:hAnsi="Times New Roman" w:eastAsia="宋体" w:cs="Times New Roman"/>
          <w:color w:val="auto"/>
          <w:kern w:val="2"/>
          <w:sz w:val="24"/>
          <w:szCs w:val="20"/>
          <w:lang w:val="en-US" w:eastAsia="zh-CN" w:bidi="ar"/>
        </w:rPr>
        <w:t>NH</w:t>
      </w:r>
      <w:r>
        <w:rPr>
          <w:rFonts w:hint="default" w:ascii="Times New Roman" w:hAnsi="Times New Roman" w:eastAsia="宋体" w:cs="Times New Roman"/>
          <w:color w:val="auto"/>
          <w:kern w:val="2"/>
          <w:sz w:val="24"/>
          <w:szCs w:val="20"/>
          <w:vertAlign w:val="subscript"/>
          <w:lang w:val="en-US" w:eastAsia="zh-CN" w:bidi="ar"/>
        </w:rPr>
        <w:t>3</w:t>
      </w:r>
      <w:r>
        <w:rPr>
          <w:rFonts w:hint="eastAsia" w:ascii="Times New Roman" w:hAnsi="Times New Roman" w:eastAsia="宋体" w:cs="宋体"/>
          <w:color w:val="auto"/>
          <w:kern w:val="2"/>
          <w:sz w:val="24"/>
          <w:szCs w:val="20"/>
          <w:lang w:val="en-US" w:eastAsia="zh-CN" w:bidi="ar"/>
        </w:rPr>
        <w:t>等。垃圾填埋场填埋气各成分</w:t>
      </w:r>
      <w:r>
        <w:rPr>
          <w:rFonts w:hint="eastAsia" w:cs="宋体"/>
          <w:color w:val="auto"/>
          <w:kern w:val="2"/>
          <w:sz w:val="24"/>
          <w:szCs w:val="20"/>
          <w:lang w:val="en-US" w:eastAsia="zh-CN" w:bidi="ar"/>
        </w:rPr>
        <w:t>占总量的百分比</w:t>
      </w:r>
      <w:r>
        <w:rPr>
          <w:rFonts w:hint="eastAsia" w:ascii="Times New Roman" w:hAnsi="Times New Roman" w:eastAsia="宋体" w:cs="宋体"/>
          <w:color w:val="auto"/>
          <w:kern w:val="2"/>
          <w:sz w:val="24"/>
          <w:szCs w:val="20"/>
          <w:lang w:val="en-US" w:eastAsia="zh-CN" w:bidi="ar"/>
        </w:rPr>
        <w:t>见表</w:t>
      </w:r>
      <w:r>
        <w:rPr>
          <w:rFonts w:hint="eastAsia" w:ascii="Times New Roman" w:hAnsi="Times New Roman" w:cs="Times New Roman"/>
          <w:color w:val="auto"/>
          <w:kern w:val="2"/>
          <w:sz w:val="24"/>
          <w:szCs w:val="20"/>
          <w:lang w:val="en-US" w:eastAsia="zh-CN" w:bidi="ar"/>
        </w:rPr>
        <w:t>5-4</w:t>
      </w:r>
      <w:r>
        <w:rPr>
          <w:rFonts w:hint="eastAsia" w:ascii="Times New Roman" w:hAnsi="Times New Roman" w:eastAsia="宋体" w:cs="宋体"/>
          <w:color w:val="auto"/>
          <w:kern w:val="2"/>
          <w:sz w:val="24"/>
          <w:szCs w:val="20"/>
          <w:lang w:val="en-US" w:eastAsia="zh-CN" w:bidi="ar"/>
        </w:rPr>
        <w:t>。</w:t>
      </w:r>
    </w:p>
    <w:p>
      <w:pPr>
        <w:pStyle w:val="23"/>
        <w:rPr>
          <w:b/>
          <w:bCs/>
          <w:color w:val="auto"/>
          <w:lang w:val="en-US"/>
        </w:rPr>
      </w:pPr>
      <w:r>
        <w:rPr>
          <w:rFonts w:hint="eastAsia"/>
          <w:b/>
          <w:bCs/>
          <w:color w:val="auto"/>
          <w:lang w:val="en-US" w:eastAsia="zh-CN"/>
        </w:rPr>
        <w:t>表5-4</w:t>
      </w:r>
      <w:r>
        <w:rPr>
          <w:rFonts w:hint="default"/>
          <w:b/>
          <w:bCs/>
          <w:color w:val="auto"/>
          <w:lang w:val="en-US" w:eastAsia="zh-CN"/>
        </w:rPr>
        <w:t xml:space="preserve">   </w:t>
      </w:r>
      <w:r>
        <w:rPr>
          <w:rFonts w:hint="eastAsia"/>
          <w:b/>
          <w:bCs/>
          <w:color w:val="auto"/>
          <w:lang w:val="en-US" w:eastAsia="zh-CN"/>
        </w:rPr>
        <w:t>垃圾填埋气中各污染物含量</w:t>
      </w:r>
    </w:p>
    <w:tbl>
      <w:tblPr>
        <w:tblStyle w:val="21"/>
        <w:tblW w:w="8520"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Layout w:type="fixed"/>
        <w:tblCellMar>
          <w:top w:w="0" w:type="dxa"/>
          <w:left w:w="108" w:type="dxa"/>
          <w:bottom w:w="0" w:type="dxa"/>
          <w:right w:w="108" w:type="dxa"/>
        </w:tblCellMar>
      </w:tblPr>
      <w:tblGrid>
        <w:gridCol w:w="1021"/>
        <w:gridCol w:w="937"/>
        <w:gridCol w:w="937"/>
        <w:gridCol w:w="937"/>
        <w:gridCol w:w="937"/>
        <w:gridCol w:w="937"/>
        <w:gridCol w:w="937"/>
        <w:gridCol w:w="937"/>
        <w:gridCol w:w="94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shd w:val="clear" w:color="auto" w:fill="auto"/>
          <w:tblLayout w:type="fixed"/>
          <w:tblCellMar>
            <w:top w:w="0" w:type="dxa"/>
            <w:left w:w="108" w:type="dxa"/>
            <w:bottom w:w="0" w:type="dxa"/>
            <w:right w:w="108" w:type="dxa"/>
          </w:tblCellMar>
        </w:tblPrEx>
        <w:tc>
          <w:tcPr>
            <w:tcW w:w="1021"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rPr>
            </w:pPr>
            <w:r>
              <w:rPr>
                <w:rFonts w:hint="eastAsia"/>
                <w:color w:val="auto"/>
                <w:lang w:val="en-US" w:eastAsia="zh-CN"/>
              </w:rPr>
              <w:t>成分</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rPr>
            </w:pPr>
            <w:r>
              <w:rPr>
                <w:rFonts w:hint="default"/>
                <w:color w:val="auto"/>
                <w:lang w:val="en-US" w:eastAsia="zh-CN"/>
              </w:rPr>
              <w:t>CH</w:t>
            </w:r>
            <w:r>
              <w:rPr>
                <w:rFonts w:hint="default"/>
                <w:color w:val="auto"/>
                <w:vertAlign w:val="subscript"/>
                <w:lang w:val="en-US" w:eastAsia="zh-CN"/>
              </w:rPr>
              <w:t>4</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rPr>
            </w:pPr>
            <w:r>
              <w:rPr>
                <w:rFonts w:hint="default"/>
                <w:color w:val="auto"/>
                <w:lang w:val="en-US" w:eastAsia="zh-CN"/>
              </w:rPr>
              <w:t>CO</w:t>
            </w:r>
            <w:r>
              <w:rPr>
                <w:rFonts w:hint="default"/>
                <w:color w:val="auto"/>
                <w:vertAlign w:val="subscript"/>
                <w:lang w:val="en-US" w:eastAsia="zh-CN"/>
              </w:rPr>
              <w:t>2</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default"/>
                <w:color w:val="auto"/>
                <w:lang w:val="en-US" w:eastAsia="zh-CN"/>
              </w:rPr>
              <w:t>N</w:t>
            </w:r>
            <w:r>
              <w:rPr>
                <w:rFonts w:hint="default"/>
                <w:color w:val="auto"/>
                <w:vertAlign w:val="subscript"/>
                <w:lang w:val="en-US" w:eastAsia="zh-CN"/>
              </w:rPr>
              <w:t>2</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default"/>
                <w:color w:val="auto"/>
                <w:lang w:val="en-US" w:eastAsia="zh-CN"/>
              </w:rPr>
              <w:t>H</w:t>
            </w:r>
            <w:r>
              <w:rPr>
                <w:rFonts w:hint="default"/>
                <w:color w:val="auto"/>
                <w:vertAlign w:val="subscript"/>
                <w:lang w:val="en-US" w:eastAsia="zh-CN"/>
              </w:rPr>
              <w:t>2</w:t>
            </w:r>
            <w:r>
              <w:rPr>
                <w:rFonts w:hint="default"/>
                <w:color w:val="auto"/>
                <w:lang w:val="en-US" w:eastAsia="zh-CN"/>
              </w:rPr>
              <w:t>S</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default"/>
                <w:color w:val="auto"/>
                <w:lang w:val="en-US" w:eastAsia="zh-CN"/>
              </w:rPr>
              <w:t>NH</w:t>
            </w:r>
            <w:r>
              <w:rPr>
                <w:rFonts w:hint="default"/>
                <w:color w:val="auto"/>
                <w:vertAlign w:val="subscript"/>
                <w:lang w:val="en-US" w:eastAsia="zh-CN"/>
              </w:rPr>
              <w:t>3</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default"/>
                <w:color w:val="auto"/>
                <w:lang w:val="en-US" w:eastAsia="zh-CN"/>
              </w:rPr>
              <w:t>O</w:t>
            </w:r>
            <w:r>
              <w:rPr>
                <w:rFonts w:hint="default"/>
                <w:color w:val="auto"/>
                <w:vertAlign w:val="subscript"/>
                <w:lang w:val="en-US" w:eastAsia="zh-CN"/>
              </w:rPr>
              <w:t>2</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CO</w:t>
            </w:r>
          </w:p>
        </w:tc>
        <w:tc>
          <w:tcPr>
            <w:tcW w:w="940"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H</w:t>
            </w:r>
            <w:r>
              <w:rPr>
                <w:rFonts w:hint="default"/>
                <w:color w:val="auto"/>
                <w:vertAlign w:val="subscript"/>
                <w:lang w:val="en-US" w:eastAsia="zh-CN"/>
              </w:rPr>
              <w:t>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c>
          <w:tcPr>
            <w:tcW w:w="1021"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rPr>
            </w:pPr>
            <w:r>
              <w:rPr>
                <w:rFonts w:hint="eastAsia"/>
                <w:color w:val="auto"/>
                <w:lang w:val="en-US" w:eastAsia="zh-CN"/>
              </w:rPr>
              <w:t>含量（</w:t>
            </w:r>
            <w:r>
              <w:rPr>
                <w:rFonts w:hint="default"/>
                <w:color w:val="auto"/>
                <w:lang w:val="en-US" w:eastAsia="zh-CN"/>
              </w:rPr>
              <w:t>%</w:t>
            </w:r>
            <w:r>
              <w:rPr>
                <w:rFonts w:hint="eastAsia"/>
                <w:color w:val="auto"/>
                <w:lang w:val="en-US" w:eastAsia="zh-CN"/>
              </w:rPr>
              <w:t>）</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rPr>
            </w:pPr>
            <w:r>
              <w:rPr>
                <w:rFonts w:hint="default"/>
                <w:color w:val="auto"/>
                <w:lang w:val="en-US" w:eastAsia="zh-CN"/>
              </w:rPr>
              <w:t>50</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rPr>
            </w:pPr>
            <w:r>
              <w:rPr>
                <w:rFonts w:hint="default"/>
                <w:color w:val="auto"/>
                <w:lang w:val="en-US" w:eastAsia="zh-CN"/>
              </w:rPr>
              <w:t>45</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4</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0.01</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0.1</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0.5</w:t>
            </w:r>
          </w:p>
        </w:tc>
        <w:tc>
          <w:tcPr>
            <w:tcW w:w="937"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0.19</w:t>
            </w:r>
          </w:p>
        </w:tc>
        <w:tc>
          <w:tcPr>
            <w:tcW w:w="940" w:type="dxa"/>
            <w:tcBorders>
              <w:top w:val="single" w:color="000000" w:sz="6" w:space="0"/>
              <w:left w:val="single" w:color="000000" w:sz="6" w:space="0"/>
              <w:bottom w:val="single" w:color="000000" w:sz="6" w:space="0"/>
              <w:right w:val="single" w:color="000000"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0.1</w:t>
            </w:r>
          </w:p>
        </w:tc>
      </w:tr>
    </w:tbl>
    <w:p>
      <w:pPr>
        <w:spacing w:line="360" w:lineRule="auto"/>
        <w:ind w:firstLine="516" w:firstLineChars="215"/>
        <w:rPr>
          <w:sz w:val="24"/>
        </w:rPr>
      </w:pPr>
      <w:r>
        <w:rPr>
          <w:sz w:val="24"/>
        </w:rPr>
        <w:t>在填满初期（历经一年左右），填埋气体主要成分为CO</w:t>
      </w:r>
      <w:r>
        <w:rPr>
          <w:sz w:val="24"/>
          <w:vertAlign w:val="subscript"/>
        </w:rPr>
        <w:t>2</w:t>
      </w:r>
      <w:r>
        <w:rPr>
          <w:sz w:val="24"/>
        </w:rPr>
        <w:t xml:space="preserve"> 和H</w:t>
      </w:r>
      <w:r>
        <w:rPr>
          <w:sz w:val="24"/>
          <w:vertAlign w:val="subscript"/>
        </w:rPr>
        <w:t>2</w:t>
      </w:r>
      <w:r>
        <w:rPr>
          <w:sz w:val="24"/>
        </w:rPr>
        <w:t>O；然后进入甲烷发酵的不稳定期，主要成分是CO</w:t>
      </w:r>
      <w:r>
        <w:rPr>
          <w:sz w:val="24"/>
          <w:vertAlign w:val="subscript"/>
        </w:rPr>
        <w:t>2</w:t>
      </w:r>
      <w:r>
        <w:rPr>
          <w:sz w:val="24"/>
        </w:rPr>
        <w:t xml:space="preserve"> 和CH</w:t>
      </w:r>
      <w:r>
        <w:rPr>
          <w:sz w:val="24"/>
          <w:vertAlign w:val="subscript"/>
        </w:rPr>
        <w:t>4</w:t>
      </w:r>
      <w:r>
        <w:rPr>
          <w:sz w:val="24"/>
        </w:rPr>
        <w:t>，产生量较少；从第三年起，进入稳定的废气产生期，产气高峰在第三到第五年内出现，主要成分是CH</w:t>
      </w:r>
      <w:r>
        <w:rPr>
          <w:sz w:val="24"/>
          <w:vertAlign w:val="subscript"/>
        </w:rPr>
        <w:t>4</w:t>
      </w:r>
      <w:r>
        <w:rPr>
          <w:sz w:val="24"/>
        </w:rPr>
        <w:t xml:space="preserve"> 和CO</w:t>
      </w:r>
      <w:r>
        <w:rPr>
          <w:sz w:val="24"/>
          <w:vertAlign w:val="subscript"/>
        </w:rPr>
        <w:t>2</w:t>
      </w:r>
      <w:r>
        <w:rPr>
          <w:sz w:val="24"/>
        </w:rPr>
        <w:t>，这个阶段可历时15年左右。填埋气体中CH</w:t>
      </w:r>
      <w:r>
        <w:rPr>
          <w:sz w:val="24"/>
          <w:vertAlign w:val="subscript"/>
        </w:rPr>
        <w:t>4</w:t>
      </w:r>
      <w:r>
        <w:rPr>
          <w:sz w:val="24"/>
        </w:rPr>
        <w:t xml:space="preserve"> 占40%～60%，CO</w:t>
      </w:r>
      <w:r>
        <w:rPr>
          <w:sz w:val="24"/>
          <w:vertAlign w:val="subscript"/>
        </w:rPr>
        <w:t>2</w:t>
      </w:r>
      <w:r>
        <w:rPr>
          <w:sz w:val="24"/>
        </w:rPr>
        <w:t xml:space="preserve"> 占40～50%，其余的H</w:t>
      </w:r>
      <w:r>
        <w:rPr>
          <w:sz w:val="24"/>
          <w:vertAlign w:val="subscript"/>
        </w:rPr>
        <w:t>2</w:t>
      </w:r>
      <w:r>
        <w:rPr>
          <w:sz w:val="24"/>
        </w:rPr>
        <w:t>S、NH</w:t>
      </w:r>
      <w:r>
        <w:rPr>
          <w:sz w:val="24"/>
          <w:vertAlign w:val="subscript"/>
        </w:rPr>
        <w:t>3</w:t>
      </w:r>
      <w:r>
        <w:rPr>
          <w:sz w:val="24"/>
        </w:rPr>
        <w:t>、CH</w:t>
      </w:r>
      <w:r>
        <w:rPr>
          <w:sz w:val="24"/>
          <w:vertAlign w:val="subscript"/>
        </w:rPr>
        <w:t>3</w:t>
      </w:r>
      <w:r>
        <w:rPr>
          <w:sz w:val="24"/>
        </w:rPr>
        <w:t>SH 等微量气体约占1%。</w:t>
      </w:r>
    </w:p>
    <w:p>
      <w:pPr>
        <w:spacing w:line="360" w:lineRule="auto"/>
        <w:ind w:firstLine="516" w:firstLineChars="215"/>
        <w:rPr>
          <w:sz w:val="24"/>
        </w:rPr>
      </w:pPr>
      <w:r>
        <w:rPr>
          <w:sz w:val="24"/>
        </w:rPr>
        <w:t>填埋场产生的CH</w:t>
      </w:r>
      <w:r>
        <w:rPr>
          <w:sz w:val="24"/>
          <w:vertAlign w:val="subscript"/>
        </w:rPr>
        <w:t>4</w:t>
      </w:r>
      <w:r>
        <w:rPr>
          <w:sz w:val="24"/>
        </w:rPr>
        <w:t xml:space="preserve"> 比重比空气轻，气体上浮对人体毒害不明显，但属于易燃易爆气体，与空气混合后，当体积达到5%～15%时，有可能发生爆炸。H</w:t>
      </w:r>
      <w:r>
        <w:rPr>
          <w:sz w:val="24"/>
          <w:vertAlign w:val="subscript"/>
        </w:rPr>
        <w:t>2</w:t>
      </w:r>
      <w:r>
        <w:rPr>
          <w:sz w:val="24"/>
        </w:rPr>
        <w:t>S、NH</w:t>
      </w:r>
      <w:r>
        <w:rPr>
          <w:sz w:val="24"/>
          <w:vertAlign w:val="subscript"/>
        </w:rPr>
        <w:t>3</w:t>
      </w:r>
      <w:r>
        <w:rPr>
          <w:sz w:val="24"/>
        </w:rPr>
        <w:t>、CH</w:t>
      </w:r>
      <w:r>
        <w:rPr>
          <w:sz w:val="24"/>
          <w:vertAlign w:val="subscript"/>
        </w:rPr>
        <w:t>3</w:t>
      </w:r>
      <w:r>
        <w:rPr>
          <w:sz w:val="24"/>
        </w:rPr>
        <w:t>SH 虽然产生量很少，但污染环境，对人体的身心健康有害，是垃圾填埋场恶臭的主要污染物。</w:t>
      </w:r>
    </w:p>
    <w:p>
      <w:pPr>
        <w:spacing w:line="360" w:lineRule="auto"/>
        <w:ind w:firstLine="516" w:firstLineChars="215"/>
        <w:rPr>
          <w:sz w:val="24"/>
        </w:rPr>
      </w:pPr>
    </w:p>
    <w:p>
      <w:pPr>
        <w:spacing w:line="360" w:lineRule="auto"/>
        <w:ind w:firstLine="516" w:firstLineChars="215"/>
        <w:rPr>
          <w:rFonts w:hint="eastAsia"/>
          <w:sz w:val="24"/>
        </w:rPr>
      </w:pPr>
    </w:p>
    <w:p>
      <w:pPr>
        <w:pStyle w:val="23"/>
        <w:rPr>
          <w:b/>
          <w:bCs/>
        </w:rPr>
      </w:pPr>
      <w:r>
        <w:rPr>
          <w:b/>
          <w:bCs/>
        </w:rPr>
        <w:t>表</w:t>
      </w:r>
      <w:r>
        <w:rPr>
          <w:rFonts w:hint="eastAsia"/>
          <w:b/>
          <w:bCs/>
          <w:lang w:val="en-US" w:eastAsia="zh-CN"/>
        </w:rPr>
        <w:t>5-5</w:t>
      </w:r>
      <w:r>
        <w:rPr>
          <w:b/>
          <w:bCs/>
        </w:rPr>
        <w:t xml:space="preserve">  填埋气的组成成分及特性</w:t>
      </w:r>
    </w:p>
    <w:tbl>
      <w:tblPr>
        <w:tblStyle w:val="20"/>
        <w:tblW w:w="8720" w:type="dxa"/>
        <w:jc w:val="center"/>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090"/>
        <w:gridCol w:w="1090"/>
        <w:gridCol w:w="1090"/>
        <w:gridCol w:w="1090"/>
        <w:gridCol w:w="1090"/>
        <w:gridCol w:w="1090"/>
        <w:gridCol w:w="1090"/>
        <w:gridCol w:w="109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项目</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甲烷</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CO2</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氮气</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硫化氢</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氨</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氢</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CO</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密度(g/L)</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0.7167</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1.9768</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1.25</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1.54</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0.7708</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0.0898</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1.25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可燃性</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可燃</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不可燃</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不可燃</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可燃</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可燃</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可燃</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可燃</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爆炸体积范围(%)</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5-15</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4.3～45.5</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4～75.6</w:t>
            </w:r>
          </w:p>
        </w:tc>
        <w:tc>
          <w:tcPr>
            <w:tcW w:w="1090" w:type="dxa"/>
            <w:vAlign w:val="center"/>
          </w:tcPr>
          <w:p>
            <w:pPr>
              <w:pStyle w:val="23"/>
              <w:keepNext w:val="0"/>
              <w:keepLines w:val="0"/>
              <w:suppressLineNumbers w:val="0"/>
              <w:spacing w:before="0" w:beforeAutospacing="0" w:after="0" w:afterAutospacing="0"/>
              <w:ind w:left="0" w:right="0"/>
              <w:rPr>
                <w:rFonts w:hint="eastAsia"/>
              </w:rPr>
            </w:pPr>
            <w:r>
              <w:rPr>
                <w:rFonts w:hint="eastAsia"/>
              </w:rPr>
              <w:t>12.5～74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臭味</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有</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有</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轻微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Ex>
        <w:trPr>
          <w:jc w:val="center"/>
        </w:trPr>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毒性</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有</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有</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无</w:t>
            </w:r>
          </w:p>
        </w:tc>
        <w:tc>
          <w:tcPr>
            <w:tcW w:w="1090" w:type="dxa"/>
            <w:vAlign w:val="center"/>
          </w:tcPr>
          <w:p>
            <w:pPr>
              <w:pStyle w:val="23"/>
              <w:keepNext w:val="0"/>
              <w:keepLines w:val="0"/>
              <w:suppressLineNumbers w:val="0"/>
              <w:spacing w:before="0" w:beforeAutospacing="0" w:after="0" w:afterAutospacing="0"/>
              <w:ind w:left="0" w:right="0"/>
              <w:rPr>
                <w:rFonts w:hint="default"/>
              </w:rPr>
            </w:pPr>
            <w:r>
              <w:rPr>
                <w:rFonts w:hint="eastAsia"/>
              </w:rPr>
              <w:t>有</w:t>
            </w:r>
          </w:p>
        </w:tc>
      </w:tr>
    </w:tbl>
    <w:p>
      <w:pPr>
        <w:pStyle w:val="9"/>
        <w:spacing w:line="360" w:lineRule="auto"/>
        <w:ind w:firstLine="480"/>
        <w:jc w:val="left"/>
        <w:rPr>
          <w:color w:val="000000"/>
          <w:sz w:val="24"/>
          <w:u w:val="none"/>
        </w:rPr>
      </w:pPr>
      <w:r>
        <w:rPr>
          <w:color w:val="000000"/>
          <w:sz w:val="24"/>
          <w:u w:val="none"/>
        </w:rPr>
        <w:t>由于影响垃圾填埋体释放气体的因素很复杂，精确估计垃圾填埋气体的产生量很难。垃圾中有机物好氧分解时间较短，一般持续几天或几个月完成；随着氧气的迅速耗尽，则转变为厌氧消化，厌氧分解速率在两年内可达峰值，然后逐渐衰减，持续时间大多长达25年或更长。根据有关研究资料，典型的生活垃圾卫生填埋场垃圾填埋后产气一般持续10年时间左右，垃圾填埋场在不同年份填埋气体产生量有所不同，</w:t>
      </w:r>
      <w:r>
        <w:rPr>
          <w:rFonts w:hint="eastAsia"/>
          <w:color w:val="000000"/>
          <w:sz w:val="24"/>
          <w:u w:val="none"/>
          <w:lang w:eastAsia="zh-CN"/>
        </w:rPr>
        <w:t>经本次技改后，</w:t>
      </w:r>
      <w:r>
        <w:rPr>
          <w:color w:val="000000"/>
          <w:sz w:val="24"/>
          <w:u w:val="none"/>
        </w:rPr>
        <w:t>垃圾填埋场运行时间15年计，从垃圾场投入运营开始，垃圾填埋气体产生量逐年增加，至2018年达到最大值，然后产气量逐年递减，直至垃圾填埋场封场稳定化。</w:t>
      </w:r>
    </w:p>
    <w:p>
      <w:pPr>
        <w:pStyle w:val="9"/>
        <w:spacing w:line="360" w:lineRule="auto"/>
        <w:ind w:firstLine="480"/>
        <w:jc w:val="left"/>
        <w:rPr>
          <w:color w:val="000000"/>
          <w:sz w:val="24"/>
          <w:u w:val="none"/>
        </w:rPr>
      </w:pPr>
      <w:r>
        <w:rPr>
          <w:rFonts w:hAnsi="宋体"/>
          <w:color w:val="000000"/>
          <w:sz w:val="24"/>
          <w:u w:val="none"/>
        </w:rPr>
        <w:t>据相关资料，</w:t>
      </w:r>
      <w:r>
        <w:rPr>
          <w:color w:val="000000"/>
          <w:sz w:val="24"/>
          <w:u w:val="none"/>
        </w:rPr>
        <w:t>1kg</w:t>
      </w:r>
      <w:r>
        <w:rPr>
          <w:rFonts w:hAnsi="宋体"/>
          <w:color w:val="000000"/>
          <w:sz w:val="24"/>
          <w:u w:val="none"/>
        </w:rPr>
        <w:t>有机碳完全气化可产气</w:t>
      </w:r>
      <w:r>
        <w:rPr>
          <w:color w:val="000000"/>
          <w:sz w:val="24"/>
          <w:u w:val="none"/>
        </w:rPr>
        <w:t>1.868m</w:t>
      </w:r>
      <w:r>
        <w:rPr>
          <w:color w:val="000000"/>
          <w:sz w:val="24"/>
          <w:u w:val="none"/>
          <w:vertAlign w:val="superscript"/>
        </w:rPr>
        <w:t>3</w:t>
      </w:r>
      <w:r>
        <w:rPr>
          <w:rFonts w:hAnsi="宋体"/>
          <w:color w:val="000000"/>
          <w:sz w:val="24"/>
          <w:u w:val="none"/>
        </w:rPr>
        <w:t>，其主要成分是</w:t>
      </w:r>
      <w:r>
        <w:rPr>
          <w:color w:val="000000"/>
          <w:sz w:val="24"/>
          <w:u w:val="none"/>
        </w:rPr>
        <w:t>CH</w:t>
      </w:r>
      <w:r>
        <w:rPr>
          <w:color w:val="000000"/>
          <w:sz w:val="24"/>
          <w:u w:val="none"/>
          <w:vertAlign w:val="subscript"/>
        </w:rPr>
        <w:t>4</w:t>
      </w:r>
      <w:r>
        <w:rPr>
          <w:rFonts w:hAnsi="宋体"/>
          <w:color w:val="000000"/>
          <w:sz w:val="24"/>
          <w:u w:val="none"/>
        </w:rPr>
        <w:t>和</w:t>
      </w:r>
      <w:r>
        <w:rPr>
          <w:color w:val="000000"/>
          <w:sz w:val="24"/>
          <w:u w:val="none"/>
        </w:rPr>
        <w:t>CO</w:t>
      </w:r>
      <w:r>
        <w:rPr>
          <w:color w:val="000000"/>
          <w:sz w:val="24"/>
          <w:u w:val="none"/>
          <w:vertAlign w:val="subscript"/>
        </w:rPr>
        <w:t>2</w:t>
      </w:r>
      <w:r>
        <w:rPr>
          <w:rFonts w:hAnsi="宋体"/>
          <w:color w:val="000000"/>
          <w:sz w:val="24"/>
          <w:u w:val="none"/>
        </w:rPr>
        <w:t>，实际上在一般温度下只有部分基质碳可气化，在较长的消化期内，产气量可按下式计算：</w:t>
      </w:r>
    </w:p>
    <w:p>
      <w:pPr>
        <w:pStyle w:val="9"/>
        <w:spacing w:line="360" w:lineRule="auto"/>
        <w:ind w:firstLine="480"/>
        <w:jc w:val="left"/>
        <w:rPr>
          <w:color w:val="000000"/>
          <w:sz w:val="24"/>
          <w:u w:val="none"/>
        </w:rPr>
      </w:pPr>
      <w:r>
        <w:rPr>
          <w:color w:val="000000"/>
          <w:sz w:val="24"/>
          <w:u w:val="none"/>
        </w:rPr>
        <w:t>Gt=1.868(0.014T+0.28)TOC</w:t>
      </w:r>
    </w:p>
    <w:p>
      <w:pPr>
        <w:pStyle w:val="9"/>
        <w:spacing w:line="360" w:lineRule="auto"/>
        <w:ind w:firstLine="480"/>
        <w:jc w:val="left"/>
        <w:rPr>
          <w:color w:val="000000"/>
          <w:sz w:val="24"/>
          <w:u w:val="none"/>
        </w:rPr>
      </w:pPr>
      <w:r>
        <w:rPr>
          <w:rFonts w:hAnsi="宋体"/>
          <w:color w:val="000000"/>
          <w:sz w:val="24"/>
          <w:u w:val="none"/>
        </w:rPr>
        <w:t>式中：</w:t>
      </w:r>
      <w:r>
        <w:rPr>
          <w:color w:val="000000"/>
          <w:sz w:val="24"/>
          <w:u w:val="none"/>
        </w:rPr>
        <w:t>Gt—</w:t>
      </w:r>
      <w:r>
        <w:rPr>
          <w:rFonts w:hAnsi="宋体"/>
          <w:color w:val="000000"/>
          <w:sz w:val="24"/>
          <w:u w:val="none"/>
        </w:rPr>
        <w:t>垃圾理论长时间总产气量，</w:t>
      </w:r>
      <w:r>
        <w:rPr>
          <w:color w:val="000000"/>
          <w:sz w:val="24"/>
          <w:u w:val="none"/>
        </w:rPr>
        <w:t>m</w:t>
      </w:r>
      <w:r>
        <w:rPr>
          <w:color w:val="000000"/>
          <w:sz w:val="24"/>
          <w:u w:val="none"/>
          <w:vertAlign w:val="superscript"/>
        </w:rPr>
        <w:t>3</w:t>
      </w:r>
      <w:r>
        <w:rPr>
          <w:color w:val="000000"/>
          <w:sz w:val="24"/>
          <w:u w:val="none"/>
        </w:rPr>
        <w:t>/t</w:t>
      </w:r>
      <w:r>
        <w:rPr>
          <w:rFonts w:hAnsi="宋体"/>
          <w:color w:val="000000"/>
          <w:sz w:val="24"/>
          <w:u w:val="none"/>
        </w:rPr>
        <w:t>；</w:t>
      </w:r>
    </w:p>
    <w:p>
      <w:pPr>
        <w:pStyle w:val="9"/>
        <w:spacing w:line="360" w:lineRule="auto"/>
        <w:ind w:firstLine="1200" w:firstLineChars="500"/>
        <w:jc w:val="left"/>
        <w:rPr>
          <w:color w:val="000000"/>
          <w:sz w:val="24"/>
          <w:u w:val="none"/>
        </w:rPr>
      </w:pPr>
      <w:r>
        <w:rPr>
          <w:color w:val="000000"/>
          <w:sz w:val="24"/>
          <w:u w:val="none"/>
        </w:rPr>
        <w:t>T—</w:t>
      </w:r>
      <w:r>
        <w:rPr>
          <w:rFonts w:hAnsi="宋体"/>
          <w:color w:val="000000"/>
          <w:sz w:val="24"/>
          <w:u w:val="none"/>
        </w:rPr>
        <w:t>温度，℃；</w:t>
      </w:r>
    </w:p>
    <w:p>
      <w:pPr>
        <w:pStyle w:val="9"/>
        <w:spacing w:line="360" w:lineRule="auto"/>
        <w:ind w:firstLine="1200" w:firstLineChars="500"/>
        <w:jc w:val="left"/>
        <w:rPr>
          <w:rFonts w:hint="eastAsia"/>
          <w:color w:val="000000"/>
          <w:sz w:val="24"/>
          <w:u w:val="none"/>
        </w:rPr>
      </w:pPr>
      <w:r>
        <w:rPr>
          <w:color w:val="000000"/>
          <w:sz w:val="24"/>
          <w:u w:val="none"/>
        </w:rPr>
        <w:t>TOC—</w:t>
      </w:r>
      <w:r>
        <w:rPr>
          <w:rFonts w:hAnsi="宋体"/>
          <w:color w:val="000000"/>
          <w:sz w:val="24"/>
          <w:u w:val="none"/>
        </w:rPr>
        <w:t>总有机碳量，</w:t>
      </w:r>
      <w:r>
        <w:rPr>
          <w:color w:val="000000"/>
          <w:sz w:val="24"/>
          <w:u w:val="none"/>
        </w:rPr>
        <w:t>kg/t</w:t>
      </w:r>
      <w:r>
        <w:rPr>
          <w:rFonts w:hAnsi="宋体"/>
          <w:color w:val="000000"/>
          <w:sz w:val="24"/>
          <w:u w:val="none"/>
        </w:rPr>
        <w:t>垃圾。</w:t>
      </w:r>
      <w:r>
        <w:rPr>
          <w:rFonts w:hint="eastAsia" w:hAnsi="宋体"/>
          <w:color w:val="000000"/>
          <w:sz w:val="24"/>
          <w:u w:val="none"/>
        </w:rPr>
        <w:t>(</w:t>
      </w:r>
      <w:r>
        <w:rPr>
          <w:rFonts w:hAnsi="宋体"/>
          <w:color w:val="000000"/>
          <w:sz w:val="24"/>
          <w:u w:val="none"/>
        </w:rPr>
        <w:t>经验值</w:t>
      </w:r>
      <w:r>
        <w:rPr>
          <w:color w:val="000000"/>
          <w:sz w:val="24"/>
          <w:u w:val="none"/>
        </w:rPr>
        <w:t>150</w:t>
      </w:r>
      <w:r>
        <w:rPr>
          <w:rFonts w:hint="eastAsia"/>
          <w:color w:val="000000"/>
          <w:sz w:val="24"/>
          <w:u w:val="none"/>
        </w:rPr>
        <w:t>-</w:t>
      </w:r>
      <w:r>
        <w:rPr>
          <w:color w:val="000000"/>
          <w:sz w:val="24"/>
          <w:u w:val="none"/>
        </w:rPr>
        <w:t>200</w:t>
      </w:r>
      <w:r>
        <w:rPr>
          <w:rFonts w:hAnsi="宋体"/>
          <w:color w:val="000000"/>
          <w:sz w:val="24"/>
          <w:u w:val="none"/>
        </w:rPr>
        <w:t>，本工程取</w:t>
      </w:r>
      <w:r>
        <w:rPr>
          <w:color w:val="000000"/>
          <w:sz w:val="24"/>
          <w:u w:val="none"/>
        </w:rPr>
        <w:t>TOC =180kg/t</w:t>
      </w:r>
      <w:r>
        <w:rPr>
          <w:rFonts w:hAnsi="宋体"/>
          <w:color w:val="000000"/>
          <w:sz w:val="24"/>
          <w:u w:val="none"/>
        </w:rPr>
        <w:t>垃圾</w:t>
      </w:r>
      <w:r>
        <w:rPr>
          <w:rFonts w:hint="eastAsia" w:hAnsi="宋体"/>
          <w:color w:val="000000"/>
          <w:sz w:val="24"/>
          <w:u w:val="none"/>
        </w:rPr>
        <w:t>)；</w:t>
      </w:r>
    </w:p>
    <w:p>
      <w:pPr>
        <w:pStyle w:val="9"/>
        <w:spacing w:line="360" w:lineRule="auto"/>
        <w:ind w:firstLine="480"/>
        <w:jc w:val="left"/>
        <w:rPr>
          <w:color w:val="000000"/>
          <w:sz w:val="24"/>
          <w:u w:val="none"/>
        </w:rPr>
      </w:pPr>
      <w:r>
        <w:rPr>
          <w:rFonts w:hAnsi="宋体"/>
          <w:color w:val="000000"/>
          <w:sz w:val="24"/>
          <w:u w:val="none"/>
        </w:rPr>
        <w:t>填埋</w:t>
      </w:r>
      <w:r>
        <w:rPr>
          <w:color w:val="000000"/>
          <w:sz w:val="24"/>
          <w:u w:val="none"/>
        </w:rPr>
        <w:t>10</w:t>
      </w:r>
      <w:r>
        <w:rPr>
          <w:rFonts w:hAnsi="宋体"/>
          <w:color w:val="000000"/>
          <w:sz w:val="24"/>
          <w:u w:val="none"/>
        </w:rPr>
        <w:t>年以上的垃圾，内部平均温度为</w:t>
      </w:r>
      <w:r>
        <w:rPr>
          <w:color w:val="000000"/>
          <w:sz w:val="24"/>
          <w:u w:val="none"/>
        </w:rPr>
        <w:t>7-30</w:t>
      </w:r>
      <w:r>
        <w:rPr>
          <w:rFonts w:hAnsi="宋体"/>
          <w:color w:val="000000"/>
          <w:sz w:val="24"/>
          <w:u w:val="none"/>
        </w:rPr>
        <w:t>℃，取平均温度</w:t>
      </w:r>
      <w:r>
        <w:rPr>
          <w:color w:val="000000"/>
          <w:sz w:val="24"/>
          <w:u w:val="none"/>
        </w:rPr>
        <w:t>15</w:t>
      </w:r>
      <w:r>
        <w:rPr>
          <w:rFonts w:hAnsi="宋体"/>
          <w:color w:val="000000"/>
          <w:sz w:val="24"/>
          <w:u w:val="none"/>
        </w:rPr>
        <w:t>℃，则计算得</w:t>
      </w:r>
      <w:r>
        <w:rPr>
          <w:color w:val="000000"/>
          <w:sz w:val="24"/>
          <w:u w:val="none"/>
        </w:rPr>
        <w:t>Gt =130m</w:t>
      </w:r>
      <w:r>
        <w:rPr>
          <w:color w:val="000000"/>
          <w:sz w:val="24"/>
          <w:u w:val="none"/>
          <w:vertAlign w:val="superscript"/>
        </w:rPr>
        <w:t>3</w:t>
      </w:r>
      <w:r>
        <w:rPr>
          <w:color w:val="000000"/>
          <w:sz w:val="24"/>
          <w:u w:val="none"/>
        </w:rPr>
        <w:t>/t</w:t>
      </w:r>
      <w:r>
        <w:rPr>
          <w:rFonts w:hAnsi="宋体"/>
          <w:color w:val="000000"/>
          <w:sz w:val="24"/>
          <w:u w:val="none"/>
        </w:rPr>
        <w:t>垃圾，因此该填埋场每吨生活垃圾的长时间总产气量为</w:t>
      </w:r>
      <w:r>
        <w:rPr>
          <w:color w:val="000000"/>
          <w:sz w:val="24"/>
          <w:u w:val="none"/>
        </w:rPr>
        <w:t>164.76m</w:t>
      </w:r>
      <w:r>
        <w:rPr>
          <w:color w:val="000000"/>
          <w:sz w:val="24"/>
          <w:u w:val="none"/>
          <w:vertAlign w:val="superscript"/>
        </w:rPr>
        <w:t>3</w:t>
      </w:r>
      <w:r>
        <w:rPr>
          <w:rFonts w:hAnsi="宋体"/>
          <w:color w:val="000000"/>
          <w:sz w:val="24"/>
          <w:u w:val="none"/>
        </w:rPr>
        <w:t>。</w:t>
      </w:r>
    </w:p>
    <w:p>
      <w:pPr>
        <w:pStyle w:val="9"/>
        <w:spacing w:line="360" w:lineRule="auto"/>
        <w:ind w:firstLine="480"/>
        <w:jc w:val="left"/>
        <w:rPr>
          <w:color w:val="000000"/>
          <w:sz w:val="24"/>
          <w:u w:val="none"/>
        </w:rPr>
      </w:pPr>
      <w:r>
        <w:rPr>
          <w:rFonts w:hAnsi="宋体"/>
          <w:color w:val="000000"/>
          <w:sz w:val="24"/>
          <w:u w:val="none"/>
        </w:rPr>
        <w:t>垃圾填埋后垃圾产气量与时间（</w:t>
      </w:r>
      <w:r>
        <w:rPr>
          <w:color w:val="000000"/>
          <w:sz w:val="24"/>
          <w:u w:val="none"/>
        </w:rPr>
        <w:t>t</w:t>
      </w:r>
      <w:r>
        <w:rPr>
          <w:rFonts w:hAnsi="宋体"/>
          <w:color w:val="000000"/>
          <w:sz w:val="24"/>
          <w:u w:val="none"/>
        </w:rPr>
        <w:t>，填埋起计算的整年数）有如下关系：</w:t>
      </w:r>
    </w:p>
    <w:p>
      <w:pPr>
        <w:pStyle w:val="9"/>
        <w:spacing w:line="360" w:lineRule="auto"/>
        <w:ind w:firstLine="1680" w:firstLineChars="700"/>
        <w:jc w:val="left"/>
        <w:rPr>
          <w:color w:val="000000"/>
          <w:sz w:val="24"/>
          <w:u w:val="none"/>
        </w:rPr>
      </w:pPr>
      <w:r>
        <w:rPr>
          <w:color w:val="000000"/>
          <w:sz w:val="24"/>
          <w:u w:val="none"/>
        </w:rPr>
        <w:t>Ga=Gt(1-10</w:t>
      </w:r>
      <w:r>
        <w:rPr>
          <w:color w:val="000000"/>
          <w:sz w:val="24"/>
          <w:u w:val="none"/>
          <w:vertAlign w:val="superscript"/>
        </w:rPr>
        <w:t>-Kt</w:t>
      </w:r>
      <w:r>
        <w:rPr>
          <w:color w:val="000000"/>
          <w:sz w:val="24"/>
          <w:u w:val="none"/>
        </w:rPr>
        <w:t>)</w:t>
      </w:r>
    </w:p>
    <w:p>
      <w:pPr>
        <w:pStyle w:val="9"/>
        <w:spacing w:line="360" w:lineRule="auto"/>
        <w:ind w:firstLine="480"/>
        <w:jc w:val="left"/>
        <w:rPr>
          <w:color w:val="000000"/>
          <w:sz w:val="24"/>
          <w:u w:val="none"/>
        </w:rPr>
      </w:pPr>
      <w:r>
        <w:rPr>
          <w:rFonts w:hAnsi="宋体"/>
          <w:color w:val="000000"/>
          <w:sz w:val="24"/>
          <w:u w:val="none"/>
        </w:rPr>
        <w:t>式中，</w:t>
      </w:r>
      <w:r>
        <w:rPr>
          <w:color w:val="000000"/>
          <w:sz w:val="24"/>
          <w:u w:val="none"/>
        </w:rPr>
        <w:t>Ga—t</w:t>
      </w:r>
      <w:r>
        <w:rPr>
          <w:rFonts w:hAnsi="宋体"/>
          <w:color w:val="000000"/>
          <w:sz w:val="24"/>
          <w:u w:val="none"/>
        </w:rPr>
        <w:t>时间内吨垃圾产气量，</w:t>
      </w:r>
      <w:r>
        <w:rPr>
          <w:color w:val="000000"/>
          <w:sz w:val="24"/>
          <w:u w:val="none"/>
        </w:rPr>
        <w:t>m</w:t>
      </w:r>
      <w:r>
        <w:rPr>
          <w:color w:val="000000"/>
          <w:sz w:val="24"/>
          <w:u w:val="none"/>
          <w:vertAlign w:val="superscript"/>
        </w:rPr>
        <w:t>3</w:t>
      </w:r>
      <w:r>
        <w:rPr>
          <w:color w:val="000000"/>
          <w:sz w:val="24"/>
          <w:u w:val="none"/>
        </w:rPr>
        <w:t>/t</w:t>
      </w:r>
      <w:r>
        <w:rPr>
          <w:rFonts w:hAnsi="宋体"/>
          <w:color w:val="000000"/>
          <w:sz w:val="24"/>
          <w:u w:val="none"/>
        </w:rPr>
        <w:t>；</w:t>
      </w:r>
    </w:p>
    <w:p>
      <w:pPr>
        <w:pStyle w:val="9"/>
        <w:spacing w:line="360" w:lineRule="auto"/>
        <w:ind w:firstLine="1200" w:firstLineChars="500"/>
        <w:jc w:val="left"/>
        <w:rPr>
          <w:color w:val="000000"/>
          <w:sz w:val="24"/>
          <w:u w:val="none"/>
        </w:rPr>
      </w:pPr>
      <w:r>
        <w:rPr>
          <w:color w:val="000000"/>
          <w:sz w:val="24"/>
          <w:u w:val="none"/>
        </w:rPr>
        <w:t>Gt—</w:t>
      </w:r>
      <w:r>
        <w:rPr>
          <w:rFonts w:hAnsi="宋体"/>
          <w:color w:val="000000"/>
          <w:sz w:val="24"/>
          <w:u w:val="none"/>
        </w:rPr>
        <w:t>垃圾理论长时间总产气量，</w:t>
      </w:r>
      <w:r>
        <w:rPr>
          <w:color w:val="000000"/>
          <w:sz w:val="24"/>
          <w:u w:val="none"/>
        </w:rPr>
        <w:t>m</w:t>
      </w:r>
      <w:r>
        <w:rPr>
          <w:color w:val="000000"/>
          <w:sz w:val="24"/>
          <w:u w:val="none"/>
          <w:vertAlign w:val="superscript"/>
        </w:rPr>
        <w:t>3</w:t>
      </w:r>
      <w:r>
        <w:rPr>
          <w:color w:val="000000"/>
          <w:sz w:val="24"/>
          <w:u w:val="none"/>
        </w:rPr>
        <w:t>/t</w:t>
      </w:r>
      <w:r>
        <w:rPr>
          <w:rFonts w:hAnsi="宋体"/>
          <w:color w:val="000000"/>
          <w:sz w:val="24"/>
          <w:u w:val="none"/>
        </w:rPr>
        <w:t>；</w:t>
      </w:r>
    </w:p>
    <w:p>
      <w:pPr>
        <w:pStyle w:val="9"/>
        <w:spacing w:line="360" w:lineRule="auto"/>
        <w:ind w:firstLine="1200" w:firstLineChars="500"/>
        <w:jc w:val="left"/>
        <w:rPr>
          <w:color w:val="000000"/>
          <w:sz w:val="24"/>
          <w:u w:val="none"/>
        </w:rPr>
      </w:pPr>
      <w:r>
        <w:rPr>
          <w:rFonts w:hAnsi="宋体"/>
          <w:color w:val="000000"/>
          <w:sz w:val="24"/>
          <w:u w:val="none"/>
        </w:rPr>
        <w:t>Ｋ</w:t>
      </w:r>
      <w:r>
        <w:rPr>
          <w:color w:val="000000"/>
          <w:sz w:val="24"/>
          <w:u w:val="none"/>
        </w:rPr>
        <w:t>──TOC</w:t>
      </w:r>
      <w:r>
        <w:rPr>
          <w:rFonts w:hAnsi="宋体"/>
          <w:color w:val="000000"/>
          <w:sz w:val="24"/>
          <w:u w:val="none"/>
        </w:rPr>
        <w:t>衰减常数，其值在</w:t>
      </w:r>
      <w:r>
        <w:rPr>
          <w:color w:val="000000"/>
          <w:sz w:val="24"/>
          <w:u w:val="none"/>
        </w:rPr>
        <w:t>0.025</w:t>
      </w:r>
      <w:r>
        <w:rPr>
          <w:rFonts w:hAnsi="宋体"/>
          <w:color w:val="000000"/>
          <w:sz w:val="24"/>
          <w:u w:val="none"/>
        </w:rPr>
        <w:t>～</w:t>
      </w:r>
      <w:r>
        <w:rPr>
          <w:color w:val="000000"/>
          <w:sz w:val="24"/>
          <w:u w:val="none"/>
        </w:rPr>
        <w:t>0.050</w:t>
      </w:r>
      <w:r>
        <w:rPr>
          <w:rFonts w:hAnsi="宋体"/>
          <w:color w:val="000000"/>
          <w:sz w:val="24"/>
          <w:u w:val="none"/>
        </w:rPr>
        <w:t>之间，本工程取</w:t>
      </w:r>
      <w:r>
        <w:rPr>
          <w:color w:val="000000"/>
          <w:sz w:val="24"/>
          <w:u w:val="none"/>
        </w:rPr>
        <w:t>K =0.05</w:t>
      </w:r>
      <w:r>
        <w:rPr>
          <w:rFonts w:hAnsi="宋体"/>
          <w:color w:val="000000"/>
          <w:sz w:val="24"/>
          <w:u w:val="none"/>
        </w:rPr>
        <w:t>；</w:t>
      </w:r>
    </w:p>
    <w:p>
      <w:pPr>
        <w:pStyle w:val="9"/>
        <w:spacing w:line="360" w:lineRule="auto"/>
        <w:ind w:firstLine="1200" w:firstLineChars="500"/>
        <w:jc w:val="left"/>
        <w:rPr>
          <w:color w:val="000000"/>
          <w:sz w:val="24"/>
          <w:u w:val="none"/>
        </w:rPr>
      </w:pPr>
      <w:r>
        <w:rPr>
          <w:rFonts w:hAnsi="宋体"/>
          <w:color w:val="000000"/>
          <w:sz w:val="24"/>
          <w:u w:val="none"/>
        </w:rPr>
        <w:t>ｔ</w:t>
      </w:r>
      <w:r>
        <w:rPr>
          <w:color w:val="000000"/>
          <w:sz w:val="24"/>
          <w:u w:val="none"/>
        </w:rPr>
        <w:t>──</w:t>
      </w:r>
      <w:r>
        <w:rPr>
          <w:rFonts w:hAnsi="宋体"/>
          <w:color w:val="000000"/>
          <w:sz w:val="24"/>
          <w:u w:val="none"/>
        </w:rPr>
        <w:t>至ｔ年为止，气体产生时间，年。</w:t>
      </w:r>
    </w:p>
    <w:p>
      <w:pPr>
        <w:spacing w:line="360" w:lineRule="auto"/>
        <w:ind w:firstLine="480"/>
        <w:jc w:val="left"/>
        <w:rPr>
          <w:color w:val="000000"/>
          <w:sz w:val="24"/>
          <w:u w:val="none"/>
        </w:rPr>
      </w:pPr>
      <w:r>
        <w:rPr>
          <w:rFonts w:hAnsi="宋体"/>
          <w:color w:val="000000"/>
          <w:sz w:val="24"/>
          <w:u w:val="none"/>
        </w:rPr>
        <w:t>对于特定</w:t>
      </w:r>
      <w:r>
        <w:rPr>
          <w:color w:val="000000"/>
          <w:sz w:val="24"/>
          <w:u w:val="none"/>
        </w:rPr>
        <w:t>t</w:t>
      </w:r>
      <w:r>
        <w:rPr>
          <w:rFonts w:hAnsi="宋体"/>
          <w:color w:val="000000"/>
          <w:sz w:val="24"/>
          <w:u w:val="none"/>
        </w:rPr>
        <w:t>年的产气量计算：</w:t>
      </w:r>
    </w:p>
    <w:p>
      <w:pPr>
        <w:pStyle w:val="9"/>
        <w:spacing w:line="360" w:lineRule="auto"/>
        <w:ind w:firstLine="1680" w:firstLineChars="700"/>
        <w:jc w:val="left"/>
        <w:rPr>
          <w:color w:val="000000"/>
          <w:sz w:val="24"/>
          <w:u w:val="none"/>
        </w:rPr>
      </w:pPr>
      <w:r>
        <w:rPr>
          <w:color w:val="000000"/>
          <w:sz w:val="24"/>
          <w:u w:val="none"/>
        </w:rPr>
        <w:t>Gb</w:t>
      </w:r>
      <w:r>
        <w:rPr>
          <w:rFonts w:hAnsi="宋体"/>
          <w:color w:val="000000"/>
          <w:sz w:val="24"/>
          <w:u w:val="none"/>
        </w:rPr>
        <w:t>＝</w:t>
      </w:r>
      <w:r>
        <w:rPr>
          <w:color w:val="000000"/>
          <w:sz w:val="24"/>
          <w:u w:val="none"/>
        </w:rPr>
        <w:t>Gt×</w:t>
      </w:r>
      <w:r>
        <w:rPr>
          <w:rFonts w:hAnsi="宋体"/>
          <w:color w:val="000000"/>
          <w:sz w:val="24"/>
          <w:u w:val="none"/>
        </w:rPr>
        <w:t>（</w:t>
      </w:r>
      <w:r>
        <w:rPr>
          <w:color w:val="000000"/>
          <w:sz w:val="24"/>
          <w:u w:val="none"/>
        </w:rPr>
        <w:t>10</w:t>
      </w:r>
      <w:r>
        <w:rPr>
          <w:color w:val="000000"/>
          <w:sz w:val="24"/>
          <w:u w:val="none"/>
          <w:vertAlign w:val="superscript"/>
        </w:rPr>
        <w:t>k</w:t>
      </w:r>
      <w:r>
        <w:rPr>
          <w:color w:val="000000"/>
          <w:sz w:val="24"/>
          <w:u w:val="none"/>
        </w:rPr>
        <w:t>-1</w:t>
      </w:r>
      <w:r>
        <w:rPr>
          <w:rFonts w:hAnsi="宋体"/>
          <w:color w:val="000000"/>
          <w:sz w:val="24"/>
          <w:u w:val="none"/>
        </w:rPr>
        <w:t>）</w:t>
      </w:r>
      <w:r>
        <w:rPr>
          <w:color w:val="000000"/>
          <w:sz w:val="24"/>
          <w:u w:val="none"/>
        </w:rPr>
        <w:t>×10</w:t>
      </w:r>
      <w:r>
        <w:rPr>
          <w:color w:val="000000"/>
          <w:sz w:val="24"/>
          <w:u w:val="none"/>
          <w:vertAlign w:val="superscript"/>
        </w:rPr>
        <w:t>-kt</w:t>
      </w:r>
      <w:r>
        <w:rPr>
          <w:color w:val="000000"/>
          <w:sz w:val="24"/>
          <w:u w:val="none"/>
        </w:rPr>
        <w:t xml:space="preserve"> </w:t>
      </w:r>
    </w:p>
    <w:p>
      <w:pPr>
        <w:spacing w:line="360" w:lineRule="auto"/>
        <w:ind w:firstLine="480"/>
        <w:jc w:val="left"/>
        <w:rPr>
          <w:color w:val="000000"/>
          <w:sz w:val="24"/>
          <w:u w:val="none"/>
        </w:rPr>
      </w:pPr>
      <w:r>
        <w:rPr>
          <w:rFonts w:hAnsi="宋体"/>
          <w:color w:val="000000"/>
          <w:sz w:val="24"/>
          <w:u w:val="none"/>
        </w:rPr>
        <w:t>式中，</w:t>
      </w:r>
      <w:r>
        <w:rPr>
          <w:color w:val="000000"/>
          <w:sz w:val="24"/>
          <w:u w:val="none"/>
        </w:rPr>
        <w:t xml:space="preserve">Gb── </w:t>
      </w:r>
      <w:r>
        <w:rPr>
          <w:rFonts w:hAnsi="宋体"/>
          <w:color w:val="000000"/>
          <w:sz w:val="24"/>
          <w:u w:val="none"/>
        </w:rPr>
        <w:t>在第ｔ年的产气量，</w:t>
      </w:r>
      <w:r>
        <w:rPr>
          <w:color w:val="000000"/>
          <w:sz w:val="24"/>
          <w:u w:val="none"/>
        </w:rPr>
        <w:t>m</w:t>
      </w:r>
      <w:r>
        <w:rPr>
          <w:color w:val="000000"/>
          <w:sz w:val="24"/>
          <w:u w:val="none"/>
          <w:vertAlign w:val="superscript"/>
        </w:rPr>
        <w:t>3</w:t>
      </w:r>
      <w:r>
        <w:rPr>
          <w:color w:val="000000"/>
          <w:sz w:val="24"/>
          <w:u w:val="none"/>
        </w:rPr>
        <w:t>/t</w:t>
      </w:r>
      <w:r>
        <w:rPr>
          <w:rFonts w:hAnsi="宋体"/>
          <w:color w:val="000000"/>
          <w:sz w:val="24"/>
          <w:u w:val="none"/>
        </w:rPr>
        <w:t>垃圾，其它符号同上。</w:t>
      </w:r>
    </w:p>
    <w:p>
      <w:pPr>
        <w:spacing w:line="360" w:lineRule="auto"/>
        <w:ind w:firstLine="480" w:firstLineChars="200"/>
        <w:jc w:val="left"/>
        <w:rPr>
          <w:rFonts w:hint="eastAsia"/>
          <w:sz w:val="24"/>
          <w:u w:val="none"/>
        </w:rPr>
      </w:pPr>
      <w:r>
        <w:rPr>
          <w:rFonts w:hAnsi="宋体"/>
          <w:color w:val="000000"/>
          <w:sz w:val="24"/>
          <w:u w:val="none"/>
        </w:rPr>
        <w:t>通过以上计算公式计算出填埋场气逐年的变化量。见</w:t>
      </w:r>
      <w:r>
        <w:rPr>
          <w:rFonts w:hint="eastAsia" w:hAnsi="宋体"/>
          <w:color w:val="000000"/>
          <w:sz w:val="24"/>
          <w:u w:val="none"/>
        </w:rPr>
        <w:t>下</w:t>
      </w:r>
      <w:r>
        <w:rPr>
          <w:rFonts w:hAnsi="宋体"/>
          <w:color w:val="000000"/>
          <w:sz w:val="24"/>
          <w:u w:val="none"/>
        </w:rPr>
        <w:t>表</w:t>
      </w:r>
      <w:r>
        <w:rPr>
          <w:rFonts w:hint="eastAsia"/>
          <w:sz w:val="24"/>
          <w:u w:val="none"/>
        </w:rPr>
        <w:t>。</w:t>
      </w:r>
    </w:p>
    <w:p>
      <w:pPr>
        <w:pStyle w:val="23"/>
        <w:rPr>
          <w:b/>
          <w:bCs/>
        </w:rPr>
      </w:pPr>
      <w:r>
        <w:rPr>
          <w:b/>
          <w:bCs/>
        </w:rPr>
        <w:t>表</w:t>
      </w:r>
      <w:r>
        <w:rPr>
          <w:rFonts w:hint="eastAsia"/>
          <w:b/>
          <w:bCs/>
          <w:lang w:val="en-US" w:eastAsia="zh-CN"/>
        </w:rPr>
        <w:t>5-6</w:t>
      </w:r>
      <w:r>
        <w:rPr>
          <w:b/>
          <w:bCs/>
        </w:rPr>
        <w:t xml:space="preserve"> 垃圾填埋场逐年产气量</w:t>
      </w:r>
    </w:p>
    <w:tbl>
      <w:tblPr>
        <w:tblStyle w:val="19"/>
        <w:tblW w:w="8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3"/>
        <w:gridCol w:w="2124"/>
        <w:gridCol w:w="2700"/>
        <w:gridCol w:w="27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blHeader/>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序号</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年份（年）</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垃圾处理量（t）</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产气量（m</w:t>
            </w:r>
            <w:r>
              <w:rPr>
                <w:rFonts w:hint="default"/>
                <w:vertAlign w:val="superscript"/>
              </w:rPr>
              <w:t>3</w:t>
            </w:r>
            <w:r>
              <w:rPr>
                <w:rFonts w:hint="defaul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6"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03</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1635</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292949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04</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3334</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532385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3</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05</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5120</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728739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4</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06</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6992</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8869</w:t>
            </w:r>
            <w:r>
              <w:rPr>
                <w:rFonts w:hint="eastAsia"/>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5</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20</w:t>
            </w:r>
            <w:r>
              <w:rPr>
                <w:rFonts w:hint="eastAsia"/>
              </w:rPr>
              <w:t>07</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8965</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1013447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6</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20</w:t>
            </w:r>
            <w:r>
              <w:rPr>
                <w:rFonts w:hint="eastAsia"/>
              </w:rPr>
              <w:t>08</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11039</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1112304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7</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20</w:t>
            </w:r>
            <w:r>
              <w:rPr>
                <w:rFonts w:hint="eastAsia"/>
              </w:rPr>
              <w:t>09</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13213</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1186589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8</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10</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15503</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1240768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9</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12</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17908</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1278081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10</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13</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20428</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1297764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11</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14</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23308</w:t>
            </w:r>
            <w:r>
              <w:rPr>
                <w:rFonts w:hint="eastAsia"/>
              </w:rPr>
              <w:t>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1321408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12</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15</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250155</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1413376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13</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16</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274680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1538208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14</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17</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286125</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1596578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15</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18</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294300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1636308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16</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19</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294300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937783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17</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20</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294300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836017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18</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21</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294300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745493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19</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22</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294300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663844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20</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23</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294300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591661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21</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default"/>
              </w:rPr>
              <w:t>20</w:t>
            </w:r>
            <w:r>
              <w:rPr>
                <w:rFonts w:hint="eastAsia"/>
              </w:rPr>
              <w:t>28</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294300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331330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trPr>
        <w:tc>
          <w:tcPr>
            <w:tcW w:w="1163" w:type="dxa"/>
            <w:shd w:val="clear" w:color="auto" w:fill="auto"/>
            <w:vAlign w:val="center"/>
          </w:tcPr>
          <w:p>
            <w:pPr>
              <w:pStyle w:val="23"/>
              <w:keepNext w:val="0"/>
              <w:keepLines w:val="0"/>
              <w:suppressLineNumbers w:val="0"/>
              <w:spacing w:before="0" w:beforeAutospacing="0" w:after="0" w:afterAutospacing="0"/>
              <w:ind w:left="0" w:right="0"/>
              <w:rPr>
                <w:rFonts w:hint="eastAsia"/>
              </w:rPr>
            </w:pPr>
            <w:r>
              <w:rPr>
                <w:rFonts w:hint="eastAsia"/>
              </w:rPr>
              <w:t>22</w:t>
            </w:r>
          </w:p>
        </w:tc>
        <w:tc>
          <w:tcPr>
            <w:tcW w:w="2124"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2033</w:t>
            </w:r>
          </w:p>
        </w:tc>
        <w:tc>
          <w:tcPr>
            <w:tcW w:w="270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294300</w:t>
            </w:r>
          </w:p>
        </w:tc>
        <w:tc>
          <w:tcPr>
            <w:tcW w:w="27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186965</w:t>
            </w:r>
          </w:p>
        </w:tc>
      </w:tr>
    </w:tbl>
    <w:p>
      <w:pPr>
        <w:spacing w:line="360" w:lineRule="auto"/>
        <w:ind w:firstLine="516" w:firstLineChars="215"/>
        <w:rPr>
          <w:sz w:val="24"/>
        </w:rPr>
      </w:pPr>
      <w:r>
        <w:rPr>
          <w:sz w:val="24"/>
        </w:rPr>
        <w:t>针对填埋场产气组份的特点和其可能对环境的危害，评价主要确定填埋气体中CH</w:t>
      </w:r>
      <w:r>
        <w:rPr>
          <w:sz w:val="24"/>
          <w:vertAlign w:val="subscript"/>
        </w:rPr>
        <w:t>4</w:t>
      </w:r>
      <w:r>
        <w:rPr>
          <w:sz w:val="24"/>
        </w:rPr>
        <w:t>、H</w:t>
      </w:r>
      <w:r>
        <w:rPr>
          <w:sz w:val="24"/>
          <w:vertAlign w:val="subscript"/>
        </w:rPr>
        <w:t>2</w:t>
      </w:r>
      <w:r>
        <w:rPr>
          <w:sz w:val="24"/>
        </w:rPr>
        <w:t>S、NH</w:t>
      </w:r>
      <w:r>
        <w:rPr>
          <w:sz w:val="24"/>
          <w:vertAlign w:val="subscript"/>
        </w:rPr>
        <w:t xml:space="preserve">3 </w:t>
      </w:r>
      <w:r>
        <w:rPr>
          <w:sz w:val="24"/>
        </w:rPr>
        <w:t>的源强</w:t>
      </w:r>
      <w:r>
        <w:rPr>
          <w:rFonts w:hint="eastAsia"/>
          <w:sz w:val="24"/>
          <w:lang w:eastAsia="zh-CN"/>
        </w:rPr>
        <w:t>，根据表</w:t>
      </w:r>
      <w:r>
        <w:rPr>
          <w:rFonts w:hint="eastAsia"/>
          <w:sz w:val="24"/>
          <w:lang w:val="en-US" w:eastAsia="zh-CN"/>
        </w:rPr>
        <w:t>5-6，填埋场填埋废气产生量最大时为封场，则本次评价考虑污染源强最大时，</w:t>
      </w:r>
      <w:r>
        <w:rPr>
          <w:sz w:val="24"/>
        </w:rPr>
        <w:t>则封场第1年（2018 年）产生源强见下表。</w:t>
      </w:r>
    </w:p>
    <w:p>
      <w:pPr>
        <w:jc w:val="center"/>
        <w:rPr>
          <w:rFonts w:ascii="Times New Roman" w:hAnsi="Times New Roman" w:eastAsia="宋体" w:cstheme="minorBidi"/>
          <w:b/>
          <w:bCs/>
          <w:kern w:val="2"/>
          <w:sz w:val="21"/>
          <w:szCs w:val="21"/>
          <w:lang w:val="en-US" w:eastAsia="zh-CN" w:bidi="ar-SA"/>
        </w:rPr>
      </w:pPr>
      <w:r>
        <w:rPr>
          <w:rFonts w:ascii="Times New Roman" w:hAnsi="Times New Roman" w:eastAsia="宋体" w:cstheme="minorBidi"/>
          <w:b/>
          <w:bCs/>
          <w:kern w:val="2"/>
          <w:sz w:val="21"/>
          <w:szCs w:val="21"/>
          <w:lang w:val="en-US" w:eastAsia="zh-CN" w:bidi="ar-SA"/>
        </w:rPr>
        <w:t>表</w:t>
      </w:r>
      <w:r>
        <w:rPr>
          <w:rFonts w:hint="eastAsia" w:ascii="Times New Roman" w:hAnsi="Times New Roman" w:eastAsia="宋体" w:cstheme="minorBidi"/>
          <w:b/>
          <w:bCs/>
          <w:kern w:val="2"/>
          <w:sz w:val="21"/>
          <w:szCs w:val="21"/>
          <w:lang w:val="en-US" w:eastAsia="zh-CN" w:bidi="ar-SA"/>
        </w:rPr>
        <w:t>5-7</w:t>
      </w:r>
      <w:r>
        <w:rPr>
          <w:rFonts w:ascii="Times New Roman" w:hAnsi="Times New Roman" w:eastAsia="宋体" w:cstheme="minorBidi"/>
          <w:b/>
          <w:bCs/>
          <w:kern w:val="2"/>
          <w:sz w:val="21"/>
          <w:szCs w:val="21"/>
          <w:lang w:val="en-US" w:eastAsia="zh-CN" w:bidi="ar-SA"/>
        </w:rPr>
        <w:t xml:space="preserve">  </w:t>
      </w:r>
      <w:r>
        <w:rPr>
          <w:rFonts w:hint="eastAsia" w:ascii="Times New Roman" w:hAnsi="Times New Roman" w:eastAsia="宋体" w:cstheme="minorBidi"/>
          <w:b/>
          <w:bCs/>
          <w:kern w:val="2"/>
          <w:sz w:val="21"/>
          <w:szCs w:val="21"/>
          <w:lang w:val="en-US" w:eastAsia="zh-CN" w:bidi="ar-SA"/>
        </w:rPr>
        <w:t>填埋废气</w:t>
      </w:r>
      <w:r>
        <w:rPr>
          <w:rFonts w:ascii="Times New Roman" w:hAnsi="Times New Roman" w:eastAsia="宋体" w:cstheme="minorBidi"/>
          <w:b/>
          <w:bCs/>
          <w:kern w:val="2"/>
          <w:sz w:val="21"/>
          <w:szCs w:val="21"/>
          <w:lang w:val="en-US" w:eastAsia="zh-CN" w:bidi="ar-SA"/>
        </w:rPr>
        <w:t>产生源强</w:t>
      </w:r>
    </w:p>
    <w:tbl>
      <w:tblPr>
        <w:tblStyle w:val="20"/>
        <w:tblW w:w="87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7"/>
        <w:gridCol w:w="1430"/>
        <w:gridCol w:w="1443"/>
        <w:gridCol w:w="1497"/>
        <w:gridCol w:w="1442"/>
        <w:gridCol w:w="14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417" w:type="dxa"/>
            <w:vMerge w:val="restart"/>
            <w:tcBorders>
              <w:tl2br w:val="single" w:color="auto" w:sz="4" w:space="0"/>
            </w:tcBorders>
            <w:vAlign w:val="center"/>
          </w:tcPr>
          <w:p>
            <w:pPr>
              <w:pStyle w:val="23"/>
              <w:keepNext w:val="0"/>
              <w:keepLines w:val="0"/>
              <w:suppressLineNumbers w:val="0"/>
              <w:spacing w:before="0" w:beforeAutospacing="0" w:after="0" w:afterAutospacing="0"/>
              <w:ind w:left="0" w:right="0"/>
              <w:rPr>
                <w:rFonts w:hint="default"/>
              </w:rPr>
            </w:pPr>
            <w:r>
              <w:rPr>
                <w:rFonts w:hint="default"/>
              </w:rPr>
              <w:t>产气速率</w:t>
            </w:r>
          </w:p>
          <w:p>
            <w:pPr>
              <w:pStyle w:val="23"/>
              <w:keepNext w:val="0"/>
              <w:keepLines w:val="0"/>
              <w:suppressLineNumbers w:val="0"/>
              <w:spacing w:before="0" w:beforeAutospacing="0" w:after="0" w:afterAutospacing="0"/>
              <w:ind w:left="0" w:right="0"/>
              <w:rPr>
                <w:rFonts w:hint="default"/>
              </w:rPr>
            </w:pPr>
            <w:r>
              <w:rPr>
                <w:rFonts w:hint="default"/>
              </w:rPr>
              <w:t>年份</w:t>
            </w:r>
          </w:p>
        </w:tc>
        <w:tc>
          <w:tcPr>
            <w:tcW w:w="1430" w:type="dxa"/>
            <w:vMerge w:val="restart"/>
            <w:vAlign w:val="center"/>
          </w:tcPr>
          <w:p>
            <w:pPr>
              <w:pStyle w:val="23"/>
              <w:keepNext w:val="0"/>
              <w:keepLines w:val="0"/>
              <w:suppressLineNumbers w:val="0"/>
              <w:spacing w:before="0" w:beforeAutospacing="0" w:after="0" w:afterAutospacing="0"/>
              <w:ind w:left="0" w:right="0"/>
              <w:rPr>
                <w:rFonts w:hint="default"/>
              </w:rPr>
            </w:pPr>
            <w:r>
              <w:rPr>
                <w:rFonts w:hint="default"/>
              </w:rPr>
              <w:t>填埋气产量(万m</w:t>
            </w:r>
            <w:r>
              <w:rPr>
                <w:rFonts w:hint="default"/>
                <w:vertAlign w:val="superscript"/>
              </w:rPr>
              <w:t>3</w:t>
            </w:r>
            <w:r>
              <w:rPr>
                <w:rFonts w:hint="default"/>
              </w:rPr>
              <w:t>/a)</w:t>
            </w:r>
          </w:p>
        </w:tc>
        <w:tc>
          <w:tcPr>
            <w:tcW w:w="1443" w:type="dxa"/>
            <w:vMerge w:val="restart"/>
            <w:vAlign w:val="center"/>
          </w:tcPr>
          <w:p>
            <w:pPr>
              <w:pStyle w:val="23"/>
              <w:keepNext w:val="0"/>
              <w:keepLines w:val="0"/>
              <w:suppressLineNumbers w:val="0"/>
              <w:spacing w:before="0" w:beforeAutospacing="0" w:after="0" w:afterAutospacing="0"/>
              <w:ind w:left="0" w:right="0"/>
              <w:rPr>
                <w:rFonts w:hint="default"/>
              </w:rPr>
            </w:pPr>
            <w:r>
              <w:rPr>
                <w:rFonts w:hint="eastAsia"/>
                <w:lang w:eastAsia="zh-CN"/>
              </w:rPr>
              <w:t>污染物</w:t>
            </w:r>
            <w:r>
              <w:rPr>
                <w:rFonts w:hint="default"/>
              </w:rPr>
              <w:t>产量</w:t>
            </w:r>
          </w:p>
          <w:p>
            <w:pPr>
              <w:pStyle w:val="23"/>
              <w:keepNext w:val="0"/>
              <w:keepLines w:val="0"/>
              <w:suppressLineNumbers w:val="0"/>
              <w:spacing w:before="0" w:beforeAutospacing="0" w:after="0" w:afterAutospacing="0"/>
              <w:ind w:left="0" w:right="0"/>
              <w:rPr>
                <w:rFonts w:hint="eastAsia"/>
              </w:rPr>
            </w:pPr>
            <w:r>
              <w:rPr>
                <w:rFonts w:hint="eastAsia"/>
              </w:rPr>
              <w:t>(</w:t>
            </w:r>
            <w:r>
              <w:rPr>
                <w:rFonts w:hint="default"/>
              </w:rPr>
              <w:t>万m</w:t>
            </w:r>
            <w:r>
              <w:rPr>
                <w:rFonts w:hint="default"/>
                <w:vertAlign w:val="superscript"/>
              </w:rPr>
              <w:t>3</w:t>
            </w:r>
            <w:r>
              <w:rPr>
                <w:rFonts w:hint="default"/>
              </w:rPr>
              <w:t>/a</w:t>
            </w:r>
            <w:r>
              <w:rPr>
                <w:rFonts w:hint="eastAsia"/>
              </w:rPr>
              <w:t>)</w:t>
            </w:r>
          </w:p>
        </w:tc>
        <w:tc>
          <w:tcPr>
            <w:tcW w:w="1497" w:type="dxa"/>
            <w:vMerge w:val="restart"/>
            <w:vAlign w:val="center"/>
          </w:tcPr>
          <w:p>
            <w:pPr>
              <w:pStyle w:val="23"/>
              <w:keepNext w:val="0"/>
              <w:keepLines w:val="0"/>
              <w:suppressLineNumbers w:val="0"/>
              <w:spacing w:before="0" w:beforeAutospacing="0" w:after="0" w:afterAutospacing="0"/>
              <w:ind w:left="0" w:right="0"/>
              <w:rPr>
                <w:rFonts w:hint="default"/>
              </w:rPr>
            </w:pPr>
            <w:r>
              <w:rPr>
                <w:rFonts w:hint="eastAsia"/>
                <w:lang w:eastAsia="zh-CN"/>
              </w:rPr>
              <w:t>污染物</w:t>
            </w:r>
            <w:r>
              <w:rPr>
                <w:rFonts w:hint="default"/>
              </w:rPr>
              <w:t>密度</w:t>
            </w:r>
          </w:p>
          <w:p>
            <w:pPr>
              <w:pStyle w:val="23"/>
              <w:keepNext w:val="0"/>
              <w:keepLines w:val="0"/>
              <w:suppressLineNumbers w:val="0"/>
              <w:spacing w:before="0" w:beforeAutospacing="0" w:after="0" w:afterAutospacing="0"/>
              <w:ind w:left="0" w:right="0"/>
              <w:rPr>
                <w:rFonts w:hint="default"/>
              </w:rPr>
            </w:pPr>
            <w:r>
              <w:rPr>
                <w:rFonts w:hint="default"/>
              </w:rPr>
              <w:t>（kg/m</w:t>
            </w:r>
            <w:r>
              <w:rPr>
                <w:rFonts w:hint="default"/>
                <w:vertAlign w:val="superscript"/>
              </w:rPr>
              <w:t>3</w:t>
            </w:r>
            <w:r>
              <w:rPr>
                <w:rFonts w:hint="default"/>
              </w:rPr>
              <w:t>）</w:t>
            </w:r>
          </w:p>
        </w:tc>
        <w:tc>
          <w:tcPr>
            <w:tcW w:w="2933" w:type="dxa"/>
            <w:gridSpan w:val="2"/>
            <w:vAlign w:val="center"/>
          </w:tcPr>
          <w:p>
            <w:pPr>
              <w:pStyle w:val="23"/>
              <w:keepNext w:val="0"/>
              <w:keepLines w:val="0"/>
              <w:suppressLineNumbers w:val="0"/>
              <w:spacing w:before="0" w:beforeAutospacing="0" w:after="0" w:afterAutospacing="0"/>
              <w:ind w:left="0" w:right="0"/>
              <w:rPr>
                <w:rFonts w:hint="default"/>
              </w:rPr>
            </w:pPr>
            <w:r>
              <w:rPr>
                <w:rFonts w:hint="eastAsia"/>
                <w:lang w:eastAsia="zh-CN"/>
              </w:rPr>
              <w:t>污染物</w:t>
            </w:r>
            <w:r>
              <w:rPr>
                <w:rFonts w:hint="default"/>
              </w:rPr>
              <w:t>产生源强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8" w:hRule="atLeast"/>
          <w:jc w:val="center"/>
        </w:trPr>
        <w:tc>
          <w:tcPr>
            <w:tcW w:w="1417" w:type="dxa"/>
            <w:vMerge w:val="continue"/>
            <w:tcBorders>
              <w:tl2br w:val="single" w:color="auto" w:sz="4" w:space="0"/>
            </w:tcBorders>
            <w:vAlign w:val="center"/>
          </w:tcPr>
          <w:p>
            <w:pPr>
              <w:pStyle w:val="23"/>
              <w:keepNext w:val="0"/>
              <w:keepLines w:val="0"/>
              <w:suppressLineNumbers w:val="0"/>
              <w:spacing w:before="0" w:beforeAutospacing="0" w:after="0" w:afterAutospacing="0"/>
              <w:ind w:left="0" w:right="0"/>
              <w:rPr>
                <w:rFonts w:hint="default"/>
              </w:rPr>
            </w:pPr>
          </w:p>
        </w:tc>
        <w:tc>
          <w:tcPr>
            <w:tcW w:w="1430" w:type="dxa"/>
            <w:vMerge w:val="continue"/>
            <w:vAlign w:val="center"/>
          </w:tcPr>
          <w:p>
            <w:pPr>
              <w:pStyle w:val="23"/>
              <w:keepNext w:val="0"/>
              <w:keepLines w:val="0"/>
              <w:suppressLineNumbers w:val="0"/>
              <w:spacing w:before="0" w:beforeAutospacing="0" w:after="0" w:afterAutospacing="0"/>
              <w:ind w:left="0" w:right="0"/>
              <w:rPr>
                <w:rFonts w:hint="default"/>
              </w:rPr>
            </w:pPr>
          </w:p>
        </w:tc>
        <w:tc>
          <w:tcPr>
            <w:tcW w:w="1443" w:type="dxa"/>
            <w:vMerge w:val="continue"/>
            <w:vAlign w:val="center"/>
          </w:tcPr>
          <w:p>
            <w:pPr>
              <w:pStyle w:val="23"/>
              <w:keepNext w:val="0"/>
              <w:keepLines w:val="0"/>
              <w:suppressLineNumbers w:val="0"/>
              <w:spacing w:before="0" w:beforeAutospacing="0" w:after="0" w:afterAutospacing="0"/>
              <w:ind w:left="0" w:right="0"/>
              <w:rPr>
                <w:rFonts w:hint="default"/>
              </w:rPr>
            </w:pPr>
          </w:p>
        </w:tc>
        <w:tc>
          <w:tcPr>
            <w:tcW w:w="1497" w:type="dxa"/>
            <w:vMerge w:val="continue"/>
            <w:vAlign w:val="center"/>
          </w:tcPr>
          <w:p>
            <w:pPr>
              <w:pStyle w:val="23"/>
              <w:keepNext w:val="0"/>
              <w:keepLines w:val="0"/>
              <w:suppressLineNumbers w:val="0"/>
              <w:spacing w:before="0" w:beforeAutospacing="0" w:after="0" w:afterAutospacing="0"/>
              <w:ind w:left="0" w:right="0"/>
              <w:rPr>
                <w:rFonts w:hint="default"/>
              </w:rPr>
            </w:pPr>
          </w:p>
        </w:tc>
        <w:tc>
          <w:tcPr>
            <w:tcW w:w="1442" w:type="dxa"/>
            <w:vAlign w:val="center"/>
          </w:tcPr>
          <w:p>
            <w:pPr>
              <w:pStyle w:val="23"/>
              <w:keepNext w:val="0"/>
              <w:keepLines w:val="0"/>
              <w:suppressLineNumbers w:val="0"/>
              <w:spacing w:before="0" w:beforeAutospacing="0" w:after="0" w:afterAutospacing="0"/>
              <w:ind w:left="0" w:right="0"/>
              <w:rPr>
                <w:rFonts w:hint="default"/>
              </w:rPr>
            </w:pPr>
            <w:r>
              <w:rPr>
                <w:rFonts w:hint="default"/>
              </w:rPr>
              <w:t>t/a</w:t>
            </w:r>
          </w:p>
        </w:tc>
        <w:tc>
          <w:tcPr>
            <w:tcW w:w="1491" w:type="dxa"/>
            <w:vAlign w:val="center"/>
          </w:tcPr>
          <w:p>
            <w:pPr>
              <w:pStyle w:val="23"/>
              <w:keepNext w:val="0"/>
              <w:keepLines w:val="0"/>
              <w:suppressLineNumbers w:val="0"/>
              <w:spacing w:before="0" w:beforeAutospacing="0" w:after="0" w:afterAutospacing="0"/>
              <w:ind w:left="0" w:right="0"/>
              <w:rPr>
                <w:rFonts w:hint="default"/>
              </w:rPr>
            </w:pPr>
            <w:r>
              <w:rPr>
                <w:rFonts w:hint="default"/>
              </w:rPr>
              <w:t>kg/h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7" w:type="dxa"/>
            <w:vAlign w:val="center"/>
          </w:tcPr>
          <w:p>
            <w:pPr>
              <w:pStyle w:val="23"/>
              <w:keepNext w:val="0"/>
              <w:keepLines w:val="0"/>
              <w:suppressLineNumbers w:val="0"/>
              <w:spacing w:before="0" w:beforeAutospacing="0" w:after="0" w:afterAutospacing="0"/>
              <w:ind w:left="0" w:right="0"/>
              <w:rPr>
                <w:rFonts w:hint="default"/>
              </w:rPr>
            </w:pPr>
            <w:r>
              <w:rPr>
                <w:rFonts w:hint="default"/>
              </w:rPr>
              <w:t>CH</w:t>
            </w:r>
            <w:r>
              <w:rPr>
                <w:rFonts w:hint="default"/>
                <w:vertAlign w:val="subscript"/>
              </w:rPr>
              <w:t>4</w:t>
            </w:r>
          </w:p>
        </w:tc>
        <w:tc>
          <w:tcPr>
            <w:tcW w:w="1430" w:type="dxa"/>
            <w:vAlign w:val="center"/>
          </w:tcPr>
          <w:p>
            <w:pPr>
              <w:pStyle w:val="23"/>
              <w:keepNext w:val="0"/>
              <w:keepLines w:val="0"/>
              <w:suppressLineNumbers w:val="0"/>
              <w:spacing w:before="0" w:beforeAutospacing="0" w:after="0" w:afterAutospacing="0"/>
              <w:ind w:left="0" w:right="0"/>
              <w:rPr>
                <w:rFonts w:hint="default"/>
              </w:rPr>
            </w:pPr>
            <w:r>
              <w:rPr>
                <w:rFonts w:hint="default"/>
              </w:rPr>
              <w:t>163.63</w:t>
            </w:r>
          </w:p>
        </w:tc>
        <w:tc>
          <w:tcPr>
            <w:tcW w:w="1443" w:type="dxa"/>
            <w:vAlign w:val="center"/>
          </w:tcPr>
          <w:p>
            <w:pPr>
              <w:pStyle w:val="23"/>
              <w:keepNext w:val="0"/>
              <w:keepLines w:val="0"/>
              <w:suppressLineNumbers w:val="0"/>
              <w:spacing w:before="0" w:beforeAutospacing="0" w:after="0" w:afterAutospacing="0"/>
              <w:ind w:left="0" w:right="0"/>
              <w:rPr>
                <w:rFonts w:hint="default"/>
              </w:rPr>
            </w:pPr>
            <w:r>
              <w:rPr>
                <w:rFonts w:hint="eastAsia"/>
              </w:rPr>
              <w:t>818154</w:t>
            </w:r>
          </w:p>
        </w:tc>
        <w:tc>
          <w:tcPr>
            <w:tcW w:w="1497" w:type="dxa"/>
            <w:vAlign w:val="center"/>
          </w:tcPr>
          <w:p>
            <w:pPr>
              <w:pStyle w:val="23"/>
              <w:keepNext w:val="0"/>
              <w:keepLines w:val="0"/>
              <w:suppressLineNumbers w:val="0"/>
              <w:spacing w:before="0" w:beforeAutospacing="0" w:after="0" w:afterAutospacing="0"/>
              <w:ind w:left="0" w:right="0"/>
              <w:rPr>
                <w:rFonts w:hint="default"/>
              </w:rPr>
            </w:pPr>
            <w:r>
              <w:rPr>
                <w:rFonts w:hint="default"/>
              </w:rPr>
              <w:t>0.7167</w:t>
            </w:r>
          </w:p>
        </w:tc>
        <w:tc>
          <w:tcPr>
            <w:tcW w:w="1442" w:type="dxa"/>
            <w:vAlign w:val="center"/>
          </w:tcPr>
          <w:p>
            <w:pPr>
              <w:pStyle w:val="23"/>
              <w:keepNext w:val="0"/>
              <w:keepLines w:val="0"/>
              <w:suppressLineNumbers w:val="0"/>
              <w:spacing w:before="0" w:beforeAutospacing="0" w:after="0" w:afterAutospacing="0"/>
              <w:ind w:left="0" w:right="0"/>
              <w:rPr>
                <w:rFonts w:hint="default"/>
              </w:rPr>
            </w:pPr>
            <w:r>
              <w:rPr>
                <w:rFonts w:hint="eastAsia"/>
              </w:rPr>
              <w:t>586.37</w:t>
            </w:r>
          </w:p>
        </w:tc>
        <w:tc>
          <w:tcPr>
            <w:tcW w:w="1491" w:type="dxa"/>
            <w:vAlign w:val="center"/>
          </w:tcPr>
          <w:p>
            <w:pPr>
              <w:pStyle w:val="23"/>
              <w:keepNext w:val="0"/>
              <w:keepLines w:val="0"/>
              <w:suppressLineNumbers w:val="0"/>
              <w:spacing w:before="0" w:beforeAutospacing="0" w:after="0" w:afterAutospacing="0"/>
              <w:ind w:left="0" w:right="0"/>
              <w:rPr>
                <w:rFonts w:hint="default"/>
              </w:rPr>
            </w:pPr>
            <w:r>
              <w:rPr>
                <w:rFonts w:hint="eastAsia"/>
              </w:rPr>
              <w:t>66.94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7" w:type="dxa"/>
            <w:vAlign w:val="center"/>
          </w:tcPr>
          <w:p>
            <w:pPr>
              <w:pStyle w:val="23"/>
              <w:keepNext w:val="0"/>
              <w:keepLines w:val="0"/>
              <w:suppressLineNumbers w:val="0"/>
              <w:spacing w:before="0" w:beforeAutospacing="0" w:after="0" w:afterAutospacing="0"/>
              <w:ind w:left="0" w:right="0"/>
              <w:rPr>
                <w:rFonts w:hint="eastAsia"/>
                <w:lang w:val="en-US" w:eastAsia="zh-CN"/>
              </w:rPr>
            </w:pPr>
            <w:r>
              <w:rPr>
                <w:rFonts w:hint="eastAsia"/>
                <w:lang w:val="en-US" w:eastAsia="zh-CN"/>
              </w:rPr>
              <w:t>H</w:t>
            </w:r>
            <w:r>
              <w:rPr>
                <w:rFonts w:hint="eastAsia"/>
                <w:vertAlign w:val="subscript"/>
                <w:lang w:val="en-US" w:eastAsia="zh-CN"/>
              </w:rPr>
              <w:t>2</w:t>
            </w:r>
            <w:r>
              <w:rPr>
                <w:rFonts w:hint="eastAsia"/>
                <w:lang w:val="en-US" w:eastAsia="zh-CN"/>
              </w:rPr>
              <w:t>S</w:t>
            </w:r>
          </w:p>
        </w:tc>
        <w:tc>
          <w:tcPr>
            <w:tcW w:w="1430" w:type="dxa"/>
            <w:textDirection w:val="lrTb"/>
            <w:vAlign w:val="center"/>
          </w:tcPr>
          <w:p>
            <w:pPr>
              <w:pStyle w:val="23"/>
              <w:keepNext w:val="0"/>
              <w:keepLines w:val="0"/>
              <w:suppressLineNumbers w:val="0"/>
              <w:spacing w:before="0" w:beforeAutospacing="0" w:after="0" w:afterAutospacing="0"/>
              <w:ind w:left="0" w:right="0"/>
              <w:rPr>
                <w:rFonts w:hint="default"/>
              </w:rPr>
            </w:pPr>
            <w:r>
              <w:rPr>
                <w:rFonts w:hint="default"/>
              </w:rPr>
              <w:t>163.63</w:t>
            </w:r>
          </w:p>
        </w:tc>
        <w:tc>
          <w:tcPr>
            <w:tcW w:w="1443" w:type="dxa"/>
            <w:textDirection w:val="lrTb"/>
            <w:vAlign w:val="center"/>
          </w:tcPr>
          <w:p>
            <w:pPr>
              <w:pStyle w:val="23"/>
              <w:keepNext w:val="0"/>
              <w:keepLines w:val="0"/>
              <w:suppressLineNumbers w:val="0"/>
              <w:spacing w:before="0" w:beforeAutospacing="0" w:after="0" w:afterAutospacing="0"/>
              <w:ind w:left="0" w:right="0"/>
              <w:rPr>
                <w:rFonts w:hint="eastAsia"/>
              </w:rPr>
            </w:pPr>
            <w:r>
              <w:rPr>
                <w:rFonts w:hint="eastAsia"/>
              </w:rPr>
              <w:t>818.15</w:t>
            </w:r>
          </w:p>
        </w:tc>
        <w:tc>
          <w:tcPr>
            <w:tcW w:w="1497" w:type="dxa"/>
            <w:textDirection w:val="lrTb"/>
            <w:vAlign w:val="center"/>
          </w:tcPr>
          <w:p>
            <w:pPr>
              <w:pStyle w:val="23"/>
              <w:keepNext w:val="0"/>
              <w:keepLines w:val="0"/>
              <w:suppressLineNumbers w:val="0"/>
              <w:spacing w:before="0" w:beforeAutospacing="0" w:after="0" w:afterAutospacing="0"/>
              <w:ind w:left="0" w:right="0"/>
              <w:rPr>
                <w:rFonts w:hint="default"/>
              </w:rPr>
            </w:pPr>
            <w:r>
              <w:rPr>
                <w:rFonts w:hint="default"/>
              </w:rPr>
              <w:t>1.54</w:t>
            </w:r>
          </w:p>
        </w:tc>
        <w:tc>
          <w:tcPr>
            <w:tcW w:w="1442" w:type="dxa"/>
            <w:textDirection w:val="lrTb"/>
            <w:vAlign w:val="center"/>
          </w:tcPr>
          <w:p>
            <w:pPr>
              <w:pStyle w:val="23"/>
              <w:keepNext w:val="0"/>
              <w:keepLines w:val="0"/>
              <w:suppressLineNumbers w:val="0"/>
              <w:spacing w:before="0" w:beforeAutospacing="0" w:after="0" w:afterAutospacing="0"/>
              <w:ind w:left="0" w:right="0"/>
              <w:rPr>
                <w:rFonts w:hint="eastAsia"/>
              </w:rPr>
            </w:pPr>
            <w:r>
              <w:rPr>
                <w:rFonts w:hint="eastAsia"/>
              </w:rPr>
              <w:t>1.26</w:t>
            </w:r>
          </w:p>
        </w:tc>
        <w:tc>
          <w:tcPr>
            <w:tcW w:w="1491" w:type="dxa"/>
            <w:textDirection w:val="lrTb"/>
            <w:vAlign w:val="center"/>
          </w:tcPr>
          <w:p>
            <w:pPr>
              <w:pStyle w:val="23"/>
              <w:keepNext w:val="0"/>
              <w:keepLines w:val="0"/>
              <w:suppressLineNumbers w:val="0"/>
              <w:spacing w:before="0" w:beforeAutospacing="0" w:after="0" w:afterAutospacing="0"/>
              <w:ind w:left="0" w:right="0"/>
              <w:rPr>
                <w:rFonts w:hint="eastAsia"/>
              </w:rPr>
            </w:pPr>
            <w:r>
              <w:rPr>
                <w:rFonts w:hint="eastAsia"/>
              </w:rPr>
              <w:t>0.144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7" w:type="dxa"/>
            <w:vAlign w:val="center"/>
          </w:tcPr>
          <w:p>
            <w:pPr>
              <w:pStyle w:val="23"/>
              <w:keepNext w:val="0"/>
              <w:keepLines w:val="0"/>
              <w:suppressLineNumbers w:val="0"/>
              <w:spacing w:before="0" w:beforeAutospacing="0" w:after="0" w:afterAutospacing="0"/>
              <w:ind w:left="0" w:right="0"/>
              <w:rPr>
                <w:rFonts w:hint="eastAsia"/>
                <w:lang w:val="en-US" w:eastAsia="zh-CN"/>
              </w:rPr>
            </w:pPr>
            <w:r>
              <w:rPr>
                <w:rFonts w:hint="eastAsia"/>
                <w:lang w:val="en-US" w:eastAsia="zh-CN"/>
              </w:rPr>
              <w:t>NH</w:t>
            </w:r>
            <w:r>
              <w:rPr>
                <w:rFonts w:hint="eastAsia"/>
                <w:vertAlign w:val="subscript"/>
                <w:lang w:val="en-US" w:eastAsia="zh-CN"/>
              </w:rPr>
              <w:t>3</w:t>
            </w:r>
          </w:p>
        </w:tc>
        <w:tc>
          <w:tcPr>
            <w:tcW w:w="1430" w:type="dxa"/>
            <w:textDirection w:val="lrTb"/>
            <w:vAlign w:val="center"/>
          </w:tcPr>
          <w:p>
            <w:pPr>
              <w:pStyle w:val="23"/>
              <w:keepNext w:val="0"/>
              <w:keepLines w:val="0"/>
              <w:suppressLineNumbers w:val="0"/>
              <w:spacing w:before="0" w:beforeAutospacing="0" w:after="0" w:afterAutospacing="0"/>
              <w:ind w:left="0" w:right="0"/>
              <w:rPr>
                <w:rFonts w:hint="default"/>
              </w:rPr>
            </w:pPr>
            <w:r>
              <w:rPr>
                <w:rFonts w:hint="default"/>
              </w:rPr>
              <w:t>163.63</w:t>
            </w:r>
          </w:p>
        </w:tc>
        <w:tc>
          <w:tcPr>
            <w:tcW w:w="1443" w:type="dxa"/>
            <w:textDirection w:val="lrTb"/>
            <w:vAlign w:val="center"/>
          </w:tcPr>
          <w:p>
            <w:pPr>
              <w:pStyle w:val="23"/>
              <w:keepNext w:val="0"/>
              <w:keepLines w:val="0"/>
              <w:suppressLineNumbers w:val="0"/>
              <w:spacing w:before="0" w:beforeAutospacing="0" w:after="0" w:afterAutospacing="0"/>
              <w:ind w:left="0" w:right="0"/>
              <w:rPr>
                <w:rFonts w:hint="eastAsia"/>
              </w:rPr>
            </w:pPr>
            <w:r>
              <w:rPr>
                <w:rFonts w:hint="eastAsia"/>
              </w:rPr>
              <w:t>3272.62</w:t>
            </w:r>
          </w:p>
        </w:tc>
        <w:tc>
          <w:tcPr>
            <w:tcW w:w="1497" w:type="dxa"/>
            <w:textDirection w:val="lrTb"/>
            <w:vAlign w:val="center"/>
          </w:tcPr>
          <w:p>
            <w:pPr>
              <w:pStyle w:val="23"/>
              <w:keepNext w:val="0"/>
              <w:keepLines w:val="0"/>
              <w:suppressLineNumbers w:val="0"/>
              <w:spacing w:before="0" w:beforeAutospacing="0" w:after="0" w:afterAutospacing="0"/>
              <w:ind w:left="0" w:right="0"/>
              <w:rPr>
                <w:rFonts w:hint="default"/>
              </w:rPr>
            </w:pPr>
            <w:r>
              <w:rPr>
                <w:rFonts w:hint="default"/>
              </w:rPr>
              <w:t>0.7708</w:t>
            </w:r>
          </w:p>
        </w:tc>
        <w:tc>
          <w:tcPr>
            <w:tcW w:w="1442" w:type="dxa"/>
            <w:textDirection w:val="lrTb"/>
            <w:vAlign w:val="center"/>
          </w:tcPr>
          <w:p>
            <w:pPr>
              <w:pStyle w:val="23"/>
              <w:keepNext w:val="0"/>
              <w:keepLines w:val="0"/>
              <w:suppressLineNumbers w:val="0"/>
              <w:spacing w:before="0" w:beforeAutospacing="0" w:after="0" w:afterAutospacing="0"/>
              <w:ind w:left="0" w:right="0"/>
              <w:rPr>
                <w:rFonts w:hint="eastAsia"/>
              </w:rPr>
            </w:pPr>
            <w:r>
              <w:rPr>
                <w:rFonts w:hint="eastAsia"/>
              </w:rPr>
              <w:t>2.52</w:t>
            </w:r>
          </w:p>
        </w:tc>
        <w:tc>
          <w:tcPr>
            <w:tcW w:w="1491" w:type="dxa"/>
            <w:textDirection w:val="lrTb"/>
            <w:vAlign w:val="center"/>
          </w:tcPr>
          <w:p>
            <w:pPr>
              <w:pStyle w:val="23"/>
              <w:keepNext w:val="0"/>
              <w:keepLines w:val="0"/>
              <w:suppressLineNumbers w:val="0"/>
              <w:spacing w:before="0" w:beforeAutospacing="0" w:after="0" w:afterAutospacing="0"/>
              <w:ind w:left="0" w:right="0"/>
              <w:rPr>
                <w:rFonts w:hint="eastAsia"/>
              </w:rPr>
            </w:pPr>
            <w:r>
              <w:rPr>
                <w:rFonts w:hint="eastAsia"/>
              </w:rPr>
              <w:t>0.288</w:t>
            </w:r>
          </w:p>
        </w:tc>
      </w:tr>
    </w:tbl>
    <w:p>
      <w:pPr>
        <w:spacing w:line="360" w:lineRule="auto"/>
        <w:ind w:firstLine="480" w:firstLineChars="200"/>
        <w:jc w:val="left"/>
        <w:rPr>
          <w:sz w:val="24"/>
        </w:rPr>
      </w:pPr>
      <w:r>
        <w:rPr>
          <w:sz w:val="24"/>
          <w:u w:val="none"/>
        </w:rPr>
        <w:t>填埋场填埋</w:t>
      </w:r>
      <w:r>
        <w:rPr>
          <w:rFonts w:hint="eastAsia"/>
          <w:sz w:val="24"/>
          <w:u w:val="none"/>
          <w:lang w:eastAsia="zh-CN"/>
        </w:rPr>
        <w:t>废</w:t>
      </w:r>
      <w:r>
        <w:rPr>
          <w:sz w:val="24"/>
          <w:u w:val="none"/>
        </w:rPr>
        <w:t>气通过收集导排系统送至填埋气</w:t>
      </w:r>
      <w:r>
        <w:rPr>
          <w:rFonts w:hint="eastAsia"/>
          <w:sz w:val="24"/>
          <w:u w:val="none"/>
          <w:lang w:eastAsia="zh-CN"/>
        </w:rPr>
        <w:t>处理系统进行综合利用</w:t>
      </w:r>
      <w:r>
        <w:rPr>
          <w:sz w:val="24"/>
          <w:u w:val="none"/>
        </w:rPr>
        <w:t>。据了解，填埋场</w:t>
      </w:r>
      <w:r>
        <w:rPr>
          <w:rFonts w:hint="eastAsia"/>
          <w:sz w:val="24"/>
          <w:u w:val="none"/>
          <w:lang w:eastAsia="zh-CN"/>
        </w:rPr>
        <w:t>废气收集系统</w:t>
      </w:r>
      <w:r>
        <w:rPr>
          <w:sz w:val="24"/>
          <w:u w:val="none"/>
        </w:rPr>
        <w:t>集气效率可达80%。本次环评按80%收集率计算，20%为无组织排放，则不同情况下大气污染物的排放方式、排放源强详见下表。</w:t>
      </w:r>
    </w:p>
    <w:p>
      <w:pPr>
        <w:jc w:val="center"/>
        <w:rPr>
          <w:rFonts w:ascii="Times New Roman" w:hAnsi="Times New Roman" w:eastAsia="宋体" w:cstheme="minorBidi"/>
          <w:b/>
          <w:bCs/>
          <w:kern w:val="2"/>
          <w:sz w:val="21"/>
          <w:szCs w:val="21"/>
          <w:lang w:val="en-US" w:eastAsia="zh-CN" w:bidi="ar-SA"/>
        </w:rPr>
      </w:pPr>
      <w:r>
        <w:rPr>
          <w:rFonts w:ascii="Times New Roman" w:hAnsi="Times New Roman" w:eastAsia="宋体" w:cstheme="minorBidi"/>
          <w:b/>
          <w:bCs/>
          <w:kern w:val="2"/>
          <w:sz w:val="21"/>
          <w:szCs w:val="21"/>
          <w:lang w:val="en-US" w:eastAsia="zh-CN" w:bidi="ar-SA"/>
        </w:rPr>
        <w:t>表</w:t>
      </w:r>
      <w:r>
        <w:rPr>
          <w:rFonts w:hint="eastAsia" w:ascii="Times New Roman" w:hAnsi="Times New Roman" w:eastAsia="宋体" w:cstheme="minorBidi"/>
          <w:b/>
          <w:bCs/>
          <w:kern w:val="2"/>
          <w:sz w:val="21"/>
          <w:szCs w:val="21"/>
          <w:lang w:val="en-US" w:eastAsia="zh-CN" w:bidi="ar-SA"/>
        </w:rPr>
        <w:t>5-8</w:t>
      </w:r>
      <w:r>
        <w:rPr>
          <w:rFonts w:ascii="Times New Roman" w:hAnsi="Times New Roman" w:eastAsia="宋体" w:cstheme="minorBidi"/>
          <w:b/>
          <w:bCs/>
          <w:kern w:val="2"/>
          <w:sz w:val="21"/>
          <w:szCs w:val="21"/>
          <w:lang w:val="en-US" w:eastAsia="zh-CN" w:bidi="ar-SA"/>
        </w:rPr>
        <w:t xml:space="preserve">  大气污染物排放源强</w:t>
      </w:r>
      <w:r>
        <w:rPr>
          <w:rFonts w:hint="eastAsia" w:cstheme="minorBidi"/>
          <w:b/>
          <w:bCs/>
          <w:kern w:val="2"/>
          <w:sz w:val="21"/>
          <w:szCs w:val="21"/>
          <w:lang w:val="en-US" w:eastAsia="zh-CN" w:bidi="ar-SA"/>
        </w:rPr>
        <w:t xml:space="preserve">   </w:t>
      </w:r>
      <w:r>
        <w:rPr>
          <w:rFonts w:ascii="Times New Roman" w:hAnsi="Times New Roman" w:eastAsia="宋体" w:cstheme="minorBidi"/>
          <w:b/>
          <w:bCs/>
          <w:kern w:val="2"/>
          <w:sz w:val="21"/>
          <w:szCs w:val="21"/>
          <w:lang w:val="en-US" w:eastAsia="zh-CN" w:bidi="ar-SA"/>
        </w:rPr>
        <w:t>单位：kg/h</w:t>
      </w:r>
    </w:p>
    <w:tbl>
      <w:tblPr>
        <w:tblStyle w:val="20"/>
        <w:tblW w:w="87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6"/>
        <w:gridCol w:w="1812"/>
        <w:gridCol w:w="2435"/>
        <w:gridCol w:w="33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96" w:type="dxa"/>
            <w:vAlign w:val="center"/>
          </w:tcPr>
          <w:p>
            <w:pPr>
              <w:pStyle w:val="23"/>
              <w:keepNext w:val="0"/>
              <w:keepLines w:val="0"/>
              <w:suppressLineNumbers w:val="0"/>
              <w:spacing w:before="0" w:beforeAutospacing="0" w:after="0" w:afterAutospacing="0"/>
              <w:ind w:left="0" w:right="0"/>
              <w:rPr>
                <w:rFonts w:hint="default"/>
              </w:rPr>
            </w:pPr>
            <w:r>
              <w:rPr>
                <w:rFonts w:hint="default"/>
              </w:rPr>
              <w:t>年份</w:t>
            </w:r>
          </w:p>
        </w:tc>
        <w:tc>
          <w:tcPr>
            <w:tcW w:w="1812" w:type="dxa"/>
            <w:vAlign w:val="center"/>
          </w:tcPr>
          <w:p>
            <w:pPr>
              <w:pStyle w:val="23"/>
              <w:keepNext w:val="0"/>
              <w:keepLines w:val="0"/>
              <w:suppressLineNumbers w:val="0"/>
              <w:spacing w:before="0" w:beforeAutospacing="0" w:after="0" w:afterAutospacing="0"/>
              <w:ind w:left="0" w:right="0"/>
              <w:rPr>
                <w:rFonts w:hint="default"/>
              </w:rPr>
            </w:pPr>
            <w:r>
              <w:rPr>
                <w:rFonts w:hint="default"/>
              </w:rPr>
              <w:t>排放状态</w:t>
            </w:r>
          </w:p>
        </w:tc>
        <w:tc>
          <w:tcPr>
            <w:tcW w:w="2435" w:type="dxa"/>
            <w:vAlign w:val="center"/>
          </w:tcPr>
          <w:p>
            <w:pPr>
              <w:pStyle w:val="23"/>
              <w:keepNext w:val="0"/>
              <w:keepLines w:val="0"/>
              <w:suppressLineNumbers w:val="0"/>
              <w:spacing w:before="0" w:beforeAutospacing="0" w:after="0" w:afterAutospacing="0"/>
              <w:ind w:left="0" w:right="0"/>
              <w:rPr>
                <w:rFonts w:hint="default"/>
              </w:rPr>
            </w:pPr>
            <w:r>
              <w:rPr>
                <w:rFonts w:hint="default"/>
              </w:rPr>
              <w:t>排放方式</w:t>
            </w:r>
          </w:p>
        </w:tc>
        <w:tc>
          <w:tcPr>
            <w:tcW w:w="3377" w:type="dxa"/>
            <w:vAlign w:val="center"/>
          </w:tcPr>
          <w:p>
            <w:pPr>
              <w:pStyle w:val="23"/>
              <w:keepNext w:val="0"/>
              <w:keepLines w:val="0"/>
              <w:suppressLineNumbers w:val="0"/>
              <w:spacing w:before="0" w:beforeAutospacing="0" w:after="0" w:afterAutospacing="0"/>
              <w:ind w:left="0" w:right="0"/>
              <w:rPr>
                <w:rFonts w:hint="default"/>
              </w:rPr>
            </w:pPr>
            <w:r>
              <w:rPr>
                <w:rFonts w:hint="default"/>
              </w:rPr>
              <w:t>排放源强(kg/h)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1096" w:type="dxa"/>
            <w:vMerge w:val="restart"/>
            <w:vAlign w:val="center"/>
          </w:tcPr>
          <w:p>
            <w:pPr>
              <w:pStyle w:val="23"/>
              <w:keepNext w:val="0"/>
              <w:keepLines w:val="0"/>
              <w:suppressLineNumbers w:val="0"/>
              <w:spacing w:before="0" w:beforeAutospacing="0" w:after="0" w:afterAutospacing="0"/>
              <w:ind w:left="0" w:right="0"/>
              <w:rPr>
                <w:rFonts w:hint="default"/>
              </w:rPr>
            </w:pPr>
            <w:r>
              <w:rPr>
                <w:rFonts w:hint="default"/>
              </w:rPr>
              <w:t>2018</w:t>
            </w:r>
          </w:p>
        </w:tc>
        <w:tc>
          <w:tcPr>
            <w:tcW w:w="1812" w:type="dxa"/>
            <w:vAlign w:val="center"/>
          </w:tcPr>
          <w:p>
            <w:pPr>
              <w:pStyle w:val="23"/>
              <w:keepNext w:val="0"/>
              <w:keepLines w:val="0"/>
              <w:suppressLineNumbers w:val="0"/>
              <w:spacing w:before="0" w:beforeAutospacing="0" w:after="0" w:afterAutospacing="0"/>
              <w:ind w:left="0" w:right="0"/>
              <w:rPr>
                <w:rFonts w:hint="default"/>
              </w:rPr>
            </w:pPr>
            <w:r>
              <w:rPr>
                <w:rFonts w:hint="default"/>
              </w:rPr>
              <w:t>正常排放</w:t>
            </w:r>
          </w:p>
        </w:tc>
        <w:tc>
          <w:tcPr>
            <w:tcW w:w="2435" w:type="dxa"/>
            <w:vAlign w:val="center"/>
          </w:tcPr>
          <w:p>
            <w:pPr>
              <w:pStyle w:val="23"/>
              <w:keepNext w:val="0"/>
              <w:keepLines w:val="0"/>
              <w:suppressLineNumbers w:val="0"/>
              <w:spacing w:before="0" w:beforeAutospacing="0" w:after="0" w:afterAutospacing="0"/>
              <w:ind w:left="0" w:right="0"/>
              <w:rPr>
                <w:rFonts w:hint="default"/>
              </w:rPr>
            </w:pPr>
            <w:r>
              <w:rPr>
                <w:rFonts w:hint="default"/>
              </w:rPr>
              <w:t>有组织排放（80%）</w:t>
            </w:r>
          </w:p>
        </w:tc>
        <w:tc>
          <w:tcPr>
            <w:tcW w:w="3377" w:type="dxa"/>
            <w:vAlign w:val="center"/>
          </w:tcPr>
          <w:p>
            <w:pPr>
              <w:pStyle w:val="23"/>
              <w:keepNext w:val="0"/>
              <w:keepLines w:val="0"/>
              <w:suppressLineNumbers w:val="0"/>
              <w:spacing w:before="0" w:beforeAutospacing="0" w:after="0" w:afterAutospacing="0"/>
              <w:ind w:left="0" w:right="0"/>
              <w:rPr>
                <w:rFonts w:hint="eastAsia"/>
              </w:rPr>
            </w:pPr>
            <w:r>
              <w:rPr>
                <w:rFonts w:hint="default"/>
              </w:rPr>
              <w:t>NH</w:t>
            </w:r>
            <w:r>
              <w:rPr>
                <w:rFonts w:hint="default"/>
                <w:vertAlign w:val="subscript"/>
              </w:rPr>
              <w:t>3</w:t>
            </w:r>
            <w:r>
              <w:rPr>
                <w:rFonts w:hint="default"/>
              </w:rPr>
              <w:t>：</w:t>
            </w:r>
            <w:r>
              <w:rPr>
                <w:rFonts w:hint="eastAsia"/>
              </w:rPr>
              <w:t>0.230</w:t>
            </w:r>
            <w:r>
              <w:rPr>
                <w:rFonts w:hint="default"/>
              </w:rPr>
              <w:t>，H</w:t>
            </w:r>
            <w:r>
              <w:rPr>
                <w:rFonts w:hint="default"/>
                <w:vertAlign w:val="subscript"/>
              </w:rPr>
              <w:t>2</w:t>
            </w:r>
            <w:r>
              <w:rPr>
                <w:rFonts w:hint="default"/>
              </w:rPr>
              <w:t>S：</w:t>
            </w:r>
            <w:r>
              <w:rPr>
                <w:rFonts w:hint="eastAsia"/>
              </w:rPr>
              <w:t>0.115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96" w:type="dxa"/>
            <w:vMerge w:val="continue"/>
            <w:vAlign w:val="center"/>
          </w:tcPr>
          <w:p>
            <w:pPr>
              <w:pStyle w:val="23"/>
              <w:keepNext w:val="0"/>
              <w:keepLines w:val="0"/>
              <w:suppressLineNumbers w:val="0"/>
              <w:spacing w:before="0" w:beforeAutospacing="0" w:after="0" w:afterAutospacing="0"/>
              <w:ind w:left="0" w:right="0"/>
              <w:rPr>
                <w:rFonts w:hint="default"/>
              </w:rPr>
            </w:pPr>
          </w:p>
        </w:tc>
        <w:tc>
          <w:tcPr>
            <w:tcW w:w="1812" w:type="dxa"/>
            <w:vAlign w:val="center"/>
          </w:tcPr>
          <w:p>
            <w:pPr>
              <w:pStyle w:val="23"/>
              <w:keepNext w:val="0"/>
              <w:keepLines w:val="0"/>
              <w:suppressLineNumbers w:val="0"/>
              <w:spacing w:before="0" w:beforeAutospacing="0" w:after="0" w:afterAutospacing="0"/>
              <w:ind w:left="0" w:right="0"/>
              <w:rPr>
                <w:rFonts w:hint="default"/>
              </w:rPr>
            </w:pPr>
            <w:r>
              <w:rPr>
                <w:rFonts w:hint="default"/>
              </w:rPr>
              <w:t>非正常排放</w:t>
            </w:r>
          </w:p>
        </w:tc>
        <w:tc>
          <w:tcPr>
            <w:tcW w:w="2435" w:type="dxa"/>
            <w:vAlign w:val="center"/>
          </w:tcPr>
          <w:p>
            <w:pPr>
              <w:pStyle w:val="23"/>
              <w:keepNext w:val="0"/>
              <w:keepLines w:val="0"/>
              <w:suppressLineNumbers w:val="0"/>
              <w:spacing w:before="0" w:beforeAutospacing="0" w:after="0" w:afterAutospacing="0"/>
              <w:ind w:left="0" w:right="0"/>
              <w:rPr>
                <w:rFonts w:hint="default"/>
              </w:rPr>
            </w:pPr>
            <w:r>
              <w:rPr>
                <w:rFonts w:hint="default"/>
              </w:rPr>
              <w:t>无组织排放（20%）</w:t>
            </w:r>
          </w:p>
        </w:tc>
        <w:tc>
          <w:tcPr>
            <w:tcW w:w="3377" w:type="dxa"/>
            <w:vAlign w:val="center"/>
          </w:tcPr>
          <w:p>
            <w:pPr>
              <w:pStyle w:val="23"/>
              <w:keepNext w:val="0"/>
              <w:keepLines w:val="0"/>
              <w:suppressLineNumbers w:val="0"/>
              <w:spacing w:before="0" w:beforeAutospacing="0" w:after="0" w:afterAutospacing="0"/>
              <w:ind w:left="0" w:right="0"/>
              <w:rPr>
                <w:rFonts w:hint="eastAsia"/>
              </w:rPr>
            </w:pPr>
            <w:r>
              <w:rPr>
                <w:rFonts w:hint="default"/>
              </w:rPr>
              <w:t>NH</w:t>
            </w:r>
            <w:r>
              <w:rPr>
                <w:rFonts w:hint="default"/>
                <w:vertAlign w:val="subscript"/>
              </w:rPr>
              <w:t>3</w:t>
            </w:r>
            <w:r>
              <w:rPr>
                <w:rFonts w:hint="default"/>
              </w:rPr>
              <w:t>：</w:t>
            </w:r>
            <w:r>
              <w:rPr>
                <w:rFonts w:hint="eastAsia"/>
              </w:rPr>
              <w:t>0.058</w:t>
            </w:r>
            <w:r>
              <w:rPr>
                <w:rFonts w:hint="default"/>
              </w:rPr>
              <w:t>，H</w:t>
            </w:r>
            <w:r>
              <w:rPr>
                <w:rFonts w:hint="default"/>
                <w:vertAlign w:val="subscript"/>
              </w:rPr>
              <w:t>2</w:t>
            </w:r>
            <w:r>
              <w:rPr>
                <w:rFonts w:hint="default"/>
              </w:rPr>
              <w:t>S：</w:t>
            </w:r>
            <w:r>
              <w:rPr>
                <w:rFonts w:hint="eastAsia"/>
              </w:rPr>
              <w:t>0.029</w:t>
            </w:r>
          </w:p>
        </w:tc>
      </w:tr>
    </w:tbl>
    <w:p>
      <w:pPr>
        <w:keepNext w:val="0"/>
        <w:keepLines w:val="0"/>
        <w:widowControl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2、渗滤液调节池和处理恶臭</w:t>
      </w:r>
    </w:p>
    <w:p>
      <w:pPr>
        <w:keepNext w:val="0"/>
        <w:keepLines w:val="0"/>
        <w:widowControl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本改造工程建成后，渗滤液调节池采用浮动盖密闭，通过导出系统排入大气，本环评建议设置甲烷报警器和将导出气体通过管道接入填埋区沼气收集系统。因此，该渗滤液调节池处无无组织恶臭气体排放。</w:t>
      </w:r>
    </w:p>
    <w:p>
      <w:pPr>
        <w:rPr>
          <w:color w:val="auto"/>
          <w:lang w:val="en-US"/>
        </w:rPr>
      </w:pPr>
      <w:r>
        <w:rPr>
          <w:rFonts w:hint="eastAsia"/>
          <w:color w:val="auto"/>
          <w:lang w:val="en-US" w:eastAsia="zh-CN"/>
        </w:rPr>
        <w:t>3、垃圾运输及填埋扬尘</w:t>
      </w:r>
    </w:p>
    <w:p>
      <w:pPr>
        <w:rPr>
          <w:color w:val="auto"/>
          <w:szCs w:val="24"/>
          <w:lang w:val="en-US"/>
        </w:rPr>
      </w:pPr>
      <w:r>
        <w:rPr>
          <w:rFonts w:hint="eastAsia"/>
          <w:color w:val="auto"/>
          <w:lang w:val="en-US" w:eastAsia="zh-CN"/>
        </w:rPr>
        <w:t>垃圾运输、填埋过程中产生的扬尘产生量与扬尘背景浓度、天气情况、填埋工艺及人员素质均有关系，一般排放量较少。</w:t>
      </w:r>
    </w:p>
    <w:p>
      <w:pPr>
        <w:pStyle w:val="4"/>
        <w:rPr>
          <w:rFonts w:hint="eastAsia"/>
          <w:color w:val="auto"/>
          <w:lang w:val="en-US" w:eastAsia="zh-CN"/>
        </w:rPr>
      </w:pPr>
      <w:r>
        <w:rPr>
          <w:rFonts w:hint="eastAsia"/>
          <w:color w:val="auto"/>
          <w:lang w:val="en-US" w:eastAsia="zh-CN"/>
        </w:rPr>
        <w:t>5.4.2废水</w:t>
      </w:r>
    </w:p>
    <w:p>
      <w:pPr>
        <w:rPr>
          <w:rFonts w:hint="eastAsia"/>
          <w:color w:val="auto"/>
          <w:lang w:val="en-US" w:eastAsia="zh-CN"/>
        </w:rPr>
      </w:pPr>
      <w:r>
        <w:rPr>
          <w:rFonts w:hint="eastAsia"/>
          <w:color w:val="auto"/>
          <w:lang w:val="en-US" w:eastAsia="zh-CN"/>
        </w:rPr>
        <w:t>1、渗滤液产生量</w:t>
      </w:r>
    </w:p>
    <w:p>
      <w:pPr>
        <w:spacing w:line="360" w:lineRule="auto"/>
        <w:ind w:firstLine="482"/>
        <w:rPr>
          <w:rFonts w:hint="eastAsia" w:eastAsia="宋体"/>
          <w:color w:val="auto"/>
          <w:sz w:val="24"/>
          <w:lang w:eastAsia="zh-CN"/>
        </w:rPr>
      </w:pPr>
      <w:r>
        <w:rPr>
          <w:rFonts w:hint="eastAsia"/>
          <w:color w:val="auto"/>
          <w:sz w:val="24"/>
          <w:lang w:eastAsia="zh-CN"/>
        </w:rPr>
        <w:t>①场区渗滤液产生的量</w:t>
      </w:r>
    </w:p>
    <w:p>
      <w:pPr>
        <w:spacing w:line="360" w:lineRule="auto"/>
        <w:ind w:firstLine="482"/>
        <w:rPr>
          <w:color w:val="auto"/>
          <w:sz w:val="24"/>
        </w:rPr>
      </w:pPr>
      <w:r>
        <w:rPr>
          <w:color w:val="auto"/>
          <w:sz w:val="24"/>
        </w:rPr>
        <w:t>根据《生活垃圾填埋场渗滤液处理工程技术规范》(HJ564-2010)：渗滤液产生量的计算宜采用经验公式法(浸出系数法)，计算公式如下：</w:t>
      </w:r>
    </w:p>
    <w:p>
      <w:pPr>
        <w:spacing w:line="360" w:lineRule="auto"/>
        <w:ind w:firstLine="482"/>
        <w:rPr>
          <w:color w:val="auto"/>
          <w:sz w:val="24"/>
          <w:lang w:val="pt-BR"/>
        </w:rPr>
      </w:pPr>
      <w:bookmarkStart w:id="45" w:name="_Toc302659974"/>
      <w:bookmarkStart w:id="46" w:name="_Toc302635049"/>
      <w:bookmarkStart w:id="47" w:name="_Toc433810889"/>
      <w:bookmarkStart w:id="48" w:name="_Toc433556406"/>
      <w:bookmarkStart w:id="49" w:name="_Toc406347597"/>
      <w:bookmarkStart w:id="50" w:name="_Toc440029062"/>
      <w:r>
        <w:rPr>
          <w:color w:val="auto"/>
          <w:sz w:val="24"/>
          <w:lang w:val="pt-BR"/>
        </w:rPr>
        <w:t>Q=(C</w:t>
      </w:r>
      <w:r>
        <w:rPr>
          <w:color w:val="auto"/>
          <w:sz w:val="24"/>
          <w:vertAlign w:val="subscript"/>
          <w:lang w:val="pt-BR"/>
        </w:rPr>
        <w:t>1</w:t>
      </w:r>
      <w:r>
        <w:rPr>
          <w:color w:val="auto"/>
          <w:sz w:val="24"/>
          <w:lang w:val="pt-BR"/>
        </w:rPr>
        <w:t>A</w:t>
      </w:r>
      <w:r>
        <w:rPr>
          <w:color w:val="auto"/>
          <w:sz w:val="24"/>
          <w:vertAlign w:val="subscript"/>
          <w:lang w:val="pt-BR"/>
        </w:rPr>
        <w:t>1</w:t>
      </w:r>
      <w:r>
        <w:rPr>
          <w:color w:val="auto"/>
          <w:sz w:val="24"/>
          <w:lang w:val="pt-BR"/>
        </w:rPr>
        <w:t>+ C</w:t>
      </w:r>
      <w:r>
        <w:rPr>
          <w:color w:val="auto"/>
          <w:sz w:val="24"/>
          <w:vertAlign w:val="subscript"/>
          <w:lang w:val="pt-BR"/>
        </w:rPr>
        <w:t>2</w:t>
      </w:r>
      <w:r>
        <w:rPr>
          <w:color w:val="auto"/>
          <w:sz w:val="24"/>
          <w:lang w:val="pt-BR"/>
        </w:rPr>
        <w:t>A</w:t>
      </w:r>
      <w:r>
        <w:rPr>
          <w:color w:val="auto"/>
          <w:sz w:val="24"/>
          <w:vertAlign w:val="subscript"/>
          <w:lang w:val="pt-BR"/>
        </w:rPr>
        <w:t>2</w:t>
      </w:r>
      <w:r>
        <w:rPr>
          <w:color w:val="auto"/>
          <w:sz w:val="24"/>
          <w:lang w:val="pt-BR"/>
        </w:rPr>
        <w:t>+ C</w:t>
      </w:r>
      <w:r>
        <w:rPr>
          <w:color w:val="auto"/>
          <w:sz w:val="24"/>
          <w:vertAlign w:val="subscript"/>
          <w:lang w:val="pt-BR"/>
        </w:rPr>
        <w:t>3</w:t>
      </w:r>
      <w:r>
        <w:rPr>
          <w:color w:val="auto"/>
          <w:sz w:val="24"/>
          <w:lang w:val="pt-BR"/>
        </w:rPr>
        <w:t>A</w:t>
      </w:r>
      <w:r>
        <w:rPr>
          <w:color w:val="auto"/>
          <w:sz w:val="24"/>
          <w:vertAlign w:val="subscript"/>
          <w:lang w:val="pt-BR"/>
        </w:rPr>
        <w:t>3</w:t>
      </w:r>
      <w:r>
        <w:rPr>
          <w:rFonts w:hint="eastAsia"/>
          <w:color w:val="auto"/>
          <w:sz w:val="24"/>
          <w:vertAlign w:val="subscript"/>
          <w:lang w:val="en-US" w:eastAsia="zh-CN"/>
        </w:rPr>
        <w:t>+</w:t>
      </w:r>
      <w:r>
        <w:rPr>
          <w:color w:val="auto"/>
          <w:sz w:val="24"/>
          <w:lang w:val="pt-BR"/>
        </w:rPr>
        <w:t>C</w:t>
      </w:r>
      <w:r>
        <w:rPr>
          <w:rFonts w:hint="eastAsia"/>
          <w:color w:val="auto"/>
          <w:sz w:val="24"/>
          <w:vertAlign w:val="subscript"/>
          <w:lang w:val="en-US" w:eastAsia="zh-CN"/>
        </w:rPr>
        <w:t>4</w:t>
      </w:r>
      <w:r>
        <w:rPr>
          <w:color w:val="auto"/>
          <w:sz w:val="24"/>
          <w:lang w:val="pt-BR"/>
        </w:rPr>
        <w:t>A</w:t>
      </w:r>
      <w:r>
        <w:rPr>
          <w:rFonts w:hint="eastAsia"/>
          <w:color w:val="auto"/>
          <w:sz w:val="24"/>
          <w:vertAlign w:val="subscript"/>
          <w:lang w:val="en-US" w:eastAsia="zh-CN"/>
        </w:rPr>
        <w:t>4</w:t>
      </w:r>
      <w:r>
        <w:rPr>
          <w:color w:val="auto"/>
          <w:sz w:val="24"/>
          <w:lang w:val="pt-BR"/>
        </w:rPr>
        <w:t>)</w:t>
      </w:r>
      <w:r>
        <w:rPr>
          <w:rFonts w:hint="eastAsia"/>
          <w:color w:val="auto"/>
          <w:sz w:val="24"/>
          <w:lang w:val="en-US" w:eastAsia="zh-CN"/>
        </w:rPr>
        <w:t>*</w:t>
      </w:r>
      <w:r>
        <w:rPr>
          <w:color w:val="auto"/>
          <w:sz w:val="24"/>
          <w:lang w:val="pt-BR"/>
        </w:rPr>
        <w:t>I/1000</w:t>
      </w:r>
      <w:bookmarkEnd w:id="45"/>
      <w:bookmarkEnd w:id="46"/>
      <w:bookmarkEnd w:id="47"/>
      <w:bookmarkEnd w:id="48"/>
      <w:bookmarkEnd w:id="49"/>
      <w:bookmarkEnd w:id="50"/>
      <w:r>
        <w:rPr>
          <w:color w:val="auto"/>
          <w:sz w:val="24"/>
          <w:lang w:val="pt-BR"/>
        </w:rPr>
        <w:t xml:space="preserve"> </w:t>
      </w:r>
    </w:p>
    <w:p>
      <w:pPr>
        <w:spacing w:line="360" w:lineRule="auto"/>
        <w:ind w:firstLine="482"/>
        <w:rPr>
          <w:color w:val="auto"/>
          <w:sz w:val="24"/>
          <w:lang w:val="pt-BR"/>
        </w:rPr>
      </w:pPr>
      <w:r>
        <w:rPr>
          <w:color w:val="auto"/>
          <w:sz w:val="24"/>
          <w:lang w:val="pt-BR"/>
        </w:rPr>
        <w:t xml:space="preserve"> </w:t>
      </w:r>
      <w:bookmarkStart w:id="51" w:name="_Toc433556407"/>
      <w:bookmarkStart w:id="52" w:name="_Toc440029063"/>
      <w:bookmarkStart w:id="53" w:name="_Toc433810890"/>
      <w:r>
        <w:rPr>
          <w:color w:val="auto"/>
          <w:sz w:val="24"/>
          <w:lang w:val="pt-BR"/>
        </w:rPr>
        <w:t>=(500</w:t>
      </w:r>
      <w:r>
        <w:rPr>
          <w:rFonts w:hint="eastAsia"/>
          <w:color w:val="auto"/>
          <w:sz w:val="24"/>
          <w:lang w:val="en-US" w:eastAsia="zh-CN"/>
        </w:rPr>
        <w:t>0</w:t>
      </w:r>
      <w:r>
        <w:rPr>
          <w:color w:val="auto"/>
          <w:sz w:val="24"/>
          <w:lang w:val="pt-BR"/>
        </w:rPr>
        <w:t>×0.</w:t>
      </w:r>
      <w:r>
        <w:rPr>
          <w:rFonts w:hint="eastAsia"/>
          <w:color w:val="auto"/>
          <w:sz w:val="24"/>
          <w:lang w:val="en-US" w:eastAsia="zh-CN"/>
        </w:rPr>
        <w:t>6</w:t>
      </w:r>
      <w:r>
        <w:rPr>
          <w:color w:val="auto"/>
          <w:sz w:val="24"/>
          <w:lang w:val="pt-BR"/>
        </w:rPr>
        <w:t>+</w:t>
      </w:r>
      <w:r>
        <w:rPr>
          <w:rFonts w:hint="eastAsia"/>
          <w:color w:val="auto"/>
          <w:sz w:val="24"/>
          <w:lang w:val="en-US" w:eastAsia="zh-CN"/>
        </w:rPr>
        <w:t>85800</w:t>
      </w:r>
      <w:r>
        <w:rPr>
          <w:color w:val="auto"/>
          <w:sz w:val="24"/>
          <w:lang w:val="pt-BR"/>
        </w:rPr>
        <w:t>×0.2+</w:t>
      </w:r>
      <w:r>
        <w:rPr>
          <w:rFonts w:hint="eastAsia"/>
          <w:color w:val="auto"/>
          <w:sz w:val="24"/>
          <w:lang w:val="en-US" w:eastAsia="zh-CN"/>
        </w:rPr>
        <w:t>0</w:t>
      </w:r>
      <w:r>
        <w:rPr>
          <w:color w:val="auto"/>
          <w:sz w:val="24"/>
          <w:lang w:val="pt-BR"/>
        </w:rPr>
        <w:t>×0.1</w:t>
      </w:r>
      <w:r>
        <w:rPr>
          <w:rFonts w:hint="eastAsia"/>
          <w:color w:val="auto"/>
          <w:sz w:val="24"/>
          <w:lang w:val="en-US" w:eastAsia="zh-CN"/>
        </w:rPr>
        <w:t>+</w:t>
      </w:r>
      <w:r>
        <w:rPr>
          <w:rFonts w:hint="eastAsia"/>
        </w:rPr>
        <w:t>3142.6</w:t>
      </w:r>
      <w:r>
        <w:rPr>
          <w:color w:val="auto"/>
          <w:sz w:val="24"/>
          <w:lang w:val="pt-BR"/>
        </w:rPr>
        <w:t>×</w:t>
      </w:r>
      <w:r>
        <w:rPr>
          <w:rFonts w:hint="eastAsia"/>
          <w:color w:val="auto"/>
          <w:sz w:val="24"/>
          <w:lang w:val="en-US" w:eastAsia="zh-CN"/>
        </w:rPr>
        <w:t>0</w:t>
      </w:r>
      <w:r>
        <w:rPr>
          <w:color w:val="auto"/>
          <w:sz w:val="24"/>
          <w:lang w:val="pt-BR"/>
        </w:rPr>
        <w:t>)×</w:t>
      </w:r>
      <w:r>
        <w:rPr>
          <w:rFonts w:hint="eastAsia"/>
          <w:color w:val="auto"/>
          <w:sz w:val="24"/>
          <w:lang w:val="en-US" w:eastAsia="zh-CN"/>
        </w:rPr>
        <w:t>3</w:t>
      </w:r>
      <w:r>
        <w:rPr>
          <w:color w:val="auto"/>
          <w:sz w:val="24"/>
          <w:lang w:val="pt-BR"/>
        </w:rPr>
        <w:t>.6/1000＝</w:t>
      </w:r>
      <w:r>
        <w:rPr>
          <w:rFonts w:hint="eastAsia"/>
          <w:color w:val="auto"/>
          <w:sz w:val="24"/>
          <w:lang w:val="en-US" w:eastAsia="zh-CN"/>
        </w:rPr>
        <w:t>72.6</w:t>
      </w:r>
      <w:r>
        <w:rPr>
          <w:color w:val="auto"/>
          <w:sz w:val="24"/>
          <w:lang w:val="pt-BR"/>
        </w:rPr>
        <w:t>m</w:t>
      </w:r>
      <w:r>
        <w:rPr>
          <w:color w:val="auto"/>
          <w:sz w:val="24"/>
          <w:vertAlign w:val="superscript"/>
          <w:lang w:val="pt-BR"/>
        </w:rPr>
        <w:t>3</w:t>
      </w:r>
      <w:r>
        <w:rPr>
          <w:color w:val="auto"/>
          <w:sz w:val="24"/>
          <w:lang w:val="pt-BR"/>
        </w:rPr>
        <w:t>/d</w:t>
      </w:r>
      <w:r>
        <w:rPr>
          <w:color w:val="auto"/>
          <w:sz w:val="24"/>
        </w:rPr>
        <w:t>。</w:t>
      </w:r>
      <w:bookmarkEnd w:id="51"/>
      <w:bookmarkEnd w:id="52"/>
      <w:bookmarkEnd w:id="53"/>
    </w:p>
    <w:p>
      <w:pPr>
        <w:spacing w:line="360" w:lineRule="auto"/>
        <w:ind w:firstLine="482"/>
        <w:rPr>
          <w:color w:val="auto"/>
          <w:sz w:val="24"/>
        </w:rPr>
      </w:pPr>
      <w:r>
        <w:rPr>
          <w:color w:val="auto"/>
          <w:sz w:val="24"/>
        </w:rPr>
        <w:t>式中：</w:t>
      </w:r>
    </w:p>
    <w:p>
      <w:pPr>
        <w:spacing w:line="360" w:lineRule="auto"/>
        <w:ind w:firstLine="482"/>
        <w:rPr>
          <w:color w:val="auto"/>
          <w:sz w:val="24"/>
        </w:rPr>
      </w:pPr>
      <w:r>
        <w:rPr>
          <w:color w:val="auto"/>
          <w:sz w:val="24"/>
        </w:rPr>
        <w:t>Q--渗滤液平均日产生量，m</w:t>
      </w:r>
      <w:r>
        <w:rPr>
          <w:color w:val="auto"/>
          <w:sz w:val="24"/>
          <w:vertAlign w:val="superscript"/>
        </w:rPr>
        <w:t>3</w:t>
      </w:r>
      <w:r>
        <w:rPr>
          <w:color w:val="auto"/>
          <w:sz w:val="24"/>
        </w:rPr>
        <w:t>/d；</w:t>
      </w:r>
    </w:p>
    <w:p>
      <w:pPr>
        <w:spacing w:line="360" w:lineRule="auto"/>
        <w:ind w:firstLine="482"/>
        <w:rPr>
          <w:color w:val="auto"/>
          <w:sz w:val="24"/>
        </w:rPr>
      </w:pPr>
      <w:bookmarkStart w:id="54" w:name="_Toc433556408"/>
      <w:bookmarkStart w:id="55" w:name="_Toc406347598"/>
      <w:bookmarkStart w:id="56" w:name="_Toc440029064"/>
      <w:bookmarkStart w:id="57" w:name="_Toc433810891"/>
      <w:r>
        <w:rPr>
          <w:color w:val="auto"/>
          <w:sz w:val="24"/>
        </w:rPr>
        <w:t>I--多年平均日降雨量，mm/d；</w:t>
      </w:r>
      <w:r>
        <w:rPr>
          <w:rFonts w:hint="eastAsia"/>
          <w:color w:val="auto"/>
          <w:sz w:val="24"/>
          <w:lang w:val="en-US" w:eastAsia="zh-CN"/>
        </w:rPr>
        <w:t>1314.1</w:t>
      </w:r>
      <w:r>
        <w:rPr>
          <w:color w:val="auto"/>
          <w:sz w:val="24"/>
        </w:rPr>
        <w:t>/365=</w:t>
      </w:r>
      <w:r>
        <w:rPr>
          <w:rFonts w:hint="eastAsia"/>
          <w:color w:val="auto"/>
          <w:sz w:val="24"/>
          <w:lang w:val="en-US" w:eastAsia="zh-CN"/>
        </w:rPr>
        <w:t>3</w:t>
      </w:r>
      <w:r>
        <w:rPr>
          <w:color w:val="auto"/>
          <w:sz w:val="24"/>
        </w:rPr>
        <w:t>.6 mm/d；</w:t>
      </w:r>
      <w:bookmarkEnd w:id="54"/>
      <w:bookmarkEnd w:id="55"/>
      <w:bookmarkEnd w:id="56"/>
      <w:bookmarkEnd w:id="57"/>
    </w:p>
    <w:p>
      <w:pPr>
        <w:spacing w:line="360" w:lineRule="auto"/>
        <w:ind w:firstLine="482"/>
        <w:rPr>
          <w:color w:val="auto"/>
          <w:sz w:val="24"/>
        </w:rPr>
      </w:pPr>
      <w:r>
        <w:rPr>
          <w:color w:val="auto"/>
          <w:sz w:val="24"/>
        </w:rPr>
        <w:t>A</w:t>
      </w:r>
      <w:r>
        <w:rPr>
          <w:color w:val="auto"/>
          <w:sz w:val="24"/>
          <w:vertAlign w:val="subscript"/>
          <w:lang w:val="pt-BR"/>
        </w:rPr>
        <w:t>1</w:t>
      </w:r>
      <w:r>
        <w:rPr>
          <w:color w:val="auto"/>
          <w:sz w:val="24"/>
        </w:rPr>
        <w:t>--作业单元汇水面积，m</w:t>
      </w:r>
      <w:r>
        <w:rPr>
          <w:color w:val="auto"/>
          <w:sz w:val="24"/>
          <w:vertAlign w:val="superscript"/>
        </w:rPr>
        <w:t>2</w:t>
      </w:r>
      <w:r>
        <w:rPr>
          <w:color w:val="auto"/>
          <w:sz w:val="24"/>
        </w:rPr>
        <w:t xml:space="preserve">； </w:t>
      </w:r>
    </w:p>
    <w:p>
      <w:pPr>
        <w:spacing w:line="360" w:lineRule="auto"/>
        <w:ind w:firstLine="482"/>
        <w:rPr>
          <w:color w:val="auto"/>
          <w:sz w:val="24"/>
        </w:rPr>
      </w:pPr>
      <w:r>
        <w:rPr>
          <w:color w:val="auto"/>
          <w:sz w:val="24"/>
        </w:rPr>
        <w:t>C</w:t>
      </w:r>
      <w:r>
        <w:rPr>
          <w:color w:val="auto"/>
          <w:sz w:val="24"/>
          <w:vertAlign w:val="subscript"/>
          <w:lang w:val="pt-BR"/>
        </w:rPr>
        <w:t>1</w:t>
      </w:r>
      <w:r>
        <w:rPr>
          <w:color w:val="auto"/>
          <w:sz w:val="24"/>
        </w:rPr>
        <w:t>--作业单元渗出系数，一般宜取0.5～0.8；根据资料本工程所在地</w:t>
      </w:r>
      <w:r>
        <w:rPr>
          <w:rFonts w:hint="eastAsia"/>
          <w:color w:val="auto"/>
          <w:sz w:val="24"/>
          <w:lang w:eastAsia="zh-CN"/>
        </w:rPr>
        <w:t>多</w:t>
      </w:r>
      <w:r>
        <w:rPr>
          <w:color w:val="auto"/>
          <w:sz w:val="24"/>
        </w:rPr>
        <w:t>年</w:t>
      </w:r>
      <w:r>
        <w:rPr>
          <w:rFonts w:hint="eastAsia"/>
          <w:color w:val="auto"/>
          <w:sz w:val="24"/>
          <w:lang w:eastAsia="zh-CN"/>
        </w:rPr>
        <w:t>平均</w:t>
      </w:r>
      <w:r>
        <w:rPr>
          <w:color w:val="auto"/>
          <w:sz w:val="24"/>
        </w:rPr>
        <w:t>蒸发量为</w:t>
      </w:r>
      <w:r>
        <w:rPr>
          <w:rFonts w:hint="eastAsia"/>
          <w:color w:val="auto"/>
          <w:sz w:val="24"/>
          <w:lang w:val="en-US" w:eastAsia="zh-CN"/>
        </w:rPr>
        <w:t>1446.4</w:t>
      </w:r>
      <w:r>
        <w:rPr>
          <w:color w:val="auto"/>
          <w:sz w:val="24"/>
        </w:rPr>
        <w:t>mm</w:t>
      </w:r>
      <w:r>
        <w:rPr>
          <w:rFonts w:hint="eastAsia"/>
          <w:color w:val="auto"/>
          <w:sz w:val="24"/>
          <w:lang w:eastAsia="zh-CN"/>
        </w:rPr>
        <w:t>大</w:t>
      </w:r>
      <w:r>
        <w:rPr>
          <w:color w:val="auto"/>
          <w:sz w:val="24"/>
        </w:rPr>
        <w:t>于降雨量</w:t>
      </w:r>
      <w:r>
        <w:rPr>
          <w:rFonts w:hint="eastAsia"/>
          <w:color w:val="auto"/>
          <w:sz w:val="24"/>
          <w:lang w:val="en-US" w:eastAsia="zh-CN"/>
        </w:rPr>
        <w:t>1314.1</w:t>
      </w:r>
      <w:r>
        <w:rPr>
          <w:color w:val="auto"/>
          <w:sz w:val="24"/>
        </w:rPr>
        <w:t>mm，所以C</w:t>
      </w:r>
      <w:r>
        <w:rPr>
          <w:color w:val="auto"/>
          <w:sz w:val="24"/>
          <w:vertAlign w:val="subscript"/>
          <w:lang w:val="pt-BR"/>
        </w:rPr>
        <w:t>1</w:t>
      </w:r>
      <w:r>
        <w:rPr>
          <w:color w:val="auto"/>
          <w:sz w:val="24"/>
        </w:rPr>
        <w:t>取0.</w:t>
      </w:r>
      <w:r>
        <w:rPr>
          <w:rFonts w:hint="eastAsia"/>
          <w:color w:val="auto"/>
          <w:sz w:val="24"/>
          <w:lang w:val="en-US" w:eastAsia="zh-CN"/>
        </w:rPr>
        <w:t>6</w:t>
      </w:r>
      <w:r>
        <w:rPr>
          <w:color w:val="auto"/>
          <w:sz w:val="24"/>
        </w:rPr>
        <w:t>；</w:t>
      </w:r>
    </w:p>
    <w:p>
      <w:pPr>
        <w:spacing w:line="360" w:lineRule="auto"/>
        <w:ind w:firstLine="482"/>
        <w:rPr>
          <w:color w:val="auto"/>
          <w:sz w:val="24"/>
        </w:rPr>
      </w:pPr>
      <w:bookmarkStart w:id="58" w:name="_Toc433810892"/>
      <w:bookmarkStart w:id="59" w:name="_Toc406347599"/>
      <w:bookmarkStart w:id="60" w:name="_Toc433556409"/>
      <w:bookmarkStart w:id="61" w:name="_Toc440029065"/>
      <w:r>
        <w:rPr>
          <w:color w:val="auto"/>
          <w:sz w:val="24"/>
        </w:rPr>
        <w:t>A</w:t>
      </w:r>
      <w:r>
        <w:rPr>
          <w:color w:val="auto"/>
          <w:sz w:val="24"/>
          <w:vertAlign w:val="subscript"/>
          <w:lang w:val="pt-BR"/>
        </w:rPr>
        <w:t>2</w:t>
      </w:r>
      <w:r>
        <w:rPr>
          <w:color w:val="auto"/>
          <w:sz w:val="24"/>
        </w:rPr>
        <w:t>--中间覆盖单元汇水面积，m</w:t>
      </w:r>
      <w:r>
        <w:rPr>
          <w:color w:val="auto"/>
          <w:sz w:val="24"/>
          <w:vertAlign w:val="superscript"/>
        </w:rPr>
        <w:t>2</w:t>
      </w:r>
      <w:r>
        <w:rPr>
          <w:color w:val="auto"/>
          <w:sz w:val="24"/>
        </w:rPr>
        <w:t>；</w:t>
      </w:r>
      <w:bookmarkEnd w:id="58"/>
      <w:bookmarkEnd w:id="59"/>
      <w:bookmarkEnd w:id="60"/>
      <w:bookmarkEnd w:id="61"/>
      <w:r>
        <w:rPr>
          <w:color w:val="auto"/>
          <w:sz w:val="24"/>
        </w:rPr>
        <w:t xml:space="preserve"> </w:t>
      </w:r>
    </w:p>
    <w:p>
      <w:pPr>
        <w:spacing w:line="360" w:lineRule="auto"/>
        <w:ind w:firstLine="482"/>
        <w:rPr>
          <w:color w:val="auto"/>
          <w:sz w:val="24"/>
        </w:rPr>
      </w:pPr>
      <w:r>
        <w:rPr>
          <w:color w:val="auto"/>
          <w:sz w:val="24"/>
        </w:rPr>
        <w:t>C</w:t>
      </w:r>
      <w:r>
        <w:rPr>
          <w:color w:val="auto"/>
          <w:sz w:val="24"/>
          <w:vertAlign w:val="subscript"/>
          <w:lang w:val="pt-BR"/>
        </w:rPr>
        <w:t>2</w:t>
      </w:r>
      <w:r>
        <w:rPr>
          <w:color w:val="auto"/>
          <w:sz w:val="24"/>
        </w:rPr>
        <w:t>--中间覆盖单元渗出系数，本工程中间覆盖采用HDPE膜，渗透系数小，渗出系数取0.25，则C</w:t>
      </w:r>
      <w:r>
        <w:rPr>
          <w:color w:val="auto"/>
          <w:sz w:val="24"/>
          <w:vertAlign w:val="subscript"/>
          <w:lang w:val="pt-BR"/>
        </w:rPr>
        <w:t>2</w:t>
      </w:r>
      <w:r>
        <w:rPr>
          <w:color w:val="auto"/>
          <w:sz w:val="24"/>
          <w:lang w:val="pt-BR"/>
        </w:rPr>
        <w:t>=0.25*0.8=</w:t>
      </w:r>
      <w:r>
        <w:rPr>
          <w:color w:val="auto"/>
          <w:sz w:val="24"/>
        </w:rPr>
        <w:t>0.2；</w:t>
      </w:r>
    </w:p>
    <w:p>
      <w:pPr>
        <w:spacing w:line="360" w:lineRule="auto"/>
        <w:ind w:firstLine="482"/>
        <w:rPr>
          <w:color w:val="auto"/>
          <w:sz w:val="24"/>
        </w:rPr>
      </w:pPr>
      <w:bookmarkStart w:id="62" w:name="_Toc433810893"/>
      <w:bookmarkStart w:id="63" w:name="_Toc433556410"/>
      <w:bookmarkStart w:id="64" w:name="_Toc406347600"/>
      <w:bookmarkStart w:id="65" w:name="_Toc440029066"/>
      <w:r>
        <w:rPr>
          <w:color w:val="auto"/>
          <w:sz w:val="24"/>
        </w:rPr>
        <w:t>A</w:t>
      </w:r>
      <w:r>
        <w:rPr>
          <w:color w:val="auto"/>
          <w:sz w:val="24"/>
          <w:vertAlign w:val="subscript"/>
          <w:lang w:val="pt-BR"/>
        </w:rPr>
        <w:t>3</w:t>
      </w:r>
      <w:r>
        <w:rPr>
          <w:color w:val="auto"/>
          <w:sz w:val="24"/>
        </w:rPr>
        <w:t>--终场覆盖单元汇水面积，m</w:t>
      </w:r>
      <w:r>
        <w:rPr>
          <w:color w:val="auto"/>
          <w:sz w:val="24"/>
          <w:vertAlign w:val="superscript"/>
        </w:rPr>
        <w:t>2</w:t>
      </w:r>
      <w:r>
        <w:rPr>
          <w:color w:val="auto"/>
          <w:sz w:val="24"/>
        </w:rPr>
        <w:t>；</w:t>
      </w:r>
      <w:bookmarkEnd w:id="62"/>
      <w:bookmarkEnd w:id="63"/>
      <w:bookmarkEnd w:id="64"/>
      <w:bookmarkEnd w:id="65"/>
      <w:r>
        <w:rPr>
          <w:color w:val="auto"/>
          <w:sz w:val="24"/>
        </w:rPr>
        <w:t xml:space="preserve"> </w:t>
      </w:r>
    </w:p>
    <w:p>
      <w:pPr>
        <w:spacing w:line="360" w:lineRule="auto"/>
        <w:ind w:firstLine="482"/>
        <w:rPr>
          <w:color w:val="auto"/>
          <w:sz w:val="24"/>
        </w:rPr>
      </w:pPr>
      <w:r>
        <w:rPr>
          <w:color w:val="auto"/>
          <w:sz w:val="24"/>
        </w:rPr>
        <w:t>C</w:t>
      </w:r>
      <w:r>
        <w:rPr>
          <w:color w:val="auto"/>
          <w:sz w:val="24"/>
          <w:vertAlign w:val="subscript"/>
        </w:rPr>
        <w:t>3</w:t>
      </w:r>
      <w:r>
        <w:rPr>
          <w:color w:val="auto"/>
          <w:sz w:val="24"/>
        </w:rPr>
        <w:t>--终场覆盖单元渗出系数，一般取0.1～0.2，本工程取0.1</w:t>
      </w:r>
      <w:r>
        <w:rPr>
          <w:rFonts w:hint="eastAsia"/>
          <w:color w:val="auto"/>
          <w:sz w:val="24"/>
          <w:lang w:eastAsia="zh-CN"/>
        </w:rPr>
        <w:t>；</w:t>
      </w:r>
    </w:p>
    <w:p>
      <w:pPr>
        <w:spacing w:line="360" w:lineRule="auto"/>
        <w:ind w:firstLine="482"/>
        <w:rPr>
          <w:color w:val="auto"/>
          <w:sz w:val="24"/>
        </w:rPr>
      </w:pPr>
      <w:r>
        <w:rPr>
          <w:color w:val="auto"/>
          <w:sz w:val="24"/>
        </w:rPr>
        <w:t>A</w:t>
      </w:r>
      <w:r>
        <w:rPr>
          <w:rFonts w:hint="eastAsia"/>
          <w:color w:val="auto"/>
          <w:sz w:val="24"/>
          <w:vertAlign w:val="subscript"/>
          <w:lang w:val="en-US" w:eastAsia="zh-CN"/>
        </w:rPr>
        <w:t>4</w:t>
      </w:r>
      <w:r>
        <w:rPr>
          <w:color w:val="auto"/>
          <w:sz w:val="24"/>
        </w:rPr>
        <w:t>--</w:t>
      </w:r>
      <w:r>
        <w:rPr>
          <w:rFonts w:hint="eastAsia"/>
          <w:color w:val="auto"/>
          <w:sz w:val="24"/>
          <w:lang w:eastAsia="zh-CN"/>
        </w:rPr>
        <w:t>调节池</w:t>
      </w:r>
      <w:r>
        <w:rPr>
          <w:color w:val="auto"/>
          <w:sz w:val="24"/>
        </w:rPr>
        <w:t>汇水面积，m</w:t>
      </w:r>
      <w:r>
        <w:rPr>
          <w:color w:val="auto"/>
          <w:sz w:val="24"/>
          <w:vertAlign w:val="superscript"/>
        </w:rPr>
        <w:t>2</w:t>
      </w:r>
      <w:r>
        <w:rPr>
          <w:color w:val="auto"/>
          <w:sz w:val="24"/>
        </w:rPr>
        <w:t xml:space="preserve">； </w:t>
      </w:r>
    </w:p>
    <w:p>
      <w:pPr>
        <w:spacing w:line="360" w:lineRule="auto"/>
        <w:ind w:firstLine="482"/>
        <w:rPr>
          <w:color w:val="auto"/>
          <w:sz w:val="24"/>
        </w:rPr>
      </w:pPr>
      <w:r>
        <w:rPr>
          <w:color w:val="auto"/>
          <w:sz w:val="24"/>
        </w:rPr>
        <w:t>C</w:t>
      </w:r>
      <w:r>
        <w:rPr>
          <w:rFonts w:hint="eastAsia"/>
          <w:color w:val="auto"/>
          <w:sz w:val="24"/>
          <w:vertAlign w:val="subscript"/>
          <w:lang w:val="en-US" w:eastAsia="zh-CN"/>
        </w:rPr>
        <w:t>4</w:t>
      </w:r>
      <w:r>
        <w:rPr>
          <w:color w:val="auto"/>
          <w:sz w:val="24"/>
        </w:rPr>
        <w:t>--</w:t>
      </w:r>
      <w:r>
        <w:rPr>
          <w:rFonts w:hint="eastAsia"/>
          <w:color w:val="auto"/>
          <w:sz w:val="24"/>
          <w:lang w:eastAsia="zh-CN"/>
        </w:rPr>
        <w:t>调节池</w:t>
      </w:r>
      <w:r>
        <w:rPr>
          <w:color w:val="auto"/>
          <w:sz w:val="24"/>
        </w:rPr>
        <w:t>渗出系数，</w:t>
      </w:r>
      <w:r>
        <w:rPr>
          <w:rFonts w:hint="eastAsia"/>
          <w:color w:val="auto"/>
          <w:sz w:val="24"/>
          <w:lang w:eastAsia="zh-CN"/>
        </w:rPr>
        <w:t>设置有覆盖系统取</w:t>
      </w:r>
      <w:r>
        <w:rPr>
          <w:rFonts w:hint="eastAsia"/>
          <w:color w:val="auto"/>
          <w:sz w:val="24"/>
          <w:lang w:val="en-US" w:eastAsia="zh-CN"/>
        </w:rPr>
        <w:t>0，未设置覆盖系统取1.0</w:t>
      </w:r>
      <w:r>
        <w:rPr>
          <w:rFonts w:hint="eastAsia"/>
          <w:color w:val="auto"/>
          <w:sz w:val="24"/>
          <w:lang w:eastAsia="zh-CN"/>
        </w:rPr>
        <w:t>。</w:t>
      </w:r>
    </w:p>
    <w:p>
      <w:pPr>
        <w:spacing w:line="360" w:lineRule="auto"/>
        <w:ind w:firstLine="482"/>
        <w:rPr>
          <w:rFonts w:hint="eastAsia"/>
          <w:color w:val="auto"/>
          <w:sz w:val="24"/>
          <w:lang w:val="pt-BR" w:eastAsia="zh-CN"/>
        </w:rPr>
      </w:pPr>
      <w:r>
        <w:rPr>
          <w:rFonts w:hint="eastAsia"/>
          <w:color w:val="auto"/>
          <w:sz w:val="24"/>
          <w:lang w:eastAsia="zh-CN"/>
        </w:rPr>
        <w:t>因此，本项目库区渗滤液产生量为</w:t>
      </w:r>
      <w:r>
        <w:rPr>
          <w:rFonts w:hint="eastAsia"/>
          <w:color w:val="auto"/>
          <w:sz w:val="24"/>
          <w:lang w:val="en-US" w:eastAsia="zh-CN"/>
        </w:rPr>
        <w:t>72.6</w:t>
      </w:r>
      <w:r>
        <w:rPr>
          <w:color w:val="auto"/>
          <w:sz w:val="24"/>
          <w:lang w:val="pt-BR"/>
        </w:rPr>
        <w:t>m</w:t>
      </w:r>
      <w:r>
        <w:rPr>
          <w:color w:val="auto"/>
          <w:sz w:val="24"/>
          <w:vertAlign w:val="superscript"/>
          <w:lang w:val="pt-BR"/>
        </w:rPr>
        <w:t>3</w:t>
      </w:r>
      <w:r>
        <w:rPr>
          <w:color w:val="auto"/>
          <w:sz w:val="24"/>
          <w:lang w:val="pt-BR"/>
        </w:rPr>
        <w:t>/d</w:t>
      </w:r>
      <w:r>
        <w:rPr>
          <w:rFonts w:hint="eastAsia"/>
          <w:color w:val="auto"/>
          <w:sz w:val="24"/>
          <w:lang w:val="pt-BR" w:eastAsia="zh-CN"/>
        </w:rPr>
        <w:t>。</w:t>
      </w:r>
    </w:p>
    <w:p>
      <w:pPr>
        <w:spacing w:line="360" w:lineRule="auto"/>
        <w:ind w:firstLine="482"/>
        <w:rPr>
          <w:rFonts w:hint="eastAsia"/>
          <w:color w:val="auto"/>
          <w:sz w:val="24"/>
          <w:lang w:val="pt-BR" w:eastAsia="zh-CN"/>
        </w:rPr>
      </w:pPr>
      <w:r>
        <w:rPr>
          <w:rFonts w:hint="eastAsia"/>
          <w:color w:val="auto"/>
          <w:sz w:val="24"/>
          <w:lang w:val="pt-BR" w:eastAsia="zh-CN"/>
        </w:rPr>
        <w:t>②渗滤液处理过程中回灌的量</w:t>
      </w:r>
    </w:p>
    <w:p>
      <w:pPr>
        <w:spacing w:line="360" w:lineRule="auto"/>
        <w:ind w:firstLine="482"/>
        <w:rPr>
          <w:rFonts w:hint="eastAsia"/>
          <w:color w:val="auto"/>
          <w:sz w:val="24"/>
          <w:lang w:val="pt-BR" w:eastAsia="zh-CN"/>
        </w:rPr>
      </w:pPr>
      <w:r>
        <w:rPr>
          <w:rFonts w:hint="eastAsia"/>
          <w:color w:val="auto"/>
          <w:sz w:val="24"/>
          <w:lang w:val="pt-BR" w:eastAsia="zh-CN"/>
        </w:rPr>
        <w:t>根据建设单位提供资料，现有工程渗滤液处理过程中，纳滤及反渗透产生的浓缩液采用回流至调节池处理，该回流量约为处理量的</w:t>
      </w:r>
      <w:r>
        <w:rPr>
          <w:rFonts w:hint="eastAsia"/>
          <w:color w:val="auto"/>
          <w:sz w:val="24"/>
          <w:lang w:val="en-US" w:eastAsia="zh-CN"/>
        </w:rPr>
        <w:t>20%，则本工程由浓缩液转化为渗滤液的量为18.15</w:t>
      </w:r>
      <w:r>
        <w:rPr>
          <w:color w:val="auto"/>
          <w:sz w:val="24"/>
          <w:lang w:val="pt-BR"/>
        </w:rPr>
        <w:t>m</w:t>
      </w:r>
      <w:r>
        <w:rPr>
          <w:color w:val="auto"/>
          <w:sz w:val="24"/>
          <w:vertAlign w:val="superscript"/>
          <w:lang w:val="pt-BR"/>
        </w:rPr>
        <w:t>3</w:t>
      </w:r>
      <w:r>
        <w:rPr>
          <w:color w:val="auto"/>
          <w:sz w:val="24"/>
          <w:lang w:val="pt-BR"/>
        </w:rPr>
        <w:t>/d</w:t>
      </w:r>
      <w:r>
        <w:rPr>
          <w:rFonts w:hint="eastAsia"/>
          <w:color w:val="auto"/>
          <w:sz w:val="24"/>
          <w:lang w:val="pt-BR" w:eastAsia="zh-CN"/>
        </w:rPr>
        <w:t>。</w:t>
      </w:r>
    </w:p>
    <w:p>
      <w:pPr>
        <w:spacing w:line="360" w:lineRule="auto"/>
        <w:ind w:firstLine="482"/>
        <w:rPr>
          <w:rFonts w:hint="eastAsia"/>
          <w:color w:val="auto"/>
          <w:sz w:val="24"/>
          <w:lang w:val="pt-BR" w:eastAsia="zh-CN"/>
        </w:rPr>
      </w:pPr>
      <w:r>
        <w:rPr>
          <w:rFonts w:hint="eastAsia"/>
          <w:color w:val="auto"/>
          <w:sz w:val="24"/>
          <w:lang w:val="pt-BR" w:eastAsia="zh-CN"/>
        </w:rPr>
        <w:t>因此，经过本次技改后，本工程渗滤液产生量为</w:t>
      </w:r>
      <w:r>
        <w:rPr>
          <w:rFonts w:hint="eastAsia"/>
          <w:color w:val="auto"/>
          <w:sz w:val="24"/>
          <w:lang w:val="en-US" w:eastAsia="zh-CN"/>
        </w:rPr>
        <w:t>90.75</w:t>
      </w:r>
      <w:r>
        <w:rPr>
          <w:color w:val="auto"/>
          <w:sz w:val="24"/>
          <w:lang w:val="pt-BR"/>
        </w:rPr>
        <w:t>m</w:t>
      </w:r>
      <w:r>
        <w:rPr>
          <w:color w:val="auto"/>
          <w:sz w:val="24"/>
          <w:vertAlign w:val="superscript"/>
          <w:lang w:val="pt-BR"/>
        </w:rPr>
        <w:t>3</w:t>
      </w:r>
      <w:r>
        <w:rPr>
          <w:color w:val="auto"/>
          <w:sz w:val="24"/>
          <w:lang w:val="pt-BR"/>
        </w:rPr>
        <w:t>/d</w:t>
      </w:r>
      <w:r>
        <w:rPr>
          <w:rFonts w:hint="eastAsia"/>
          <w:color w:val="auto"/>
          <w:sz w:val="24"/>
          <w:lang w:val="pt-BR" w:eastAsia="zh-CN"/>
        </w:rPr>
        <w:t>。</w:t>
      </w:r>
    </w:p>
    <w:p>
      <w:pPr>
        <w:keepNext w:val="0"/>
        <w:keepLines w:val="0"/>
        <w:widowControl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2、水质</w:t>
      </w:r>
    </w:p>
    <w:p>
      <w:pPr>
        <w:keepNext w:val="0"/>
        <w:keepLines w:val="0"/>
        <w:widowControl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r>
        <w:rPr>
          <w:rFonts w:hint="eastAsia"/>
          <w:color w:val="auto"/>
          <w:sz w:val="24"/>
          <w:szCs w:val="24"/>
          <w:lang w:val="en-US" w:eastAsia="zh-CN"/>
        </w:rPr>
        <w:t>根据现场调查，现有工程产生的渗滤液采用的生化+膜处理工艺，本次环评期间对该渗滤液污水处理站进出口水质进行了检测。根据渗滤液处理站水质现状监测数据，其水质情况如表5-7。</w:t>
      </w:r>
    </w:p>
    <w:p>
      <w:pPr>
        <w:keepNext w:val="0"/>
        <w:keepLines w:val="0"/>
        <w:widowControl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p>
    <w:p>
      <w:pPr>
        <w:keepNext w:val="0"/>
        <w:keepLines w:val="0"/>
        <w:widowControl w:val="0"/>
        <w:suppressLineNumbers w:val="0"/>
        <w:spacing w:before="0" w:beforeAutospacing="0" w:after="0" w:afterAutospacing="0" w:line="360" w:lineRule="auto"/>
        <w:ind w:left="0" w:right="0" w:firstLine="480" w:firstLineChars="200"/>
        <w:jc w:val="both"/>
        <w:rPr>
          <w:rFonts w:hint="eastAsia"/>
          <w:color w:val="auto"/>
          <w:sz w:val="24"/>
          <w:szCs w:val="24"/>
          <w:lang w:val="en-US" w:eastAsia="zh-CN"/>
        </w:rPr>
      </w:pPr>
    </w:p>
    <w:p>
      <w:pPr>
        <w:pStyle w:val="23"/>
        <w:rPr>
          <w:rFonts w:hint="eastAsia"/>
          <w:b/>
          <w:bCs/>
          <w:color w:val="auto"/>
          <w:lang w:val="en-US" w:eastAsia="zh-CN"/>
        </w:rPr>
      </w:pPr>
      <w:r>
        <w:rPr>
          <w:rFonts w:hint="eastAsia"/>
          <w:b/>
          <w:bCs/>
          <w:color w:val="auto"/>
          <w:lang w:val="en-US" w:eastAsia="zh-CN"/>
        </w:rPr>
        <w:t>表5-7  渗滤液产排污情况一览表    单位：mg/L</w:t>
      </w:r>
    </w:p>
    <w:tbl>
      <w:tblPr>
        <w:tblStyle w:val="20"/>
        <w:tblW w:w="8602" w:type="dxa"/>
        <w:jc w:val="center"/>
        <w:tblInd w:w="-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9"/>
        <w:gridCol w:w="1665"/>
        <w:gridCol w:w="1461"/>
        <w:gridCol w:w="1"/>
        <w:gridCol w:w="1703"/>
        <w:gridCol w:w="1425"/>
        <w:gridCol w:w="11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8" w:hRule="atLeast"/>
          <w:tblHeader/>
          <w:jc w:val="center"/>
        </w:trPr>
        <w:tc>
          <w:tcPr>
            <w:tcW w:w="1209" w:type="dxa"/>
            <w:vMerge w:val="restart"/>
            <w:vAlign w:val="center"/>
          </w:tcPr>
          <w:p>
            <w:pPr>
              <w:pStyle w:val="23"/>
              <w:keepNext w:val="0"/>
              <w:keepLines w:val="0"/>
              <w:suppressLineNumbers w:val="0"/>
              <w:spacing w:before="0" w:beforeAutospacing="0" w:after="0" w:afterAutospacing="0"/>
              <w:ind w:left="0" w:right="0"/>
              <w:jc w:val="center"/>
              <w:rPr>
                <w:rFonts w:hint="eastAsia"/>
                <w:color w:val="auto"/>
                <w:lang w:val="en-US" w:eastAsia="zh-CN"/>
              </w:rPr>
            </w:pPr>
            <w:r>
              <w:rPr>
                <w:rFonts w:hint="eastAsia"/>
                <w:color w:val="auto"/>
                <w:lang w:val="en-US" w:eastAsia="zh-CN"/>
              </w:rPr>
              <w:t>污染物</w:t>
            </w:r>
          </w:p>
        </w:tc>
        <w:tc>
          <w:tcPr>
            <w:tcW w:w="3127" w:type="dxa"/>
            <w:gridSpan w:val="3"/>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污水处理站进口</w:t>
            </w:r>
          </w:p>
        </w:tc>
        <w:tc>
          <w:tcPr>
            <w:tcW w:w="3128" w:type="dxa"/>
            <w:gridSpan w:val="2"/>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污水处理站出口</w:t>
            </w:r>
          </w:p>
        </w:tc>
        <w:tc>
          <w:tcPr>
            <w:tcW w:w="1138" w:type="dxa"/>
            <w:vMerge w:val="restart"/>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2" w:hRule="exact"/>
          <w:tblHeader/>
          <w:jc w:val="center"/>
        </w:trPr>
        <w:tc>
          <w:tcPr>
            <w:tcW w:w="1209" w:type="dxa"/>
            <w:vMerge w:val="continue"/>
            <w:vAlign w:val="center"/>
          </w:tcPr>
          <w:p>
            <w:pPr>
              <w:pStyle w:val="23"/>
              <w:keepNext w:val="0"/>
              <w:keepLines w:val="0"/>
              <w:suppressLineNumbers w:val="0"/>
              <w:spacing w:before="0" w:beforeAutospacing="0" w:after="0" w:afterAutospacing="0"/>
              <w:ind w:left="0" w:right="0"/>
              <w:rPr>
                <w:rFonts w:hint="eastAsia"/>
                <w:color w:val="auto"/>
                <w:lang w:val="en-US" w:eastAsia="zh-CN"/>
              </w:rPr>
            </w:pPr>
          </w:p>
        </w:tc>
        <w:tc>
          <w:tcPr>
            <w:tcW w:w="1665" w:type="dxa"/>
            <w:vAlign w:val="center"/>
          </w:tcPr>
          <w:p>
            <w:pPr>
              <w:pStyle w:val="23"/>
              <w:keepNext w:val="0"/>
              <w:keepLines w:val="0"/>
              <w:suppressLineNumbers w:val="0"/>
              <w:spacing w:before="0" w:beforeAutospacing="0" w:after="0" w:afterAutospacing="0"/>
              <w:ind w:left="0" w:right="0"/>
              <w:rPr>
                <w:rFonts w:hint="eastAsia"/>
                <w:b w:val="0"/>
                <w:bCs w:val="0"/>
                <w:color w:val="auto"/>
                <w:lang w:val="en-US" w:eastAsia="zh-CN"/>
              </w:rPr>
            </w:pPr>
            <w:r>
              <w:rPr>
                <w:rFonts w:hint="eastAsia"/>
                <w:b w:val="0"/>
                <w:bCs w:val="0"/>
                <w:color w:val="auto"/>
                <w:lang w:val="en-US" w:eastAsia="zh-CN"/>
              </w:rPr>
              <w:t>浓度(mg/L)</w:t>
            </w:r>
          </w:p>
        </w:tc>
        <w:tc>
          <w:tcPr>
            <w:tcW w:w="1461" w:type="dxa"/>
            <w:vAlign w:val="center"/>
          </w:tcPr>
          <w:p>
            <w:pPr>
              <w:pStyle w:val="23"/>
              <w:keepNext w:val="0"/>
              <w:keepLines w:val="0"/>
              <w:suppressLineNumbers w:val="0"/>
              <w:spacing w:before="0" w:beforeAutospacing="0" w:after="0" w:afterAutospacing="0"/>
              <w:ind w:left="0" w:right="0"/>
              <w:rPr>
                <w:rFonts w:hint="eastAsia"/>
                <w:b w:val="0"/>
                <w:bCs w:val="0"/>
                <w:color w:val="auto"/>
                <w:lang w:val="en-US" w:eastAsia="zh-CN"/>
              </w:rPr>
            </w:pPr>
            <w:r>
              <w:rPr>
                <w:rFonts w:hint="eastAsia"/>
                <w:b w:val="0"/>
                <w:bCs w:val="0"/>
                <w:color w:val="auto"/>
                <w:lang w:val="en-US" w:eastAsia="zh-CN"/>
              </w:rPr>
              <w:t>产生量（t/a）</w:t>
            </w:r>
          </w:p>
        </w:tc>
        <w:tc>
          <w:tcPr>
            <w:tcW w:w="1704" w:type="dxa"/>
            <w:gridSpan w:val="2"/>
            <w:textDirection w:val="lrTb"/>
            <w:vAlign w:val="center"/>
          </w:tcPr>
          <w:p>
            <w:pPr>
              <w:pStyle w:val="23"/>
              <w:keepNext w:val="0"/>
              <w:keepLines w:val="0"/>
              <w:suppressLineNumbers w:val="0"/>
              <w:spacing w:before="0" w:beforeAutospacing="0" w:after="0" w:afterAutospacing="0"/>
              <w:ind w:left="0" w:right="0" w:firstLine="0" w:firstLineChars="0"/>
              <w:rPr>
                <w:rFonts w:hint="eastAsia"/>
                <w:b w:val="0"/>
                <w:bCs w:val="0"/>
                <w:color w:val="auto"/>
                <w:lang w:val="en-US" w:eastAsia="zh-CN"/>
              </w:rPr>
            </w:pPr>
            <w:r>
              <w:rPr>
                <w:rFonts w:hint="eastAsia"/>
                <w:b w:val="0"/>
                <w:bCs w:val="0"/>
                <w:color w:val="auto"/>
                <w:lang w:val="en-US" w:eastAsia="zh-CN"/>
              </w:rPr>
              <w:t>浓度(mg/L)</w:t>
            </w:r>
          </w:p>
        </w:tc>
        <w:tc>
          <w:tcPr>
            <w:tcW w:w="1425" w:type="dxa"/>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lang w:val="en-US" w:eastAsia="zh-CN"/>
              </w:rPr>
            </w:pPr>
            <w:r>
              <w:rPr>
                <w:rFonts w:hint="eastAsia"/>
                <w:color w:val="auto"/>
                <w:lang w:val="en-US" w:eastAsia="zh-CN"/>
              </w:rPr>
              <w:t>排放量</w:t>
            </w:r>
            <w:r>
              <w:rPr>
                <w:rFonts w:hint="eastAsia"/>
                <w:b w:val="0"/>
                <w:bCs w:val="0"/>
                <w:color w:val="auto"/>
                <w:lang w:val="en-US" w:eastAsia="zh-CN"/>
              </w:rPr>
              <w:t>（t/a）</w:t>
            </w:r>
          </w:p>
        </w:tc>
        <w:tc>
          <w:tcPr>
            <w:tcW w:w="1138"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2" w:hRule="exact"/>
          <w:jc w:val="center"/>
        </w:trPr>
        <w:tc>
          <w:tcPr>
            <w:tcW w:w="1209"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default"/>
                <w:color w:val="auto"/>
                <w:lang w:val="en-US" w:eastAsia="zh-CN"/>
              </w:rPr>
              <w:t>COD</w:t>
            </w:r>
            <w:r>
              <w:rPr>
                <w:rFonts w:hint="default"/>
                <w:color w:val="auto"/>
                <w:vertAlign w:val="subscript"/>
                <w:lang w:val="en-US" w:eastAsia="zh-CN"/>
              </w:rPr>
              <w:t>Cr</w:t>
            </w:r>
          </w:p>
        </w:tc>
        <w:tc>
          <w:tcPr>
            <w:tcW w:w="1665"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4230</w:t>
            </w:r>
          </w:p>
        </w:tc>
        <w:tc>
          <w:tcPr>
            <w:tcW w:w="1461"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140.11</w:t>
            </w:r>
          </w:p>
        </w:tc>
        <w:tc>
          <w:tcPr>
            <w:tcW w:w="1704" w:type="dxa"/>
            <w:gridSpan w:val="2"/>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90</w:t>
            </w:r>
          </w:p>
        </w:tc>
        <w:tc>
          <w:tcPr>
            <w:tcW w:w="1425"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2.38</w:t>
            </w:r>
          </w:p>
        </w:tc>
        <w:tc>
          <w:tcPr>
            <w:tcW w:w="1138"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2" w:hRule="exact"/>
          <w:jc w:val="center"/>
        </w:trPr>
        <w:tc>
          <w:tcPr>
            <w:tcW w:w="1209"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default"/>
                <w:color w:val="auto"/>
                <w:lang w:val="en-US" w:eastAsia="zh-CN"/>
              </w:rPr>
              <w:t>BOD</w:t>
            </w:r>
            <w:r>
              <w:rPr>
                <w:rFonts w:hint="default"/>
                <w:color w:val="auto"/>
                <w:vertAlign w:val="subscript"/>
                <w:lang w:val="en-US" w:eastAsia="zh-CN"/>
              </w:rPr>
              <w:t>5</w:t>
            </w:r>
          </w:p>
        </w:tc>
        <w:tc>
          <w:tcPr>
            <w:tcW w:w="1665"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2280</w:t>
            </w:r>
          </w:p>
        </w:tc>
        <w:tc>
          <w:tcPr>
            <w:tcW w:w="1461"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75.52</w:t>
            </w:r>
          </w:p>
        </w:tc>
        <w:tc>
          <w:tcPr>
            <w:tcW w:w="1704" w:type="dxa"/>
            <w:gridSpan w:val="2"/>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29</w:t>
            </w:r>
          </w:p>
        </w:tc>
        <w:tc>
          <w:tcPr>
            <w:tcW w:w="1425"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0.77</w:t>
            </w:r>
          </w:p>
        </w:tc>
        <w:tc>
          <w:tcPr>
            <w:tcW w:w="1138"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3" w:hRule="exact"/>
          <w:jc w:val="center"/>
        </w:trPr>
        <w:tc>
          <w:tcPr>
            <w:tcW w:w="1209"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NH</w:t>
            </w:r>
            <w:r>
              <w:rPr>
                <w:rFonts w:hint="eastAsia"/>
                <w:color w:val="auto"/>
                <w:vertAlign w:val="subscript"/>
                <w:lang w:val="en-US" w:eastAsia="zh-CN"/>
              </w:rPr>
              <w:t>3</w:t>
            </w:r>
            <w:r>
              <w:rPr>
                <w:rFonts w:hint="eastAsia"/>
                <w:color w:val="auto"/>
                <w:lang w:val="en-US" w:eastAsia="zh-CN"/>
              </w:rPr>
              <w:t>-N</w:t>
            </w:r>
          </w:p>
        </w:tc>
        <w:tc>
          <w:tcPr>
            <w:tcW w:w="1665"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1128</w:t>
            </w:r>
          </w:p>
        </w:tc>
        <w:tc>
          <w:tcPr>
            <w:tcW w:w="1461"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37.36</w:t>
            </w:r>
          </w:p>
        </w:tc>
        <w:tc>
          <w:tcPr>
            <w:tcW w:w="1704" w:type="dxa"/>
            <w:gridSpan w:val="2"/>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21</w:t>
            </w:r>
          </w:p>
        </w:tc>
        <w:tc>
          <w:tcPr>
            <w:tcW w:w="1425"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0.56</w:t>
            </w:r>
          </w:p>
        </w:tc>
        <w:tc>
          <w:tcPr>
            <w:tcW w:w="1138"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2" w:hRule="exact"/>
          <w:jc w:val="center"/>
        </w:trPr>
        <w:tc>
          <w:tcPr>
            <w:tcW w:w="1209"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SS</w:t>
            </w:r>
          </w:p>
        </w:tc>
        <w:tc>
          <w:tcPr>
            <w:tcW w:w="1665"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200</w:t>
            </w:r>
          </w:p>
        </w:tc>
        <w:tc>
          <w:tcPr>
            <w:tcW w:w="1461"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6.62</w:t>
            </w:r>
          </w:p>
        </w:tc>
        <w:tc>
          <w:tcPr>
            <w:tcW w:w="1704" w:type="dxa"/>
            <w:gridSpan w:val="2"/>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16.3</w:t>
            </w:r>
          </w:p>
        </w:tc>
        <w:tc>
          <w:tcPr>
            <w:tcW w:w="1425"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0.43</w:t>
            </w:r>
          </w:p>
        </w:tc>
        <w:tc>
          <w:tcPr>
            <w:tcW w:w="1138"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2" w:hRule="exact"/>
          <w:jc w:val="center"/>
        </w:trPr>
        <w:tc>
          <w:tcPr>
            <w:tcW w:w="1209"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TN</w:t>
            </w:r>
          </w:p>
        </w:tc>
        <w:tc>
          <w:tcPr>
            <w:tcW w:w="1665"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1311</w:t>
            </w:r>
          </w:p>
        </w:tc>
        <w:tc>
          <w:tcPr>
            <w:tcW w:w="1461"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43.43</w:t>
            </w:r>
          </w:p>
        </w:tc>
        <w:tc>
          <w:tcPr>
            <w:tcW w:w="1704" w:type="dxa"/>
            <w:gridSpan w:val="2"/>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25</w:t>
            </w:r>
          </w:p>
        </w:tc>
        <w:tc>
          <w:tcPr>
            <w:tcW w:w="1425" w:type="dxa"/>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0.66</w:t>
            </w:r>
          </w:p>
        </w:tc>
        <w:tc>
          <w:tcPr>
            <w:tcW w:w="1138" w:type="dxa"/>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2" w:hRule="exact"/>
          <w:jc w:val="center"/>
        </w:trPr>
        <w:tc>
          <w:tcPr>
            <w:tcW w:w="1209"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TP</w:t>
            </w:r>
          </w:p>
        </w:tc>
        <w:tc>
          <w:tcPr>
            <w:tcW w:w="1665" w:type="dxa"/>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lang w:val="en-US" w:eastAsia="zh-CN"/>
              </w:rPr>
            </w:pPr>
            <w:r>
              <w:rPr>
                <w:rFonts w:hint="eastAsia"/>
                <w:color w:val="auto"/>
                <w:lang w:val="en-US" w:eastAsia="zh-CN"/>
              </w:rPr>
              <w:t>16.42</w:t>
            </w:r>
          </w:p>
        </w:tc>
        <w:tc>
          <w:tcPr>
            <w:tcW w:w="1461"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0.54</w:t>
            </w:r>
          </w:p>
        </w:tc>
        <w:tc>
          <w:tcPr>
            <w:tcW w:w="1704" w:type="dxa"/>
            <w:gridSpan w:val="2"/>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0.39</w:t>
            </w:r>
          </w:p>
        </w:tc>
        <w:tc>
          <w:tcPr>
            <w:tcW w:w="1425"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0.01</w:t>
            </w:r>
          </w:p>
        </w:tc>
        <w:tc>
          <w:tcPr>
            <w:tcW w:w="1138" w:type="dxa"/>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lang w:val="en-US" w:eastAsia="zh-CN"/>
              </w:rPr>
              <w:t>3</w:t>
            </w:r>
          </w:p>
        </w:tc>
      </w:tr>
    </w:tbl>
    <w:p>
      <w:pPr>
        <w:pStyle w:val="4"/>
        <w:rPr>
          <w:rFonts w:hint="eastAsia"/>
          <w:color w:val="auto"/>
          <w:lang w:val="en-US" w:eastAsia="zh-CN"/>
        </w:rPr>
      </w:pPr>
      <w:r>
        <w:rPr>
          <w:rFonts w:hint="eastAsia"/>
          <w:color w:val="auto"/>
          <w:lang w:val="en-US" w:eastAsia="zh-CN"/>
        </w:rPr>
        <w:t>5.4.3噪声</w:t>
      </w:r>
    </w:p>
    <w:p>
      <w:pPr>
        <w:rPr>
          <w:color w:val="auto"/>
        </w:rPr>
      </w:pPr>
      <w:r>
        <w:rPr>
          <w:color w:val="auto"/>
        </w:rPr>
        <w:t>垃圾填埋场主要噪声源为垃圾运输车辆进出填埋场的交通运输噪声、作业区工程机械噪声和废水处理系统的机械运转噪声等。各有关车辆、机具噪声源强特征值见表</w:t>
      </w:r>
      <w:r>
        <w:rPr>
          <w:rFonts w:hint="eastAsia"/>
          <w:color w:val="auto"/>
          <w:lang w:val="en-US" w:eastAsia="zh-CN"/>
        </w:rPr>
        <w:t>5-8</w:t>
      </w:r>
      <w:r>
        <w:rPr>
          <w:color w:val="auto"/>
        </w:rPr>
        <w:t>。</w:t>
      </w:r>
    </w:p>
    <w:p>
      <w:pPr>
        <w:pStyle w:val="23"/>
        <w:rPr>
          <w:color w:val="auto"/>
        </w:rPr>
      </w:pPr>
      <w:r>
        <w:rPr>
          <w:b/>
          <w:bCs/>
          <w:color w:val="auto"/>
        </w:rPr>
        <w:t>表</w:t>
      </w:r>
      <w:r>
        <w:rPr>
          <w:rFonts w:hint="eastAsia"/>
          <w:b/>
          <w:bCs/>
          <w:color w:val="auto"/>
          <w:lang w:val="en-US" w:eastAsia="zh-CN"/>
        </w:rPr>
        <w:t>5-8</w:t>
      </w:r>
      <w:r>
        <w:rPr>
          <w:b/>
          <w:bCs/>
          <w:color w:val="auto"/>
        </w:rPr>
        <w:t xml:space="preserve">  填埋场噪声源强表</w:t>
      </w:r>
    </w:p>
    <w:tbl>
      <w:tblPr>
        <w:tblStyle w:val="19"/>
        <w:tblW w:w="8720"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273"/>
        <w:gridCol w:w="2616"/>
        <w:gridCol w:w="2818"/>
        <w:gridCol w:w="201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1273"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序号</w:t>
            </w:r>
          </w:p>
        </w:tc>
        <w:tc>
          <w:tcPr>
            <w:tcW w:w="261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车辆、机具</w:t>
            </w:r>
          </w:p>
        </w:tc>
        <w:tc>
          <w:tcPr>
            <w:tcW w:w="281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测量声级[dB(A)]</w:t>
            </w:r>
          </w:p>
        </w:tc>
        <w:tc>
          <w:tcPr>
            <w:tcW w:w="2013"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测量距离(m)</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1273"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w:t>
            </w:r>
          </w:p>
        </w:tc>
        <w:tc>
          <w:tcPr>
            <w:tcW w:w="261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压实机</w:t>
            </w:r>
          </w:p>
        </w:tc>
        <w:tc>
          <w:tcPr>
            <w:tcW w:w="281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76</w:t>
            </w:r>
          </w:p>
        </w:tc>
        <w:tc>
          <w:tcPr>
            <w:tcW w:w="2013"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1273"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2</w:t>
            </w:r>
          </w:p>
        </w:tc>
        <w:tc>
          <w:tcPr>
            <w:tcW w:w="261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挖掘机</w:t>
            </w:r>
          </w:p>
        </w:tc>
        <w:tc>
          <w:tcPr>
            <w:tcW w:w="281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79</w:t>
            </w:r>
          </w:p>
        </w:tc>
        <w:tc>
          <w:tcPr>
            <w:tcW w:w="2013"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1273"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3</w:t>
            </w:r>
          </w:p>
        </w:tc>
        <w:tc>
          <w:tcPr>
            <w:tcW w:w="2616" w:type="dxa"/>
            <w:textDirection w:val="lrTb"/>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运输车</w:t>
            </w:r>
          </w:p>
        </w:tc>
        <w:tc>
          <w:tcPr>
            <w:tcW w:w="2818" w:type="dxa"/>
            <w:textDirection w:val="lrTb"/>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70</w:t>
            </w:r>
          </w:p>
        </w:tc>
        <w:tc>
          <w:tcPr>
            <w:tcW w:w="2013" w:type="dxa"/>
            <w:textDirection w:val="lrTb"/>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1273"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4</w:t>
            </w:r>
          </w:p>
        </w:tc>
        <w:tc>
          <w:tcPr>
            <w:tcW w:w="2616" w:type="dxa"/>
            <w:textDirection w:val="lrTb"/>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水泵</w:t>
            </w:r>
          </w:p>
        </w:tc>
        <w:tc>
          <w:tcPr>
            <w:tcW w:w="2818" w:type="dxa"/>
            <w:textDirection w:val="lrTb"/>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80</w:t>
            </w:r>
          </w:p>
        </w:tc>
        <w:tc>
          <w:tcPr>
            <w:tcW w:w="2013" w:type="dxa"/>
            <w:textDirection w:val="lrTb"/>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340" w:hRule="atLeast"/>
          <w:jc w:val="center"/>
        </w:trPr>
        <w:tc>
          <w:tcPr>
            <w:tcW w:w="1273"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5</w:t>
            </w:r>
          </w:p>
        </w:tc>
        <w:tc>
          <w:tcPr>
            <w:tcW w:w="2616" w:type="dxa"/>
            <w:textDirection w:val="lrTb"/>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风机</w:t>
            </w:r>
          </w:p>
        </w:tc>
        <w:tc>
          <w:tcPr>
            <w:tcW w:w="2818" w:type="dxa"/>
            <w:textDirection w:val="lrTb"/>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70</w:t>
            </w:r>
          </w:p>
        </w:tc>
        <w:tc>
          <w:tcPr>
            <w:tcW w:w="2013" w:type="dxa"/>
            <w:textDirection w:val="lrTb"/>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10</w:t>
            </w:r>
          </w:p>
        </w:tc>
      </w:tr>
    </w:tbl>
    <w:p>
      <w:pPr>
        <w:pStyle w:val="4"/>
        <w:rPr>
          <w:rFonts w:hint="eastAsia"/>
          <w:color w:val="auto"/>
          <w:lang w:val="en-US" w:eastAsia="zh-CN"/>
        </w:rPr>
      </w:pPr>
      <w:r>
        <w:rPr>
          <w:rFonts w:hint="eastAsia"/>
          <w:color w:val="auto"/>
          <w:lang w:val="en-US" w:eastAsia="zh-CN"/>
        </w:rPr>
        <w:t>5.4.4固废</w:t>
      </w:r>
    </w:p>
    <w:p>
      <w:pPr>
        <w:rPr>
          <w:color w:val="auto"/>
        </w:rPr>
      </w:pPr>
      <w:r>
        <w:rPr>
          <w:color w:val="auto"/>
        </w:rPr>
        <w:t>本项目营运过程中的固废主要为渗滤液处理系统滤渣</w:t>
      </w:r>
      <w:r>
        <w:rPr>
          <w:rFonts w:hint="eastAsia"/>
          <w:color w:val="auto"/>
          <w:lang w:eastAsia="zh-CN"/>
        </w:rPr>
        <w:t>、污泥</w:t>
      </w:r>
      <w:r>
        <w:rPr>
          <w:color w:val="auto"/>
        </w:rPr>
        <w:t>，膜处理产生的浓缩废液</w:t>
      </w:r>
      <w:r>
        <w:rPr>
          <w:rFonts w:hint="eastAsia"/>
          <w:color w:val="auto"/>
        </w:rPr>
        <w:t>，检修替换的废膜</w:t>
      </w:r>
      <w:r>
        <w:rPr>
          <w:color w:val="auto"/>
        </w:rPr>
        <w:t>，以及少量生活垃圾。</w:t>
      </w:r>
    </w:p>
    <w:p>
      <w:pPr>
        <w:pStyle w:val="23"/>
        <w:rPr>
          <w:b/>
          <w:bCs/>
          <w:color w:val="auto"/>
        </w:rPr>
      </w:pPr>
      <w:r>
        <w:rPr>
          <w:b/>
          <w:bCs/>
          <w:color w:val="auto"/>
        </w:rPr>
        <w:t>表</w:t>
      </w:r>
      <w:r>
        <w:rPr>
          <w:rFonts w:hint="eastAsia"/>
          <w:b/>
          <w:bCs/>
          <w:color w:val="auto"/>
          <w:lang w:val="en-US" w:eastAsia="zh-CN"/>
        </w:rPr>
        <w:t xml:space="preserve">5-9  </w:t>
      </w:r>
      <w:r>
        <w:rPr>
          <w:b/>
          <w:bCs/>
          <w:color w:val="auto"/>
        </w:rPr>
        <w:t>项目固体废物产生及处理处置情况一览表</w:t>
      </w:r>
    </w:p>
    <w:tbl>
      <w:tblPr>
        <w:tblStyle w:val="19"/>
        <w:tblW w:w="7995"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665"/>
        <w:gridCol w:w="924"/>
        <w:gridCol w:w="1471"/>
        <w:gridCol w:w="1222"/>
        <w:gridCol w:w="996"/>
        <w:gridCol w:w="1011"/>
        <w:gridCol w:w="170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cantSplit/>
          <w:tblHeader/>
          <w:jc w:val="center"/>
        </w:trPr>
        <w:tc>
          <w:tcPr>
            <w:tcW w:w="665"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固废编号</w:t>
            </w:r>
          </w:p>
        </w:tc>
        <w:tc>
          <w:tcPr>
            <w:tcW w:w="924"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固废种类</w:t>
            </w:r>
          </w:p>
        </w:tc>
        <w:tc>
          <w:tcPr>
            <w:tcW w:w="1471"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产生工序</w:t>
            </w:r>
          </w:p>
        </w:tc>
        <w:tc>
          <w:tcPr>
            <w:tcW w:w="122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主要成分</w:t>
            </w:r>
          </w:p>
        </w:tc>
        <w:tc>
          <w:tcPr>
            <w:tcW w:w="99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产生量</w:t>
            </w:r>
          </w:p>
        </w:tc>
        <w:tc>
          <w:tcPr>
            <w:tcW w:w="1011" w:type="dxa"/>
            <w:tcBorders>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类别</w:t>
            </w:r>
          </w:p>
        </w:tc>
        <w:tc>
          <w:tcPr>
            <w:tcW w:w="1706" w:type="dxa"/>
            <w:tcBorders>
              <w:lef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处理处置方式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cantSplit/>
          <w:trHeight w:val="301" w:hRule="atLeast"/>
          <w:jc w:val="center"/>
        </w:trPr>
        <w:tc>
          <w:tcPr>
            <w:tcW w:w="66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S1</w:t>
            </w:r>
          </w:p>
        </w:tc>
        <w:tc>
          <w:tcPr>
            <w:tcW w:w="92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滤渣污泥</w:t>
            </w:r>
          </w:p>
        </w:tc>
        <w:tc>
          <w:tcPr>
            <w:tcW w:w="1471"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渗滤液处理</w:t>
            </w:r>
          </w:p>
        </w:tc>
        <w:tc>
          <w:tcPr>
            <w:tcW w:w="122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重金属、无机盐、泥沙等</w:t>
            </w:r>
          </w:p>
        </w:tc>
        <w:tc>
          <w:tcPr>
            <w:tcW w:w="996" w:type="dxa"/>
            <w:vAlign w:val="center"/>
          </w:tcPr>
          <w:p>
            <w:pPr>
              <w:pStyle w:val="23"/>
              <w:keepNext w:val="0"/>
              <w:keepLines w:val="0"/>
              <w:suppressLineNumbers w:val="0"/>
              <w:spacing w:before="0" w:beforeAutospacing="0" w:after="0" w:afterAutospacing="0"/>
              <w:ind w:left="0" w:right="0"/>
              <w:rPr>
                <w:rFonts w:hint="default"/>
                <w:color w:val="auto"/>
              </w:rPr>
            </w:pPr>
            <w:r>
              <w:rPr>
                <w:rFonts w:hint="eastAsia"/>
                <w:color w:val="auto"/>
                <w:lang w:val="en-US" w:eastAsia="zh-CN"/>
              </w:rPr>
              <w:t>13.2</w:t>
            </w:r>
            <w:r>
              <w:rPr>
                <w:rFonts w:hint="default"/>
                <w:color w:val="auto"/>
              </w:rPr>
              <w:t xml:space="preserve"> t/a</w:t>
            </w:r>
          </w:p>
        </w:tc>
        <w:tc>
          <w:tcPr>
            <w:tcW w:w="1011" w:type="dxa"/>
            <w:tcBorders>
              <w:bottom w:val="single" w:color="auto" w:sz="6" w:space="0"/>
              <w:right w:val="single" w:color="auto" w:sz="4" w:space="0"/>
            </w:tcBorders>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default"/>
                <w:color w:val="auto"/>
              </w:rPr>
            </w:pPr>
            <w:r>
              <w:rPr>
                <w:rFonts w:hint="default"/>
                <w:color w:val="auto"/>
              </w:rPr>
              <w:t>一般固废</w:t>
            </w:r>
          </w:p>
        </w:tc>
        <w:tc>
          <w:tcPr>
            <w:tcW w:w="1706" w:type="dxa"/>
            <w:tcBorders>
              <w:left w:val="single" w:color="auto" w:sz="4" w:space="0"/>
              <w:bottom w:val="single" w:color="auto" w:sz="6" w:space="0"/>
            </w:tcBorders>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default"/>
                <w:color w:val="auto"/>
              </w:rPr>
            </w:pPr>
            <w:r>
              <w:rPr>
                <w:rFonts w:hint="default"/>
                <w:color w:val="auto"/>
              </w:rPr>
              <w:t>场地内填埋处理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cantSplit/>
          <w:jc w:val="center"/>
        </w:trPr>
        <w:tc>
          <w:tcPr>
            <w:tcW w:w="66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S2</w:t>
            </w:r>
          </w:p>
        </w:tc>
        <w:tc>
          <w:tcPr>
            <w:tcW w:w="92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浓缩液</w:t>
            </w:r>
          </w:p>
        </w:tc>
        <w:tc>
          <w:tcPr>
            <w:tcW w:w="1471"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膜处理</w:t>
            </w:r>
          </w:p>
        </w:tc>
        <w:tc>
          <w:tcPr>
            <w:tcW w:w="122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水、有机物</w:t>
            </w:r>
            <w:r>
              <w:rPr>
                <w:rFonts w:hint="eastAsia"/>
                <w:color w:val="auto"/>
              </w:rPr>
              <w:t>、无机物</w:t>
            </w:r>
            <w:r>
              <w:rPr>
                <w:rFonts w:hint="default"/>
                <w:color w:val="auto"/>
              </w:rPr>
              <w:t>等</w:t>
            </w:r>
          </w:p>
        </w:tc>
        <w:tc>
          <w:tcPr>
            <w:tcW w:w="996" w:type="dxa"/>
            <w:vAlign w:val="center"/>
          </w:tcPr>
          <w:p>
            <w:pPr>
              <w:pStyle w:val="23"/>
              <w:keepNext w:val="0"/>
              <w:keepLines w:val="0"/>
              <w:suppressLineNumbers w:val="0"/>
              <w:spacing w:before="0" w:beforeAutospacing="0" w:after="0" w:afterAutospacing="0"/>
              <w:ind w:left="0" w:right="0"/>
              <w:rPr>
                <w:rFonts w:hint="default"/>
                <w:color w:val="auto"/>
              </w:rPr>
            </w:pPr>
            <w:r>
              <w:rPr>
                <w:rFonts w:hint="eastAsia"/>
                <w:color w:val="auto"/>
                <w:lang w:val="en-US" w:eastAsia="zh-CN"/>
              </w:rPr>
              <w:t>6624.75</w:t>
            </w:r>
            <w:r>
              <w:rPr>
                <w:rFonts w:hint="default"/>
                <w:color w:val="auto"/>
              </w:rPr>
              <w:t xml:space="preserve"> m</w:t>
            </w:r>
            <w:r>
              <w:rPr>
                <w:rFonts w:hint="default"/>
                <w:color w:val="auto"/>
                <w:vertAlign w:val="superscript"/>
              </w:rPr>
              <w:t>3</w:t>
            </w:r>
            <w:r>
              <w:rPr>
                <w:rFonts w:hint="default"/>
                <w:color w:val="auto"/>
              </w:rPr>
              <w:t>/a</w:t>
            </w:r>
          </w:p>
        </w:tc>
        <w:tc>
          <w:tcPr>
            <w:tcW w:w="1011" w:type="dxa"/>
            <w:tcBorders>
              <w:bottom w:val="single" w:color="auto" w:sz="6"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一般固废</w:t>
            </w:r>
          </w:p>
        </w:tc>
        <w:tc>
          <w:tcPr>
            <w:tcW w:w="1706" w:type="dxa"/>
            <w:tcBorders>
              <w:left w:val="single" w:color="auto" w:sz="4" w:space="0"/>
              <w:bottom w:val="single" w:color="auto" w:sz="6" w:space="0"/>
            </w:tcBorders>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场地回灌，循环处理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cantSplit/>
          <w:jc w:val="center"/>
        </w:trPr>
        <w:tc>
          <w:tcPr>
            <w:tcW w:w="66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S3</w:t>
            </w:r>
          </w:p>
        </w:tc>
        <w:tc>
          <w:tcPr>
            <w:tcW w:w="924" w:type="dxa"/>
            <w:vAlign w:val="center"/>
          </w:tcPr>
          <w:p>
            <w:pPr>
              <w:pStyle w:val="23"/>
              <w:keepNext w:val="0"/>
              <w:keepLines w:val="0"/>
              <w:suppressLineNumbers w:val="0"/>
              <w:spacing w:before="0" w:beforeAutospacing="0" w:after="0" w:afterAutospacing="0"/>
              <w:ind w:left="0" w:right="0"/>
              <w:rPr>
                <w:rFonts w:hint="default"/>
                <w:color w:val="auto"/>
              </w:rPr>
            </w:pPr>
            <w:r>
              <w:rPr>
                <w:rFonts w:hint="eastAsia"/>
                <w:color w:val="auto"/>
              </w:rPr>
              <w:t>废膜</w:t>
            </w:r>
          </w:p>
        </w:tc>
        <w:tc>
          <w:tcPr>
            <w:tcW w:w="1471" w:type="dxa"/>
            <w:vAlign w:val="center"/>
          </w:tcPr>
          <w:p>
            <w:pPr>
              <w:pStyle w:val="23"/>
              <w:keepNext w:val="0"/>
              <w:keepLines w:val="0"/>
              <w:suppressLineNumbers w:val="0"/>
              <w:spacing w:before="0" w:beforeAutospacing="0" w:after="0" w:afterAutospacing="0"/>
              <w:ind w:left="0" w:right="0"/>
              <w:rPr>
                <w:rFonts w:hint="default"/>
                <w:color w:val="auto"/>
              </w:rPr>
            </w:pPr>
            <w:r>
              <w:rPr>
                <w:rFonts w:hint="eastAsia"/>
                <w:color w:val="auto"/>
              </w:rPr>
              <w:t>检修更换</w:t>
            </w:r>
          </w:p>
        </w:tc>
        <w:tc>
          <w:tcPr>
            <w:tcW w:w="1222" w:type="dxa"/>
            <w:vAlign w:val="center"/>
          </w:tcPr>
          <w:p>
            <w:pPr>
              <w:pStyle w:val="23"/>
              <w:keepNext w:val="0"/>
              <w:keepLines w:val="0"/>
              <w:suppressLineNumbers w:val="0"/>
              <w:spacing w:before="0" w:beforeAutospacing="0" w:after="0" w:afterAutospacing="0"/>
              <w:ind w:left="0" w:right="0"/>
              <w:rPr>
                <w:rFonts w:hint="default"/>
                <w:color w:val="auto"/>
              </w:rPr>
            </w:pPr>
            <w:r>
              <w:rPr>
                <w:rFonts w:hint="eastAsia"/>
                <w:color w:val="auto"/>
              </w:rPr>
              <w:t>透析膜、污泥</w:t>
            </w:r>
          </w:p>
        </w:tc>
        <w:tc>
          <w:tcPr>
            <w:tcW w:w="996" w:type="dxa"/>
            <w:vAlign w:val="center"/>
          </w:tcPr>
          <w:p>
            <w:pPr>
              <w:pStyle w:val="23"/>
              <w:keepNext w:val="0"/>
              <w:keepLines w:val="0"/>
              <w:suppressLineNumbers w:val="0"/>
              <w:spacing w:before="0" w:beforeAutospacing="0" w:after="0" w:afterAutospacing="0"/>
              <w:ind w:left="0" w:right="0"/>
              <w:rPr>
                <w:rFonts w:hint="default"/>
                <w:color w:val="auto"/>
              </w:rPr>
            </w:pPr>
            <w:r>
              <w:rPr>
                <w:rFonts w:hint="eastAsia"/>
                <w:color w:val="auto"/>
                <w:lang w:val="en-US" w:eastAsia="zh-CN"/>
              </w:rPr>
              <w:t>1.6</w:t>
            </w:r>
            <w:r>
              <w:rPr>
                <w:rFonts w:hint="default"/>
                <w:color w:val="auto"/>
              </w:rPr>
              <w:t xml:space="preserve"> t/a</w:t>
            </w:r>
          </w:p>
        </w:tc>
        <w:tc>
          <w:tcPr>
            <w:tcW w:w="1011" w:type="dxa"/>
            <w:tcBorders>
              <w:bottom w:val="single" w:color="auto" w:sz="6"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一般固废</w:t>
            </w:r>
          </w:p>
        </w:tc>
        <w:tc>
          <w:tcPr>
            <w:tcW w:w="1706" w:type="dxa"/>
            <w:tcBorders>
              <w:left w:val="single" w:color="auto" w:sz="4" w:space="0"/>
              <w:bottom w:val="single" w:color="auto" w:sz="6" w:space="0"/>
            </w:tcBorders>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场地</w:t>
            </w:r>
            <w:r>
              <w:rPr>
                <w:rFonts w:hint="eastAsia"/>
                <w:color w:val="auto"/>
              </w:rPr>
              <w:t>内填埋处理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cantSplit/>
          <w:jc w:val="center"/>
        </w:trPr>
        <w:tc>
          <w:tcPr>
            <w:tcW w:w="665"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S</w:t>
            </w:r>
            <w:r>
              <w:rPr>
                <w:rFonts w:hint="eastAsia"/>
                <w:color w:val="auto"/>
              </w:rPr>
              <w:t>4</w:t>
            </w:r>
          </w:p>
        </w:tc>
        <w:tc>
          <w:tcPr>
            <w:tcW w:w="924"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生活垃圾</w:t>
            </w:r>
          </w:p>
        </w:tc>
        <w:tc>
          <w:tcPr>
            <w:tcW w:w="1471"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职工生活、工作</w:t>
            </w:r>
          </w:p>
        </w:tc>
        <w:tc>
          <w:tcPr>
            <w:tcW w:w="1222"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废纸、塑料</w:t>
            </w:r>
          </w:p>
        </w:tc>
        <w:tc>
          <w:tcPr>
            <w:tcW w:w="996" w:type="dxa"/>
            <w:vAlign w:val="center"/>
          </w:tcPr>
          <w:p>
            <w:pPr>
              <w:pStyle w:val="23"/>
              <w:keepNext w:val="0"/>
              <w:keepLines w:val="0"/>
              <w:suppressLineNumbers w:val="0"/>
              <w:spacing w:before="0" w:beforeAutospacing="0" w:after="0" w:afterAutospacing="0"/>
              <w:ind w:left="0" w:right="0"/>
              <w:rPr>
                <w:rFonts w:hint="default"/>
                <w:color w:val="auto"/>
              </w:rPr>
            </w:pPr>
            <w:r>
              <w:rPr>
                <w:rFonts w:hint="eastAsia"/>
                <w:color w:val="auto"/>
                <w:lang w:val="en-US" w:eastAsia="zh-CN"/>
              </w:rPr>
              <w:t>7.3</w:t>
            </w:r>
            <w:r>
              <w:rPr>
                <w:rFonts w:hint="default"/>
                <w:color w:val="auto"/>
              </w:rPr>
              <w:t xml:space="preserve"> t/a</w:t>
            </w:r>
          </w:p>
        </w:tc>
        <w:tc>
          <w:tcPr>
            <w:tcW w:w="1011" w:type="dxa"/>
            <w:tcBorders>
              <w:top w:val="single" w:color="auto" w:sz="6" w:space="0"/>
              <w:righ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生活垃圾</w:t>
            </w:r>
          </w:p>
        </w:tc>
        <w:tc>
          <w:tcPr>
            <w:tcW w:w="1706" w:type="dxa"/>
            <w:tcBorders>
              <w:top w:val="single" w:color="auto" w:sz="6" w:space="0"/>
              <w:left w:val="single" w:color="auto" w:sz="4" w:space="0"/>
            </w:tcBorders>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场地内填埋处理</w:t>
            </w:r>
          </w:p>
        </w:tc>
      </w:tr>
    </w:tbl>
    <w:p>
      <w:pPr>
        <w:adjustRightInd w:val="0"/>
        <w:snapToGrid w:val="0"/>
        <w:spacing w:line="360" w:lineRule="auto"/>
        <w:ind w:firstLine="482"/>
        <w:rPr>
          <w:color w:val="auto"/>
          <w:sz w:val="24"/>
        </w:rPr>
      </w:pPr>
    </w:p>
    <w:p>
      <w:pPr>
        <w:pStyle w:val="4"/>
        <w:rPr>
          <w:rFonts w:hint="eastAsia"/>
          <w:lang w:val="en-US" w:eastAsia="zh-CN"/>
        </w:rPr>
      </w:pPr>
      <w:r>
        <w:rPr>
          <w:rFonts w:hint="eastAsia"/>
          <w:lang w:val="en-US" w:eastAsia="zh-CN"/>
        </w:rPr>
        <w:t>5.4.5技改后污染源强汇总</w:t>
      </w:r>
    </w:p>
    <w:p>
      <w:pPr>
        <w:rPr>
          <w:rFonts w:hint="eastAsia"/>
          <w:lang w:val="en-US" w:eastAsia="zh-CN"/>
        </w:rPr>
      </w:pPr>
      <w:r>
        <w:rPr>
          <w:rFonts w:hint="eastAsia"/>
          <w:lang w:val="en-US" w:eastAsia="zh-CN"/>
        </w:rPr>
        <w:t>技改后，场区内污染物产生及排放情况详见表5-10。</w:t>
      </w:r>
    </w:p>
    <w:p>
      <w:pPr>
        <w:pStyle w:val="23"/>
        <w:rPr>
          <w:b/>
          <w:bCs/>
        </w:rPr>
      </w:pPr>
      <w:r>
        <w:rPr>
          <w:b/>
          <w:bCs/>
        </w:rPr>
        <w:t>表</w:t>
      </w:r>
      <w:r>
        <w:rPr>
          <w:rFonts w:hint="eastAsia"/>
          <w:b/>
          <w:bCs/>
          <w:lang w:val="en-US" w:eastAsia="zh-CN"/>
        </w:rPr>
        <w:t>5-10</w:t>
      </w:r>
      <w:r>
        <w:rPr>
          <w:b/>
          <w:bCs/>
        </w:rPr>
        <w:t xml:space="preserve"> 项目主要污染源强汇总表(以20</w:t>
      </w:r>
      <w:r>
        <w:rPr>
          <w:rFonts w:hint="eastAsia"/>
          <w:b/>
          <w:bCs/>
          <w:lang w:val="en-US" w:eastAsia="zh-CN"/>
        </w:rPr>
        <w:t>18</w:t>
      </w:r>
      <w:r>
        <w:rPr>
          <w:b/>
          <w:bCs/>
        </w:rPr>
        <w:t>年最大量计)</w:t>
      </w:r>
    </w:p>
    <w:tbl>
      <w:tblPr>
        <w:tblStyle w:val="19"/>
        <w:tblW w:w="8560"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540"/>
        <w:gridCol w:w="1933"/>
        <w:gridCol w:w="1216"/>
        <w:gridCol w:w="1302"/>
        <w:gridCol w:w="849"/>
        <w:gridCol w:w="272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75" w:hRule="atLeast"/>
          <w:tblHeader/>
          <w:jc w:val="center"/>
        </w:trPr>
        <w:tc>
          <w:tcPr>
            <w:tcW w:w="2473" w:type="dxa"/>
            <w:gridSpan w:val="2"/>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污染物</w:t>
            </w:r>
          </w:p>
        </w:tc>
        <w:tc>
          <w:tcPr>
            <w:tcW w:w="1216"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产生量</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削减量</w:t>
            </w:r>
          </w:p>
        </w:tc>
        <w:tc>
          <w:tcPr>
            <w:tcW w:w="849"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排放量</w:t>
            </w:r>
          </w:p>
        </w:tc>
        <w:tc>
          <w:tcPr>
            <w:tcW w:w="272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526" w:hRule="atLeast"/>
          <w:jc w:val="center"/>
        </w:trPr>
        <w:tc>
          <w:tcPr>
            <w:tcW w:w="540"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废水</w:t>
            </w: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水量 (m</w:t>
            </w:r>
            <w:r>
              <w:rPr>
                <w:rFonts w:hint="default"/>
                <w:vertAlign w:val="superscript"/>
              </w:rPr>
              <w:t>3</w:t>
            </w:r>
            <w:r>
              <w:rPr>
                <w:rFonts w:hint="default"/>
              </w:rPr>
              <w:t>/a)</w:t>
            </w:r>
          </w:p>
        </w:tc>
        <w:tc>
          <w:tcPr>
            <w:tcW w:w="1216"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lang w:eastAsia="zh-CN"/>
              </w:rPr>
            </w:pPr>
            <w:r>
              <w:rPr>
                <w:rFonts w:hint="eastAsia"/>
                <w:lang w:val="en-US" w:eastAsia="zh-CN"/>
              </w:rPr>
              <w:t>33123.75</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6624.75</w:t>
            </w:r>
            <w:r>
              <w:rPr>
                <w:rFonts w:hint="default"/>
              </w:rPr>
              <w:t>(场地内回灌)</w:t>
            </w:r>
          </w:p>
        </w:tc>
        <w:tc>
          <w:tcPr>
            <w:tcW w:w="849"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lang w:eastAsia="zh-CN"/>
              </w:rPr>
            </w:pPr>
            <w:r>
              <w:rPr>
                <w:rFonts w:hint="eastAsia"/>
                <w:lang w:val="en-US" w:eastAsia="zh-CN"/>
              </w:rPr>
              <w:t>26499</w:t>
            </w:r>
          </w:p>
        </w:tc>
        <w:tc>
          <w:tcPr>
            <w:tcW w:w="2720"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调节池均衡调质、调量，经</w:t>
            </w:r>
            <w:r>
              <w:rPr>
                <w:rFonts w:hint="eastAsia"/>
                <w:lang w:eastAsia="zh-CN"/>
              </w:rPr>
              <w:t>水解酸化、硝化反硝化等生化反应后，再通过膜处理</w:t>
            </w:r>
            <w:r>
              <w:rPr>
                <w:rFonts w:hint="default"/>
              </w:rPr>
              <w:t>，处理达《生活垃圾填埋场污染物控制标准》(GB16889- 2008)标准后排</w:t>
            </w:r>
            <w:r>
              <w:rPr>
                <w:rFonts w:hint="eastAsia"/>
                <w:lang w:eastAsia="zh-CN"/>
              </w:rPr>
              <w:t>芭蕉湖</w:t>
            </w:r>
            <w:r>
              <w:rPr>
                <w:rFonts w:hint="default"/>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06"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COD (t/a)</w:t>
            </w:r>
          </w:p>
        </w:tc>
        <w:tc>
          <w:tcPr>
            <w:tcW w:w="1216"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140.11</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lang w:eastAsia="zh-CN"/>
              </w:rPr>
            </w:pPr>
            <w:r>
              <w:rPr>
                <w:rFonts w:hint="eastAsia"/>
                <w:lang w:val="en-US" w:eastAsia="zh-CN"/>
              </w:rPr>
              <w:t>137.13</w:t>
            </w:r>
          </w:p>
        </w:tc>
        <w:tc>
          <w:tcPr>
            <w:tcW w:w="849"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2.38</w:t>
            </w:r>
          </w:p>
        </w:tc>
        <w:tc>
          <w:tcPr>
            <w:tcW w:w="272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12"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BOD5 (t/a)</w:t>
            </w:r>
          </w:p>
        </w:tc>
        <w:tc>
          <w:tcPr>
            <w:tcW w:w="1216"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75.52</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lang w:val="en-US" w:eastAsia="zh-CN"/>
              </w:rPr>
            </w:pPr>
            <w:r>
              <w:rPr>
                <w:rFonts w:hint="eastAsia"/>
                <w:lang w:val="en-US" w:eastAsia="zh-CN"/>
              </w:rPr>
              <w:t>74.75</w:t>
            </w:r>
          </w:p>
        </w:tc>
        <w:tc>
          <w:tcPr>
            <w:tcW w:w="849"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0.77</w:t>
            </w:r>
          </w:p>
        </w:tc>
        <w:tc>
          <w:tcPr>
            <w:tcW w:w="272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04"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NH3-N (t/a)</w:t>
            </w:r>
          </w:p>
        </w:tc>
        <w:tc>
          <w:tcPr>
            <w:tcW w:w="1216"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37.36</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eastAsia"/>
                <w:lang w:val="en-US" w:eastAsia="zh-CN"/>
              </w:rPr>
            </w:pPr>
            <w:r>
              <w:rPr>
                <w:rFonts w:hint="eastAsia"/>
                <w:lang w:val="en-US" w:eastAsia="zh-CN"/>
              </w:rPr>
              <w:t>36.8</w:t>
            </w:r>
          </w:p>
        </w:tc>
        <w:tc>
          <w:tcPr>
            <w:tcW w:w="849"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0.56</w:t>
            </w:r>
          </w:p>
        </w:tc>
        <w:tc>
          <w:tcPr>
            <w:tcW w:w="272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04"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SS (t/a)</w:t>
            </w:r>
          </w:p>
        </w:tc>
        <w:tc>
          <w:tcPr>
            <w:tcW w:w="1216"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6.62</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lang w:val="en-US" w:eastAsia="zh-CN"/>
              </w:rPr>
            </w:pPr>
            <w:r>
              <w:rPr>
                <w:rFonts w:hint="eastAsia"/>
                <w:lang w:val="en-US" w:eastAsia="zh-CN"/>
              </w:rPr>
              <w:t>6.19</w:t>
            </w:r>
          </w:p>
        </w:tc>
        <w:tc>
          <w:tcPr>
            <w:tcW w:w="849"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0.43</w:t>
            </w:r>
          </w:p>
        </w:tc>
        <w:tc>
          <w:tcPr>
            <w:tcW w:w="272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04"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TN</w:t>
            </w:r>
            <w:r>
              <w:rPr>
                <w:rFonts w:hint="default"/>
              </w:rPr>
              <w:t>(t/a)</w:t>
            </w:r>
          </w:p>
        </w:tc>
        <w:tc>
          <w:tcPr>
            <w:tcW w:w="1216"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43.43</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lang w:val="en-US" w:eastAsia="zh-CN"/>
              </w:rPr>
            </w:pPr>
            <w:r>
              <w:rPr>
                <w:rFonts w:hint="eastAsia"/>
                <w:lang w:val="en-US" w:eastAsia="zh-CN"/>
              </w:rPr>
              <w:t>42.77</w:t>
            </w:r>
          </w:p>
        </w:tc>
        <w:tc>
          <w:tcPr>
            <w:tcW w:w="849"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0.66</w:t>
            </w:r>
          </w:p>
        </w:tc>
        <w:tc>
          <w:tcPr>
            <w:tcW w:w="272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395"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TP</w:t>
            </w:r>
            <w:r>
              <w:rPr>
                <w:rFonts w:hint="default"/>
              </w:rPr>
              <w:t>(t/a)</w:t>
            </w:r>
          </w:p>
        </w:tc>
        <w:tc>
          <w:tcPr>
            <w:tcW w:w="1216"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0.54</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lang w:val="en-US" w:eastAsia="zh-CN"/>
              </w:rPr>
            </w:pPr>
            <w:r>
              <w:rPr>
                <w:rFonts w:hint="eastAsia"/>
                <w:lang w:val="en-US" w:eastAsia="zh-CN"/>
              </w:rPr>
              <w:t>0.53</w:t>
            </w:r>
          </w:p>
        </w:tc>
        <w:tc>
          <w:tcPr>
            <w:tcW w:w="849"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rPr>
            </w:pPr>
            <w:r>
              <w:rPr>
                <w:rFonts w:hint="eastAsia"/>
                <w:color w:val="auto"/>
                <w:lang w:val="en-US" w:eastAsia="zh-CN"/>
              </w:rPr>
              <w:t>0.01</w:t>
            </w:r>
          </w:p>
        </w:tc>
        <w:tc>
          <w:tcPr>
            <w:tcW w:w="272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345" w:hRule="atLeast"/>
          <w:jc w:val="center"/>
        </w:trPr>
        <w:tc>
          <w:tcPr>
            <w:tcW w:w="540"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废气</w:t>
            </w:r>
          </w:p>
          <w:p>
            <w:pPr>
              <w:pStyle w:val="23"/>
              <w:keepNext w:val="0"/>
              <w:keepLines w:val="0"/>
              <w:suppressLineNumbers w:val="0"/>
              <w:spacing w:before="0" w:beforeAutospacing="0" w:after="0" w:afterAutospacing="0"/>
              <w:ind w:left="0" w:right="0"/>
              <w:rPr>
                <w:rFonts w:hint="default"/>
              </w:rPr>
            </w:pPr>
            <w:r>
              <w:rPr>
                <w:rFonts w:hint="default"/>
              </w:rPr>
              <w:t>填埋气体</w:t>
            </w:r>
          </w:p>
        </w:tc>
        <w:tc>
          <w:tcPr>
            <w:tcW w:w="1933"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废气量(万Nm</w:t>
            </w:r>
            <w:r>
              <w:rPr>
                <w:rFonts w:hint="default"/>
                <w:vertAlign w:val="superscript"/>
              </w:rPr>
              <w:t>3</w:t>
            </w:r>
            <w:r>
              <w:rPr>
                <w:rFonts w:hint="default"/>
              </w:rPr>
              <w:t>/a)</w:t>
            </w:r>
          </w:p>
        </w:tc>
        <w:tc>
          <w:tcPr>
            <w:tcW w:w="1216"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163.63</w:t>
            </w:r>
          </w:p>
        </w:tc>
        <w:tc>
          <w:tcPr>
            <w:tcW w:w="1302"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 xml:space="preserve">132.5 </w:t>
            </w:r>
          </w:p>
        </w:tc>
        <w:tc>
          <w:tcPr>
            <w:tcW w:w="849"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 xml:space="preserve">33.1 </w:t>
            </w:r>
          </w:p>
        </w:tc>
        <w:tc>
          <w:tcPr>
            <w:tcW w:w="2720"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由</w:t>
            </w:r>
            <w:r>
              <w:rPr>
                <w:rFonts w:hint="eastAsia"/>
                <w:lang w:eastAsia="zh-CN"/>
              </w:rPr>
              <w:t>导排系统收集后送至岳阳诚进环保能源有限公司精制生产天然气综合利用</w:t>
            </w:r>
            <w:r>
              <w:rPr>
                <w:rFonts w:hint="default"/>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345"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甲烷量(万Nm</w:t>
            </w:r>
            <w:r>
              <w:rPr>
                <w:rFonts w:hint="default"/>
                <w:vertAlign w:val="superscript"/>
              </w:rPr>
              <w:t>3</w:t>
            </w:r>
            <w:r>
              <w:rPr>
                <w:rFonts w:hint="default"/>
              </w:rPr>
              <w:t>/a)</w:t>
            </w:r>
          </w:p>
        </w:tc>
        <w:tc>
          <w:tcPr>
            <w:tcW w:w="1216"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81.8</w:t>
            </w:r>
            <w:r>
              <w:rPr>
                <w:rFonts w:hint="default"/>
              </w:rPr>
              <w:t xml:space="preserve"> </w:t>
            </w:r>
          </w:p>
        </w:tc>
        <w:tc>
          <w:tcPr>
            <w:tcW w:w="1302"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 xml:space="preserve"> </w:t>
            </w:r>
            <w:r>
              <w:rPr>
                <w:rFonts w:hint="eastAsia"/>
                <w:lang w:val="en-US" w:eastAsia="zh-CN"/>
              </w:rPr>
              <w:t>65.4</w:t>
            </w:r>
          </w:p>
        </w:tc>
        <w:tc>
          <w:tcPr>
            <w:tcW w:w="849"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eastAsia" w:eastAsia="宋体"/>
                <w:lang w:eastAsia="zh-CN"/>
              </w:rPr>
            </w:pPr>
            <w:r>
              <w:rPr>
                <w:rFonts w:hint="eastAsia"/>
                <w:lang w:val="en-US" w:eastAsia="zh-CN"/>
              </w:rPr>
              <w:t>16.4</w:t>
            </w:r>
          </w:p>
        </w:tc>
        <w:tc>
          <w:tcPr>
            <w:tcW w:w="272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345"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NH</w:t>
            </w:r>
            <w:r>
              <w:rPr>
                <w:rFonts w:hint="default"/>
                <w:vertAlign w:val="subscript"/>
              </w:rPr>
              <w:t>3</w:t>
            </w:r>
            <w:r>
              <w:rPr>
                <w:rFonts w:hint="default"/>
              </w:rPr>
              <w:t xml:space="preserve"> (t/a)</w:t>
            </w:r>
          </w:p>
        </w:tc>
        <w:tc>
          <w:tcPr>
            <w:tcW w:w="1216"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2.52</w:t>
            </w:r>
            <w:r>
              <w:rPr>
                <w:rFonts w:hint="default"/>
              </w:rPr>
              <w:t xml:space="preserve">  </w:t>
            </w:r>
          </w:p>
        </w:tc>
        <w:tc>
          <w:tcPr>
            <w:tcW w:w="1302"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eastAsia" w:eastAsia="宋体"/>
                <w:lang w:eastAsia="zh-CN"/>
              </w:rPr>
            </w:pPr>
            <w:r>
              <w:rPr>
                <w:rFonts w:hint="eastAsia"/>
                <w:lang w:val="en-US" w:eastAsia="zh-CN"/>
              </w:rPr>
              <w:t>2.02</w:t>
            </w:r>
          </w:p>
        </w:tc>
        <w:tc>
          <w:tcPr>
            <w:tcW w:w="849" w:type="dxa"/>
            <w:tcBorders>
              <w:bottom w:val="single" w:color="auto" w:sz="6"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 xml:space="preserve">0.50 </w:t>
            </w:r>
          </w:p>
        </w:tc>
        <w:tc>
          <w:tcPr>
            <w:tcW w:w="272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185"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H</w:t>
            </w:r>
            <w:r>
              <w:rPr>
                <w:rFonts w:hint="default"/>
                <w:vertAlign w:val="subscript"/>
              </w:rPr>
              <w:t>2</w:t>
            </w:r>
            <w:r>
              <w:rPr>
                <w:rFonts w:hint="default"/>
              </w:rPr>
              <w:t>S (t/a)</w:t>
            </w:r>
          </w:p>
        </w:tc>
        <w:tc>
          <w:tcPr>
            <w:tcW w:w="1216"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1.26</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1.01</w:t>
            </w:r>
            <w:r>
              <w:rPr>
                <w:rFonts w:hint="default"/>
              </w:rPr>
              <w:t xml:space="preserve"> </w:t>
            </w:r>
          </w:p>
        </w:tc>
        <w:tc>
          <w:tcPr>
            <w:tcW w:w="849"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0.25</w:t>
            </w:r>
            <w:r>
              <w:rPr>
                <w:rFonts w:hint="default"/>
              </w:rPr>
              <w:t xml:space="preserve"> </w:t>
            </w:r>
          </w:p>
        </w:tc>
        <w:tc>
          <w:tcPr>
            <w:tcW w:w="2720" w:type="dxa"/>
            <w:vMerge w:val="continue"/>
            <w:tcBorders>
              <w:bottom w:val="single" w:color="auto" w:sz="4"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191" w:hRule="atLeast"/>
          <w:jc w:val="center"/>
        </w:trPr>
        <w:tc>
          <w:tcPr>
            <w:tcW w:w="540"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固废</w:t>
            </w: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滤渣污泥 (t/a)</w:t>
            </w:r>
          </w:p>
        </w:tc>
        <w:tc>
          <w:tcPr>
            <w:tcW w:w="1216"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25.8</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25.8</w:t>
            </w:r>
          </w:p>
        </w:tc>
        <w:tc>
          <w:tcPr>
            <w:tcW w:w="849"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0</w:t>
            </w:r>
          </w:p>
        </w:tc>
        <w:tc>
          <w:tcPr>
            <w:tcW w:w="272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场地内填埋处理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270"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浓缩液(m</w:t>
            </w:r>
            <w:r>
              <w:rPr>
                <w:rFonts w:hint="default"/>
                <w:vertAlign w:val="superscript"/>
              </w:rPr>
              <w:t>3</w:t>
            </w:r>
            <w:r>
              <w:rPr>
                <w:rFonts w:hint="default"/>
              </w:rPr>
              <w:t>/a)</w:t>
            </w:r>
          </w:p>
        </w:tc>
        <w:tc>
          <w:tcPr>
            <w:tcW w:w="1216"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5438.5</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5438.5</w:t>
            </w:r>
          </w:p>
        </w:tc>
        <w:tc>
          <w:tcPr>
            <w:tcW w:w="849"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0</w:t>
            </w:r>
          </w:p>
        </w:tc>
        <w:tc>
          <w:tcPr>
            <w:tcW w:w="272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场地第回灌，循环处理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270"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废渗透膜</w:t>
            </w:r>
          </w:p>
        </w:tc>
        <w:tc>
          <w:tcPr>
            <w:tcW w:w="1216"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5.0</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5.0</w:t>
            </w:r>
          </w:p>
        </w:tc>
        <w:tc>
          <w:tcPr>
            <w:tcW w:w="849"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0</w:t>
            </w:r>
          </w:p>
        </w:tc>
        <w:tc>
          <w:tcPr>
            <w:tcW w:w="272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场地内填埋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260"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rPr>
            </w:pP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生活垃圾(t/a)</w:t>
            </w:r>
          </w:p>
        </w:tc>
        <w:tc>
          <w:tcPr>
            <w:tcW w:w="1216"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8.0</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8.0</w:t>
            </w:r>
          </w:p>
        </w:tc>
        <w:tc>
          <w:tcPr>
            <w:tcW w:w="849"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0</w:t>
            </w:r>
          </w:p>
        </w:tc>
        <w:tc>
          <w:tcPr>
            <w:tcW w:w="272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场地内填埋处理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217" w:hRule="atLeast"/>
          <w:jc w:val="center"/>
        </w:trPr>
        <w:tc>
          <w:tcPr>
            <w:tcW w:w="54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噪声</w:t>
            </w:r>
          </w:p>
        </w:tc>
        <w:tc>
          <w:tcPr>
            <w:tcW w:w="193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设备工作噪声(dB)</w:t>
            </w:r>
          </w:p>
        </w:tc>
        <w:tc>
          <w:tcPr>
            <w:tcW w:w="1216"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60~85</w:t>
            </w:r>
          </w:p>
        </w:tc>
        <w:tc>
          <w:tcPr>
            <w:tcW w:w="1302"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15~20</w:t>
            </w:r>
          </w:p>
        </w:tc>
        <w:tc>
          <w:tcPr>
            <w:tcW w:w="849"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60~65</w:t>
            </w:r>
          </w:p>
        </w:tc>
        <w:tc>
          <w:tcPr>
            <w:tcW w:w="272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减震垫等</w:t>
            </w:r>
          </w:p>
        </w:tc>
      </w:tr>
    </w:tbl>
    <w:p>
      <w:pPr>
        <w:pStyle w:val="3"/>
        <w:rPr>
          <w:rFonts w:hint="eastAsia"/>
          <w:lang w:val="en-US" w:eastAsia="zh-CN"/>
        </w:rPr>
      </w:pPr>
      <w:bookmarkStart w:id="66" w:name="_Toc536"/>
      <w:r>
        <w:rPr>
          <w:rFonts w:hint="eastAsia"/>
          <w:lang w:val="en-US" w:eastAsia="zh-CN"/>
        </w:rPr>
        <w:t>5.5技改前后污染物排放情况汇总</w:t>
      </w:r>
      <w:bookmarkEnd w:id="66"/>
    </w:p>
    <w:p>
      <w:pPr>
        <w:rPr>
          <w:rFonts w:hint="eastAsia"/>
          <w:u w:val="single"/>
          <w:lang w:val="en-US" w:eastAsia="zh-CN"/>
        </w:rPr>
      </w:pPr>
      <w:r>
        <w:rPr>
          <w:rFonts w:hint="eastAsia"/>
          <w:u w:val="single"/>
          <w:lang w:val="en-US" w:eastAsia="zh-CN"/>
        </w:rPr>
        <w:t>技改前后，场区内污染物排放情况见表5-11。</w:t>
      </w:r>
    </w:p>
    <w:p>
      <w:pPr>
        <w:pStyle w:val="23"/>
        <w:rPr>
          <w:b/>
          <w:bCs/>
          <w:u w:val="single"/>
        </w:rPr>
      </w:pPr>
      <w:r>
        <w:rPr>
          <w:b/>
          <w:bCs/>
          <w:u w:val="single"/>
        </w:rPr>
        <w:t>表</w:t>
      </w:r>
      <w:r>
        <w:rPr>
          <w:rFonts w:hint="eastAsia"/>
          <w:b/>
          <w:bCs/>
          <w:u w:val="single"/>
          <w:lang w:val="en-US" w:eastAsia="zh-CN"/>
        </w:rPr>
        <w:t>5-11</w:t>
      </w:r>
      <w:r>
        <w:rPr>
          <w:b/>
          <w:bCs/>
          <w:u w:val="single"/>
        </w:rPr>
        <w:t xml:space="preserve"> </w:t>
      </w:r>
      <w:r>
        <w:rPr>
          <w:rFonts w:hint="eastAsia"/>
          <w:b/>
          <w:bCs/>
          <w:u w:val="single"/>
          <w:lang w:eastAsia="zh-CN"/>
        </w:rPr>
        <w:t>技改前后污染物排放情况对比一览表</w:t>
      </w:r>
    </w:p>
    <w:tbl>
      <w:tblPr>
        <w:tblStyle w:val="19"/>
        <w:tblW w:w="8560"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540"/>
        <w:gridCol w:w="1666"/>
        <w:gridCol w:w="1050"/>
        <w:gridCol w:w="983"/>
        <w:gridCol w:w="1134"/>
        <w:gridCol w:w="318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75" w:hRule="atLeast"/>
          <w:tblHeader/>
          <w:jc w:val="center"/>
        </w:trPr>
        <w:tc>
          <w:tcPr>
            <w:tcW w:w="2206" w:type="dxa"/>
            <w:gridSpan w:val="2"/>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污染物</w:t>
            </w:r>
          </w:p>
        </w:tc>
        <w:tc>
          <w:tcPr>
            <w:tcW w:w="1050"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eastAsia="zh-CN"/>
              </w:rPr>
            </w:pPr>
            <w:r>
              <w:rPr>
                <w:rFonts w:hint="eastAsia"/>
                <w:u w:val="single"/>
                <w:lang w:eastAsia="zh-CN"/>
              </w:rPr>
              <w:t>技改前</w:t>
            </w:r>
          </w:p>
        </w:tc>
        <w:tc>
          <w:tcPr>
            <w:tcW w:w="983"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削减量</w:t>
            </w:r>
          </w:p>
        </w:tc>
        <w:tc>
          <w:tcPr>
            <w:tcW w:w="1134"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eastAsia="zh-CN"/>
              </w:rPr>
            </w:pPr>
            <w:r>
              <w:rPr>
                <w:rFonts w:hint="eastAsia"/>
                <w:u w:val="single"/>
                <w:lang w:eastAsia="zh-CN"/>
              </w:rPr>
              <w:t>技改后</w:t>
            </w:r>
          </w:p>
        </w:tc>
        <w:tc>
          <w:tcPr>
            <w:tcW w:w="3187"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28" w:hRule="atLeast"/>
          <w:jc w:val="center"/>
        </w:trPr>
        <w:tc>
          <w:tcPr>
            <w:tcW w:w="540"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废水</w:t>
            </w:r>
          </w:p>
        </w:tc>
        <w:tc>
          <w:tcPr>
            <w:tcW w:w="1666"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水量 (m</w:t>
            </w:r>
            <w:r>
              <w:rPr>
                <w:rFonts w:hint="default"/>
                <w:u w:val="single"/>
                <w:vertAlign w:val="superscript"/>
              </w:rPr>
              <w:t>3</w:t>
            </w:r>
            <w:r>
              <w:rPr>
                <w:rFonts w:hint="default"/>
                <w:u w:val="single"/>
              </w:rPr>
              <w:t>/a)</w:t>
            </w:r>
          </w:p>
        </w:tc>
        <w:tc>
          <w:tcPr>
            <w:tcW w:w="1050"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val="en-US" w:eastAsia="zh-CN"/>
              </w:rPr>
            </w:pPr>
            <w:r>
              <w:rPr>
                <w:rFonts w:hint="eastAsia"/>
                <w:u w:val="single"/>
                <w:lang w:val="en-US" w:eastAsia="zh-CN"/>
              </w:rPr>
              <w:t>93440</w:t>
            </w:r>
          </w:p>
        </w:tc>
        <w:tc>
          <w:tcPr>
            <w:tcW w:w="983"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lang w:val="en-US" w:eastAsia="zh-CN"/>
              </w:rPr>
              <w:t>66941</w:t>
            </w:r>
          </w:p>
        </w:tc>
        <w:tc>
          <w:tcPr>
            <w:tcW w:w="1134"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eastAsia="zh-CN"/>
              </w:rPr>
            </w:pPr>
            <w:r>
              <w:rPr>
                <w:rFonts w:hint="eastAsia"/>
                <w:u w:val="single"/>
                <w:lang w:val="en-US" w:eastAsia="zh-CN"/>
              </w:rPr>
              <w:t>26499</w:t>
            </w:r>
          </w:p>
        </w:tc>
        <w:tc>
          <w:tcPr>
            <w:tcW w:w="3187" w:type="dxa"/>
            <w:vMerge w:val="restart"/>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eastAsia="zh-CN"/>
              </w:rPr>
            </w:pPr>
            <w:r>
              <w:rPr>
                <w:rFonts w:hint="eastAsia"/>
                <w:u w:val="single"/>
                <w:lang w:eastAsia="zh-CN"/>
              </w:rPr>
              <w:t>本次技改对场区内雨污分流系统进行完善，渗滤液调节池进行加盖处理。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06"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p>
        </w:tc>
        <w:tc>
          <w:tcPr>
            <w:tcW w:w="1666"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COD (t/a)</w:t>
            </w:r>
          </w:p>
        </w:tc>
        <w:tc>
          <w:tcPr>
            <w:tcW w:w="1050"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jc w:val="center"/>
              <w:rPr>
                <w:rFonts w:hint="default"/>
                <w:u w:val="single"/>
              </w:rPr>
            </w:pPr>
            <w:r>
              <w:rPr>
                <w:rFonts w:hint="eastAsia"/>
                <w:u w:val="single"/>
                <w:vertAlign w:val="baseline"/>
                <w:lang w:val="en-US" w:eastAsia="zh-CN"/>
              </w:rPr>
              <w:t>8.2</w:t>
            </w:r>
          </w:p>
        </w:tc>
        <w:tc>
          <w:tcPr>
            <w:tcW w:w="983"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val="en-US" w:eastAsia="zh-CN"/>
              </w:rPr>
            </w:pPr>
            <w:r>
              <w:rPr>
                <w:rFonts w:hint="eastAsia"/>
                <w:u w:val="single"/>
                <w:lang w:val="en-US" w:eastAsia="zh-CN"/>
              </w:rPr>
              <w:t>5.82</w:t>
            </w:r>
          </w:p>
        </w:tc>
        <w:tc>
          <w:tcPr>
            <w:tcW w:w="1134"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u w:val="single"/>
              </w:rPr>
            </w:pPr>
            <w:r>
              <w:rPr>
                <w:rFonts w:hint="eastAsia"/>
                <w:color w:val="auto"/>
                <w:u w:val="single"/>
                <w:lang w:val="en-US" w:eastAsia="zh-CN"/>
              </w:rPr>
              <w:t>2.38</w:t>
            </w:r>
          </w:p>
        </w:tc>
        <w:tc>
          <w:tcPr>
            <w:tcW w:w="3187"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04"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p>
        </w:tc>
        <w:tc>
          <w:tcPr>
            <w:tcW w:w="1666"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NH3-N (t/a)</w:t>
            </w:r>
          </w:p>
        </w:tc>
        <w:tc>
          <w:tcPr>
            <w:tcW w:w="1050"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jc w:val="center"/>
              <w:rPr>
                <w:rFonts w:hint="default"/>
                <w:u w:val="single"/>
              </w:rPr>
            </w:pPr>
            <w:r>
              <w:rPr>
                <w:rFonts w:hint="eastAsia"/>
                <w:u w:val="single"/>
                <w:vertAlign w:val="baseline"/>
                <w:lang w:val="en-US" w:eastAsia="zh-CN"/>
              </w:rPr>
              <w:t>1.96</w:t>
            </w:r>
          </w:p>
        </w:tc>
        <w:tc>
          <w:tcPr>
            <w:tcW w:w="983" w:type="dxa"/>
            <w:shd w:val="clear" w:color="auto" w:fill="auto"/>
            <w:vAlign w:val="center"/>
          </w:tcPr>
          <w:p>
            <w:pPr>
              <w:pStyle w:val="23"/>
              <w:keepNext w:val="0"/>
              <w:keepLines w:val="0"/>
              <w:suppressLineNumbers w:val="0"/>
              <w:spacing w:before="0" w:beforeAutospacing="0" w:after="0" w:afterAutospacing="0"/>
              <w:ind w:left="0" w:right="0"/>
              <w:rPr>
                <w:rFonts w:hint="eastAsia"/>
                <w:u w:val="single"/>
                <w:lang w:val="en-US" w:eastAsia="zh-CN"/>
              </w:rPr>
            </w:pPr>
            <w:r>
              <w:rPr>
                <w:rFonts w:hint="eastAsia"/>
                <w:u w:val="single"/>
                <w:lang w:val="en-US" w:eastAsia="zh-CN"/>
              </w:rPr>
              <w:t>1.4</w:t>
            </w:r>
          </w:p>
        </w:tc>
        <w:tc>
          <w:tcPr>
            <w:tcW w:w="1134"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rPr>
                <w:rFonts w:hint="default"/>
                <w:u w:val="single"/>
              </w:rPr>
            </w:pPr>
            <w:r>
              <w:rPr>
                <w:rFonts w:hint="eastAsia"/>
                <w:color w:val="auto"/>
                <w:u w:val="single"/>
                <w:lang w:val="en-US" w:eastAsia="zh-CN"/>
              </w:rPr>
              <w:t>0.56</w:t>
            </w:r>
          </w:p>
        </w:tc>
        <w:tc>
          <w:tcPr>
            <w:tcW w:w="3187"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911" w:hRule="atLeast"/>
          <w:jc w:val="center"/>
        </w:trPr>
        <w:tc>
          <w:tcPr>
            <w:tcW w:w="540"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废气</w:t>
            </w:r>
          </w:p>
          <w:p>
            <w:pPr>
              <w:pStyle w:val="23"/>
              <w:keepNext w:val="0"/>
              <w:keepLines w:val="0"/>
              <w:suppressLineNumbers w:val="0"/>
              <w:spacing w:before="0" w:beforeAutospacing="0" w:after="0" w:afterAutospacing="0"/>
              <w:ind w:left="0" w:right="0"/>
              <w:rPr>
                <w:rFonts w:hint="default"/>
                <w:u w:val="single"/>
              </w:rPr>
            </w:pPr>
            <w:r>
              <w:rPr>
                <w:rFonts w:hint="default"/>
                <w:u w:val="single"/>
              </w:rPr>
              <w:t>填埋气体</w:t>
            </w:r>
          </w:p>
        </w:tc>
        <w:tc>
          <w:tcPr>
            <w:tcW w:w="1666" w:type="dxa"/>
            <w:tcBorders>
              <w:bottom w:val="single" w:color="auto" w:sz="6" w:space="0"/>
            </w:tcBorders>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NH</w:t>
            </w:r>
            <w:r>
              <w:rPr>
                <w:rFonts w:hint="default"/>
                <w:u w:val="single"/>
                <w:vertAlign w:val="subscript"/>
              </w:rPr>
              <w:t>3</w:t>
            </w:r>
            <w:r>
              <w:rPr>
                <w:rFonts w:hint="default"/>
                <w:u w:val="single"/>
              </w:rPr>
              <w:t xml:space="preserve"> (t/a)</w:t>
            </w:r>
          </w:p>
        </w:tc>
        <w:tc>
          <w:tcPr>
            <w:tcW w:w="1050" w:type="dxa"/>
            <w:tcBorders>
              <w:bottom w:val="single" w:color="auto" w:sz="6" w:space="0"/>
            </w:tcBorders>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u w:val="single"/>
                <w:lang w:val="en-US" w:eastAsia="zh-CN"/>
              </w:rPr>
            </w:pPr>
            <w:r>
              <w:rPr>
                <w:rFonts w:hint="eastAsia"/>
                <w:u w:val="single"/>
                <w:lang w:val="en-US" w:eastAsia="zh-CN"/>
              </w:rPr>
              <w:t>237</w:t>
            </w:r>
          </w:p>
        </w:tc>
        <w:tc>
          <w:tcPr>
            <w:tcW w:w="983" w:type="dxa"/>
            <w:tcBorders>
              <w:bottom w:val="single" w:color="auto" w:sz="6" w:space="0"/>
            </w:tcBorders>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u w:val="single"/>
                <w:lang w:val="en-US" w:eastAsia="zh-CN"/>
              </w:rPr>
            </w:pPr>
            <w:r>
              <w:rPr>
                <w:rFonts w:hint="eastAsia"/>
                <w:u w:val="single"/>
                <w:lang w:val="en-US" w:eastAsia="zh-CN"/>
              </w:rPr>
              <w:t>236.5</w:t>
            </w:r>
          </w:p>
        </w:tc>
        <w:tc>
          <w:tcPr>
            <w:tcW w:w="1134" w:type="dxa"/>
            <w:tcBorders>
              <w:bottom w:val="single" w:color="auto" w:sz="6" w:space="0"/>
            </w:tcBorders>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 xml:space="preserve">0.50 </w:t>
            </w:r>
          </w:p>
        </w:tc>
        <w:tc>
          <w:tcPr>
            <w:tcW w:w="3187"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lang w:eastAsia="zh-CN"/>
              </w:rPr>
              <w:t>技改前，废气导出后排空；技改后，</w:t>
            </w:r>
            <w:r>
              <w:rPr>
                <w:rFonts w:hint="default"/>
                <w:u w:val="single"/>
              </w:rPr>
              <w:t>由</w:t>
            </w:r>
            <w:r>
              <w:rPr>
                <w:rFonts w:hint="eastAsia"/>
                <w:u w:val="single"/>
                <w:lang w:eastAsia="zh-CN"/>
              </w:rPr>
              <w:t>导排系统收集后送至岳阳诚进环保能源有限公司精制生产天然气综合利用</w:t>
            </w:r>
            <w:r>
              <w:rPr>
                <w:rFonts w:hint="default"/>
                <w:u w:val="single"/>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808"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p>
        </w:tc>
        <w:tc>
          <w:tcPr>
            <w:tcW w:w="1666" w:type="dxa"/>
            <w:tcBorders>
              <w:bottom w:val="single" w:color="auto" w:sz="6" w:space="0"/>
            </w:tcBorders>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default"/>
                <w:u w:val="single"/>
              </w:rPr>
            </w:pPr>
            <w:r>
              <w:rPr>
                <w:rFonts w:hint="default"/>
                <w:u w:val="single"/>
              </w:rPr>
              <w:t>H</w:t>
            </w:r>
            <w:r>
              <w:rPr>
                <w:rFonts w:hint="default"/>
                <w:u w:val="single"/>
                <w:vertAlign w:val="subscript"/>
              </w:rPr>
              <w:t>2</w:t>
            </w:r>
            <w:r>
              <w:rPr>
                <w:rFonts w:hint="default"/>
                <w:u w:val="single"/>
              </w:rPr>
              <w:t>S (t/a)</w:t>
            </w:r>
          </w:p>
        </w:tc>
        <w:tc>
          <w:tcPr>
            <w:tcW w:w="1050" w:type="dxa"/>
            <w:tcBorders>
              <w:bottom w:val="single" w:color="auto" w:sz="6" w:space="0"/>
            </w:tcBorders>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u w:val="single"/>
                <w:lang w:val="en-US" w:eastAsia="zh-CN"/>
              </w:rPr>
            </w:pPr>
            <w:r>
              <w:rPr>
                <w:rFonts w:hint="eastAsia"/>
                <w:u w:val="single"/>
                <w:lang w:val="en-US" w:eastAsia="zh-CN"/>
              </w:rPr>
              <w:t>1.18</w:t>
            </w:r>
          </w:p>
        </w:tc>
        <w:tc>
          <w:tcPr>
            <w:tcW w:w="983" w:type="dxa"/>
            <w:tcBorders>
              <w:bottom w:val="single" w:color="auto" w:sz="6" w:space="0"/>
            </w:tcBorders>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u w:val="single"/>
                <w:lang w:val="en-US" w:eastAsia="zh-CN"/>
              </w:rPr>
            </w:pPr>
            <w:r>
              <w:rPr>
                <w:rFonts w:hint="eastAsia"/>
                <w:u w:val="single"/>
                <w:lang w:val="en-US" w:eastAsia="zh-CN"/>
              </w:rPr>
              <w:t>0.93</w:t>
            </w:r>
          </w:p>
        </w:tc>
        <w:tc>
          <w:tcPr>
            <w:tcW w:w="1134" w:type="dxa"/>
            <w:tcBorders>
              <w:bottom w:val="single" w:color="auto" w:sz="6" w:space="0"/>
            </w:tcBorders>
            <w:shd w:val="clear" w:color="auto" w:fill="auto"/>
            <w:textDirection w:val="lrTb"/>
            <w:vAlign w:val="center"/>
          </w:tcPr>
          <w:p>
            <w:pPr>
              <w:pStyle w:val="23"/>
              <w:keepNext w:val="0"/>
              <w:keepLines w:val="0"/>
              <w:suppressLineNumbers w:val="0"/>
              <w:spacing w:before="0" w:beforeAutospacing="0" w:after="0" w:afterAutospacing="0"/>
              <w:ind w:left="0" w:right="0" w:firstLine="0" w:firstLineChars="0"/>
              <w:rPr>
                <w:rFonts w:hint="eastAsia" w:eastAsia="宋体"/>
                <w:u w:val="single"/>
                <w:lang w:eastAsia="zh-CN"/>
              </w:rPr>
            </w:pPr>
            <w:r>
              <w:rPr>
                <w:rFonts w:hint="eastAsia"/>
                <w:u w:val="single"/>
                <w:lang w:val="en-US" w:eastAsia="zh-CN"/>
              </w:rPr>
              <w:t>0.25</w:t>
            </w:r>
            <w:r>
              <w:rPr>
                <w:rFonts w:hint="default"/>
                <w:u w:val="single"/>
              </w:rPr>
              <w:t xml:space="preserve"> </w:t>
            </w:r>
          </w:p>
        </w:tc>
        <w:tc>
          <w:tcPr>
            <w:tcW w:w="3187"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191" w:hRule="atLeast"/>
          <w:jc w:val="center"/>
        </w:trPr>
        <w:tc>
          <w:tcPr>
            <w:tcW w:w="540" w:type="dxa"/>
            <w:vMerge w:val="restart"/>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固废</w:t>
            </w:r>
          </w:p>
        </w:tc>
        <w:tc>
          <w:tcPr>
            <w:tcW w:w="1666"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滤渣污泥 (t/a)</w:t>
            </w:r>
          </w:p>
        </w:tc>
        <w:tc>
          <w:tcPr>
            <w:tcW w:w="1050"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jc w:val="center"/>
              <w:rPr>
                <w:rFonts w:hint="default"/>
                <w:u w:val="single"/>
              </w:rPr>
            </w:pPr>
            <w:r>
              <w:rPr>
                <w:rFonts w:hint="eastAsia"/>
                <w:u w:val="single"/>
                <w:vertAlign w:val="baseline"/>
                <w:lang w:val="en-US" w:eastAsia="zh-CN"/>
              </w:rPr>
              <w:t>13.2</w:t>
            </w:r>
          </w:p>
        </w:tc>
        <w:tc>
          <w:tcPr>
            <w:tcW w:w="983"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eastAsia="zh-CN"/>
              </w:rPr>
            </w:pPr>
            <w:r>
              <w:rPr>
                <w:rFonts w:hint="eastAsia"/>
                <w:u w:val="single"/>
                <w:lang w:val="en-US" w:eastAsia="zh-CN"/>
              </w:rPr>
              <w:t>0</w:t>
            </w:r>
          </w:p>
        </w:tc>
        <w:tc>
          <w:tcPr>
            <w:tcW w:w="1134"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vertAlign w:val="baseline"/>
                <w:lang w:val="en-US" w:eastAsia="zh-CN"/>
              </w:rPr>
              <w:t>13.2</w:t>
            </w:r>
          </w:p>
        </w:tc>
        <w:tc>
          <w:tcPr>
            <w:tcW w:w="3187"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场地内填埋处理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270"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p>
        </w:tc>
        <w:tc>
          <w:tcPr>
            <w:tcW w:w="1666"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浓缩液(m</w:t>
            </w:r>
            <w:r>
              <w:rPr>
                <w:rFonts w:hint="default"/>
                <w:u w:val="single"/>
                <w:vertAlign w:val="superscript"/>
              </w:rPr>
              <w:t>3</w:t>
            </w:r>
            <w:r>
              <w:rPr>
                <w:rFonts w:hint="default"/>
                <w:u w:val="single"/>
              </w:rPr>
              <w:t>/a)</w:t>
            </w:r>
          </w:p>
        </w:tc>
        <w:tc>
          <w:tcPr>
            <w:tcW w:w="1050"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jc w:val="center"/>
              <w:rPr>
                <w:rFonts w:hint="default"/>
                <w:u w:val="single"/>
              </w:rPr>
            </w:pPr>
            <w:r>
              <w:rPr>
                <w:rFonts w:hint="eastAsia"/>
                <w:u w:val="single"/>
                <w:vertAlign w:val="baseline"/>
                <w:lang w:val="en-US" w:eastAsia="zh-CN"/>
              </w:rPr>
              <w:t>23360</w:t>
            </w:r>
          </w:p>
        </w:tc>
        <w:tc>
          <w:tcPr>
            <w:tcW w:w="983"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val="en-US" w:eastAsia="zh-CN"/>
              </w:rPr>
            </w:pPr>
            <w:r>
              <w:rPr>
                <w:rFonts w:hint="eastAsia"/>
                <w:u w:val="single"/>
                <w:lang w:val="en-US" w:eastAsia="zh-CN"/>
              </w:rPr>
              <w:t>16735.25</w:t>
            </w:r>
          </w:p>
        </w:tc>
        <w:tc>
          <w:tcPr>
            <w:tcW w:w="1134"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eastAsia"/>
                <w:u w:val="single"/>
                <w:lang w:val="en-US" w:eastAsia="zh-CN"/>
              </w:rPr>
              <w:t>6624.75</w:t>
            </w:r>
          </w:p>
        </w:tc>
        <w:tc>
          <w:tcPr>
            <w:tcW w:w="3187"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场地第回灌，循环处理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270"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p>
        </w:tc>
        <w:tc>
          <w:tcPr>
            <w:tcW w:w="1666"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废渗透膜</w:t>
            </w:r>
          </w:p>
        </w:tc>
        <w:tc>
          <w:tcPr>
            <w:tcW w:w="1050"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jc w:val="center"/>
              <w:rPr>
                <w:rFonts w:hint="default"/>
                <w:u w:val="single"/>
              </w:rPr>
            </w:pPr>
            <w:r>
              <w:rPr>
                <w:rFonts w:hint="eastAsia"/>
                <w:u w:val="single"/>
                <w:vertAlign w:val="baseline"/>
                <w:lang w:val="en-US" w:eastAsia="zh-CN"/>
              </w:rPr>
              <w:t>1.6</w:t>
            </w:r>
          </w:p>
        </w:tc>
        <w:tc>
          <w:tcPr>
            <w:tcW w:w="983"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eastAsia="zh-CN"/>
              </w:rPr>
            </w:pPr>
            <w:r>
              <w:rPr>
                <w:rFonts w:hint="eastAsia"/>
                <w:u w:val="single"/>
                <w:lang w:val="en-US" w:eastAsia="zh-CN"/>
              </w:rPr>
              <w:t>0</w:t>
            </w:r>
          </w:p>
        </w:tc>
        <w:tc>
          <w:tcPr>
            <w:tcW w:w="1134"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val="en-US" w:eastAsia="zh-CN"/>
              </w:rPr>
            </w:pPr>
            <w:r>
              <w:rPr>
                <w:rFonts w:hint="eastAsia"/>
                <w:u w:val="single"/>
                <w:lang w:val="en-US" w:eastAsia="zh-CN"/>
              </w:rPr>
              <w:t>1.6</w:t>
            </w:r>
          </w:p>
        </w:tc>
        <w:tc>
          <w:tcPr>
            <w:tcW w:w="3187"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场地内填埋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260" w:hRule="atLeast"/>
          <w:jc w:val="center"/>
        </w:trPr>
        <w:tc>
          <w:tcPr>
            <w:tcW w:w="540" w:type="dxa"/>
            <w:vMerge w:val="continue"/>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p>
        </w:tc>
        <w:tc>
          <w:tcPr>
            <w:tcW w:w="1666"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生活垃圾(t/a)</w:t>
            </w:r>
          </w:p>
        </w:tc>
        <w:tc>
          <w:tcPr>
            <w:tcW w:w="1050" w:type="dxa"/>
            <w:shd w:val="clear" w:color="auto" w:fill="auto"/>
            <w:textDirection w:val="lrTb"/>
            <w:vAlign w:val="center"/>
          </w:tcPr>
          <w:p>
            <w:pPr>
              <w:pStyle w:val="23"/>
              <w:keepNext w:val="0"/>
              <w:keepLines w:val="0"/>
              <w:suppressLineNumbers w:val="0"/>
              <w:spacing w:before="0" w:beforeAutospacing="0" w:after="0" w:afterAutospacing="0"/>
              <w:ind w:left="0" w:leftChars="0" w:right="0" w:rightChars="0" w:firstLine="0" w:firstLineChars="0"/>
              <w:jc w:val="center"/>
              <w:rPr>
                <w:rFonts w:hint="default"/>
                <w:u w:val="single"/>
              </w:rPr>
            </w:pPr>
            <w:r>
              <w:rPr>
                <w:rFonts w:hint="eastAsia"/>
                <w:u w:val="single"/>
                <w:vertAlign w:val="baseline"/>
                <w:lang w:val="en-US" w:eastAsia="zh-CN"/>
              </w:rPr>
              <w:t>7.3</w:t>
            </w:r>
          </w:p>
        </w:tc>
        <w:tc>
          <w:tcPr>
            <w:tcW w:w="983"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eastAsia="zh-CN"/>
              </w:rPr>
            </w:pPr>
            <w:r>
              <w:rPr>
                <w:rFonts w:hint="eastAsia"/>
                <w:u w:val="single"/>
                <w:lang w:val="en-US" w:eastAsia="zh-CN"/>
              </w:rPr>
              <w:t>0</w:t>
            </w:r>
          </w:p>
        </w:tc>
        <w:tc>
          <w:tcPr>
            <w:tcW w:w="1134" w:type="dxa"/>
            <w:shd w:val="clear" w:color="auto" w:fill="auto"/>
            <w:vAlign w:val="center"/>
          </w:tcPr>
          <w:p>
            <w:pPr>
              <w:pStyle w:val="23"/>
              <w:keepNext w:val="0"/>
              <w:keepLines w:val="0"/>
              <w:suppressLineNumbers w:val="0"/>
              <w:spacing w:before="0" w:beforeAutospacing="0" w:after="0" w:afterAutospacing="0"/>
              <w:ind w:left="0" w:right="0"/>
              <w:rPr>
                <w:rFonts w:hint="eastAsia" w:eastAsia="宋体"/>
                <w:u w:val="single"/>
                <w:lang w:val="en-US" w:eastAsia="zh-CN"/>
              </w:rPr>
            </w:pPr>
            <w:r>
              <w:rPr>
                <w:rFonts w:hint="eastAsia"/>
                <w:u w:val="single"/>
                <w:lang w:val="en-US" w:eastAsia="zh-CN"/>
              </w:rPr>
              <w:t>7.3</w:t>
            </w:r>
          </w:p>
        </w:tc>
        <w:tc>
          <w:tcPr>
            <w:tcW w:w="3187" w:type="dxa"/>
            <w:shd w:val="clear" w:color="auto" w:fill="auto"/>
            <w:vAlign w:val="center"/>
          </w:tcPr>
          <w:p>
            <w:pPr>
              <w:pStyle w:val="23"/>
              <w:keepNext w:val="0"/>
              <w:keepLines w:val="0"/>
              <w:suppressLineNumbers w:val="0"/>
              <w:spacing w:before="0" w:beforeAutospacing="0" w:after="0" w:afterAutospacing="0"/>
              <w:ind w:left="0" w:right="0"/>
              <w:rPr>
                <w:rFonts w:hint="default"/>
                <w:u w:val="single"/>
              </w:rPr>
            </w:pPr>
            <w:r>
              <w:rPr>
                <w:rFonts w:hint="default"/>
                <w:u w:val="single"/>
              </w:rPr>
              <w:t>场地内填埋处理</w:t>
            </w:r>
          </w:p>
        </w:tc>
      </w:tr>
    </w:tbl>
    <w:p>
      <w:pPr>
        <w:rPr>
          <w:rFonts w:hint="eastAsia"/>
          <w:lang w:val="en-US" w:eastAsia="zh-CN"/>
        </w:rPr>
        <w:sectPr>
          <w:pgSz w:w="11906" w:h="16838"/>
          <w:pgMar w:top="1440" w:right="1800" w:bottom="1440" w:left="1800" w:header="851" w:footer="992" w:gutter="0"/>
          <w:pgNumType w:fmt="decimal"/>
          <w:cols w:space="425" w:num="1"/>
          <w:docGrid w:type="lines" w:linePitch="312" w:charSpace="0"/>
        </w:sectPr>
      </w:pPr>
    </w:p>
    <w:p>
      <w:pPr>
        <w:pStyle w:val="2"/>
        <w:numPr>
          <w:ilvl w:val="0"/>
          <w:numId w:val="8"/>
        </w:numPr>
        <w:rPr>
          <w:rFonts w:hint="eastAsia"/>
          <w:color w:val="auto"/>
          <w:lang w:val="en-US" w:eastAsia="zh-CN"/>
        </w:rPr>
      </w:pPr>
      <w:bookmarkStart w:id="67" w:name="_Toc3470"/>
      <w:r>
        <w:rPr>
          <w:rFonts w:hint="eastAsia"/>
          <w:color w:val="auto"/>
          <w:lang w:val="en-US" w:eastAsia="zh-CN"/>
        </w:rPr>
        <w:t>环境现状调查及评价内容</w:t>
      </w:r>
      <w:bookmarkEnd w:id="67"/>
    </w:p>
    <w:p>
      <w:pPr>
        <w:pStyle w:val="3"/>
        <w:rPr>
          <w:rFonts w:hint="eastAsia"/>
          <w:color w:val="auto"/>
          <w:lang w:val="en-US" w:eastAsia="zh-CN"/>
        </w:rPr>
      </w:pPr>
      <w:bookmarkStart w:id="68" w:name="_Toc8075"/>
      <w:r>
        <w:rPr>
          <w:rFonts w:hint="eastAsia"/>
          <w:color w:val="auto"/>
          <w:lang w:val="en-US" w:eastAsia="zh-CN"/>
        </w:rPr>
        <w:t>6.1自然环境现状调查与评价</w:t>
      </w:r>
      <w:bookmarkEnd w:id="68"/>
    </w:p>
    <w:p>
      <w:pPr>
        <w:pStyle w:val="4"/>
        <w:rPr>
          <w:rFonts w:hint="eastAsia"/>
          <w:color w:val="auto"/>
          <w:lang w:val="en-US" w:eastAsia="zh-CN"/>
        </w:rPr>
      </w:pPr>
      <w:r>
        <w:rPr>
          <w:rFonts w:hint="eastAsia"/>
          <w:color w:val="auto"/>
          <w:lang w:val="en-US" w:eastAsia="zh-CN"/>
        </w:rPr>
        <w:t>6.1.1地理位置</w:t>
      </w:r>
    </w:p>
    <w:p>
      <w:pPr>
        <w:rPr>
          <w:rFonts w:hint="eastAsia" w:ascii="Times New Roman" w:hAnsi="宋体" w:eastAsia="宋体" w:cs="Times New Roman"/>
          <w:color w:val="auto"/>
          <w:kern w:val="2"/>
          <w:sz w:val="24"/>
          <w:szCs w:val="24"/>
          <w:lang w:val="en-US" w:eastAsia="zh-CN" w:bidi="ar"/>
        </w:rPr>
      </w:pPr>
      <w:r>
        <w:rPr>
          <w:rFonts w:hint="eastAsia" w:ascii="Times New Roman" w:hAnsi="宋体" w:eastAsia="宋体" w:cs="Times New Roman"/>
          <w:color w:val="auto"/>
          <w:kern w:val="2"/>
          <w:sz w:val="24"/>
          <w:szCs w:val="24"/>
          <w:lang w:val="en-US" w:eastAsia="zh-CN" w:bidi="ar"/>
        </w:rPr>
        <w:t>岳阳市位于湖南省的东北部，素称“湘北门户”。地处东经</w:t>
      </w:r>
      <w:r>
        <w:rPr>
          <w:rFonts w:hint="default" w:ascii="Times New Roman" w:hAnsi="宋体" w:eastAsia="宋体" w:cs="Times New Roman"/>
          <w:color w:val="auto"/>
          <w:kern w:val="2"/>
          <w:sz w:val="24"/>
          <w:szCs w:val="24"/>
          <w:lang w:val="en-US" w:eastAsia="zh-CN" w:bidi="ar"/>
        </w:rPr>
        <w:t>112</w:t>
      </w:r>
      <w:r>
        <w:rPr>
          <w:rFonts w:hint="eastAsia" w:ascii="Times New Roman" w:hAnsi="宋体" w:eastAsia="宋体" w:cs="Times New Roman"/>
          <w:color w:val="auto"/>
          <w:kern w:val="2"/>
          <w:sz w:val="24"/>
          <w:szCs w:val="24"/>
          <w:lang w:val="en-US" w:eastAsia="zh-CN" w:bidi="ar"/>
        </w:rPr>
        <w:t>°</w:t>
      </w:r>
      <w:r>
        <w:rPr>
          <w:rFonts w:hint="default" w:ascii="Times New Roman" w:hAnsi="宋体" w:eastAsia="宋体" w:cs="Times New Roman"/>
          <w:color w:val="auto"/>
          <w:kern w:val="2"/>
          <w:sz w:val="24"/>
          <w:szCs w:val="24"/>
          <w:lang w:val="en-US" w:eastAsia="zh-CN" w:bidi="ar"/>
        </w:rPr>
        <w:t>18</w:t>
      </w:r>
      <w:r>
        <w:rPr>
          <w:rFonts w:hint="eastAsia" w:ascii="Times New Roman" w:hAnsi="宋体" w:eastAsia="宋体" w:cs="Times New Roman"/>
          <w:color w:val="auto"/>
          <w:kern w:val="2"/>
          <w:sz w:val="24"/>
          <w:szCs w:val="24"/>
          <w:lang w:val="en-US" w:eastAsia="zh-CN" w:bidi="ar"/>
        </w:rPr>
        <w:t>′</w:t>
      </w:r>
      <w:r>
        <w:rPr>
          <w:rFonts w:hint="default" w:ascii="Times New Roman" w:hAnsi="宋体" w:eastAsia="宋体" w:cs="Times New Roman"/>
          <w:color w:val="auto"/>
          <w:kern w:val="2"/>
          <w:sz w:val="24"/>
          <w:szCs w:val="24"/>
          <w:lang w:val="en-US" w:eastAsia="zh-CN" w:bidi="ar"/>
        </w:rPr>
        <w:t>31</w:t>
      </w:r>
      <w:r>
        <w:rPr>
          <w:rFonts w:hint="eastAsia" w:ascii="Times New Roman" w:hAnsi="宋体" w:eastAsia="宋体" w:cs="Times New Roman"/>
          <w:color w:val="auto"/>
          <w:kern w:val="2"/>
          <w:sz w:val="24"/>
          <w:szCs w:val="24"/>
          <w:lang w:val="en-US" w:eastAsia="zh-CN" w:bidi="ar"/>
        </w:rPr>
        <w:t>″</w:t>
      </w:r>
      <w:r>
        <w:rPr>
          <w:rFonts w:hint="default" w:ascii="Times New Roman" w:hAnsi="宋体" w:eastAsia="宋体" w:cs="Times New Roman"/>
          <w:color w:val="auto"/>
          <w:kern w:val="2"/>
          <w:sz w:val="24"/>
          <w:szCs w:val="24"/>
          <w:lang w:val="en-US" w:eastAsia="zh-CN" w:bidi="ar"/>
        </w:rPr>
        <w:t>~114</w:t>
      </w:r>
      <w:r>
        <w:rPr>
          <w:rFonts w:hint="eastAsia" w:ascii="Times New Roman" w:hAnsi="宋体" w:eastAsia="宋体" w:cs="Times New Roman"/>
          <w:color w:val="auto"/>
          <w:kern w:val="2"/>
          <w:sz w:val="24"/>
          <w:szCs w:val="24"/>
          <w:lang w:val="en-US" w:eastAsia="zh-CN" w:bidi="ar"/>
        </w:rPr>
        <w:t>°</w:t>
      </w:r>
      <w:r>
        <w:rPr>
          <w:rFonts w:hint="default" w:ascii="Times New Roman" w:hAnsi="宋体" w:eastAsia="宋体" w:cs="Times New Roman"/>
          <w:color w:val="auto"/>
          <w:kern w:val="2"/>
          <w:sz w:val="24"/>
          <w:szCs w:val="24"/>
          <w:lang w:val="en-US" w:eastAsia="zh-CN" w:bidi="ar"/>
        </w:rPr>
        <w:t>9</w:t>
      </w:r>
      <w:r>
        <w:rPr>
          <w:rFonts w:hint="eastAsia" w:ascii="Times New Roman" w:hAnsi="宋体" w:eastAsia="宋体" w:cs="Times New Roman"/>
          <w:color w:val="auto"/>
          <w:kern w:val="2"/>
          <w:sz w:val="24"/>
          <w:szCs w:val="24"/>
          <w:lang w:val="en-US" w:eastAsia="zh-CN" w:bidi="ar"/>
        </w:rPr>
        <w:t>′</w:t>
      </w:r>
      <w:r>
        <w:rPr>
          <w:rFonts w:hint="default" w:ascii="Times New Roman" w:hAnsi="宋体" w:eastAsia="宋体" w:cs="Times New Roman"/>
          <w:color w:val="auto"/>
          <w:kern w:val="2"/>
          <w:sz w:val="24"/>
          <w:szCs w:val="24"/>
          <w:lang w:val="en-US" w:eastAsia="zh-CN" w:bidi="ar"/>
        </w:rPr>
        <w:t>6</w:t>
      </w:r>
      <w:r>
        <w:rPr>
          <w:rFonts w:hint="eastAsia" w:ascii="Times New Roman" w:hAnsi="宋体" w:eastAsia="宋体" w:cs="Times New Roman"/>
          <w:color w:val="auto"/>
          <w:kern w:val="2"/>
          <w:sz w:val="24"/>
          <w:szCs w:val="24"/>
          <w:lang w:val="en-US" w:eastAsia="zh-CN" w:bidi="ar"/>
        </w:rPr>
        <w:t>″，北纬</w:t>
      </w:r>
      <w:r>
        <w:rPr>
          <w:rFonts w:hint="default" w:ascii="Times New Roman" w:hAnsi="宋体" w:eastAsia="宋体" w:cs="Times New Roman"/>
          <w:color w:val="auto"/>
          <w:kern w:val="2"/>
          <w:sz w:val="24"/>
          <w:szCs w:val="24"/>
          <w:lang w:val="en-US" w:eastAsia="zh-CN" w:bidi="ar"/>
        </w:rPr>
        <w:t>28</w:t>
      </w:r>
      <w:r>
        <w:rPr>
          <w:rFonts w:hint="eastAsia" w:ascii="Times New Roman" w:hAnsi="宋体" w:eastAsia="宋体" w:cs="Times New Roman"/>
          <w:color w:val="auto"/>
          <w:kern w:val="2"/>
          <w:sz w:val="24"/>
          <w:szCs w:val="24"/>
          <w:lang w:val="en-US" w:eastAsia="zh-CN" w:bidi="ar"/>
        </w:rPr>
        <w:t>°</w:t>
      </w:r>
      <w:r>
        <w:rPr>
          <w:rFonts w:hint="default" w:ascii="Times New Roman" w:hAnsi="宋体" w:eastAsia="宋体" w:cs="Times New Roman"/>
          <w:color w:val="auto"/>
          <w:kern w:val="2"/>
          <w:sz w:val="24"/>
          <w:szCs w:val="24"/>
          <w:lang w:val="en-US" w:eastAsia="zh-CN" w:bidi="ar"/>
        </w:rPr>
        <w:t>25</w:t>
      </w:r>
      <w:r>
        <w:rPr>
          <w:rFonts w:hint="eastAsia" w:ascii="Times New Roman" w:hAnsi="宋体" w:eastAsia="宋体" w:cs="Times New Roman"/>
          <w:color w:val="auto"/>
          <w:kern w:val="2"/>
          <w:sz w:val="24"/>
          <w:szCs w:val="24"/>
          <w:lang w:val="en-US" w:eastAsia="zh-CN" w:bidi="ar"/>
        </w:rPr>
        <w:t>′</w:t>
      </w:r>
      <w:r>
        <w:rPr>
          <w:rFonts w:hint="default" w:ascii="Times New Roman" w:hAnsi="宋体" w:eastAsia="宋体" w:cs="Times New Roman"/>
          <w:color w:val="auto"/>
          <w:kern w:val="2"/>
          <w:sz w:val="24"/>
          <w:szCs w:val="24"/>
          <w:lang w:val="en-US" w:eastAsia="zh-CN" w:bidi="ar"/>
        </w:rPr>
        <w:t>33</w:t>
      </w:r>
      <w:r>
        <w:rPr>
          <w:rFonts w:hint="eastAsia" w:ascii="Times New Roman" w:hAnsi="宋体" w:eastAsia="宋体" w:cs="Times New Roman"/>
          <w:color w:val="auto"/>
          <w:kern w:val="2"/>
          <w:sz w:val="24"/>
          <w:szCs w:val="24"/>
          <w:lang w:val="en-US" w:eastAsia="zh-CN" w:bidi="ar"/>
        </w:rPr>
        <w:t>″</w:t>
      </w:r>
      <w:r>
        <w:rPr>
          <w:rFonts w:hint="default" w:ascii="Times New Roman" w:hAnsi="宋体" w:eastAsia="宋体" w:cs="Times New Roman"/>
          <w:color w:val="auto"/>
          <w:kern w:val="2"/>
          <w:sz w:val="24"/>
          <w:szCs w:val="24"/>
          <w:lang w:val="en-US" w:eastAsia="zh-CN" w:bidi="ar"/>
        </w:rPr>
        <w:t>~29</w:t>
      </w:r>
      <w:r>
        <w:rPr>
          <w:rFonts w:hint="eastAsia" w:ascii="Times New Roman" w:hAnsi="宋体" w:eastAsia="宋体" w:cs="Times New Roman"/>
          <w:color w:val="auto"/>
          <w:kern w:val="2"/>
          <w:sz w:val="24"/>
          <w:szCs w:val="24"/>
          <w:lang w:val="en-US" w:eastAsia="zh-CN" w:bidi="ar"/>
        </w:rPr>
        <w:t>°</w:t>
      </w:r>
      <w:r>
        <w:rPr>
          <w:rFonts w:hint="default" w:ascii="Times New Roman" w:hAnsi="宋体" w:eastAsia="宋体" w:cs="Times New Roman"/>
          <w:color w:val="auto"/>
          <w:kern w:val="2"/>
          <w:sz w:val="24"/>
          <w:szCs w:val="24"/>
          <w:lang w:val="en-US" w:eastAsia="zh-CN" w:bidi="ar"/>
        </w:rPr>
        <w:t>51</w:t>
      </w:r>
      <w:r>
        <w:rPr>
          <w:rFonts w:hint="eastAsia" w:ascii="Times New Roman" w:hAnsi="宋体" w:eastAsia="宋体" w:cs="Times New Roman"/>
          <w:color w:val="auto"/>
          <w:kern w:val="2"/>
          <w:sz w:val="24"/>
          <w:szCs w:val="24"/>
          <w:lang w:val="en-US" w:eastAsia="zh-CN" w:bidi="ar"/>
        </w:rPr>
        <w:t>′</w:t>
      </w:r>
      <w:r>
        <w:rPr>
          <w:rFonts w:hint="default" w:ascii="Times New Roman" w:hAnsi="宋体" w:eastAsia="宋体" w:cs="Times New Roman"/>
          <w:color w:val="auto"/>
          <w:kern w:val="2"/>
          <w:sz w:val="24"/>
          <w:szCs w:val="24"/>
          <w:lang w:val="en-US" w:eastAsia="zh-CN" w:bidi="ar"/>
        </w:rPr>
        <w:t>00</w:t>
      </w:r>
      <w:r>
        <w:rPr>
          <w:rFonts w:hint="eastAsia" w:ascii="Times New Roman" w:hAnsi="宋体" w:eastAsia="宋体" w:cs="Times New Roman"/>
          <w:color w:val="auto"/>
          <w:kern w:val="2"/>
          <w:sz w:val="24"/>
          <w:szCs w:val="24"/>
          <w:lang w:val="en-US" w:eastAsia="zh-CN" w:bidi="ar"/>
        </w:rPr>
        <w:t>″之间。东邻江西省铜鼓、修水县和湖南省通城县；南抵湖南省浏阳市、长沙县、望城县；西接湖南省南县、安乡县、沅江市；北界湖北省赤壁、洪湖、监利、石首县（市）。全市东西横跨</w:t>
      </w:r>
      <w:r>
        <w:rPr>
          <w:rFonts w:hint="default" w:ascii="Times New Roman" w:hAnsi="宋体" w:eastAsia="宋体" w:cs="Times New Roman"/>
          <w:color w:val="auto"/>
          <w:kern w:val="2"/>
          <w:sz w:val="24"/>
          <w:szCs w:val="24"/>
          <w:lang w:val="en-US" w:eastAsia="zh-CN" w:bidi="ar"/>
        </w:rPr>
        <w:t>177.84km</w:t>
      </w:r>
      <w:r>
        <w:rPr>
          <w:rFonts w:hint="eastAsia" w:ascii="Times New Roman" w:hAnsi="宋体" w:eastAsia="宋体" w:cs="Times New Roman"/>
          <w:color w:val="auto"/>
          <w:kern w:val="2"/>
          <w:sz w:val="24"/>
          <w:szCs w:val="24"/>
          <w:lang w:val="en-US" w:eastAsia="zh-CN" w:bidi="ar"/>
        </w:rPr>
        <w:t>，南北纵长</w:t>
      </w:r>
      <w:r>
        <w:rPr>
          <w:rFonts w:hint="default" w:ascii="Times New Roman" w:hAnsi="宋体" w:eastAsia="宋体" w:cs="Times New Roman"/>
          <w:color w:val="auto"/>
          <w:kern w:val="2"/>
          <w:sz w:val="24"/>
          <w:szCs w:val="24"/>
          <w:lang w:val="en-US" w:eastAsia="zh-CN" w:bidi="ar"/>
        </w:rPr>
        <w:t>157.87km</w:t>
      </w:r>
      <w:r>
        <w:rPr>
          <w:rFonts w:hint="eastAsia" w:ascii="Times New Roman" w:hAnsi="宋体" w:eastAsia="宋体" w:cs="Times New Roman"/>
          <w:color w:val="auto"/>
          <w:kern w:val="2"/>
          <w:sz w:val="24"/>
          <w:szCs w:val="24"/>
          <w:lang w:val="en-US" w:eastAsia="zh-CN" w:bidi="ar"/>
        </w:rPr>
        <w:t>。土地总面积</w:t>
      </w:r>
      <w:r>
        <w:rPr>
          <w:rFonts w:hint="default" w:ascii="Times New Roman" w:hAnsi="宋体" w:eastAsia="宋体" w:cs="Times New Roman"/>
          <w:color w:val="auto"/>
          <w:kern w:val="2"/>
          <w:sz w:val="24"/>
          <w:szCs w:val="24"/>
          <w:lang w:val="en-US" w:eastAsia="zh-CN" w:bidi="ar"/>
        </w:rPr>
        <w:t>14898km</w:t>
      </w:r>
      <w:r>
        <w:rPr>
          <w:rFonts w:hint="default" w:ascii="Times New Roman" w:hAnsi="宋体" w:eastAsia="宋体" w:cs="Times New Roman"/>
          <w:color w:val="auto"/>
          <w:kern w:val="2"/>
          <w:sz w:val="24"/>
          <w:szCs w:val="24"/>
          <w:vertAlign w:val="superscript"/>
          <w:lang w:val="en-US" w:eastAsia="zh-CN" w:bidi="ar"/>
        </w:rPr>
        <w:t>2</w:t>
      </w:r>
      <w:r>
        <w:rPr>
          <w:rFonts w:hint="eastAsia" w:ascii="Times New Roman" w:hAnsi="宋体" w:eastAsia="宋体" w:cs="Times New Roman"/>
          <w:color w:val="auto"/>
          <w:kern w:val="2"/>
          <w:sz w:val="24"/>
          <w:szCs w:val="24"/>
          <w:lang w:val="en-US" w:eastAsia="zh-CN" w:bidi="ar"/>
        </w:rPr>
        <w:t>，占全省总面积的</w:t>
      </w:r>
      <w:r>
        <w:rPr>
          <w:rFonts w:hint="default" w:ascii="Times New Roman" w:hAnsi="宋体" w:eastAsia="宋体" w:cs="Times New Roman"/>
          <w:color w:val="auto"/>
          <w:kern w:val="2"/>
          <w:sz w:val="24"/>
          <w:szCs w:val="24"/>
          <w:lang w:val="en-US" w:eastAsia="zh-CN" w:bidi="ar"/>
        </w:rPr>
        <w:t>7.05%</w:t>
      </w:r>
      <w:r>
        <w:rPr>
          <w:rFonts w:hint="eastAsia" w:ascii="Times New Roman" w:hAnsi="宋体" w:eastAsia="宋体" w:cs="Times New Roman"/>
          <w:color w:val="auto"/>
          <w:kern w:val="2"/>
          <w:sz w:val="24"/>
          <w:szCs w:val="24"/>
          <w:lang w:val="en-US" w:eastAsia="zh-CN" w:bidi="ar"/>
        </w:rPr>
        <w:t>。城市规划区面积</w:t>
      </w:r>
      <w:r>
        <w:rPr>
          <w:rFonts w:hint="default" w:ascii="Times New Roman" w:hAnsi="宋体" w:eastAsia="宋体" w:cs="Times New Roman"/>
          <w:color w:val="auto"/>
          <w:kern w:val="2"/>
          <w:sz w:val="24"/>
          <w:szCs w:val="24"/>
          <w:lang w:val="en-US" w:eastAsia="zh-CN" w:bidi="ar"/>
        </w:rPr>
        <w:t>845km</w:t>
      </w:r>
      <w:r>
        <w:rPr>
          <w:rFonts w:hint="default" w:ascii="Times New Roman" w:hAnsi="宋体" w:eastAsia="宋体" w:cs="Times New Roman"/>
          <w:color w:val="auto"/>
          <w:kern w:val="2"/>
          <w:sz w:val="24"/>
          <w:szCs w:val="24"/>
          <w:vertAlign w:val="superscript"/>
          <w:lang w:val="en-US" w:eastAsia="zh-CN" w:bidi="ar"/>
        </w:rPr>
        <w:t>2</w:t>
      </w:r>
      <w:r>
        <w:rPr>
          <w:rFonts w:hint="eastAsia" w:ascii="Times New Roman" w:hAnsi="宋体" w:eastAsia="宋体" w:cs="Times New Roman"/>
          <w:color w:val="auto"/>
          <w:kern w:val="2"/>
          <w:sz w:val="24"/>
          <w:szCs w:val="24"/>
          <w:lang w:val="en-US" w:eastAsia="zh-CN" w:bidi="ar"/>
        </w:rPr>
        <w:t>，其中市区建成区面积</w:t>
      </w:r>
      <w:r>
        <w:rPr>
          <w:rFonts w:hint="default" w:ascii="Times New Roman" w:hAnsi="宋体" w:eastAsia="宋体" w:cs="Times New Roman"/>
          <w:color w:val="auto"/>
          <w:kern w:val="2"/>
          <w:sz w:val="24"/>
          <w:szCs w:val="24"/>
          <w:lang w:val="en-US" w:eastAsia="zh-CN" w:bidi="ar"/>
        </w:rPr>
        <w:t>83.73km</w:t>
      </w:r>
      <w:r>
        <w:rPr>
          <w:rFonts w:hint="default" w:ascii="Times New Roman" w:hAnsi="宋体" w:eastAsia="宋体" w:cs="Times New Roman"/>
          <w:color w:val="auto"/>
          <w:kern w:val="2"/>
          <w:sz w:val="24"/>
          <w:szCs w:val="24"/>
          <w:vertAlign w:val="superscript"/>
          <w:lang w:val="en-US" w:eastAsia="zh-CN" w:bidi="ar"/>
        </w:rPr>
        <w:t>2</w:t>
      </w:r>
      <w:r>
        <w:rPr>
          <w:rFonts w:hint="eastAsia" w:ascii="Times New Roman" w:hAnsi="宋体" w:eastAsia="宋体" w:cs="Times New Roman"/>
          <w:color w:val="auto"/>
          <w:kern w:val="2"/>
          <w:sz w:val="24"/>
          <w:szCs w:val="24"/>
          <w:lang w:val="en-US" w:eastAsia="zh-CN" w:bidi="ar"/>
        </w:rPr>
        <w:t>。</w:t>
      </w:r>
    </w:p>
    <w:p>
      <w:pPr>
        <w:pStyle w:val="4"/>
        <w:rPr>
          <w:rFonts w:hint="eastAsia"/>
          <w:color w:val="auto"/>
          <w:lang w:val="en-US" w:eastAsia="zh-CN"/>
        </w:rPr>
      </w:pPr>
      <w:r>
        <w:rPr>
          <w:rFonts w:hint="eastAsia"/>
          <w:color w:val="auto"/>
          <w:lang w:val="en-US" w:eastAsia="zh-CN"/>
        </w:rPr>
        <w:t>6.1.2地形、地貌、地震条件</w:t>
      </w:r>
    </w:p>
    <w:p>
      <w:pPr>
        <w:rPr>
          <w:color w:val="auto"/>
          <w:lang w:val="en-US"/>
        </w:rPr>
      </w:pPr>
      <w:r>
        <w:rPr>
          <w:rFonts w:hint="eastAsia"/>
          <w:color w:val="auto"/>
          <w:lang w:val="en-US" w:eastAsia="zh-CN"/>
        </w:rPr>
        <w:t>岳阳市地处富饶的洞庭湖平原和雄浑的幕阜山区，地貌组织以丘陵、平原为主，山地、丘陵、岗地、平原、水面的比例大致为</w:t>
      </w:r>
      <w:r>
        <w:rPr>
          <w:rFonts w:hint="default"/>
          <w:color w:val="auto"/>
          <w:lang w:val="en-US" w:eastAsia="zh-CN"/>
        </w:rPr>
        <w:t>16∶24∶18∶26∶16</w:t>
      </w:r>
      <w:r>
        <w:rPr>
          <w:rFonts w:hint="eastAsia"/>
          <w:color w:val="auto"/>
          <w:lang w:val="en-US" w:eastAsia="zh-CN"/>
        </w:rPr>
        <w:t>。整个地势东高西低，山、丘、岗、平大致东西排列，南北延伸，呈阶梯状向洞庭湖倾斜，形成围椅状。东部山丘地带，中部岗丘地带，约占全市总面积的</w:t>
      </w:r>
      <w:r>
        <w:rPr>
          <w:rFonts w:hint="default"/>
          <w:color w:val="auto"/>
          <w:lang w:val="en-US" w:eastAsia="zh-CN"/>
        </w:rPr>
        <w:t>30%</w:t>
      </w:r>
      <w:r>
        <w:rPr>
          <w:rFonts w:hint="eastAsia"/>
          <w:color w:val="auto"/>
          <w:lang w:val="en-US" w:eastAsia="zh-CN"/>
        </w:rPr>
        <w:t>，西部平原地带，约占全市总面积的</w:t>
      </w:r>
      <w:r>
        <w:rPr>
          <w:rFonts w:hint="default"/>
          <w:color w:val="auto"/>
          <w:lang w:val="en-US" w:eastAsia="zh-CN"/>
        </w:rPr>
        <w:t>40%</w:t>
      </w:r>
      <w:r>
        <w:rPr>
          <w:rFonts w:hint="eastAsia"/>
          <w:color w:val="auto"/>
          <w:lang w:val="en-US" w:eastAsia="zh-CN"/>
        </w:rPr>
        <w:t>，由河床冲积物堆积而成，地势平坦开阔，地面坡度一般小于</w:t>
      </w:r>
      <w:r>
        <w:rPr>
          <w:rFonts w:hint="default"/>
          <w:color w:val="auto"/>
          <w:lang w:val="en-US" w:eastAsia="zh-CN"/>
        </w:rPr>
        <w:t>5</w:t>
      </w:r>
      <w:r>
        <w:rPr>
          <w:rFonts w:hint="eastAsia"/>
          <w:color w:val="auto"/>
          <w:lang w:val="en-US" w:eastAsia="zh-CN"/>
        </w:rPr>
        <w:t>度。</w:t>
      </w:r>
    </w:p>
    <w:p>
      <w:pPr>
        <w:rPr>
          <w:rFonts w:hint="eastAsia" w:ascii="Times New Roman" w:hAnsi="Times New Roman" w:eastAsia="仿宋_GB2312" w:cs="Times New Roman"/>
          <w:bCs/>
          <w:color w:val="auto"/>
          <w:kern w:val="2"/>
          <w:szCs w:val="28"/>
          <w:lang w:val="en-US" w:eastAsia="zh-CN" w:bidi="ar"/>
        </w:rPr>
      </w:pPr>
      <w:r>
        <w:rPr>
          <w:rFonts w:hint="eastAsia"/>
          <w:color w:val="auto"/>
          <w:lang w:val="en-US" w:eastAsia="zh-CN"/>
        </w:rPr>
        <w:t>根据《中国地震动参数区划图》（GB 18306-2015），项目地地震基本烈度为</w:t>
      </w:r>
      <w:r>
        <w:rPr>
          <w:rFonts w:hint="default"/>
          <w:color w:val="auto"/>
          <w:lang w:val="en-US" w:eastAsia="zh-CN"/>
        </w:rPr>
        <w:t>7</w:t>
      </w:r>
      <w:r>
        <w:rPr>
          <w:rFonts w:hint="eastAsia"/>
          <w:color w:val="auto"/>
          <w:lang w:val="en-US" w:eastAsia="zh-CN"/>
        </w:rPr>
        <w:t>度，建议项目按照</w:t>
      </w:r>
      <w:r>
        <w:rPr>
          <w:rFonts w:hint="default"/>
          <w:color w:val="auto"/>
          <w:lang w:val="en-US" w:eastAsia="zh-CN"/>
        </w:rPr>
        <w:t>7</w:t>
      </w:r>
      <w:r>
        <w:rPr>
          <w:rFonts w:hint="eastAsia"/>
          <w:color w:val="auto"/>
          <w:lang w:val="en-US" w:eastAsia="zh-CN"/>
        </w:rPr>
        <w:t>度</w:t>
      </w:r>
      <w:r>
        <w:rPr>
          <w:rFonts w:hint="eastAsia" w:ascii="Times New Roman" w:hAnsi="Times New Roman" w:eastAsia="仿宋_GB2312" w:cs="Times New Roman"/>
          <w:bCs/>
          <w:color w:val="auto"/>
          <w:kern w:val="2"/>
          <w:szCs w:val="28"/>
          <w:lang w:val="en-US" w:eastAsia="zh-CN" w:bidi="ar"/>
        </w:rPr>
        <w:t>进行抗震设防，设计基本地震加速度</w:t>
      </w:r>
      <w:r>
        <w:rPr>
          <w:rFonts w:hint="default" w:ascii="Times New Roman" w:hAnsi="Times New Roman" w:eastAsia="仿宋_GB2312" w:cs="Times New Roman"/>
          <w:bCs/>
          <w:color w:val="auto"/>
          <w:kern w:val="2"/>
          <w:szCs w:val="28"/>
          <w:lang w:val="en-US" w:eastAsia="zh-CN" w:bidi="ar"/>
        </w:rPr>
        <w:t>0.10g</w:t>
      </w:r>
      <w:r>
        <w:rPr>
          <w:rFonts w:hint="eastAsia" w:ascii="Times New Roman" w:hAnsi="Times New Roman" w:eastAsia="仿宋_GB2312" w:cs="Times New Roman"/>
          <w:bCs/>
          <w:color w:val="auto"/>
          <w:kern w:val="2"/>
          <w:szCs w:val="28"/>
          <w:lang w:val="en-US" w:eastAsia="zh-CN" w:bidi="ar"/>
        </w:rPr>
        <w:t>，设计特征周期值</w:t>
      </w:r>
      <w:r>
        <w:rPr>
          <w:rFonts w:hint="default" w:ascii="Times New Roman" w:hAnsi="Times New Roman" w:eastAsia="仿宋_GB2312" w:cs="Times New Roman"/>
          <w:bCs/>
          <w:color w:val="auto"/>
          <w:kern w:val="2"/>
          <w:szCs w:val="28"/>
          <w:lang w:val="en-US" w:eastAsia="zh-CN" w:bidi="ar"/>
        </w:rPr>
        <w:t>0.35s</w:t>
      </w:r>
      <w:r>
        <w:rPr>
          <w:rFonts w:hint="eastAsia" w:ascii="Times New Roman" w:hAnsi="Times New Roman" w:eastAsia="仿宋_GB2312" w:cs="Times New Roman"/>
          <w:bCs/>
          <w:color w:val="auto"/>
          <w:kern w:val="2"/>
          <w:szCs w:val="28"/>
          <w:lang w:val="en-US" w:eastAsia="zh-CN" w:bidi="ar"/>
        </w:rPr>
        <w:t>。</w:t>
      </w:r>
    </w:p>
    <w:p>
      <w:pPr>
        <w:pStyle w:val="4"/>
        <w:rPr>
          <w:rFonts w:hint="eastAsia"/>
          <w:color w:val="auto"/>
          <w:lang w:val="en-US" w:eastAsia="zh-CN"/>
        </w:rPr>
      </w:pPr>
      <w:r>
        <w:rPr>
          <w:rFonts w:hint="eastAsia"/>
          <w:color w:val="auto"/>
          <w:lang w:val="en-US" w:eastAsia="zh-CN"/>
        </w:rPr>
        <w:t>6.1.3工程地质条件</w:t>
      </w:r>
    </w:p>
    <w:p>
      <w:pPr>
        <w:rPr>
          <w:rFonts w:hint="default"/>
          <w:color w:val="auto"/>
          <w:lang w:val="en-US" w:eastAsia="zh-CN"/>
        </w:rPr>
      </w:pPr>
      <w:r>
        <w:rPr>
          <w:rFonts w:hint="eastAsia"/>
          <w:color w:val="auto"/>
          <w:lang w:val="en-US" w:eastAsia="zh-CN"/>
        </w:rPr>
        <w:t>拟建场地原始地貌为丘陵地区侵蚀剥蚀的低丘岗、边坡地带。勘察时场地基本为原始地貌，各钻孔孔口标高介于49.64～104.18</w:t>
      </w:r>
      <w:r>
        <w:rPr>
          <w:rFonts w:hint="default"/>
          <w:color w:val="auto"/>
          <w:lang w:val="en-US" w:eastAsia="zh-CN"/>
        </w:rPr>
        <w:t>m</w:t>
      </w:r>
    </w:p>
    <w:p>
      <w:pPr>
        <w:rPr>
          <w:color w:val="auto"/>
          <w:lang w:val="en-US"/>
        </w:rPr>
      </w:pPr>
      <w:r>
        <w:rPr>
          <w:rFonts w:hint="eastAsia"/>
          <w:color w:val="auto"/>
          <w:lang w:val="en-US" w:eastAsia="zh-CN"/>
        </w:rPr>
        <w:t>拟建场地内埋藏地层的特征，按从上至下顺序描述如下：</w:t>
      </w:r>
    </w:p>
    <w:p>
      <w:pPr>
        <w:rPr>
          <w:color w:val="auto"/>
          <w:lang w:val="en-US"/>
        </w:rPr>
      </w:pPr>
      <w:r>
        <w:rPr>
          <w:rFonts w:hint="eastAsia"/>
          <w:color w:val="auto"/>
          <w:lang w:val="en-US" w:eastAsia="zh-CN"/>
        </w:rPr>
        <w:t>素填土（Qml）①：棕褐色、灰黑色，主要由粉质粘土和生活垃圾填筑而成，局部地段夹少量建筑垃圾，较湿，不均匀，具孔隙，填筑时间</w:t>
      </w:r>
      <w:r>
        <w:rPr>
          <w:rFonts w:hint="default"/>
          <w:color w:val="auto"/>
          <w:lang w:val="en-US" w:eastAsia="zh-CN"/>
        </w:rPr>
        <w:t>3</w:t>
      </w:r>
      <w:r>
        <w:rPr>
          <w:rFonts w:hint="eastAsia"/>
          <w:color w:val="auto"/>
          <w:lang w:val="en-US" w:eastAsia="zh-CN"/>
        </w:rPr>
        <w:t>—</w:t>
      </w:r>
      <w:r>
        <w:rPr>
          <w:rFonts w:hint="default"/>
          <w:color w:val="auto"/>
          <w:lang w:val="en-US" w:eastAsia="zh-CN"/>
        </w:rPr>
        <w:t>10</w:t>
      </w:r>
      <w:r>
        <w:rPr>
          <w:rFonts w:hint="eastAsia"/>
          <w:color w:val="auto"/>
          <w:lang w:val="en-US" w:eastAsia="zh-CN"/>
        </w:rPr>
        <w:t>年不等，未完成自重固结，为多年填土。该层场地仅少部分钻孔分布，场地层厚</w:t>
      </w:r>
      <w:r>
        <w:rPr>
          <w:rFonts w:hint="default"/>
          <w:color w:val="auto"/>
          <w:lang w:val="en-US" w:eastAsia="zh-CN"/>
        </w:rPr>
        <w:t>0.50</w:t>
      </w:r>
      <w:r>
        <w:rPr>
          <w:rFonts w:hint="eastAsia"/>
          <w:color w:val="auto"/>
          <w:lang w:val="en-US" w:eastAsia="zh-CN"/>
        </w:rPr>
        <w:t>～</w:t>
      </w:r>
      <w:r>
        <w:rPr>
          <w:rFonts w:hint="default"/>
          <w:color w:val="auto"/>
          <w:lang w:val="en-US" w:eastAsia="zh-CN"/>
        </w:rPr>
        <w:t>13.60m</w:t>
      </w:r>
      <w:r>
        <w:rPr>
          <w:rFonts w:hint="eastAsia"/>
          <w:color w:val="auto"/>
          <w:lang w:val="en-US" w:eastAsia="zh-CN"/>
        </w:rPr>
        <w:t>，平均层厚</w:t>
      </w:r>
      <w:r>
        <w:rPr>
          <w:rFonts w:hint="default"/>
          <w:color w:val="auto"/>
          <w:lang w:val="en-US" w:eastAsia="zh-CN"/>
        </w:rPr>
        <w:t>3.97m</w:t>
      </w:r>
      <w:r>
        <w:rPr>
          <w:rFonts w:hint="eastAsia"/>
          <w:color w:val="auto"/>
          <w:lang w:val="en-US" w:eastAsia="zh-CN"/>
        </w:rPr>
        <w:t>。</w:t>
      </w:r>
    </w:p>
    <w:p>
      <w:pPr>
        <w:rPr>
          <w:color w:val="auto"/>
          <w:lang w:val="en-US"/>
        </w:rPr>
      </w:pPr>
      <w:r>
        <w:rPr>
          <w:rFonts w:hint="eastAsia"/>
          <w:color w:val="auto"/>
          <w:lang w:val="en-US" w:eastAsia="zh-CN"/>
        </w:rPr>
        <w:t>第四系残积（Qel）粉质黏土②：棕红色、紫黄色、黄色，粘粒成分为主，粉粒成分次之，切口面较光滑，稍有光泽，无摇震反应，较湿，干强度高，韧性高，中等压缩性，抗剪强度高，呈硬塑状态。该层场地仅局部钻孔分布，场地层厚</w:t>
      </w:r>
      <w:r>
        <w:rPr>
          <w:rFonts w:hint="default"/>
          <w:color w:val="auto"/>
          <w:lang w:val="en-US" w:eastAsia="zh-CN"/>
        </w:rPr>
        <w:t>0.50</w:t>
      </w:r>
      <w:r>
        <w:rPr>
          <w:rFonts w:hint="eastAsia"/>
          <w:color w:val="auto"/>
          <w:lang w:val="en-US" w:eastAsia="zh-CN"/>
        </w:rPr>
        <w:t>～</w:t>
      </w:r>
      <w:r>
        <w:rPr>
          <w:rFonts w:hint="default"/>
          <w:color w:val="auto"/>
          <w:lang w:val="en-US" w:eastAsia="zh-CN"/>
        </w:rPr>
        <w:t>3.80m</w:t>
      </w:r>
      <w:r>
        <w:rPr>
          <w:rFonts w:hint="eastAsia"/>
          <w:color w:val="auto"/>
          <w:lang w:val="en-US" w:eastAsia="zh-CN"/>
        </w:rPr>
        <w:t>，平均层厚</w:t>
      </w:r>
      <w:r>
        <w:rPr>
          <w:rFonts w:hint="default"/>
          <w:color w:val="auto"/>
          <w:lang w:val="en-US" w:eastAsia="zh-CN"/>
        </w:rPr>
        <w:t>1.76m</w:t>
      </w:r>
      <w:r>
        <w:rPr>
          <w:rFonts w:hint="eastAsia"/>
          <w:color w:val="auto"/>
          <w:lang w:val="en-US" w:eastAsia="zh-CN"/>
        </w:rPr>
        <w:t>。</w:t>
      </w:r>
      <w:r>
        <w:rPr>
          <w:rFonts w:hint="default"/>
          <w:color w:val="auto"/>
          <w:lang w:val="en-US" w:eastAsia="zh-CN"/>
        </w:rPr>
        <w:t xml:space="preserve">      </w:t>
      </w:r>
    </w:p>
    <w:p>
      <w:pPr>
        <w:rPr>
          <w:color w:val="auto"/>
          <w:lang w:val="en-US"/>
        </w:rPr>
      </w:pPr>
      <w:r>
        <w:rPr>
          <w:rFonts w:hint="eastAsia"/>
          <w:color w:val="auto"/>
          <w:lang w:val="en-US" w:eastAsia="zh-CN"/>
        </w:rPr>
        <w:t>前震旦系冷家溪群强风化（</w:t>
      </w:r>
      <w:r>
        <w:rPr>
          <w:rFonts w:hint="default"/>
          <w:color w:val="auto"/>
          <w:lang w:val="en-US" w:eastAsia="zh-CN"/>
        </w:rPr>
        <w:t>Pt</w:t>
      </w:r>
      <w:r>
        <w:rPr>
          <w:rFonts w:hint="eastAsia"/>
          <w:color w:val="auto"/>
          <w:lang w:val="en-US" w:eastAsia="zh-CN"/>
        </w:rPr>
        <w:t>）板岩</w:t>
      </w:r>
      <w:r>
        <w:rPr>
          <w:rFonts w:hint="eastAsia"/>
          <w:color w:val="auto"/>
          <w:lang w:val="en-US" w:eastAsia="zh-CN"/>
        </w:rPr>
        <w:fldChar w:fldCharType="begin"/>
      </w:r>
      <w:r>
        <w:rPr>
          <w:rFonts w:hint="eastAsia"/>
          <w:color w:val="auto"/>
          <w:lang w:val="en-US" w:eastAsia="zh-CN"/>
        </w:rPr>
        <w:instrText xml:space="preserve"> = 3 \* GB3 </w:instrText>
      </w:r>
      <w:r>
        <w:rPr>
          <w:rFonts w:hint="eastAsia"/>
          <w:color w:val="auto"/>
          <w:lang w:val="en-US" w:eastAsia="zh-CN"/>
        </w:rPr>
        <w:fldChar w:fldCharType="separate"/>
      </w:r>
      <w:r>
        <w:rPr>
          <w:rFonts w:hint="eastAsia"/>
          <w:color w:val="auto"/>
          <w:lang w:val="en-US" w:eastAsia="zh-CN"/>
        </w:rPr>
        <w:t>③</w:t>
      </w:r>
      <w:r>
        <w:rPr>
          <w:rFonts w:hint="eastAsia"/>
          <w:color w:val="auto"/>
          <w:lang w:val="en-US" w:eastAsia="zh-CN"/>
        </w:rPr>
        <w:fldChar w:fldCharType="end"/>
      </w:r>
      <w:r>
        <w:rPr>
          <w:rFonts w:hint="eastAsia"/>
          <w:color w:val="auto"/>
          <w:lang w:val="en-US" w:eastAsia="zh-CN"/>
        </w:rPr>
        <w:t>：黄色、黄绿色，泥质结构，板状构造，岩层主要呈薄层状，岩石强烈风化，结构大部分被破坏，分布有少量石英脉，风化裂隙很发育，风化面为褐红色铁锰质矿物成份，岩体破碎，属极软岩，基本质量等级为Ⅴ类，RQD指标极差，钻进速度不均匀，时快时慢，岩芯主要呈碎块状，块状。在所有钻孔中遇见此层，场地层厚</w:t>
      </w:r>
      <w:r>
        <w:rPr>
          <w:rFonts w:hint="default"/>
          <w:color w:val="auto"/>
          <w:lang w:val="en-US" w:eastAsia="zh-CN"/>
        </w:rPr>
        <w:t>1.20</w:t>
      </w:r>
      <w:r>
        <w:rPr>
          <w:rFonts w:hint="eastAsia"/>
          <w:color w:val="auto"/>
          <w:lang w:val="en-US" w:eastAsia="zh-CN"/>
        </w:rPr>
        <w:t>～</w:t>
      </w:r>
      <w:r>
        <w:rPr>
          <w:rFonts w:hint="default"/>
          <w:color w:val="auto"/>
          <w:lang w:val="en-US" w:eastAsia="zh-CN"/>
        </w:rPr>
        <w:t>9.90m</w:t>
      </w:r>
      <w:r>
        <w:rPr>
          <w:rFonts w:hint="eastAsia"/>
          <w:color w:val="auto"/>
          <w:lang w:val="en-US" w:eastAsia="zh-CN"/>
        </w:rPr>
        <w:t>，平均层厚</w:t>
      </w:r>
      <w:r>
        <w:rPr>
          <w:rFonts w:hint="default"/>
          <w:color w:val="auto"/>
          <w:lang w:val="en-US" w:eastAsia="zh-CN"/>
        </w:rPr>
        <w:t>4.23m</w:t>
      </w:r>
      <w:r>
        <w:rPr>
          <w:rFonts w:hint="eastAsia"/>
          <w:color w:val="auto"/>
          <w:lang w:val="en-US" w:eastAsia="zh-CN"/>
        </w:rPr>
        <w:t>。</w:t>
      </w:r>
    </w:p>
    <w:p>
      <w:pPr>
        <w:rPr>
          <w:color w:val="auto"/>
          <w:lang w:val="en-US"/>
        </w:rPr>
      </w:pPr>
      <w:r>
        <w:rPr>
          <w:rFonts w:hint="eastAsia"/>
          <w:color w:val="auto"/>
          <w:lang w:val="en-US" w:eastAsia="zh-CN"/>
        </w:rPr>
        <w:t>震旦系冷家溪群中风化（</w:t>
      </w:r>
      <w:r>
        <w:rPr>
          <w:rFonts w:hint="default"/>
          <w:color w:val="auto"/>
          <w:lang w:val="en-US" w:eastAsia="zh-CN"/>
        </w:rPr>
        <w:t>Pt</w:t>
      </w:r>
      <w:r>
        <w:rPr>
          <w:rFonts w:hint="eastAsia"/>
          <w:color w:val="auto"/>
          <w:lang w:val="en-US" w:eastAsia="zh-CN"/>
        </w:rPr>
        <w:t>）板岩</w:t>
      </w:r>
      <w:r>
        <w:rPr>
          <w:rFonts w:hint="default"/>
          <w:color w:val="auto"/>
          <w:lang w:val="en-US" w:eastAsia="zh-CN"/>
        </w:rPr>
        <w:fldChar w:fldCharType="begin"/>
      </w:r>
      <w:r>
        <w:rPr>
          <w:rFonts w:hint="default"/>
          <w:color w:val="auto"/>
          <w:lang w:val="en-US" w:eastAsia="zh-CN"/>
        </w:rPr>
        <w:instrText xml:space="preserve"> = 4 \* GB3 </w:instrText>
      </w:r>
      <w:r>
        <w:rPr>
          <w:rFonts w:hint="default"/>
          <w:color w:val="auto"/>
          <w:lang w:val="en-US" w:eastAsia="zh-CN"/>
        </w:rPr>
        <w:fldChar w:fldCharType="separate"/>
      </w:r>
      <w:r>
        <w:rPr>
          <w:rFonts w:hint="eastAsia"/>
          <w:color w:val="auto"/>
          <w:lang w:val="en-US" w:eastAsia="zh-CN"/>
        </w:rPr>
        <w:t>④</w:t>
      </w:r>
      <w:r>
        <w:rPr>
          <w:rFonts w:hint="default"/>
          <w:color w:val="auto"/>
          <w:lang w:val="en-US" w:eastAsia="zh-CN"/>
        </w:rPr>
        <w:fldChar w:fldCharType="end"/>
      </w:r>
      <w:r>
        <w:rPr>
          <w:rFonts w:hint="eastAsia"/>
          <w:color w:val="auto"/>
          <w:lang w:val="en-US" w:eastAsia="zh-CN"/>
        </w:rPr>
        <w:t>：黄绿色、黄灰色，泥质结构，板状构造，岩层主要呈薄层夹中厚层状，岩石中等风化，结构部分被破坏，沿风化面有少量红褐色铁锰质矿物，风化裂隙较发育，岩体较完成，属软岩，基本质量等级为Ⅳ类，</w:t>
      </w:r>
      <w:r>
        <w:rPr>
          <w:rFonts w:hint="default"/>
          <w:color w:val="auto"/>
          <w:lang w:val="en-US" w:eastAsia="zh-CN"/>
        </w:rPr>
        <w:t>RQD</w:t>
      </w:r>
      <w:r>
        <w:rPr>
          <w:rFonts w:hint="eastAsia"/>
          <w:color w:val="auto"/>
          <w:lang w:val="en-US" w:eastAsia="zh-CN"/>
        </w:rPr>
        <w:t>指标较好，钻进速度较慢且均匀，岩芯主要呈短柱状、柱状。在所有钻孔中遇见此层，场地层厚</w:t>
      </w:r>
      <w:r>
        <w:rPr>
          <w:rFonts w:hint="default"/>
          <w:color w:val="auto"/>
          <w:lang w:val="en-US" w:eastAsia="zh-CN"/>
        </w:rPr>
        <w:t>1.70</w:t>
      </w:r>
      <w:r>
        <w:rPr>
          <w:rFonts w:hint="eastAsia"/>
          <w:color w:val="auto"/>
          <w:lang w:val="en-US" w:eastAsia="zh-CN"/>
        </w:rPr>
        <w:t>～</w:t>
      </w:r>
      <w:r>
        <w:rPr>
          <w:rFonts w:hint="default"/>
          <w:color w:val="auto"/>
          <w:lang w:val="en-US" w:eastAsia="zh-CN"/>
        </w:rPr>
        <w:t>18.50m m</w:t>
      </w:r>
      <w:r>
        <w:rPr>
          <w:rFonts w:hint="eastAsia"/>
          <w:color w:val="auto"/>
          <w:lang w:val="en-US" w:eastAsia="zh-CN"/>
        </w:rPr>
        <w:t>，平均层厚</w:t>
      </w:r>
      <w:r>
        <w:rPr>
          <w:rFonts w:hint="default"/>
          <w:color w:val="auto"/>
          <w:lang w:val="en-US" w:eastAsia="zh-CN"/>
        </w:rPr>
        <w:t>10.96m</w:t>
      </w:r>
      <w:r>
        <w:rPr>
          <w:rFonts w:hint="eastAsia"/>
          <w:color w:val="auto"/>
          <w:lang w:val="en-US" w:eastAsia="zh-CN"/>
        </w:rPr>
        <w:t>。</w:t>
      </w:r>
    </w:p>
    <w:p>
      <w:pPr>
        <w:rPr>
          <w:rFonts w:hint="eastAsia"/>
          <w:color w:val="auto"/>
          <w:lang w:val="en-US" w:eastAsia="zh-CN"/>
        </w:rPr>
      </w:pPr>
      <w:r>
        <w:rPr>
          <w:rFonts w:hint="eastAsia"/>
          <w:color w:val="auto"/>
          <w:lang w:val="en-US" w:eastAsia="zh-CN"/>
        </w:rPr>
        <w:t>旦系冷家溪群微风化（</w:t>
      </w:r>
      <w:r>
        <w:rPr>
          <w:rFonts w:hint="default"/>
          <w:color w:val="auto"/>
          <w:lang w:val="en-US" w:eastAsia="zh-CN"/>
        </w:rPr>
        <w:t>Pt</w:t>
      </w:r>
      <w:r>
        <w:rPr>
          <w:rFonts w:hint="eastAsia"/>
          <w:color w:val="auto"/>
          <w:lang w:val="en-US" w:eastAsia="zh-CN"/>
        </w:rPr>
        <w:t>）泥质板岩</w:t>
      </w:r>
      <w:r>
        <w:rPr>
          <w:rFonts w:hint="default"/>
          <w:color w:val="auto"/>
          <w:lang w:val="en-US" w:eastAsia="zh-CN"/>
        </w:rPr>
        <w:fldChar w:fldCharType="begin"/>
      </w:r>
      <w:r>
        <w:rPr>
          <w:rFonts w:hint="default"/>
          <w:color w:val="auto"/>
          <w:lang w:val="en-US" w:eastAsia="zh-CN"/>
        </w:rPr>
        <w:instrText xml:space="preserve"> = 5 \* GB3 </w:instrText>
      </w:r>
      <w:r>
        <w:rPr>
          <w:rFonts w:hint="default"/>
          <w:color w:val="auto"/>
          <w:lang w:val="en-US" w:eastAsia="zh-CN"/>
        </w:rPr>
        <w:fldChar w:fldCharType="separate"/>
      </w:r>
      <w:r>
        <w:rPr>
          <w:rFonts w:hint="eastAsia"/>
          <w:color w:val="auto"/>
          <w:lang w:val="en-US" w:eastAsia="zh-CN"/>
        </w:rPr>
        <w:t>⑤</w:t>
      </w:r>
      <w:r>
        <w:rPr>
          <w:rFonts w:hint="default"/>
          <w:color w:val="auto"/>
          <w:lang w:val="en-US" w:eastAsia="zh-CN"/>
        </w:rPr>
        <w:fldChar w:fldCharType="end"/>
      </w:r>
      <w:r>
        <w:rPr>
          <w:rFonts w:hint="eastAsia"/>
          <w:color w:val="auto"/>
          <w:lang w:val="en-US" w:eastAsia="zh-CN"/>
        </w:rPr>
        <w:t>：青灰色，泥质结构，板状构造，岩层主要呈中厚层状，结构基本未变，仅节理面有渲染略有变色，有少量风化裂隙，岩体较完整，属软岩，基本质量等级为Ⅳ类，</w:t>
      </w:r>
      <w:r>
        <w:rPr>
          <w:rFonts w:hint="default"/>
          <w:color w:val="auto"/>
          <w:lang w:val="en-US" w:eastAsia="zh-CN"/>
        </w:rPr>
        <w:t>RQD</w:t>
      </w:r>
      <w:r>
        <w:rPr>
          <w:rFonts w:hint="eastAsia"/>
          <w:color w:val="auto"/>
          <w:lang w:val="en-US" w:eastAsia="zh-CN"/>
        </w:rPr>
        <w:t>指标较好，钻进速度慢且均匀，岩芯主要呈短柱状、柱状。在所有钻孔中均揭露到此层，尚未揭穿，揭露深度</w:t>
      </w:r>
      <w:r>
        <w:rPr>
          <w:rFonts w:hint="default"/>
          <w:color w:val="auto"/>
          <w:lang w:val="en-US" w:eastAsia="zh-CN"/>
        </w:rPr>
        <w:t>2.60</w:t>
      </w:r>
      <w:r>
        <w:rPr>
          <w:rFonts w:hint="eastAsia"/>
          <w:color w:val="auto"/>
          <w:lang w:val="en-US" w:eastAsia="zh-CN"/>
        </w:rPr>
        <w:t>～</w:t>
      </w:r>
      <w:r>
        <w:rPr>
          <w:rFonts w:hint="default"/>
          <w:color w:val="auto"/>
          <w:lang w:val="en-US" w:eastAsia="zh-CN"/>
        </w:rPr>
        <w:t>10.30m</w:t>
      </w:r>
      <w:r>
        <w:rPr>
          <w:rFonts w:hint="eastAsia"/>
          <w:color w:val="auto"/>
          <w:lang w:val="en-US" w:eastAsia="zh-CN"/>
        </w:rPr>
        <w:t>。</w:t>
      </w:r>
    </w:p>
    <w:p>
      <w:pPr>
        <w:rPr>
          <w:rFonts w:hint="eastAsia"/>
          <w:color w:val="auto"/>
          <w:lang w:val="en-US" w:eastAsia="zh-CN"/>
        </w:rPr>
      </w:pPr>
      <w:r>
        <w:rPr>
          <w:rFonts w:hint="eastAsia"/>
          <w:color w:val="auto"/>
          <w:lang w:val="en-US" w:eastAsia="zh-CN"/>
        </w:rPr>
        <w:t>钻探资料表明，场地地层相对稳定，勘察区未见岩溶、土洞、可液化地层、活动性断裂、危岩（崩塌）、滑坡等不良地质现象，地质构造相对简单，属抗震一般地段。岩土层位连续稳定，无溶穴、破碎带分布。按《岩土工程勘察规范》（</w:t>
      </w:r>
      <w:r>
        <w:rPr>
          <w:rFonts w:hint="default"/>
          <w:color w:val="auto"/>
          <w:lang w:val="en-US" w:eastAsia="zh-CN"/>
        </w:rPr>
        <w:t>GB50021-2001</w:t>
      </w:r>
      <w:r>
        <w:rPr>
          <w:rFonts w:hint="eastAsia"/>
          <w:color w:val="auto"/>
          <w:lang w:val="en-US" w:eastAsia="zh-CN"/>
        </w:rPr>
        <w:t>）有关标准判定，该场地属不均匀地层，然场地稳定，适宜建筑。工程地质情况良好。</w:t>
      </w:r>
    </w:p>
    <w:p>
      <w:pPr>
        <w:pStyle w:val="4"/>
        <w:rPr>
          <w:rFonts w:hint="eastAsia"/>
          <w:color w:val="auto"/>
          <w:lang w:val="en-US" w:eastAsia="zh-CN"/>
        </w:rPr>
      </w:pPr>
      <w:r>
        <w:rPr>
          <w:rFonts w:hint="eastAsia"/>
          <w:color w:val="auto"/>
          <w:lang w:val="en-US" w:eastAsia="zh-CN"/>
        </w:rPr>
        <w:t>6.1.4气候条件</w:t>
      </w:r>
    </w:p>
    <w:p>
      <w:pPr>
        <w:rPr>
          <w:rFonts w:hint="eastAsia"/>
          <w:color w:val="auto"/>
          <w:lang w:val="en-US" w:eastAsia="zh-CN"/>
        </w:rPr>
      </w:pPr>
      <w:r>
        <w:rPr>
          <w:rFonts w:hint="eastAsia"/>
          <w:color w:val="auto"/>
          <w:lang w:val="en-US" w:eastAsia="zh-CN"/>
        </w:rPr>
        <w:t>岳阳属中北亚热带湿润性季风气候区，气候温暖、湿润，雨量充沛，四季分明，严寒期短，无霜期长。岳阳市区内设有岳阳气象站，根据该站</w:t>
      </w:r>
      <w:r>
        <w:rPr>
          <w:rFonts w:hint="default"/>
          <w:color w:val="auto"/>
          <w:lang w:val="en-US" w:eastAsia="zh-CN"/>
        </w:rPr>
        <w:t>1951-2005</w:t>
      </w:r>
      <w:r>
        <w:rPr>
          <w:rFonts w:hint="eastAsia"/>
          <w:color w:val="auto"/>
          <w:lang w:val="en-US" w:eastAsia="zh-CN"/>
        </w:rPr>
        <w:t>年气象资料统计，各主要特征值见表6</w:t>
      </w:r>
      <w:r>
        <w:rPr>
          <w:rFonts w:hint="default"/>
          <w:color w:val="auto"/>
          <w:lang w:val="en-US" w:eastAsia="zh-CN"/>
        </w:rPr>
        <w:t>-1</w:t>
      </w:r>
      <w:r>
        <w:rPr>
          <w:rFonts w:hint="eastAsia"/>
          <w:color w:val="auto"/>
          <w:lang w:val="en-US" w:eastAsia="zh-CN"/>
        </w:rPr>
        <w:t>。</w:t>
      </w:r>
    </w:p>
    <w:p>
      <w:pPr>
        <w:pStyle w:val="23"/>
        <w:rPr>
          <w:rFonts w:hint="eastAsia"/>
          <w:b/>
          <w:bCs/>
          <w:color w:val="auto"/>
          <w:lang w:val="zh-CN" w:eastAsia="zh-CN"/>
        </w:rPr>
      </w:pPr>
      <w:r>
        <w:rPr>
          <w:rFonts w:hint="eastAsia"/>
          <w:b/>
          <w:bCs/>
          <w:color w:val="auto"/>
          <w:lang w:val="zh-CN" w:eastAsia="zh-CN"/>
        </w:rPr>
        <w:t>表</w:t>
      </w:r>
      <w:r>
        <w:rPr>
          <w:rFonts w:hint="eastAsia"/>
          <w:b/>
          <w:bCs/>
          <w:color w:val="auto"/>
          <w:lang w:val="en-US" w:eastAsia="zh-CN"/>
        </w:rPr>
        <w:t>6</w:t>
      </w:r>
      <w:r>
        <w:rPr>
          <w:rFonts w:hint="eastAsia"/>
          <w:b/>
          <w:bCs/>
          <w:color w:val="auto"/>
          <w:lang w:val="zh-CN" w:eastAsia="zh-CN"/>
        </w:rPr>
        <w:t>-1    岳阳气象站特征值</w:t>
      </w:r>
    </w:p>
    <w:tbl>
      <w:tblPr>
        <w:tblStyle w:val="19"/>
        <w:tblW w:w="900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511"/>
        <w:gridCol w:w="1990"/>
        <w:gridCol w:w="2251"/>
        <w:gridCol w:w="22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7" w:hRule="exact"/>
          <w:tblHeader/>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项目</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单位</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数值</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多年平均气温</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eastAsia"/>
                <w:color w:val="auto"/>
                <w:lang w:val="en-US" w:eastAsia="zh-CN"/>
              </w:rPr>
              <w:t>℃</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17.1</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厉年极端最高气温</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eastAsia"/>
                <w:color w:val="auto"/>
                <w:lang w:val="en-US" w:eastAsia="zh-CN"/>
              </w:rPr>
              <w:t>℃</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39.3</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1971</w:t>
            </w:r>
            <w:r>
              <w:rPr>
                <w:rFonts w:hint="eastAsia"/>
                <w:color w:val="auto"/>
                <w:lang w:val="en-US" w:eastAsia="zh-CN"/>
              </w:rPr>
              <w:t>年</w:t>
            </w:r>
            <w:r>
              <w:rPr>
                <w:rFonts w:hint="default"/>
                <w:color w:val="auto"/>
                <w:lang w:val="en-US" w:eastAsia="zh-CN"/>
              </w:rPr>
              <w:t>7</w:t>
            </w:r>
            <w:r>
              <w:rPr>
                <w:rFonts w:hint="eastAsia"/>
                <w:color w:val="auto"/>
                <w:lang w:val="en-US" w:eastAsia="zh-CN"/>
              </w:rPr>
              <w:t>月</w:t>
            </w:r>
            <w:r>
              <w:rPr>
                <w:rFonts w:hint="default"/>
                <w:color w:val="auto"/>
                <w:lang w:val="en-US" w:eastAsia="zh-CN"/>
              </w:rPr>
              <w:t>21</w:t>
            </w:r>
            <w:r>
              <w:rPr>
                <w:rFonts w:hint="eastAsia"/>
                <w:color w:val="auto"/>
                <w:lang w:val="en-US" w:eastAsia="zh-CN"/>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历年极端最低气温</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eastAsia"/>
                <w:color w:val="auto"/>
                <w:lang w:val="en-US" w:eastAsia="zh-CN"/>
              </w:rPr>
              <w:t>℃</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-11.8</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1956</w:t>
            </w:r>
            <w:r>
              <w:rPr>
                <w:rFonts w:hint="eastAsia"/>
                <w:color w:val="auto"/>
                <w:lang w:val="en-US" w:eastAsia="zh-CN"/>
              </w:rPr>
              <w:t>年</w:t>
            </w:r>
            <w:r>
              <w:rPr>
                <w:rFonts w:hint="default"/>
                <w:color w:val="auto"/>
                <w:lang w:val="en-US" w:eastAsia="zh-CN"/>
              </w:rPr>
              <w:t>1</w:t>
            </w:r>
            <w:r>
              <w:rPr>
                <w:rFonts w:hint="eastAsia"/>
                <w:color w:val="auto"/>
                <w:lang w:val="en-US" w:eastAsia="zh-CN"/>
              </w:rPr>
              <w:t>月</w:t>
            </w:r>
            <w:r>
              <w:rPr>
                <w:rFonts w:hint="default"/>
                <w:color w:val="auto"/>
                <w:lang w:val="en-US" w:eastAsia="zh-CN"/>
              </w:rPr>
              <w:t>23</w:t>
            </w:r>
            <w:r>
              <w:rPr>
                <w:rFonts w:hint="eastAsia"/>
                <w:color w:val="auto"/>
                <w:lang w:val="en-US" w:eastAsia="zh-CN"/>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多年平均降雨量</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mm</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1314.1</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历年最大降雨量</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mm</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2336.5</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1954</w:t>
            </w:r>
            <w:r>
              <w:rPr>
                <w:rFonts w:hint="eastAsia"/>
                <w:color w:val="auto"/>
                <w:lang w:val="en-US" w:eastAsia="zh-CN"/>
              </w:rPr>
              <w:t>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多年平均降雨日数</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d</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147</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多年平均蒸发量</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mm</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1446.4</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多年平均风速</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m/s</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2.</w:t>
            </w:r>
            <w:r>
              <w:rPr>
                <w:rFonts w:hint="eastAsia"/>
                <w:color w:val="auto"/>
                <w:lang w:val="en-US" w:eastAsia="zh-CN"/>
              </w:rPr>
              <w:t>6</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多年平均最大风速</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m/s</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15.4</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历年极端最大风速</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m/s</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28</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1965</w:t>
            </w:r>
            <w:r>
              <w:rPr>
                <w:rFonts w:hint="eastAsia"/>
                <w:color w:val="auto"/>
                <w:lang w:val="en-US" w:eastAsia="zh-CN"/>
              </w:rPr>
              <w:t>年</w:t>
            </w:r>
            <w:r>
              <w:rPr>
                <w:rFonts w:hint="default"/>
                <w:color w:val="auto"/>
                <w:lang w:val="en-US" w:eastAsia="zh-CN"/>
              </w:rPr>
              <w:t>7</w:t>
            </w:r>
            <w:r>
              <w:rPr>
                <w:rFonts w:hint="eastAsia"/>
                <w:color w:val="auto"/>
                <w:lang w:val="en-US" w:eastAsia="zh-CN"/>
              </w:rPr>
              <w:t>月</w:t>
            </w:r>
            <w:r>
              <w:rPr>
                <w:rFonts w:hint="default"/>
                <w:color w:val="auto"/>
                <w:lang w:val="en-US" w:eastAsia="zh-CN"/>
              </w:rPr>
              <w:t>21</w:t>
            </w:r>
            <w:r>
              <w:rPr>
                <w:rFonts w:hint="eastAsia"/>
                <w:color w:val="auto"/>
                <w:lang w:val="en-US" w:eastAsia="zh-CN"/>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年无霜期</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d</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280.6</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251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eastAsia"/>
                <w:color w:val="auto"/>
                <w:lang w:val="en-US"/>
              </w:rPr>
            </w:pPr>
            <w:r>
              <w:rPr>
                <w:rFonts w:hint="eastAsia"/>
                <w:color w:val="auto"/>
                <w:lang w:val="en-US" w:eastAsia="zh-CN"/>
              </w:rPr>
              <w:t>年日照</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h</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r>
              <w:rPr>
                <w:rFonts w:hint="default"/>
                <w:color w:val="auto"/>
                <w:lang w:val="en-US" w:eastAsia="zh-CN"/>
              </w:rPr>
              <w:t>1730.1</w:t>
            </w:r>
          </w:p>
        </w:tc>
        <w:tc>
          <w:tcPr>
            <w:tcW w:w="22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line="240" w:lineRule="auto"/>
              <w:ind w:left="0" w:right="0"/>
              <w:rPr>
                <w:rFonts w:hint="default"/>
                <w:color w:val="auto"/>
                <w:lang w:val="en-US"/>
              </w:rPr>
            </w:pPr>
          </w:p>
        </w:tc>
      </w:tr>
    </w:tbl>
    <w:p>
      <w:pPr>
        <w:pStyle w:val="4"/>
        <w:rPr>
          <w:rFonts w:hint="eastAsia"/>
          <w:color w:val="auto"/>
          <w:lang w:val="en-US" w:eastAsia="zh-CN"/>
        </w:rPr>
      </w:pPr>
      <w:r>
        <w:rPr>
          <w:rFonts w:hint="eastAsia"/>
          <w:color w:val="auto"/>
          <w:lang w:val="en-US" w:eastAsia="zh-CN"/>
        </w:rPr>
        <w:t>6.1.5水文</w:t>
      </w:r>
    </w:p>
    <w:p>
      <w:pPr>
        <w:keepNext w:val="0"/>
        <w:keepLines w:val="0"/>
        <w:widowControl w:val="0"/>
        <w:suppressLineNumbers w:val="0"/>
        <w:spacing w:before="0" w:beforeAutospacing="0" w:after="0" w:afterAutospacing="0" w:line="360" w:lineRule="auto"/>
        <w:ind w:left="0" w:right="0" w:firstLine="480" w:firstLineChars="200"/>
        <w:jc w:val="both"/>
        <w:rPr>
          <w:color w:val="auto"/>
          <w:sz w:val="24"/>
          <w:szCs w:val="24"/>
          <w:lang w:val="en-US"/>
        </w:rPr>
      </w:pPr>
      <w:r>
        <w:rPr>
          <w:rFonts w:hint="eastAsia" w:ascii="Times New Roman" w:hAnsi="Times New Roman" w:eastAsia="宋体" w:cs="宋体"/>
          <w:color w:val="auto"/>
          <w:kern w:val="2"/>
          <w:sz w:val="24"/>
          <w:szCs w:val="24"/>
          <w:lang w:val="en-US" w:eastAsia="zh-CN" w:bidi="ar"/>
        </w:rPr>
        <w:t>岳阳市水资源丰富，湖泊众多，河网密布，水系发达，洞庭湖纳湘、资、沅、澧四水汇入长江，素有洞庭水乡之称。河流主要属洞庭湖水系，其次是长江水系和鄱阳水系。洞庭湖水系流域面积占全市总面积的</w:t>
      </w:r>
      <w:r>
        <w:rPr>
          <w:rFonts w:hint="default" w:ascii="Times New Roman" w:hAnsi="Times New Roman" w:eastAsia="宋体" w:cs="Times New Roman"/>
          <w:color w:val="auto"/>
          <w:kern w:val="2"/>
          <w:sz w:val="24"/>
          <w:szCs w:val="24"/>
          <w:lang w:val="en-US" w:eastAsia="zh-CN" w:bidi="ar"/>
        </w:rPr>
        <w:t>91.05%</w:t>
      </w:r>
      <w:r>
        <w:rPr>
          <w:rFonts w:hint="eastAsia" w:ascii="Times New Roman" w:hAnsi="Times New Roman" w:eastAsia="宋体" w:cs="宋体"/>
          <w:color w:val="auto"/>
          <w:kern w:val="2"/>
          <w:sz w:val="24"/>
          <w:szCs w:val="24"/>
          <w:lang w:val="en-US" w:eastAsia="zh-CN" w:bidi="ar"/>
        </w:rPr>
        <w:t>，长江水系占</w:t>
      </w:r>
      <w:r>
        <w:rPr>
          <w:rFonts w:hint="default" w:ascii="Times New Roman" w:hAnsi="Times New Roman" w:eastAsia="宋体" w:cs="Times New Roman"/>
          <w:color w:val="auto"/>
          <w:kern w:val="2"/>
          <w:sz w:val="24"/>
          <w:szCs w:val="24"/>
          <w:lang w:val="en-US" w:eastAsia="zh-CN" w:bidi="ar"/>
        </w:rPr>
        <w:t>8.92%</w:t>
      </w:r>
      <w:r>
        <w:rPr>
          <w:rFonts w:hint="eastAsia" w:ascii="Times New Roman" w:hAnsi="Times New Roman" w:eastAsia="宋体" w:cs="宋体"/>
          <w:color w:val="auto"/>
          <w:kern w:val="2"/>
          <w:sz w:val="24"/>
          <w:szCs w:val="24"/>
          <w:lang w:val="en-US" w:eastAsia="zh-CN" w:bidi="ar"/>
        </w:rPr>
        <w:t>，鄱阳河水系占</w:t>
      </w:r>
      <w:r>
        <w:rPr>
          <w:rFonts w:hint="default" w:ascii="Times New Roman" w:hAnsi="Times New Roman" w:eastAsia="宋体" w:cs="Times New Roman"/>
          <w:color w:val="auto"/>
          <w:kern w:val="2"/>
          <w:sz w:val="24"/>
          <w:szCs w:val="24"/>
          <w:lang w:val="en-US" w:eastAsia="zh-CN" w:bidi="ar"/>
        </w:rPr>
        <w:t>0.02%</w:t>
      </w:r>
      <w:r>
        <w:rPr>
          <w:rFonts w:hint="eastAsia" w:ascii="Times New Roman" w:hAnsi="Times New Roman" w:eastAsia="宋体" w:cs="宋体"/>
          <w:color w:val="auto"/>
          <w:kern w:val="2"/>
          <w:sz w:val="24"/>
          <w:szCs w:val="24"/>
          <w:lang w:val="en-US" w:eastAsia="zh-CN" w:bidi="ar"/>
        </w:rPr>
        <w:t>。长</w:t>
      </w:r>
      <w:r>
        <w:rPr>
          <w:rFonts w:hint="default" w:ascii="Times New Roman" w:hAnsi="Times New Roman" w:eastAsia="宋体" w:cs="Times New Roman"/>
          <w:color w:val="auto"/>
          <w:kern w:val="2"/>
          <w:sz w:val="24"/>
          <w:szCs w:val="24"/>
          <w:lang w:val="en-US" w:eastAsia="zh-CN" w:bidi="ar"/>
        </w:rPr>
        <w:t>5km</w:t>
      </w:r>
      <w:r>
        <w:rPr>
          <w:rFonts w:hint="eastAsia" w:ascii="Times New Roman" w:hAnsi="Times New Roman" w:eastAsia="宋体" w:cs="宋体"/>
          <w:color w:val="auto"/>
          <w:kern w:val="2"/>
          <w:sz w:val="24"/>
          <w:szCs w:val="24"/>
          <w:lang w:val="en-US" w:eastAsia="zh-CN" w:bidi="ar"/>
        </w:rPr>
        <w:t>以上河流</w:t>
      </w:r>
      <w:r>
        <w:rPr>
          <w:rFonts w:hint="default" w:ascii="Times New Roman" w:hAnsi="Times New Roman" w:eastAsia="宋体" w:cs="Times New Roman"/>
          <w:color w:val="auto"/>
          <w:kern w:val="2"/>
          <w:sz w:val="24"/>
          <w:szCs w:val="24"/>
          <w:lang w:val="en-US" w:eastAsia="zh-CN" w:bidi="ar"/>
        </w:rPr>
        <w:t>273</w:t>
      </w:r>
      <w:r>
        <w:rPr>
          <w:rFonts w:hint="eastAsia" w:ascii="Times New Roman" w:hAnsi="Times New Roman" w:eastAsia="宋体" w:cs="宋体"/>
          <w:color w:val="auto"/>
          <w:kern w:val="2"/>
          <w:sz w:val="24"/>
          <w:szCs w:val="24"/>
          <w:lang w:val="en-US" w:eastAsia="zh-CN" w:bidi="ar"/>
        </w:rPr>
        <w:t>条，大于</w:t>
      </w:r>
      <w:r>
        <w:rPr>
          <w:rFonts w:hint="default" w:ascii="Times New Roman" w:hAnsi="Times New Roman" w:eastAsia="宋体" w:cs="Times New Roman"/>
          <w:color w:val="auto"/>
          <w:kern w:val="2"/>
          <w:sz w:val="24"/>
          <w:szCs w:val="24"/>
          <w:lang w:val="en-US" w:eastAsia="zh-CN" w:bidi="ar"/>
        </w:rPr>
        <w:t>10km</w:t>
      </w:r>
      <w:r>
        <w:rPr>
          <w:rFonts w:hint="eastAsia" w:ascii="Times New Roman" w:hAnsi="Times New Roman" w:eastAsia="宋体" w:cs="宋体"/>
          <w:color w:val="auto"/>
          <w:kern w:val="2"/>
          <w:sz w:val="24"/>
          <w:szCs w:val="24"/>
          <w:lang w:val="en-US" w:eastAsia="zh-CN" w:bidi="ar"/>
        </w:rPr>
        <w:t>的</w:t>
      </w:r>
      <w:r>
        <w:rPr>
          <w:rFonts w:hint="default" w:ascii="Times New Roman" w:hAnsi="Times New Roman" w:eastAsia="宋体" w:cs="Times New Roman"/>
          <w:color w:val="auto"/>
          <w:kern w:val="2"/>
          <w:sz w:val="24"/>
          <w:szCs w:val="24"/>
          <w:lang w:val="en-US" w:eastAsia="zh-CN" w:bidi="ar"/>
        </w:rPr>
        <w:t>146</w:t>
      </w:r>
      <w:r>
        <w:rPr>
          <w:rFonts w:hint="eastAsia" w:ascii="Times New Roman" w:hAnsi="Times New Roman" w:eastAsia="宋体" w:cs="宋体"/>
          <w:color w:val="auto"/>
          <w:kern w:val="2"/>
          <w:sz w:val="24"/>
          <w:szCs w:val="24"/>
          <w:lang w:val="en-US" w:eastAsia="zh-CN" w:bidi="ar"/>
        </w:rPr>
        <w:t>条，大于</w:t>
      </w:r>
      <w:r>
        <w:rPr>
          <w:rFonts w:hint="default" w:ascii="Times New Roman" w:hAnsi="Times New Roman" w:eastAsia="宋体" w:cs="Times New Roman"/>
          <w:color w:val="auto"/>
          <w:kern w:val="2"/>
          <w:sz w:val="24"/>
          <w:szCs w:val="24"/>
          <w:lang w:val="en-US" w:eastAsia="zh-CN" w:bidi="ar"/>
        </w:rPr>
        <w:t>50km</w:t>
      </w:r>
      <w:r>
        <w:rPr>
          <w:rFonts w:hint="eastAsia" w:ascii="Times New Roman" w:hAnsi="Times New Roman" w:eastAsia="宋体" w:cs="宋体"/>
          <w:color w:val="auto"/>
          <w:kern w:val="2"/>
          <w:sz w:val="24"/>
          <w:szCs w:val="24"/>
          <w:lang w:val="en-US" w:eastAsia="zh-CN" w:bidi="ar"/>
        </w:rPr>
        <w:t>的</w:t>
      </w:r>
      <w:r>
        <w:rPr>
          <w:rFonts w:hint="default" w:ascii="Times New Roman" w:hAnsi="Times New Roman" w:eastAsia="宋体" w:cs="Times New Roman"/>
          <w:color w:val="auto"/>
          <w:kern w:val="2"/>
          <w:sz w:val="24"/>
          <w:szCs w:val="24"/>
          <w:lang w:val="en-US" w:eastAsia="zh-CN" w:bidi="ar"/>
        </w:rPr>
        <w:t>11</w:t>
      </w:r>
      <w:r>
        <w:rPr>
          <w:rFonts w:hint="eastAsia" w:ascii="Times New Roman" w:hAnsi="Times New Roman" w:eastAsia="宋体" w:cs="宋体"/>
          <w:color w:val="auto"/>
          <w:kern w:val="2"/>
          <w:sz w:val="24"/>
          <w:szCs w:val="24"/>
          <w:lang w:val="en-US" w:eastAsia="zh-CN" w:bidi="ar"/>
        </w:rPr>
        <w:t>条。</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Times New Roman" w:hAnsi="Times New Roman"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东洞庭湖入长江的总出口江段，年平均过境量</w:t>
      </w:r>
      <w:r>
        <w:rPr>
          <w:rFonts w:hint="default" w:ascii="Times New Roman" w:hAnsi="Times New Roman" w:eastAsia="宋体" w:cs="Times New Roman"/>
          <w:color w:val="auto"/>
          <w:kern w:val="2"/>
          <w:sz w:val="24"/>
          <w:szCs w:val="24"/>
          <w:lang w:val="en-US" w:eastAsia="zh-CN" w:bidi="ar"/>
        </w:rPr>
        <w:t>3126</w:t>
      </w:r>
      <w:r>
        <w:rPr>
          <w:rFonts w:hint="eastAsia" w:ascii="Times New Roman" w:hAnsi="Times New Roman" w:eastAsia="宋体" w:cs="宋体"/>
          <w:color w:val="auto"/>
          <w:kern w:val="2"/>
          <w:sz w:val="24"/>
          <w:szCs w:val="24"/>
          <w:lang w:val="en-US" w:eastAsia="zh-CN" w:bidi="ar"/>
        </w:rPr>
        <w:t>亿</w:t>
      </w:r>
      <w:r>
        <w:rPr>
          <w:rFonts w:hint="default" w:ascii="Times New Roman" w:hAnsi="Times New Roman" w:eastAsia="宋体" w:cs="Times New Roman"/>
          <w:color w:val="auto"/>
          <w:kern w:val="2"/>
          <w:sz w:val="24"/>
          <w:szCs w:val="24"/>
          <w:lang w:val="en-US" w:eastAsia="zh-CN" w:bidi="ar"/>
        </w:rPr>
        <w:t>m</w:t>
      </w:r>
      <w:r>
        <w:rPr>
          <w:rFonts w:hint="default" w:ascii="Times New Roman" w:hAnsi="Times New Roman" w:eastAsia="宋体" w:cs="Times New Roman"/>
          <w:color w:val="auto"/>
          <w:kern w:val="2"/>
          <w:sz w:val="24"/>
          <w:szCs w:val="24"/>
          <w:vertAlign w:val="superscript"/>
          <w:lang w:val="en-US" w:eastAsia="zh-CN" w:bidi="ar"/>
        </w:rPr>
        <w:t>3</w:t>
      </w:r>
      <w:r>
        <w:rPr>
          <w:rFonts w:hint="eastAsia" w:ascii="Times New Roman" w:hAnsi="Times New Roman" w:eastAsia="宋体" w:cs="宋体"/>
          <w:color w:val="auto"/>
          <w:kern w:val="2"/>
          <w:sz w:val="24"/>
          <w:szCs w:val="24"/>
          <w:lang w:val="en-US" w:eastAsia="zh-CN" w:bidi="ar"/>
        </w:rPr>
        <w:t>，最高水位</w:t>
      </w:r>
      <w:r>
        <w:rPr>
          <w:rFonts w:hint="default" w:ascii="Times New Roman" w:hAnsi="Times New Roman" w:eastAsia="宋体" w:cs="Times New Roman"/>
          <w:color w:val="auto"/>
          <w:kern w:val="2"/>
          <w:sz w:val="24"/>
          <w:szCs w:val="24"/>
          <w:lang w:val="en-US" w:eastAsia="zh-CN" w:bidi="ar"/>
        </w:rPr>
        <w:t>35.31m</w:t>
      </w:r>
      <w:r>
        <w:rPr>
          <w:rFonts w:hint="eastAsia" w:ascii="Times New Roman" w:hAnsi="Times New Roman" w:eastAsia="宋体" w:cs="宋体"/>
          <w:color w:val="auto"/>
          <w:kern w:val="2"/>
          <w:sz w:val="24"/>
          <w:szCs w:val="24"/>
          <w:lang w:val="en-US" w:eastAsia="zh-CN" w:bidi="ar"/>
        </w:rPr>
        <w:t>，最低水位</w:t>
      </w:r>
      <w:r>
        <w:rPr>
          <w:rFonts w:hint="default" w:ascii="Times New Roman" w:hAnsi="Times New Roman" w:eastAsia="宋体" w:cs="Times New Roman"/>
          <w:color w:val="auto"/>
          <w:kern w:val="2"/>
          <w:sz w:val="24"/>
          <w:szCs w:val="24"/>
          <w:lang w:val="en-US" w:eastAsia="zh-CN" w:bidi="ar"/>
        </w:rPr>
        <w:t>17.06m</w:t>
      </w:r>
      <w:r>
        <w:rPr>
          <w:rFonts w:hint="eastAsia" w:ascii="Times New Roman" w:hAnsi="Times New Roman" w:eastAsia="宋体" w:cs="宋体"/>
          <w:color w:val="auto"/>
          <w:kern w:val="2"/>
          <w:sz w:val="24"/>
          <w:szCs w:val="24"/>
          <w:lang w:val="en-US" w:eastAsia="zh-CN" w:bidi="ar"/>
        </w:rPr>
        <w:t>。长江水最大流量</w:t>
      </w:r>
      <w:r>
        <w:rPr>
          <w:rFonts w:hint="default" w:ascii="Times New Roman" w:hAnsi="Times New Roman" w:eastAsia="宋体" w:cs="Times New Roman"/>
          <w:color w:val="auto"/>
          <w:kern w:val="2"/>
          <w:sz w:val="24"/>
          <w:szCs w:val="24"/>
          <w:lang w:val="en-US" w:eastAsia="zh-CN" w:bidi="ar"/>
        </w:rPr>
        <w:t>43460m</w:t>
      </w:r>
      <w:r>
        <w:rPr>
          <w:rFonts w:hint="default" w:ascii="Times New Roman" w:hAnsi="Times New Roman" w:eastAsia="宋体" w:cs="Times New Roman"/>
          <w:color w:val="auto"/>
          <w:kern w:val="2"/>
          <w:sz w:val="24"/>
          <w:szCs w:val="24"/>
          <w:vertAlign w:val="superscript"/>
          <w:lang w:val="en-US" w:eastAsia="zh-CN" w:bidi="ar"/>
        </w:rPr>
        <w:t>3</w:t>
      </w:r>
      <w:r>
        <w:rPr>
          <w:rFonts w:hint="default" w:ascii="Times New Roman" w:hAnsi="Times New Roman" w:eastAsia="宋体" w:cs="Times New Roman"/>
          <w:color w:val="auto"/>
          <w:kern w:val="2"/>
          <w:sz w:val="24"/>
          <w:szCs w:val="24"/>
          <w:lang w:val="en-US" w:eastAsia="zh-CN" w:bidi="ar"/>
        </w:rPr>
        <w:t>/s</w:t>
      </w:r>
      <w:r>
        <w:rPr>
          <w:rFonts w:hint="eastAsia" w:ascii="Times New Roman" w:hAnsi="Times New Roman" w:eastAsia="宋体" w:cs="宋体"/>
          <w:color w:val="auto"/>
          <w:kern w:val="2"/>
          <w:sz w:val="24"/>
          <w:szCs w:val="24"/>
          <w:lang w:val="en-US" w:eastAsia="zh-CN" w:bidi="ar"/>
        </w:rPr>
        <w:t>，最小流量</w:t>
      </w:r>
      <w:r>
        <w:rPr>
          <w:rFonts w:hint="default" w:ascii="Times New Roman" w:hAnsi="Times New Roman" w:eastAsia="宋体" w:cs="Times New Roman"/>
          <w:color w:val="auto"/>
          <w:kern w:val="2"/>
          <w:sz w:val="24"/>
          <w:szCs w:val="24"/>
          <w:lang w:val="en-US" w:eastAsia="zh-CN" w:bidi="ar"/>
        </w:rPr>
        <w:t>860m</w:t>
      </w:r>
      <w:r>
        <w:rPr>
          <w:rFonts w:hint="default" w:ascii="Times New Roman" w:hAnsi="Times New Roman" w:eastAsia="宋体" w:cs="Times New Roman"/>
          <w:color w:val="auto"/>
          <w:kern w:val="2"/>
          <w:sz w:val="24"/>
          <w:szCs w:val="24"/>
          <w:vertAlign w:val="superscript"/>
          <w:lang w:val="en-US" w:eastAsia="zh-CN" w:bidi="ar"/>
        </w:rPr>
        <w:t>3</w:t>
      </w:r>
      <w:r>
        <w:rPr>
          <w:rFonts w:hint="default" w:ascii="Times New Roman" w:hAnsi="Times New Roman" w:eastAsia="宋体" w:cs="Times New Roman"/>
          <w:color w:val="auto"/>
          <w:kern w:val="2"/>
          <w:sz w:val="24"/>
          <w:szCs w:val="24"/>
          <w:lang w:val="en-US" w:eastAsia="zh-CN" w:bidi="ar"/>
        </w:rPr>
        <w:t>/s</w:t>
      </w:r>
      <w:r>
        <w:rPr>
          <w:rFonts w:hint="eastAsia" w:ascii="Times New Roman" w:hAnsi="Times New Roman" w:eastAsia="宋体" w:cs="宋体"/>
          <w:color w:val="auto"/>
          <w:kern w:val="2"/>
          <w:sz w:val="24"/>
          <w:szCs w:val="24"/>
          <w:lang w:val="en-US" w:eastAsia="zh-CN" w:bidi="ar"/>
        </w:rPr>
        <w:t>。历年平均流量</w:t>
      </w:r>
      <w:r>
        <w:rPr>
          <w:rFonts w:hint="default" w:ascii="Times New Roman" w:hAnsi="Times New Roman" w:eastAsia="宋体" w:cs="Times New Roman"/>
          <w:color w:val="auto"/>
          <w:kern w:val="2"/>
          <w:sz w:val="24"/>
          <w:szCs w:val="24"/>
          <w:lang w:val="en-US" w:eastAsia="zh-CN" w:bidi="ar"/>
        </w:rPr>
        <w:t>3150m</w:t>
      </w:r>
      <w:r>
        <w:rPr>
          <w:rFonts w:hint="default" w:ascii="Times New Roman" w:hAnsi="Times New Roman" w:eastAsia="宋体" w:cs="Times New Roman"/>
          <w:color w:val="auto"/>
          <w:kern w:val="2"/>
          <w:sz w:val="24"/>
          <w:szCs w:val="24"/>
          <w:vertAlign w:val="superscript"/>
          <w:lang w:val="en-US" w:eastAsia="zh-CN" w:bidi="ar"/>
        </w:rPr>
        <w:t>3</w:t>
      </w:r>
      <w:r>
        <w:rPr>
          <w:rFonts w:hint="default" w:ascii="Times New Roman" w:hAnsi="Times New Roman" w:eastAsia="宋体" w:cs="Times New Roman"/>
          <w:color w:val="auto"/>
          <w:kern w:val="2"/>
          <w:sz w:val="24"/>
          <w:szCs w:val="24"/>
          <w:lang w:val="en-US" w:eastAsia="zh-CN" w:bidi="ar"/>
        </w:rPr>
        <w:t>/s</w:t>
      </w:r>
      <w:r>
        <w:rPr>
          <w:rFonts w:hint="eastAsia" w:ascii="Times New Roman" w:hAnsi="Times New Roman" w:eastAsia="宋体" w:cs="宋体"/>
          <w:color w:val="auto"/>
          <w:kern w:val="2"/>
          <w:sz w:val="24"/>
          <w:szCs w:val="24"/>
          <w:lang w:val="en-US" w:eastAsia="zh-CN" w:bidi="ar"/>
        </w:rPr>
        <w:t>，历年最小流量</w:t>
      </w:r>
      <w:r>
        <w:rPr>
          <w:rFonts w:hint="default" w:ascii="Times New Roman" w:hAnsi="Times New Roman" w:eastAsia="宋体" w:cs="Times New Roman"/>
          <w:color w:val="auto"/>
          <w:kern w:val="2"/>
          <w:sz w:val="24"/>
          <w:szCs w:val="24"/>
          <w:lang w:val="en-US" w:eastAsia="zh-CN" w:bidi="ar"/>
        </w:rPr>
        <w:t>377m</w:t>
      </w:r>
      <w:r>
        <w:rPr>
          <w:rFonts w:hint="default" w:ascii="Times New Roman" w:hAnsi="Times New Roman" w:eastAsia="宋体" w:cs="Times New Roman"/>
          <w:color w:val="auto"/>
          <w:kern w:val="2"/>
          <w:sz w:val="24"/>
          <w:szCs w:val="24"/>
          <w:vertAlign w:val="superscript"/>
          <w:lang w:val="en-US" w:eastAsia="zh-CN" w:bidi="ar"/>
        </w:rPr>
        <w:t>3</w:t>
      </w:r>
      <w:r>
        <w:rPr>
          <w:rFonts w:hint="default" w:ascii="Times New Roman" w:hAnsi="Times New Roman" w:eastAsia="宋体" w:cs="Times New Roman"/>
          <w:color w:val="auto"/>
          <w:kern w:val="2"/>
          <w:sz w:val="24"/>
          <w:szCs w:val="24"/>
          <w:lang w:val="en-US" w:eastAsia="zh-CN" w:bidi="ar"/>
        </w:rPr>
        <w:t>/s</w:t>
      </w:r>
      <w:r>
        <w:rPr>
          <w:rFonts w:hint="eastAsia" w:ascii="Times New Roman" w:hAnsi="Times New Roman" w:eastAsia="宋体" w:cs="宋体"/>
          <w:color w:val="auto"/>
          <w:kern w:val="2"/>
          <w:sz w:val="24"/>
          <w:szCs w:val="24"/>
          <w:lang w:val="en-US" w:eastAsia="zh-CN" w:bidi="ar"/>
        </w:rPr>
        <w:t>，历年最大断面平均含沙量</w:t>
      </w:r>
      <w:r>
        <w:rPr>
          <w:rFonts w:hint="default" w:ascii="Times New Roman" w:hAnsi="Times New Roman" w:eastAsia="宋体" w:cs="Times New Roman"/>
          <w:color w:val="auto"/>
          <w:kern w:val="2"/>
          <w:sz w:val="24"/>
          <w:szCs w:val="24"/>
          <w:lang w:val="en-US" w:eastAsia="zh-CN" w:bidi="ar"/>
        </w:rPr>
        <w:t>1.7kg/m</w:t>
      </w:r>
      <w:r>
        <w:rPr>
          <w:rFonts w:hint="default" w:ascii="Times New Roman" w:hAnsi="Times New Roman" w:eastAsia="宋体" w:cs="Times New Roman"/>
          <w:color w:val="auto"/>
          <w:kern w:val="2"/>
          <w:sz w:val="24"/>
          <w:szCs w:val="24"/>
          <w:vertAlign w:val="superscript"/>
          <w:lang w:val="en-US" w:eastAsia="zh-CN" w:bidi="ar"/>
        </w:rPr>
        <w:t>3</w:t>
      </w:r>
      <w:r>
        <w:rPr>
          <w:rFonts w:hint="eastAsia" w:ascii="Times New Roman" w:hAnsi="Times New Roman" w:eastAsia="宋体" w:cs="宋体"/>
          <w:color w:val="auto"/>
          <w:kern w:val="2"/>
          <w:sz w:val="24"/>
          <w:szCs w:val="24"/>
          <w:lang w:val="en-US" w:eastAsia="zh-CN" w:bidi="ar"/>
        </w:rPr>
        <w:t>，历年最小断面平均含沙量</w:t>
      </w:r>
      <w:r>
        <w:rPr>
          <w:rFonts w:hint="default" w:ascii="Times New Roman" w:hAnsi="Times New Roman" w:eastAsia="宋体" w:cs="Times New Roman"/>
          <w:color w:val="auto"/>
          <w:kern w:val="2"/>
          <w:sz w:val="24"/>
          <w:szCs w:val="24"/>
          <w:lang w:val="en-US" w:eastAsia="zh-CN" w:bidi="ar"/>
        </w:rPr>
        <w:t>0.017kg/m</w:t>
      </w:r>
      <w:r>
        <w:rPr>
          <w:rFonts w:hint="default" w:ascii="Times New Roman" w:hAnsi="Times New Roman" w:eastAsia="宋体" w:cs="Times New Roman"/>
          <w:color w:val="auto"/>
          <w:kern w:val="2"/>
          <w:sz w:val="24"/>
          <w:szCs w:val="24"/>
          <w:vertAlign w:val="superscript"/>
          <w:lang w:val="en-US" w:eastAsia="zh-CN" w:bidi="ar"/>
        </w:rPr>
        <w:t>3</w:t>
      </w:r>
      <w:r>
        <w:rPr>
          <w:rFonts w:hint="eastAsia" w:ascii="Times New Roman" w:hAnsi="Times New Roman" w:eastAsia="宋体" w:cs="宋体"/>
          <w:color w:val="auto"/>
          <w:kern w:val="2"/>
          <w:sz w:val="24"/>
          <w:szCs w:val="24"/>
          <w:lang w:val="en-US" w:eastAsia="zh-CN" w:bidi="ar"/>
        </w:rPr>
        <w:t>。东洞庭湖水最高水温</w:t>
      </w:r>
      <w:r>
        <w:rPr>
          <w:rFonts w:hint="default" w:ascii="Times New Roman" w:hAnsi="Times New Roman" w:eastAsia="宋体" w:cs="Times New Roman"/>
          <w:color w:val="auto"/>
          <w:kern w:val="2"/>
          <w:sz w:val="24"/>
          <w:szCs w:val="24"/>
          <w:lang w:val="en-US" w:eastAsia="zh-CN" w:bidi="ar"/>
        </w:rPr>
        <w:t>33.2℃</w:t>
      </w:r>
      <w:r>
        <w:rPr>
          <w:rFonts w:hint="eastAsia" w:ascii="Times New Roman" w:hAnsi="Times New Roman" w:eastAsia="宋体" w:cs="宋体"/>
          <w:color w:val="auto"/>
          <w:kern w:val="2"/>
          <w:sz w:val="24"/>
          <w:szCs w:val="24"/>
          <w:lang w:val="en-US" w:eastAsia="zh-CN" w:bidi="ar"/>
        </w:rPr>
        <w:t>，最低水温</w:t>
      </w:r>
      <w:r>
        <w:rPr>
          <w:rFonts w:hint="default" w:ascii="Times New Roman" w:hAnsi="Times New Roman" w:eastAsia="宋体" w:cs="Times New Roman"/>
          <w:color w:val="auto"/>
          <w:kern w:val="2"/>
          <w:sz w:val="24"/>
          <w:szCs w:val="24"/>
          <w:lang w:val="en-US" w:eastAsia="zh-CN" w:bidi="ar"/>
        </w:rPr>
        <w:t>3℃</w:t>
      </w:r>
      <w:r>
        <w:rPr>
          <w:rFonts w:hint="eastAsia" w:ascii="Times New Roman" w:hAnsi="Times New Roman" w:eastAsia="宋体" w:cs="宋体"/>
          <w:color w:val="auto"/>
          <w:kern w:val="2"/>
          <w:sz w:val="24"/>
          <w:szCs w:val="24"/>
          <w:lang w:val="en-US" w:eastAsia="zh-CN" w:bidi="ar"/>
        </w:rPr>
        <w:t>，冬季平均水温</w:t>
      </w:r>
      <w:r>
        <w:rPr>
          <w:rFonts w:hint="default" w:ascii="Times New Roman" w:hAnsi="Times New Roman" w:eastAsia="宋体" w:cs="Times New Roman"/>
          <w:color w:val="auto"/>
          <w:kern w:val="2"/>
          <w:sz w:val="24"/>
          <w:szCs w:val="24"/>
          <w:lang w:val="en-US" w:eastAsia="zh-CN" w:bidi="ar"/>
        </w:rPr>
        <w:t>6.9℃</w:t>
      </w:r>
      <w:r>
        <w:rPr>
          <w:rFonts w:hint="eastAsia" w:ascii="Times New Roman" w:hAnsi="Times New Roman" w:eastAsia="宋体" w:cs="宋体"/>
          <w:color w:val="auto"/>
          <w:kern w:val="2"/>
          <w:sz w:val="24"/>
          <w:szCs w:val="24"/>
          <w:lang w:val="en-US" w:eastAsia="zh-CN" w:bidi="ar"/>
        </w:rPr>
        <w:t>。</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Times New Roman" w:hAnsi="Times New Roman" w:cs="宋体"/>
          <w:color w:val="auto"/>
          <w:kern w:val="2"/>
          <w:sz w:val="24"/>
          <w:szCs w:val="24"/>
          <w:lang w:val="en-US" w:eastAsia="zh-CN" w:bidi="ar"/>
        </w:rPr>
      </w:pPr>
      <w:r>
        <w:rPr>
          <w:rFonts w:hint="eastAsia" w:ascii="Times New Roman" w:hAnsi="Times New Roman" w:cs="宋体"/>
          <w:color w:val="auto"/>
          <w:kern w:val="2"/>
          <w:sz w:val="24"/>
          <w:szCs w:val="24"/>
          <w:lang w:val="en-US" w:eastAsia="zh-CN" w:bidi="ar"/>
        </w:rPr>
        <w:t>芭蕉湖水面积10000亩，水面宽阔清澈，两岸青山对峙，风景秀丽。</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Times New Roman" w:hAnsi="Times New Roman" w:cs="宋体"/>
          <w:color w:val="auto"/>
          <w:kern w:val="2"/>
          <w:sz w:val="24"/>
          <w:szCs w:val="24"/>
          <w:lang w:val="en-US" w:eastAsia="zh-CN" w:bidi="ar"/>
        </w:rPr>
      </w:pPr>
      <w:r>
        <w:rPr>
          <w:rFonts w:hint="eastAsia" w:cs="宋体"/>
          <w:color w:val="auto"/>
          <w:kern w:val="2"/>
          <w:sz w:val="24"/>
          <w:szCs w:val="24"/>
          <w:lang w:val="en-US" w:eastAsia="zh-CN" w:bidi="ar"/>
        </w:rPr>
        <w:t>根据勘探资料，在</w:t>
      </w:r>
      <w:r>
        <w:rPr>
          <w:rFonts w:hint="eastAsia" w:ascii="Times New Roman" w:hAnsi="Times New Roman" w:cs="宋体"/>
          <w:color w:val="auto"/>
          <w:kern w:val="2"/>
          <w:sz w:val="24"/>
          <w:szCs w:val="24"/>
          <w:lang w:val="en-US" w:eastAsia="zh-CN" w:bidi="ar"/>
        </w:rPr>
        <w:t>勘察深度范围内有一层地下水，属上层滞水，主要赋存于素填土层中，主要接受大气降水补给，含水性极不均匀，水量较贫乏，雨水丰富时，水量相对较富集，勘察期间测得稳定地下水位埋深为</w:t>
      </w:r>
      <w:r>
        <w:rPr>
          <w:rFonts w:hint="default" w:ascii="Times New Roman" w:hAnsi="Times New Roman" w:cs="宋体"/>
          <w:color w:val="auto"/>
          <w:kern w:val="2"/>
          <w:sz w:val="24"/>
          <w:szCs w:val="24"/>
          <w:lang w:val="en-US" w:eastAsia="zh-CN" w:bidi="ar"/>
        </w:rPr>
        <w:t>1.30</w:t>
      </w:r>
      <w:r>
        <w:rPr>
          <w:rFonts w:hint="eastAsia" w:ascii="Times New Roman" w:hAnsi="Times New Roman" w:cs="宋体"/>
          <w:color w:val="auto"/>
          <w:kern w:val="2"/>
          <w:sz w:val="24"/>
          <w:szCs w:val="24"/>
          <w:lang w:val="en-US" w:eastAsia="zh-CN" w:bidi="ar"/>
        </w:rPr>
        <w:t>～</w:t>
      </w:r>
      <w:r>
        <w:rPr>
          <w:rFonts w:hint="default" w:ascii="Times New Roman" w:hAnsi="Times New Roman" w:cs="宋体"/>
          <w:color w:val="auto"/>
          <w:kern w:val="2"/>
          <w:sz w:val="24"/>
          <w:szCs w:val="24"/>
          <w:lang w:val="en-US" w:eastAsia="zh-CN" w:bidi="ar"/>
        </w:rPr>
        <w:t>5.90m</w:t>
      </w:r>
      <w:r>
        <w:rPr>
          <w:rFonts w:hint="eastAsia" w:ascii="Times New Roman" w:hAnsi="Times New Roman" w:cs="宋体"/>
          <w:color w:val="auto"/>
          <w:kern w:val="2"/>
          <w:sz w:val="24"/>
          <w:szCs w:val="24"/>
          <w:lang w:val="en-US" w:eastAsia="zh-CN" w:bidi="ar"/>
        </w:rPr>
        <w:t>，国家高程为</w:t>
      </w:r>
      <w:r>
        <w:rPr>
          <w:rFonts w:hint="default" w:ascii="Times New Roman" w:hAnsi="Times New Roman" w:cs="宋体"/>
          <w:color w:val="auto"/>
          <w:kern w:val="2"/>
          <w:sz w:val="24"/>
          <w:szCs w:val="24"/>
          <w:lang w:val="en-US" w:eastAsia="zh-CN" w:bidi="ar"/>
        </w:rPr>
        <w:t>47.34</w:t>
      </w:r>
      <w:r>
        <w:rPr>
          <w:rFonts w:hint="eastAsia" w:ascii="Times New Roman" w:hAnsi="Times New Roman" w:cs="宋体"/>
          <w:color w:val="auto"/>
          <w:kern w:val="2"/>
          <w:sz w:val="24"/>
          <w:szCs w:val="24"/>
          <w:lang w:val="en-US" w:eastAsia="zh-CN" w:bidi="ar"/>
        </w:rPr>
        <w:t>～</w:t>
      </w:r>
      <w:r>
        <w:rPr>
          <w:rFonts w:hint="default" w:ascii="Times New Roman" w:hAnsi="Times New Roman" w:cs="宋体"/>
          <w:color w:val="auto"/>
          <w:kern w:val="2"/>
          <w:sz w:val="24"/>
          <w:szCs w:val="24"/>
          <w:lang w:val="en-US" w:eastAsia="zh-CN" w:bidi="ar"/>
        </w:rPr>
        <w:t>79.89m</w:t>
      </w:r>
      <w:r>
        <w:rPr>
          <w:rFonts w:hint="eastAsia" w:ascii="Times New Roman" w:hAnsi="Times New Roman" w:cs="宋体"/>
          <w:color w:val="auto"/>
          <w:kern w:val="2"/>
          <w:sz w:val="24"/>
          <w:szCs w:val="24"/>
          <w:lang w:val="en-US" w:eastAsia="zh-CN" w:bidi="ar"/>
        </w:rPr>
        <w:t>，场地水位年变化幅度为</w:t>
      </w:r>
      <w:r>
        <w:rPr>
          <w:rFonts w:hint="default" w:ascii="Times New Roman" w:hAnsi="Times New Roman" w:cs="宋体"/>
          <w:color w:val="auto"/>
          <w:kern w:val="2"/>
          <w:sz w:val="24"/>
          <w:szCs w:val="24"/>
          <w:lang w:val="en-US" w:eastAsia="zh-CN" w:bidi="ar"/>
        </w:rPr>
        <w:t>0.50-1.0m</w:t>
      </w:r>
      <w:r>
        <w:rPr>
          <w:rFonts w:hint="eastAsia" w:ascii="Times New Roman" w:hAnsi="Times New Roman" w:cs="宋体"/>
          <w:color w:val="auto"/>
          <w:kern w:val="2"/>
          <w:sz w:val="24"/>
          <w:szCs w:val="24"/>
          <w:lang w:val="en-US" w:eastAsia="zh-CN" w:bidi="ar"/>
        </w:rPr>
        <w:t>。</w:t>
      </w:r>
    </w:p>
    <w:p>
      <w:pPr>
        <w:pStyle w:val="3"/>
        <w:rPr>
          <w:rFonts w:hint="eastAsia"/>
          <w:color w:val="auto"/>
          <w:lang w:val="en-US" w:eastAsia="zh-CN"/>
        </w:rPr>
      </w:pPr>
      <w:bookmarkStart w:id="69" w:name="_Toc25574"/>
      <w:r>
        <w:rPr>
          <w:rFonts w:hint="eastAsia"/>
          <w:color w:val="auto"/>
          <w:lang w:val="en-US" w:eastAsia="zh-CN"/>
        </w:rPr>
        <w:t>6.2环境现状调查与评价</w:t>
      </w:r>
      <w:bookmarkEnd w:id="69"/>
    </w:p>
    <w:p>
      <w:pPr>
        <w:pStyle w:val="4"/>
        <w:rPr>
          <w:rFonts w:hint="eastAsia"/>
          <w:color w:val="auto"/>
          <w:lang w:val="en-US" w:eastAsia="zh-CN"/>
        </w:rPr>
      </w:pPr>
      <w:r>
        <w:rPr>
          <w:rFonts w:hint="eastAsia"/>
          <w:color w:val="auto"/>
          <w:lang w:val="en-US" w:eastAsia="zh-CN"/>
        </w:rPr>
        <w:t>6.2.1环境空气质量现状调查与评价</w:t>
      </w:r>
    </w:p>
    <w:p>
      <w:pPr>
        <w:rPr>
          <w:rFonts w:hint="eastAsia"/>
          <w:color w:val="auto"/>
          <w:u w:val="single"/>
          <w:lang w:val="en-US" w:eastAsia="zh-CN"/>
        </w:rPr>
      </w:pPr>
      <w:r>
        <w:rPr>
          <w:rFonts w:hint="eastAsia"/>
          <w:color w:val="auto"/>
          <w:u w:val="single"/>
          <w:lang w:val="en-US" w:eastAsia="zh-CN"/>
        </w:rPr>
        <w:t>（1）历史监测数据</w:t>
      </w:r>
    </w:p>
    <w:p>
      <w:pPr>
        <w:rPr>
          <w:rFonts w:hint="eastAsia"/>
          <w:color w:val="auto"/>
          <w:u w:val="single"/>
          <w:lang w:val="en-US" w:eastAsia="zh-CN"/>
        </w:rPr>
      </w:pPr>
      <w:r>
        <w:rPr>
          <w:rFonts w:hint="eastAsia"/>
          <w:color w:val="auto"/>
          <w:u w:val="single"/>
          <w:lang w:val="en-US" w:eastAsia="zh-CN"/>
        </w:rPr>
        <w:t>本环评收集了《岳阳市胥家桥片区控制性详规中花果畈垃圾处填埋场及其周边区域专项评价》的环境空气质量现状监测数据，监测时间为</w:t>
      </w:r>
      <w:r>
        <w:rPr>
          <w:sz w:val="24"/>
          <w:u w:val="single"/>
        </w:rPr>
        <w:t>2015年6月6日~12日</w:t>
      </w:r>
      <w:r>
        <w:rPr>
          <w:rFonts w:hint="eastAsia"/>
          <w:sz w:val="24"/>
          <w:u w:val="single"/>
          <w:lang w:eastAsia="zh-CN"/>
        </w:rPr>
        <w:t>，连续监测</w:t>
      </w:r>
      <w:r>
        <w:rPr>
          <w:rFonts w:hint="eastAsia"/>
          <w:sz w:val="24"/>
          <w:u w:val="single"/>
          <w:lang w:val="en-US" w:eastAsia="zh-CN"/>
        </w:rPr>
        <w:t>7天</w:t>
      </w:r>
      <w:r>
        <w:rPr>
          <w:rFonts w:hint="eastAsia"/>
          <w:color w:val="auto"/>
          <w:u w:val="single"/>
          <w:lang w:val="en-US" w:eastAsia="zh-CN"/>
        </w:rPr>
        <w:t>。具体详情见表6-2。</w:t>
      </w:r>
    </w:p>
    <w:p>
      <w:pPr>
        <w:pStyle w:val="23"/>
        <w:rPr>
          <w:rFonts w:hint="eastAsia"/>
          <w:b/>
          <w:bCs/>
          <w:u w:val="single"/>
          <w:lang w:val="en-US" w:eastAsia="zh-CN"/>
        </w:rPr>
      </w:pPr>
    </w:p>
    <w:p>
      <w:pPr>
        <w:pStyle w:val="23"/>
        <w:rPr>
          <w:rFonts w:hint="eastAsia"/>
          <w:b/>
          <w:bCs/>
          <w:u w:val="single"/>
          <w:lang w:val="en-US" w:eastAsia="zh-CN"/>
        </w:rPr>
      </w:pPr>
    </w:p>
    <w:p>
      <w:pPr>
        <w:pStyle w:val="23"/>
        <w:rPr>
          <w:rFonts w:hint="eastAsia"/>
          <w:b/>
          <w:bCs/>
          <w:u w:val="single"/>
          <w:lang w:val="en-US" w:eastAsia="zh-CN"/>
        </w:rPr>
      </w:pPr>
    </w:p>
    <w:p>
      <w:pPr>
        <w:pStyle w:val="23"/>
        <w:rPr>
          <w:rFonts w:hint="eastAsia"/>
          <w:b/>
          <w:bCs/>
          <w:u w:val="single"/>
          <w:lang w:val="en-US" w:eastAsia="zh-CN"/>
        </w:rPr>
      </w:pPr>
      <w:r>
        <w:rPr>
          <w:rFonts w:hint="eastAsia"/>
          <w:b/>
          <w:bCs/>
          <w:u w:val="single"/>
          <w:lang w:val="en-US" w:eastAsia="zh-CN"/>
        </w:rPr>
        <w:t>表6-2  环境空气质量历史数据一览表</w:t>
      </w:r>
    </w:p>
    <w:tbl>
      <w:tblPr>
        <w:tblStyle w:val="19"/>
        <w:tblW w:w="87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1"/>
        <w:gridCol w:w="1127"/>
        <w:gridCol w:w="1268"/>
        <w:gridCol w:w="1383"/>
        <w:gridCol w:w="1325"/>
        <w:gridCol w:w="1327"/>
        <w:gridCol w:w="12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0" w:hRule="exact"/>
          <w:tblHeader/>
          <w:jc w:val="center"/>
        </w:trPr>
        <w:tc>
          <w:tcPr>
            <w:tcW w:w="1031" w:type="dxa"/>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点位</w:t>
            </w:r>
          </w:p>
        </w:tc>
        <w:tc>
          <w:tcPr>
            <w:tcW w:w="1127" w:type="dxa"/>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项目</w:t>
            </w:r>
          </w:p>
        </w:tc>
        <w:tc>
          <w:tcPr>
            <w:tcW w:w="1268" w:type="dxa"/>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SO</w:t>
            </w:r>
            <w:r>
              <w:rPr>
                <w:rFonts w:hint="default"/>
                <w:u w:val="single"/>
                <w:vertAlign w:val="subscript"/>
              </w:rPr>
              <w:t>2</w:t>
            </w:r>
          </w:p>
        </w:tc>
        <w:tc>
          <w:tcPr>
            <w:tcW w:w="1383" w:type="dxa"/>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NO</w:t>
            </w:r>
            <w:r>
              <w:rPr>
                <w:rFonts w:hint="default"/>
                <w:u w:val="single"/>
                <w:vertAlign w:val="subscript"/>
              </w:rPr>
              <w:t>2</w:t>
            </w:r>
          </w:p>
        </w:tc>
        <w:tc>
          <w:tcPr>
            <w:tcW w:w="1325" w:type="dxa"/>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PM</w:t>
            </w:r>
            <w:r>
              <w:rPr>
                <w:rFonts w:hint="default"/>
                <w:u w:val="single"/>
                <w:vertAlign w:val="subscript"/>
              </w:rPr>
              <w:t>10</w:t>
            </w:r>
          </w:p>
        </w:tc>
        <w:tc>
          <w:tcPr>
            <w:tcW w:w="1327" w:type="dxa"/>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NH</w:t>
            </w:r>
            <w:r>
              <w:rPr>
                <w:rFonts w:hint="default"/>
                <w:u w:val="single"/>
                <w:vertAlign w:val="subscript"/>
              </w:rPr>
              <w:t>3</w:t>
            </w:r>
          </w:p>
        </w:tc>
        <w:tc>
          <w:tcPr>
            <w:tcW w:w="1259" w:type="dxa"/>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H</w:t>
            </w:r>
            <w:r>
              <w:rPr>
                <w:rFonts w:hint="default"/>
                <w:u w:val="single"/>
                <w:vertAlign w:val="subscript"/>
              </w:rPr>
              <w:t>2</w:t>
            </w:r>
            <w:r>
              <w:rPr>
                <w:rFonts w:hint="default"/>
                <w:u w:val="single"/>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胥家桥小学上风向</w:t>
            </w:r>
          </w:p>
        </w:tc>
        <w:tc>
          <w:tcPr>
            <w:tcW w:w="11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浓度范围(mg/m</w:t>
            </w:r>
            <w:r>
              <w:rPr>
                <w:rFonts w:hint="default"/>
                <w:u w:val="single"/>
                <w:vertAlign w:val="superscript"/>
              </w:rPr>
              <w:t>3</w:t>
            </w:r>
            <w:r>
              <w:rPr>
                <w:rFonts w:hint="default"/>
                <w:u w:val="single"/>
              </w:rPr>
              <w:t>)</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0.014-0.034</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0.014-0.029</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0.059-0.08</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0.02-0.04</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0.001-0.003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占标率(%)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2.8-6.8</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7-14.5</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39.3-53.3</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10-20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超标率(%)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最大超标倍数</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胥家桥小学下风向</w:t>
            </w: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浓度范围(mg/m</w:t>
            </w:r>
            <w:r>
              <w:rPr>
                <w:rFonts w:hint="default"/>
                <w:u w:val="single"/>
                <w:vertAlign w:val="superscript"/>
              </w:rPr>
              <w:t>3</w:t>
            </w:r>
            <w:r>
              <w:rPr>
                <w:rFonts w:hint="default"/>
                <w:u w:val="single"/>
              </w:rPr>
              <w:t>)</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0.019-0.039</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0.017-0.031</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0.065-0.087</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0.03-0.07</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0.003-0.007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占标率(%)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3.8-7.8</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8.5-15.5</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43.3-58</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15-35</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30-70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超标率(%)</w:t>
            </w:r>
          </w:p>
        </w:tc>
        <w:tc>
          <w:tcPr>
            <w:tcW w:w="1268"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83"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259"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最大超标倍数</w:t>
            </w:r>
          </w:p>
        </w:tc>
        <w:tc>
          <w:tcPr>
            <w:tcW w:w="1268"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83"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259"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Q3胥家桥中学上风向</w:t>
            </w: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浓度范围(mg/m</w:t>
            </w:r>
            <w:r>
              <w:rPr>
                <w:rFonts w:hint="default"/>
                <w:u w:val="single"/>
                <w:vertAlign w:val="superscript"/>
              </w:rPr>
              <w:t>3</w:t>
            </w:r>
            <w:r>
              <w:rPr>
                <w:rFonts w:hint="default"/>
                <w:u w:val="single"/>
              </w:rPr>
              <w:t>)</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0.022-0.036</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0.018-0.03</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0.068-0.089</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0.01-0.05</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0.001-0.004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占标率(%)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4.4-7.2</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9-15</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45.3-59.3</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5-25</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超标率(%)</w:t>
            </w:r>
          </w:p>
        </w:tc>
        <w:tc>
          <w:tcPr>
            <w:tcW w:w="1268"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83"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259"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最大超标倍数</w:t>
            </w:r>
          </w:p>
        </w:tc>
        <w:tc>
          <w:tcPr>
            <w:tcW w:w="1268"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83"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259"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胥家桥中学下风向</w:t>
            </w:r>
          </w:p>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浓度范围(mg/m</w:t>
            </w:r>
            <w:r>
              <w:rPr>
                <w:rFonts w:hint="default"/>
                <w:u w:val="single"/>
                <w:vertAlign w:val="superscript"/>
              </w:rPr>
              <w:t>3</w:t>
            </w:r>
            <w:r>
              <w:rPr>
                <w:rFonts w:hint="default"/>
                <w:u w:val="single"/>
              </w:rPr>
              <w:t>)</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0.025-0.04</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0.02-0.035</w:t>
            </w:r>
          </w:p>
        </w:tc>
        <w:tc>
          <w:tcPr>
            <w:tcW w:w="1325"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0.077-0.092/</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0.02-0.07</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0.002-0.006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占标率(%)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5-8</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10-17.5</w:t>
            </w:r>
          </w:p>
        </w:tc>
        <w:tc>
          <w:tcPr>
            <w:tcW w:w="1325"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/51.3-61.3</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10-35</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20-60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超标率(%)</w:t>
            </w:r>
          </w:p>
        </w:tc>
        <w:tc>
          <w:tcPr>
            <w:tcW w:w="1268"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83"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259"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最大超标倍数</w:t>
            </w:r>
          </w:p>
        </w:tc>
        <w:tc>
          <w:tcPr>
            <w:tcW w:w="1268"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83"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259"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62" w:hRule="exact"/>
          <w:jc w:val="center"/>
        </w:trPr>
        <w:tc>
          <w:tcPr>
            <w:tcW w:w="103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张家冲小学上风向</w:t>
            </w: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浓度范围(mg/m</w:t>
            </w:r>
            <w:r>
              <w:rPr>
                <w:rFonts w:hint="default"/>
                <w:u w:val="single"/>
                <w:vertAlign w:val="superscript"/>
              </w:rPr>
              <w:t>3</w:t>
            </w:r>
            <w:r>
              <w:rPr>
                <w:rFonts w:hint="default"/>
                <w:u w:val="single"/>
              </w:rPr>
              <w:t>)</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0.022-0.035</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0.018-0.031</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0.063-0.085</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0.01-0.04</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0.001-0.002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占标率(%)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4.4-7</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9-15.5</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42-56.7</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5-20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超标率(%)</w:t>
            </w:r>
          </w:p>
        </w:tc>
        <w:tc>
          <w:tcPr>
            <w:tcW w:w="1268"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83"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259"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最大超标倍数</w:t>
            </w:r>
          </w:p>
        </w:tc>
        <w:tc>
          <w:tcPr>
            <w:tcW w:w="1268"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83"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259"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张家冲小学下风向</w:t>
            </w: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浓度范围(mg/m</w:t>
            </w:r>
            <w:r>
              <w:rPr>
                <w:rFonts w:hint="default"/>
                <w:u w:val="single"/>
                <w:vertAlign w:val="superscript"/>
              </w:rPr>
              <w:t>3</w:t>
            </w:r>
            <w:r>
              <w:rPr>
                <w:rFonts w:hint="default"/>
                <w:u w:val="single"/>
              </w:rPr>
              <w:t>)</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0.021-0.039</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0.02-0.034</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0.067-0.089</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0.03-0.08</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0.002-0.007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占标率(%)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4.2-7.8</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10-17</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44.7-59.3</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15-40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20-70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超标率(%)</w:t>
            </w:r>
          </w:p>
        </w:tc>
        <w:tc>
          <w:tcPr>
            <w:tcW w:w="1268"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83"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最大超标倍数</w:t>
            </w:r>
          </w:p>
        </w:tc>
        <w:tc>
          <w:tcPr>
            <w:tcW w:w="1268"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83"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七公桥居民区上风向</w:t>
            </w: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浓度范围(mg/m</w:t>
            </w:r>
            <w:r>
              <w:rPr>
                <w:rFonts w:hint="default"/>
                <w:u w:val="single"/>
                <w:vertAlign w:val="superscript"/>
              </w:rPr>
              <w:t>3</w:t>
            </w:r>
            <w:r>
              <w:rPr>
                <w:rFonts w:hint="default"/>
                <w:u w:val="single"/>
              </w:rPr>
              <w:t>)</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0.025-0.041</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0.024-0.035</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0.068-0.083</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0.01-0.03</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0.001-0.002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占标率(%)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5-8.2</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12-17.5</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45.3-55.3</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5-15</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超标率(%)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最大超标倍数</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 xml:space="preserve"> 七公桥居民区下风向</w:t>
            </w: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浓度范围(mg/m</w:t>
            </w:r>
            <w:r>
              <w:rPr>
                <w:rFonts w:hint="default"/>
                <w:u w:val="single"/>
                <w:vertAlign w:val="superscript"/>
              </w:rPr>
              <w:t>3</w:t>
            </w:r>
            <w:r>
              <w:rPr>
                <w:rFonts w:hint="default"/>
                <w:u w:val="single"/>
              </w:rPr>
              <w:t>)</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0.03-0.044</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0.026-0.038</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0.07-0.087</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0.03-0.07</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0.002-0.006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占标率(%)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6-8.8</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13-19</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45.7-58</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15-35</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20-60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超标率(%)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最大超标倍数</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胥家桥居民还建点上风向</w:t>
            </w: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浓度范围(mg/m</w:t>
            </w:r>
            <w:r>
              <w:rPr>
                <w:rFonts w:hint="default"/>
                <w:u w:val="single"/>
                <w:vertAlign w:val="superscript"/>
              </w:rPr>
              <w:t>3</w:t>
            </w:r>
            <w:r>
              <w:rPr>
                <w:rFonts w:hint="default"/>
                <w:u w:val="single"/>
              </w:rPr>
              <w:t>)</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0.019-0.033</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0.015-0.03</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0.075-0.085</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0.02-0.06</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0.001-0.004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占标率(%)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3.8-6.6</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7.5-15</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50-56.7</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10-30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超标率(%)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最大超标倍数</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胥家桥居民还建点下风向</w:t>
            </w: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浓度范围(mg/m</w:t>
            </w:r>
            <w:r>
              <w:rPr>
                <w:rFonts w:hint="default"/>
                <w:u w:val="single"/>
                <w:vertAlign w:val="superscript"/>
              </w:rPr>
              <w:t>3</w:t>
            </w:r>
            <w:r>
              <w:rPr>
                <w:rFonts w:hint="default"/>
                <w:u w:val="single"/>
              </w:rPr>
              <w:t>)</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0.022-0.037</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0.019-0.035</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0.077-0.091</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0.03-0.08</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0.002-0.008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占标率(%)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4.4-7.4</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9.5-17.5</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51.3-60.7</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15-40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20-80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超标率(%)</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103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127"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最大超标倍数</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325"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u w:val="single"/>
              </w:rPr>
            </w:pPr>
            <w:r>
              <w:rPr>
                <w:rFonts w:hint="default"/>
                <w:u w:val="single"/>
              </w:rPr>
              <w:t>0</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exact"/>
          <w:jc w:val="center"/>
        </w:trPr>
        <w:tc>
          <w:tcPr>
            <w:tcW w:w="2158" w:type="dxa"/>
            <w:gridSpan w:val="2"/>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标准限值</w:t>
            </w:r>
          </w:p>
        </w:tc>
        <w:tc>
          <w:tcPr>
            <w:tcW w:w="1268"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0.50</w:t>
            </w:r>
          </w:p>
        </w:tc>
        <w:tc>
          <w:tcPr>
            <w:tcW w:w="1383"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0.20</w:t>
            </w:r>
          </w:p>
        </w:tc>
        <w:tc>
          <w:tcPr>
            <w:tcW w:w="1325"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0.15</w:t>
            </w:r>
          </w:p>
        </w:tc>
        <w:tc>
          <w:tcPr>
            <w:tcW w:w="132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0.2</w:t>
            </w:r>
          </w:p>
        </w:tc>
        <w:tc>
          <w:tcPr>
            <w:tcW w:w="125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0.01</w:t>
            </w:r>
          </w:p>
        </w:tc>
      </w:tr>
    </w:tbl>
    <w:p>
      <w:pPr>
        <w:spacing w:line="360" w:lineRule="auto"/>
        <w:ind w:firstLine="480" w:firstLineChars="200"/>
        <w:jc w:val="left"/>
        <w:rPr>
          <w:rFonts w:hint="eastAsia"/>
          <w:color w:val="auto"/>
          <w:u w:val="single"/>
          <w:lang w:val="en-US" w:eastAsia="zh-CN"/>
        </w:rPr>
      </w:pPr>
      <w:r>
        <w:rPr>
          <w:sz w:val="24"/>
          <w:u w:val="single"/>
        </w:rPr>
        <w:t>从上表监测统计结果可看出，本次评价范围内各大气监测点SO</w:t>
      </w:r>
      <w:r>
        <w:rPr>
          <w:sz w:val="24"/>
          <w:u w:val="single"/>
          <w:vertAlign w:val="subscript"/>
        </w:rPr>
        <w:t>2</w:t>
      </w:r>
      <w:r>
        <w:rPr>
          <w:sz w:val="24"/>
          <w:u w:val="single"/>
        </w:rPr>
        <w:t>、NO</w:t>
      </w:r>
      <w:r>
        <w:rPr>
          <w:sz w:val="24"/>
          <w:u w:val="single"/>
          <w:vertAlign w:val="subscript"/>
        </w:rPr>
        <w:t>2</w:t>
      </w:r>
      <w:r>
        <w:rPr>
          <w:sz w:val="24"/>
          <w:u w:val="single"/>
        </w:rPr>
        <w:t>小时浓度值、PM</w:t>
      </w:r>
      <w:r>
        <w:rPr>
          <w:sz w:val="24"/>
          <w:u w:val="single"/>
          <w:vertAlign w:val="subscript"/>
        </w:rPr>
        <w:t>10</w:t>
      </w:r>
      <w:r>
        <w:rPr>
          <w:sz w:val="24"/>
          <w:u w:val="single"/>
        </w:rPr>
        <w:t>日均浓度值均满足《环境空气质量标准》(GB3095-2012)相关标准要求，NH</w:t>
      </w:r>
      <w:r>
        <w:rPr>
          <w:sz w:val="24"/>
          <w:u w:val="single"/>
          <w:vertAlign w:val="subscript"/>
        </w:rPr>
        <w:t>3</w:t>
      </w:r>
      <w:r>
        <w:rPr>
          <w:sz w:val="24"/>
          <w:u w:val="single"/>
        </w:rPr>
        <w:t>、H</w:t>
      </w:r>
      <w:r>
        <w:rPr>
          <w:sz w:val="24"/>
          <w:u w:val="single"/>
          <w:vertAlign w:val="subscript"/>
        </w:rPr>
        <w:t>2</w:t>
      </w:r>
      <w:r>
        <w:rPr>
          <w:sz w:val="24"/>
          <w:u w:val="single"/>
        </w:rPr>
        <w:t>S一次值满足《工业企业设计卫生标准》（TJ36-79）中居住区大气中有害物质的最高容许浓度限值。</w:t>
      </w:r>
    </w:p>
    <w:p>
      <w:pPr>
        <w:rPr>
          <w:rFonts w:hint="eastAsia"/>
          <w:color w:val="auto"/>
          <w:lang w:val="en-US" w:eastAsia="zh-CN"/>
        </w:rPr>
      </w:pPr>
      <w:r>
        <w:rPr>
          <w:rFonts w:hint="eastAsia"/>
          <w:color w:val="auto"/>
          <w:lang w:val="en-US" w:eastAsia="zh-CN"/>
        </w:rPr>
        <w:t>（2）现状监测数据</w:t>
      </w:r>
    </w:p>
    <w:p>
      <w:pPr>
        <w:rPr>
          <w:rFonts w:hint="eastAsia"/>
          <w:color w:val="auto"/>
          <w:lang w:val="en-US" w:eastAsia="zh-CN"/>
        </w:rPr>
      </w:pPr>
      <w:r>
        <w:rPr>
          <w:rFonts w:hint="eastAsia"/>
          <w:color w:val="auto"/>
          <w:lang w:val="en-US" w:eastAsia="zh-CN"/>
        </w:rPr>
        <w:t>为了解评价区域环境空气质量状况，本次环评特委托岳阳市衡润检测有限公司对拟建地环境空气进行了现状检测。</w:t>
      </w:r>
    </w:p>
    <w:p>
      <w:pPr>
        <w:rPr>
          <w:rFonts w:hint="eastAsia"/>
          <w:color w:val="auto"/>
          <w:lang w:val="en-US" w:eastAsia="zh-CN"/>
        </w:rPr>
      </w:pPr>
      <w:r>
        <w:rPr>
          <w:rFonts w:hint="eastAsia"/>
          <w:color w:val="auto"/>
          <w:lang w:val="en-US" w:eastAsia="zh-CN"/>
        </w:rPr>
        <w:t>1、检测布点</w:t>
      </w:r>
    </w:p>
    <w:p>
      <w:pPr>
        <w:rPr>
          <w:rFonts w:hint="eastAsia"/>
          <w:color w:val="auto"/>
          <w:lang w:val="en-US" w:eastAsia="zh-CN"/>
        </w:rPr>
      </w:pPr>
      <w:r>
        <w:rPr>
          <w:rFonts w:hint="eastAsia"/>
          <w:color w:val="auto"/>
          <w:lang w:val="en-US" w:eastAsia="zh-CN"/>
        </w:rPr>
        <w:t>共布设2个环境检测点，大气检测点的具体布设位置详见表6-3。</w:t>
      </w:r>
    </w:p>
    <w:p>
      <w:pPr>
        <w:pStyle w:val="23"/>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center"/>
        <w:outlineLvl w:val="9"/>
        <w:rPr>
          <w:color w:val="auto"/>
        </w:rPr>
      </w:pPr>
      <w:r>
        <w:rPr>
          <w:b/>
          <w:bCs/>
          <w:color w:val="auto"/>
        </w:rPr>
        <w:t>表</w:t>
      </w:r>
      <w:r>
        <w:rPr>
          <w:rFonts w:hint="eastAsia"/>
          <w:b/>
          <w:bCs/>
          <w:color w:val="auto"/>
          <w:lang w:val="en-US" w:eastAsia="zh-CN"/>
        </w:rPr>
        <w:t>6</w:t>
      </w:r>
      <w:r>
        <w:rPr>
          <w:b/>
          <w:bCs/>
          <w:color w:val="auto"/>
        </w:rPr>
        <w:t>-</w:t>
      </w:r>
      <w:r>
        <w:rPr>
          <w:rFonts w:hint="eastAsia"/>
          <w:b/>
          <w:bCs/>
          <w:color w:val="auto"/>
          <w:lang w:val="en-US" w:eastAsia="zh-CN"/>
        </w:rPr>
        <w:t>3</w:t>
      </w:r>
      <w:r>
        <w:rPr>
          <w:b/>
          <w:bCs/>
          <w:color w:val="auto"/>
        </w:rPr>
        <w:t xml:space="preserve">  大气环境监测布点</w:t>
      </w:r>
    </w:p>
    <w:tbl>
      <w:tblPr>
        <w:tblStyle w:val="22"/>
        <w:tblW w:w="85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5"/>
        <w:gridCol w:w="3284"/>
        <w:gridCol w:w="38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3" w:hRule="atLeast"/>
        </w:trPr>
        <w:tc>
          <w:tcPr>
            <w:tcW w:w="1365" w:type="dxa"/>
            <w:shd w:val="clear" w:color="auto" w:fill="auto"/>
            <w:vAlign w:val="top"/>
          </w:tcPr>
          <w:p>
            <w:pPr>
              <w:pStyle w:val="23"/>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line="360" w:lineRule="auto"/>
              <w:ind w:left="0" w:leftChars="0" w:right="0" w:rightChars="0" w:firstLine="0" w:firstLineChars="0"/>
              <w:jc w:val="center"/>
              <w:textAlignment w:val="center"/>
              <w:outlineLvl w:val="9"/>
              <w:rPr>
                <w:rFonts w:hint="default"/>
                <w:color w:val="auto"/>
              </w:rPr>
            </w:pPr>
            <w:r>
              <w:rPr>
                <w:rFonts w:hint="default"/>
                <w:color w:val="auto"/>
              </w:rPr>
              <w:t>序号</w:t>
            </w:r>
          </w:p>
        </w:tc>
        <w:tc>
          <w:tcPr>
            <w:tcW w:w="3284" w:type="dxa"/>
            <w:shd w:val="clear" w:color="auto" w:fill="auto"/>
            <w:vAlign w:val="top"/>
          </w:tcPr>
          <w:p>
            <w:pPr>
              <w:pStyle w:val="23"/>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line="360" w:lineRule="auto"/>
              <w:ind w:left="0" w:leftChars="0" w:right="0" w:rightChars="0" w:firstLine="0" w:firstLineChars="0"/>
              <w:jc w:val="center"/>
              <w:textAlignment w:val="center"/>
              <w:outlineLvl w:val="9"/>
              <w:rPr>
                <w:rFonts w:hint="default"/>
                <w:color w:val="auto"/>
              </w:rPr>
            </w:pPr>
            <w:r>
              <w:rPr>
                <w:rFonts w:hint="default"/>
                <w:color w:val="auto"/>
              </w:rPr>
              <w:t>监测点位置</w:t>
            </w:r>
          </w:p>
        </w:tc>
        <w:tc>
          <w:tcPr>
            <w:tcW w:w="3871" w:type="dxa"/>
            <w:shd w:val="clear" w:color="auto" w:fill="auto"/>
            <w:vAlign w:val="top"/>
          </w:tcPr>
          <w:p>
            <w:pPr>
              <w:pStyle w:val="23"/>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line="360" w:lineRule="auto"/>
              <w:ind w:left="0" w:leftChars="0" w:right="0" w:rightChars="0" w:firstLine="0" w:firstLineChars="0"/>
              <w:jc w:val="center"/>
              <w:textAlignment w:val="center"/>
              <w:outlineLvl w:val="9"/>
              <w:rPr>
                <w:rFonts w:hint="default"/>
                <w:color w:val="auto"/>
              </w:rPr>
            </w:pPr>
            <w:r>
              <w:rPr>
                <w:rFonts w:hint="default"/>
                <w:color w:val="auto"/>
              </w:rPr>
              <w:t>监测点方位、距离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8" w:hRule="atLeast"/>
        </w:trPr>
        <w:tc>
          <w:tcPr>
            <w:tcW w:w="1365" w:type="dxa"/>
            <w:shd w:val="clear" w:color="auto" w:fill="auto"/>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line="360" w:lineRule="auto"/>
              <w:ind w:left="0" w:leftChars="0" w:right="0" w:rightChars="0" w:firstLine="0" w:firstLineChars="0"/>
              <w:jc w:val="center"/>
              <w:textAlignment w:val="center"/>
              <w:outlineLvl w:val="9"/>
              <w:rPr>
                <w:rFonts w:hint="default"/>
                <w:color w:val="auto"/>
              </w:rPr>
            </w:pPr>
            <w:r>
              <w:rPr>
                <w:rFonts w:hint="default"/>
                <w:color w:val="auto"/>
              </w:rPr>
              <w:t>G1</w:t>
            </w:r>
          </w:p>
        </w:tc>
        <w:tc>
          <w:tcPr>
            <w:tcW w:w="3284" w:type="dxa"/>
            <w:shd w:val="clear" w:color="auto" w:fill="auto"/>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line="360" w:lineRule="auto"/>
              <w:ind w:left="0" w:leftChars="0" w:right="0" w:rightChars="0" w:firstLine="0" w:firstLineChars="0"/>
              <w:jc w:val="center"/>
              <w:textAlignment w:val="center"/>
              <w:outlineLvl w:val="9"/>
              <w:rPr>
                <w:rFonts w:hint="eastAsia" w:eastAsia="宋体"/>
                <w:color w:val="auto"/>
                <w:lang w:eastAsia="zh-CN"/>
              </w:rPr>
            </w:pPr>
            <w:r>
              <w:rPr>
                <w:rFonts w:hint="eastAsia"/>
                <w:color w:val="auto"/>
                <w:lang w:eastAsia="zh-CN"/>
              </w:rPr>
              <w:t>胥家桥村居民点</w:t>
            </w:r>
          </w:p>
        </w:tc>
        <w:tc>
          <w:tcPr>
            <w:tcW w:w="3871" w:type="dxa"/>
            <w:shd w:val="clear" w:color="auto" w:fill="auto"/>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line="360" w:lineRule="auto"/>
              <w:ind w:left="0" w:leftChars="0" w:right="0" w:rightChars="0" w:firstLine="0" w:firstLineChars="0"/>
              <w:jc w:val="center"/>
              <w:textAlignment w:val="center"/>
              <w:outlineLvl w:val="9"/>
              <w:rPr>
                <w:rFonts w:hint="eastAsia" w:eastAsia="宋体"/>
                <w:color w:val="auto"/>
                <w:lang w:eastAsia="zh-CN"/>
              </w:rPr>
            </w:pPr>
            <w:r>
              <w:rPr>
                <w:rFonts w:hint="eastAsia"/>
                <w:color w:val="auto"/>
                <w:lang w:eastAsia="zh-CN"/>
              </w:rPr>
              <w:t>距离项目北面厂界</w:t>
            </w:r>
            <w:r>
              <w:rPr>
                <w:rFonts w:hint="eastAsia"/>
                <w:color w:val="auto"/>
                <w:lang w:val="en-US" w:eastAsia="zh-CN"/>
              </w:rPr>
              <w:t>500m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trPr>
        <w:tc>
          <w:tcPr>
            <w:tcW w:w="1365" w:type="dxa"/>
            <w:shd w:val="clear" w:color="auto" w:fill="auto"/>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line="360" w:lineRule="auto"/>
              <w:ind w:left="0" w:leftChars="0" w:right="0" w:rightChars="0" w:firstLine="0" w:firstLineChars="0"/>
              <w:jc w:val="center"/>
              <w:textAlignment w:val="center"/>
              <w:outlineLvl w:val="9"/>
              <w:rPr>
                <w:rFonts w:hint="default"/>
                <w:color w:val="auto"/>
              </w:rPr>
            </w:pPr>
            <w:r>
              <w:rPr>
                <w:rFonts w:hint="default"/>
                <w:color w:val="auto"/>
              </w:rPr>
              <w:t>G2</w:t>
            </w:r>
          </w:p>
        </w:tc>
        <w:tc>
          <w:tcPr>
            <w:tcW w:w="3284" w:type="dxa"/>
            <w:shd w:val="clear" w:color="auto" w:fill="auto"/>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line="360" w:lineRule="auto"/>
              <w:ind w:left="0" w:leftChars="0" w:right="0" w:rightChars="0" w:firstLine="0" w:firstLineChars="0"/>
              <w:jc w:val="center"/>
              <w:textAlignment w:val="center"/>
              <w:outlineLvl w:val="9"/>
              <w:rPr>
                <w:rFonts w:hint="eastAsia" w:eastAsia="宋体"/>
                <w:color w:val="auto"/>
                <w:lang w:eastAsia="zh-CN"/>
              </w:rPr>
            </w:pPr>
            <w:r>
              <w:rPr>
                <w:rFonts w:hint="eastAsia"/>
                <w:color w:val="auto"/>
                <w:lang w:eastAsia="zh-CN"/>
              </w:rPr>
              <w:t>花果贩村居民点</w:t>
            </w:r>
          </w:p>
        </w:tc>
        <w:tc>
          <w:tcPr>
            <w:tcW w:w="3871" w:type="dxa"/>
            <w:shd w:val="clear" w:color="auto" w:fill="auto"/>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line="360" w:lineRule="auto"/>
              <w:ind w:left="0" w:leftChars="0" w:right="0" w:rightChars="0" w:firstLine="0" w:firstLineChars="0"/>
              <w:jc w:val="center"/>
              <w:textAlignment w:val="center"/>
              <w:outlineLvl w:val="9"/>
              <w:rPr>
                <w:rFonts w:hint="eastAsia" w:eastAsia="宋体"/>
                <w:color w:val="auto"/>
                <w:lang w:eastAsia="zh-CN"/>
              </w:rPr>
            </w:pPr>
            <w:r>
              <w:rPr>
                <w:rFonts w:hint="eastAsia"/>
                <w:color w:val="auto"/>
                <w:lang w:eastAsia="zh-CN"/>
              </w:rPr>
              <w:t>距离项目南面厂界</w:t>
            </w:r>
            <w:r>
              <w:rPr>
                <w:rFonts w:hint="eastAsia"/>
                <w:color w:val="auto"/>
                <w:lang w:val="en-US" w:eastAsia="zh-CN"/>
              </w:rPr>
              <w:t>500m</w:t>
            </w:r>
          </w:p>
        </w:tc>
      </w:tr>
    </w:tbl>
    <w:p>
      <w:pPr>
        <w:numPr>
          <w:ilvl w:val="0"/>
          <w:numId w:val="9"/>
        </w:numPr>
        <w:rPr>
          <w:rFonts w:hint="eastAsia"/>
          <w:color w:val="auto"/>
          <w:sz w:val="24"/>
        </w:rPr>
      </w:pPr>
      <w:r>
        <w:rPr>
          <w:rFonts w:hint="eastAsia"/>
          <w:color w:val="auto"/>
          <w:lang w:val="en-US" w:eastAsia="zh-CN"/>
        </w:rPr>
        <w:t>检测时间：</w:t>
      </w:r>
      <w:r>
        <w:rPr>
          <w:color w:val="auto"/>
          <w:sz w:val="24"/>
        </w:rPr>
        <w:t>201</w:t>
      </w:r>
      <w:r>
        <w:rPr>
          <w:rFonts w:hint="eastAsia"/>
          <w:color w:val="auto"/>
          <w:sz w:val="24"/>
          <w:lang w:val="en-US" w:eastAsia="zh-CN"/>
        </w:rPr>
        <w:t>7</w:t>
      </w:r>
      <w:r>
        <w:rPr>
          <w:color w:val="auto"/>
          <w:sz w:val="24"/>
        </w:rPr>
        <w:t>年</w:t>
      </w:r>
      <w:r>
        <w:rPr>
          <w:rFonts w:hint="eastAsia"/>
          <w:color w:val="auto"/>
          <w:sz w:val="24"/>
          <w:lang w:val="en-US" w:eastAsia="zh-CN"/>
        </w:rPr>
        <w:t>1</w:t>
      </w:r>
      <w:r>
        <w:rPr>
          <w:color w:val="auto"/>
          <w:sz w:val="24"/>
        </w:rPr>
        <w:t>月</w:t>
      </w:r>
      <w:r>
        <w:rPr>
          <w:rFonts w:hint="eastAsia"/>
          <w:color w:val="auto"/>
          <w:sz w:val="24"/>
          <w:lang w:val="en-US" w:eastAsia="zh-CN"/>
        </w:rPr>
        <w:t>3</w:t>
      </w:r>
      <w:r>
        <w:rPr>
          <w:color w:val="auto"/>
          <w:sz w:val="24"/>
        </w:rPr>
        <w:t>日~</w:t>
      </w:r>
      <w:r>
        <w:rPr>
          <w:rFonts w:hint="eastAsia"/>
          <w:color w:val="auto"/>
          <w:sz w:val="24"/>
          <w:lang w:val="en-US" w:eastAsia="zh-CN"/>
        </w:rPr>
        <w:t>9</w:t>
      </w:r>
      <w:r>
        <w:rPr>
          <w:color w:val="auto"/>
          <w:sz w:val="24"/>
        </w:rPr>
        <w:t>日，</w:t>
      </w:r>
      <w:r>
        <w:rPr>
          <w:rFonts w:hint="eastAsia"/>
          <w:color w:val="auto"/>
          <w:sz w:val="24"/>
        </w:rPr>
        <w:t>连续监测7天</w:t>
      </w:r>
    </w:p>
    <w:p>
      <w:pPr>
        <w:numPr>
          <w:ilvl w:val="0"/>
          <w:numId w:val="9"/>
        </w:numPr>
        <w:rPr>
          <w:color w:val="auto"/>
          <w:sz w:val="24"/>
        </w:rPr>
      </w:pPr>
      <w:r>
        <w:rPr>
          <w:rFonts w:hint="eastAsia"/>
          <w:color w:val="auto"/>
          <w:sz w:val="24"/>
          <w:lang w:val="en-US" w:eastAsia="zh-CN"/>
        </w:rPr>
        <w:t>检测项目：</w:t>
      </w:r>
      <w:r>
        <w:rPr>
          <w:color w:val="auto"/>
          <w:sz w:val="24"/>
        </w:rPr>
        <w:t>SO</w:t>
      </w:r>
      <w:r>
        <w:rPr>
          <w:color w:val="auto"/>
          <w:sz w:val="24"/>
          <w:vertAlign w:val="subscript"/>
        </w:rPr>
        <w:t>2</w:t>
      </w:r>
      <w:r>
        <w:rPr>
          <w:color w:val="auto"/>
          <w:sz w:val="24"/>
        </w:rPr>
        <w:t>、NO</w:t>
      </w:r>
      <w:r>
        <w:rPr>
          <w:color w:val="auto"/>
          <w:sz w:val="24"/>
          <w:vertAlign w:val="subscript"/>
        </w:rPr>
        <w:t>2</w:t>
      </w:r>
      <w:r>
        <w:rPr>
          <w:color w:val="auto"/>
          <w:sz w:val="24"/>
        </w:rPr>
        <w:t>、PM</w:t>
      </w:r>
      <w:r>
        <w:rPr>
          <w:color w:val="auto"/>
          <w:sz w:val="24"/>
          <w:vertAlign w:val="subscript"/>
        </w:rPr>
        <w:t>10</w:t>
      </w:r>
      <w:r>
        <w:rPr>
          <w:rFonts w:hint="eastAsia"/>
          <w:color w:val="auto"/>
          <w:sz w:val="24"/>
        </w:rPr>
        <w:t xml:space="preserve"> </w:t>
      </w:r>
      <w:r>
        <w:rPr>
          <w:rFonts w:hint="default" w:ascii="Times New Roman" w:hAnsi="Times New Roman" w:cs="Times New Roman"/>
          <w:color w:val="auto"/>
          <w:sz w:val="24"/>
        </w:rPr>
        <w:t>、</w:t>
      </w:r>
      <w:r>
        <w:rPr>
          <w:rFonts w:hint="default" w:ascii="Times New Roman" w:hAnsi="Times New Roman" w:cs="Times New Roman"/>
          <w:color w:val="auto"/>
          <w:sz w:val="24"/>
          <w:szCs w:val="24"/>
          <w:vertAlign w:val="baseline"/>
          <w:lang w:val="en-US" w:eastAsia="zh-CN"/>
        </w:rPr>
        <w:t>NH</w:t>
      </w:r>
      <w:r>
        <w:rPr>
          <w:rFonts w:hint="default" w:ascii="Times New Roman" w:hAnsi="Times New Roman" w:cs="Times New Roman"/>
          <w:color w:val="auto"/>
          <w:sz w:val="24"/>
          <w:szCs w:val="24"/>
          <w:vertAlign w:val="subscript"/>
          <w:lang w:val="en-US" w:eastAsia="zh-CN"/>
        </w:rPr>
        <w:t>3</w:t>
      </w:r>
      <w:r>
        <w:rPr>
          <w:rFonts w:hint="default" w:ascii="Times New Roman" w:hAnsi="Times New Roman" w:cs="Times New Roman"/>
          <w:color w:val="auto"/>
          <w:sz w:val="24"/>
          <w:lang w:eastAsia="zh-CN"/>
        </w:rPr>
        <w:t>、</w:t>
      </w:r>
      <w:r>
        <w:rPr>
          <w:rFonts w:hint="default" w:ascii="Times New Roman" w:hAnsi="Times New Roman" w:cs="Times New Roman"/>
          <w:color w:val="auto"/>
          <w:sz w:val="24"/>
          <w:szCs w:val="24"/>
          <w:vertAlign w:val="baseline"/>
          <w:lang w:val="en-US" w:eastAsia="zh-CN"/>
        </w:rPr>
        <w:t>H</w:t>
      </w:r>
      <w:r>
        <w:rPr>
          <w:rFonts w:hint="default" w:ascii="Times New Roman" w:hAnsi="Times New Roman" w:cs="Times New Roman"/>
          <w:color w:val="auto"/>
          <w:sz w:val="24"/>
          <w:szCs w:val="24"/>
          <w:vertAlign w:val="subscript"/>
          <w:lang w:val="en-US" w:eastAsia="zh-CN"/>
        </w:rPr>
        <w:t>2</w:t>
      </w:r>
      <w:r>
        <w:rPr>
          <w:rFonts w:hint="default" w:ascii="Times New Roman" w:hAnsi="Times New Roman" w:cs="Times New Roman"/>
          <w:color w:val="auto"/>
          <w:sz w:val="24"/>
          <w:szCs w:val="24"/>
          <w:vertAlign w:val="baseline"/>
          <w:lang w:val="en-US" w:eastAsia="zh-CN"/>
        </w:rPr>
        <w:t>S</w:t>
      </w:r>
    </w:p>
    <w:p>
      <w:pPr>
        <w:numPr>
          <w:ilvl w:val="0"/>
          <w:numId w:val="9"/>
        </w:numPr>
        <w:rPr>
          <w:color w:val="auto"/>
          <w:sz w:val="24"/>
        </w:rPr>
      </w:pPr>
      <w:r>
        <w:rPr>
          <w:rFonts w:hint="eastAsia" w:ascii="Times New Roman" w:hAnsi="Times New Roman" w:cs="Times New Roman"/>
          <w:color w:val="auto"/>
          <w:sz w:val="24"/>
          <w:szCs w:val="24"/>
          <w:vertAlign w:val="baseline"/>
          <w:lang w:val="en-US" w:eastAsia="zh-CN"/>
        </w:rPr>
        <w:t>采样和检测分析方法：</w:t>
      </w:r>
      <w:r>
        <w:rPr>
          <w:color w:val="auto"/>
          <w:sz w:val="24"/>
        </w:rPr>
        <w:t>采样和分析方法按照国家环保局颁布的《环境监测技术规范》（环境空气质量手工监测技术规范HJ/T194-2005）和《空气和废气监测分析方法》（第四版）的有关要求和规定进行。</w:t>
      </w:r>
    </w:p>
    <w:p>
      <w:pPr>
        <w:numPr>
          <w:ilvl w:val="0"/>
          <w:numId w:val="9"/>
        </w:numPr>
        <w:rPr>
          <w:rFonts w:hint="default" w:ascii="Times New Roman" w:hAnsi="Times New Roman" w:cs="Times New Roman"/>
          <w:color w:val="auto"/>
          <w:sz w:val="24"/>
          <w:lang w:val="en-US" w:eastAsia="zh-CN"/>
        </w:rPr>
      </w:pPr>
      <w:r>
        <w:rPr>
          <w:color w:val="auto"/>
          <w:sz w:val="24"/>
        </w:rPr>
        <w:t>评价标准：</w:t>
      </w:r>
      <w:r>
        <w:rPr>
          <w:rFonts w:hint="eastAsia"/>
          <w:color w:val="auto"/>
          <w:sz w:val="24"/>
        </w:rPr>
        <w:t>常规因子</w:t>
      </w:r>
      <w:r>
        <w:rPr>
          <w:color w:val="auto"/>
          <w:sz w:val="24"/>
        </w:rPr>
        <w:t>执行《环境空气质量标准》（GB3095-2012）中的二级标准</w:t>
      </w:r>
      <w:r>
        <w:rPr>
          <w:rFonts w:hint="eastAsia"/>
          <w:color w:val="auto"/>
          <w:sz w:val="24"/>
          <w:lang w:eastAsia="zh-CN"/>
        </w:rPr>
        <w:t>；</w:t>
      </w:r>
      <w:r>
        <w:rPr>
          <w:rFonts w:hint="default" w:ascii="Times New Roman" w:hAnsi="Times New Roman" w:cs="Times New Roman"/>
          <w:color w:val="auto"/>
          <w:sz w:val="24"/>
          <w:szCs w:val="24"/>
          <w:vertAlign w:val="baseline"/>
          <w:lang w:val="en-US" w:eastAsia="zh-CN"/>
        </w:rPr>
        <w:t>NH</w:t>
      </w:r>
      <w:r>
        <w:rPr>
          <w:rFonts w:hint="default" w:ascii="Times New Roman" w:hAnsi="Times New Roman" w:cs="Times New Roman"/>
          <w:color w:val="auto"/>
          <w:sz w:val="24"/>
          <w:szCs w:val="24"/>
          <w:vertAlign w:val="subscript"/>
          <w:lang w:val="en-US" w:eastAsia="zh-CN"/>
        </w:rPr>
        <w:t>3</w:t>
      </w:r>
      <w:r>
        <w:rPr>
          <w:rFonts w:hint="default" w:ascii="Times New Roman" w:hAnsi="Times New Roman" w:cs="Times New Roman"/>
          <w:color w:val="auto"/>
          <w:sz w:val="24"/>
          <w:lang w:eastAsia="zh-CN"/>
        </w:rPr>
        <w:t>、</w:t>
      </w:r>
      <w:r>
        <w:rPr>
          <w:rFonts w:hint="default" w:ascii="Times New Roman" w:hAnsi="Times New Roman" w:cs="Times New Roman"/>
          <w:color w:val="auto"/>
          <w:sz w:val="24"/>
          <w:szCs w:val="24"/>
          <w:vertAlign w:val="baseline"/>
          <w:lang w:val="en-US" w:eastAsia="zh-CN"/>
        </w:rPr>
        <w:t>H</w:t>
      </w:r>
      <w:r>
        <w:rPr>
          <w:rFonts w:hint="default" w:ascii="Times New Roman" w:hAnsi="Times New Roman" w:cs="Times New Roman"/>
          <w:color w:val="auto"/>
          <w:sz w:val="24"/>
          <w:szCs w:val="24"/>
          <w:vertAlign w:val="subscript"/>
          <w:lang w:val="en-US" w:eastAsia="zh-CN"/>
        </w:rPr>
        <w:t>2</w:t>
      </w:r>
      <w:r>
        <w:rPr>
          <w:rFonts w:hint="default" w:ascii="Times New Roman" w:hAnsi="Times New Roman" w:cs="Times New Roman"/>
          <w:color w:val="auto"/>
          <w:sz w:val="24"/>
          <w:szCs w:val="24"/>
          <w:vertAlign w:val="baseline"/>
          <w:lang w:val="en-US" w:eastAsia="zh-CN"/>
        </w:rPr>
        <w:t>S</w:t>
      </w:r>
      <w:r>
        <w:rPr>
          <w:rFonts w:hint="eastAsia" w:cs="Times New Roman"/>
          <w:color w:val="auto"/>
          <w:sz w:val="24"/>
          <w:szCs w:val="24"/>
          <w:vertAlign w:val="baseline"/>
          <w:lang w:val="en-US" w:eastAsia="zh-CN"/>
        </w:rPr>
        <w:t>执行《工业企业设计卫生标准》（TJ36-79）中表1居住区大气中有害物质的最高容许浓度。</w:t>
      </w:r>
    </w:p>
    <w:p>
      <w:pPr>
        <w:numPr>
          <w:ilvl w:val="0"/>
          <w:numId w:val="9"/>
        </w:numPr>
        <w:rPr>
          <w:rFonts w:hint="default" w:ascii="Times New Roman" w:hAnsi="Times New Roman" w:cs="Times New Roman"/>
          <w:color w:val="auto"/>
          <w:sz w:val="24"/>
          <w:lang w:val="en-US" w:eastAsia="zh-CN"/>
        </w:rPr>
      </w:pPr>
      <w:r>
        <w:rPr>
          <w:rFonts w:hint="eastAsia" w:cs="Times New Roman"/>
          <w:color w:val="auto"/>
          <w:sz w:val="24"/>
          <w:szCs w:val="24"/>
          <w:vertAlign w:val="baseline"/>
          <w:lang w:val="en-US" w:eastAsia="zh-CN"/>
        </w:rPr>
        <w:t>检测及评价结果见表6-4。</w:t>
      </w:r>
    </w:p>
    <w:p>
      <w:pPr>
        <w:pStyle w:val="23"/>
        <w:rPr>
          <w:rFonts w:hint="eastAsia"/>
          <w:b/>
          <w:bCs/>
          <w:color w:val="auto"/>
          <w:lang w:val="en-US" w:eastAsia="zh-CN"/>
        </w:rPr>
      </w:pPr>
      <w:r>
        <w:rPr>
          <w:rFonts w:hint="eastAsia"/>
          <w:b/>
          <w:bCs/>
          <w:color w:val="auto"/>
          <w:lang w:val="en-US" w:eastAsia="zh-CN"/>
        </w:rPr>
        <w:t>表6-4  环境空气质量现状检测结果一览表</w:t>
      </w:r>
    </w:p>
    <w:tbl>
      <w:tblPr>
        <w:tblStyle w:val="19"/>
        <w:tblW w:w="85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0"/>
        <w:gridCol w:w="1095"/>
        <w:gridCol w:w="1917"/>
        <w:gridCol w:w="1156"/>
        <w:gridCol w:w="1156"/>
        <w:gridCol w:w="25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6" w:hRule="atLeast"/>
          <w:jc w:val="center"/>
        </w:trPr>
        <w:tc>
          <w:tcPr>
            <w:tcW w:w="1765" w:type="dxa"/>
            <w:gridSpan w:val="2"/>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监测点</w:t>
            </w:r>
          </w:p>
        </w:tc>
        <w:tc>
          <w:tcPr>
            <w:tcW w:w="191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监测值范围</w:t>
            </w:r>
          </w:p>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w:t>
            </w:r>
            <w:r>
              <w:rPr>
                <w:rFonts w:hint="eastAsia"/>
                <w:color w:val="auto"/>
                <w:lang w:val="en-US" w:eastAsia="zh-CN"/>
              </w:rPr>
              <w:t>m</w:t>
            </w:r>
            <w:r>
              <w:rPr>
                <w:rFonts w:hint="default"/>
                <w:color w:val="auto"/>
              </w:rPr>
              <w:t>g/m</w:t>
            </w:r>
            <w:r>
              <w:rPr>
                <w:rFonts w:hint="default"/>
                <w:color w:val="auto"/>
                <w:vertAlign w:val="superscript"/>
              </w:rPr>
              <w:t>3</w:t>
            </w:r>
            <w:r>
              <w:rPr>
                <w:rFonts w:hint="default"/>
                <w:color w:val="auto"/>
              </w:rPr>
              <w:t>)</w:t>
            </w:r>
          </w:p>
        </w:tc>
        <w:tc>
          <w:tcPr>
            <w:tcW w:w="1156"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最大超</w:t>
            </w:r>
          </w:p>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标倍数</w:t>
            </w:r>
          </w:p>
        </w:tc>
        <w:tc>
          <w:tcPr>
            <w:tcW w:w="1156" w:type="dxa"/>
            <w:vAlign w:val="center"/>
          </w:tcPr>
          <w:p>
            <w:pPr>
              <w:pStyle w:val="23"/>
              <w:keepNext w:val="0"/>
              <w:keepLines w:val="0"/>
              <w:suppressLineNumbers w:val="0"/>
              <w:spacing w:before="0" w:beforeAutospacing="0" w:after="0" w:afterAutospacing="0" w:line="240" w:lineRule="auto"/>
              <w:ind w:left="0" w:right="0"/>
              <w:rPr>
                <w:rFonts w:hint="eastAsia"/>
                <w:color w:val="auto"/>
              </w:rPr>
            </w:pPr>
            <w:r>
              <w:rPr>
                <w:rFonts w:hint="default"/>
                <w:color w:val="auto"/>
              </w:rPr>
              <w:t>超标率</w:t>
            </w:r>
          </w:p>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w:t>
            </w:r>
          </w:p>
        </w:tc>
        <w:tc>
          <w:tcPr>
            <w:tcW w:w="2526"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（GB3095-2012）中二级标准标(</w:t>
            </w:r>
            <w:r>
              <w:rPr>
                <w:rFonts w:hint="eastAsia"/>
                <w:color w:val="auto"/>
              </w:rPr>
              <w:t>u</w:t>
            </w:r>
            <w:r>
              <w:rPr>
                <w:rFonts w:hint="default"/>
                <w:color w:val="auto"/>
              </w:rPr>
              <w:t>g/m</w:t>
            </w:r>
            <w:r>
              <w:rPr>
                <w:rFonts w:hint="default"/>
                <w:color w:val="auto"/>
                <w:vertAlign w:val="superscript"/>
              </w:rPr>
              <w:t>3</w:t>
            </w:r>
            <w:r>
              <w:rPr>
                <w:rFonts w:hint="default"/>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670" w:type="dxa"/>
            <w:vMerge w:val="restart"/>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rPr>
              <w:t>G1</w:t>
            </w:r>
          </w:p>
        </w:tc>
        <w:tc>
          <w:tcPr>
            <w:tcW w:w="1095"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PM</w:t>
            </w:r>
            <w:r>
              <w:rPr>
                <w:rFonts w:hint="default"/>
                <w:color w:val="auto"/>
                <w:vertAlign w:val="subscript"/>
              </w:rPr>
              <w:t>10</w:t>
            </w:r>
          </w:p>
        </w:tc>
        <w:tc>
          <w:tcPr>
            <w:tcW w:w="1917"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0.06</w:t>
            </w:r>
            <w:r>
              <w:rPr>
                <w:rFonts w:hint="default"/>
                <w:color w:val="auto"/>
              </w:rPr>
              <w:t>～</w:t>
            </w:r>
            <w:r>
              <w:rPr>
                <w:rFonts w:hint="eastAsia"/>
                <w:color w:val="auto"/>
                <w:lang w:val="en-US" w:eastAsia="zh-CN"/>
              </w:rPr>
              <w:t>0.13</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252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w:t>
            </w:r>
            <w:r>
              <w:rPr>
                <w:rFonts w:hint="eastAsia"/>
                <w:color w:val="auto"/>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0" w:hRule="atLeast"/>
          <w:jc w:val="center"/>
        </w:trPr>
        <w:tc>
          <w:tcPr>
            <w:tcW w:w="670" w:type="dxa"/>
            <w:vMerge w:val="continue"/>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p>
        </w:tc>
        <w:tc>
          <w:tcPr>
            <w:tcW w:w="1095"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SO</w:t>
            </w:r>
            <w:r>
              <w:rPr>
                <w:rFonts w:hint="default"/>
                <w:color w:val="auto"/>
                <w:vertAlign w:val="subscript"/>
              </w:rPr>
              <w:t>2</w:t>
            </w:r>
          </w:p>
        </w:tc>
        <w:tc>
          <w:tcPr>
            <w:tcW w:w="1917"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0.007ND</w:t>
            </w:r>
            <w:r>
              <w:rPr>
                <w:rFonts w:hint="default"/>
                <w:color w:val="auto"/>
                <w:lang w:val="en-US" w:eastAsia="zh-CN"/>
              </w:rPr>
              <w:t>～</w:t>
            </w:r>
            <w:r>
              <w:rPr>
                <w:rFonts w:hint="eastAsia"/>
                <w:color w:val="auto"/>
                <w:lang w:val="en-US" w:eastAsia="zh-CN"/>
              </w:rPr>
              <w:t>0.011</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252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w:t>
            </w:r>
            <w:r>
              <w:rPr>
                <w:rFonts w:hint="eastAsia"/>
                <w:color w:val="auto"/>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670" w:type="dxa"/>
            <w:vMerge w:val="continue"/>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p>
        </w:tc>
        <w:tc>
          <w:tcPr>
            <w:tcW w:w="1095"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NO</w:t>
            </w:r>
            <w:r>
              <w:rPr>
                <w:rFonts w:hint="default"/>
                <w:color w:val="auto"/>
                <w:vertAlign w:val="subscript"/>
              </w:rPr>
              <w:t>2</w:t>
            </w:r>
          </w:p>
        </w:tc>
        <w:tc>
          <w:tcPr>
            <w:tcW w:w="1917"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vertAlign w:val="baseline"/>
                <w:lang w:val="en-US" w:eastAsia="zh-CN"/>
              </w:rPr>
              <w:t>0.005ND</w:t>
            </w:r>
            <w:r>
              <w:rPr>
                <w:rFonts w:hint="default"/>
                <w:color w:val="auto"/>
              </w:rPr>
              <w:t>～</w:t>
            </w:r>
            <w:r>
              <w:rPr>
                <w:rFonts w:hint="eastAsia"/>
                <w:color w:val="auto"/>
                <w:lang w:val="en-US" w:eastAsia="zh-CN"/>
              </w:rPr>
              <w:t>0.063</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252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670" w:type="dxa"/>
            <w:vMerge w:val="continue"/>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p>
        </w:tc>
        <w:tc>
          <w:tcPr>
            <w:tcW w:w="1095"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sz w:val="21"/>
                <w:szCs w:val="21"/>
              </w:rPr>
            </w:pPr>
            <w:r>
              <w:rPr>
                <w:rFonts w:hint="default" w:ascii="Times New Roman" w:hAnsi="Times New Roman" w:cs="Times New Roman"/>
                <w:color w:val="auto"/>
                <w:sz w:val="21"/>
                <w:szCs w:val="21"/>
                <w:vertAlign w:val="baseline"/>
                <w:lang w:val="en-US" w:eastAsia="zh-CN"/>
              </w:rPr>
              <w:t>NH</w:t>
            </w:r>
            <w:r>
              <w:rPr>
                <w:rFonts w:hint="default" w:ascii="Times New Roman" w:hAnsi="Times New Roman" w:cs="Times New Roman"/>
                <w:color w:val="auto"/>
                <w:sz w:val="21"/>
                <w:szCs w:val="21"/>
                <w:vertAlign w:val="subscript"/>
                <w:lang w:val="en-US" w:eastAsia="zh-CN"/>
              </w:rPr>
              <w:t>3</w:t>
            </w:r>
          </w:p>
        </w:tc>
        <w:tc>
          <w:tcPr>
            <w:tcW w:w="1917"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0.06</w:t>
            </w:r>
            <w:r>
              <w:rPr>
                <w:rFonts w:hint="default"/>
                <w:color w:val="auto"/>
              </w:rPr>
              <w:t>～</w:t>
            </w:r>
            <w:r>
              <w:rPr>
                <w:rFonts w:hint="eastAsia"/>
                <w:color w:val="auto"/>
                <w:lang w:val="en-US" w:eastAsia="zh-CN"/>
              </w:rPr>
              <w:t>0.16</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rPr>
              <w:t>0</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rPr>
              <w:t>0</w:t>
            </w:r>
          </w:p>
        </w:tc>
        <w:tc>
          <w:tcPr>
            <w:tcW w:w="252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eastAsia="宋体"/>
                <w:color w:val="auto"/>
                <w:lang w:eastAsia="zh-CN"/>
              </w:rPr>
            </w:pPr>
            <w:r>
              <w:rPr>
                <w:rFonts w:hint="eastAsia"/>
                <w:color w:val="auto"/>
                <w:lang w:val="en-US"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670" w:type="dxa"/>
            <w:vMerge w:val="continue"/>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p>
        </w:tc>
        <w:tc>
          <w:tcPr>
            <w:tcW w:w="1095"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sz w:val="21"/>
                <w:szCs w:val="21"/>
              </w:rPr>
            </w:pPr>
            <w:r>
              <w:rPr>
                <w:rFonts w:hint="default" w:ascii="Times New Roman" w:hAnsi="Times New Roman" w:cs="Times New Roman"/>
                <w:color w:val="auto"/>
                <w:sz w:val="21"/>
                <w:szCs w:val="21"/>
                <w:vertAlign w:val="baseline"/>
                <w:lang w:val="en-US" w:eastAsia="zh-CN"/>
              </w:rPr>
              <w:t>H</w:t>
            </w:r>
            <w:r>
              <w:rPr>
                <w:rFonts w:hint="default" w:ascii="Times New Roman" w:hAnsi="Times New Roman" w:cs="Times New Roman"/>
                <w:color w:val="auto"/>
                <w:sz w:val="21"/>
                <w:szCs w:val="21"/>
                <w:vertAlign w:val="subscript"/>
                <w:lang w:val="en-US" w:eastAsia="zh-CN"/>
              </w:rPr>
              <w:t>2</w:t>
            </w:r>
            <w:r>
              <w:rPr>
                <w:rFonts w:hint="default" w:ascii="Times New Roman" w:hAnsi="Times New Roman" w:cs="Times New Roman"/>
                <w:color w:val="auto"/>
                <w:sz w:val="21"/>
                <w:szCs w:val="21"/>
                <w:vertAlign w:val="baseline"/>
                <w:lang w:val="en-US" w:eastAsia="zh-CN"/>
              </w:rPr>
              <w:t>S</w:t>
            </w:r>
          </w:p>
        </w:tc>
        <w:tc>
          <w:tcPr>
            <w:tcW w:w="1917"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vertAlign w:val="baseline"/>
                <w:lang w:val="en-US" w:eastAsia="zh-CN"/>
              </w:rPr>
              <w:t>0.001ND</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rPr>
              <w:t>0</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rPr>
              <w:t>0</w:t>
            </w:r>
          </w:p>
        </w:tc>
        <w:tc>
          <w:tcPr>
            <w:tcW w:w="252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eastAsia="宋体"/>
                <w:color w:val="auto"/>
                <w:lang w:eastAsia="zh-CN"/>
              </w:rPr>
            </w:pPr>
            <w:r>
              <w:rPr>
                <w:rFonts w:hint="eastAsia"/>
                <w:color w:val="auto"/>
                <w:lang w:val="en-US" w:eastAsia="zh-CN"/>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670" w:type="dxa"/>
            <w:vMerge w:val="restart"/>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eastAsia"/>
                <w:color w:val="auto"/>
              </w:rPr>
              <w:t>G2</w:t>
            </w:r>
          </w:p>
        </w:tc>
        <w:tc>
          <w:tcPr>
            <w:tcW w:w="1095" w:type="dxa"/>
            <w:textDirection w:val="lrTb"/>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PM</w:t>
            </w:r>
            <w:r>
              <w:rPr>
                <w:rFonts w:hint="default"/>
                <w:color w:val="auto"/>
                <w:vertAlign w:val="subscript"/>
              </w:rPr>
              <w:t>10</w:t>
            </w:r>
          </w:p>
        </w:tc>
        <w:tc>
          <w:tcPr>
            <w:tcW w:w="1917"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0.08</w:t>
            </w:r>
            <w:r>
              <w:rPr>
                <w:rFonts w:hint="default"/>
                <w:color w:val="auto"/>
              </w:rPr>
              <w:t>～</w:t>
            </w:r>
            <w:r>
              <w:rPr>
                <w:rFonts w:hint="eastAsia"/>
                <w:color w:val="auto"/>
                <w:lang w:val="en-US" w:eastAsia="zh-CN"/>
              </w:rPr>
              <w:t>0.14</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2526" w:type="dxa"/>
            <w:textDirection w:val="lrTb"/>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w:t>
            </w:r>
            <w:r>
              <w:rPr>
                <w:rFonts w:hint="eastAsia"/>
                <w:color w:val="auto"/>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670" w:type="dxa"/>
            <w:vMerge w:val="continue"/>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p>
        </w:tc>
        <w:tc>
          <w:tcPr>
            <w:tcW w:w="1095" w:type="dxa"/>
            <w:textDirection w:val="lrTb"/>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SO</w:t>
            </w:r>
            <w:r>
              <w:rPr>
                <w:rFonts w:hint="default"/>
                <w:color w:val="auto"/>
                <w:vertAlign w:val="subscript"/>
              </w:rPr>
              <w:t>2</w:t>
            </w:r>
          </w:p>
        </w:tc>
        <w:tc>
          <w:tcPr>
            <w:tcW w:w="1917"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0.009</w:t>
            </w:r>
            <w:r>
              <w:rPr>
                <w:rFonts w:hint="default"/>
                <w:color w:val="auto"/>
              </w:rPr>
              <w:t>～</w:t>
            </w:r>
            <w:r>
              <w:rPr>
                <w:rFonts w:hint="eastAsia"/>
                <w:color w:val="auto"/>
                <w:lang w:val="en-US" w:eastAsia="zh-CN"/>
              </w:rPr>
              <w:t>0.047</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2526" w:type="dxa"/>
            <w:textDirection w:val="lrTb"/>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w:t>
            </w:r>
            <w:r>
              <w:rPr>
                <w:rFonts w:hint="eastAsia"/>
                <w:color w:val="auto"/>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670" w:type="dxa"/>
            <w:vMerge w:val="continue"/>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p>
        </w:tc>
        <w:tc>
          <w:tcPr>
            <w:tcW w:w="1095" w:type="dxa"/>
            <w:textDirection w:val="lrTb"/>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NO</w:t>
            </w:r>
            <w:r>
              <w:rPr>
                <w:rFonts w:hint="default"/>
                <w:color w:val="auto"/>
                <w:vertAlign w:val="subscript"/>
              </w:rPr>
              <w:t>2</w:t>
            </w:r>
          </w:p>
        </w:tc>
        <w:tc>
          <w:tcPr>
            <w:tcW w:w="1917"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0.008</w:t>
            </w:r>
            <w:r>
              <w:rPr>
                <w:rFonts w:hint="default"/>
                <w:color w:val="auto"/>
              </w:rPr>
              <w:t>～</w:t>
            </w:r>
            <w:r>
              <w:rPr>
                <w:rFonts w:hint="eastAsia"/>
                <w:color w:val="auto"/>
                <w:lang w:val="en-US" w:eastAsia="zh-CN"/>
              </w:rPr>
              <w:t>0.044</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r>
              <w:rPr>
                <w:rFonts w:hint="default"/>
                <w:color w:val="auto"/>
              </w:rPr>
              <w:t>0</w:t>
            </w:r>
          </w:p>
        </w:tc>
        <w:tc>
          <w:tcPr>
            <w:tcW w:w="2526" w:type="dxa"/>
            <w:textDirection w:val="lrTb"/>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jc w:val="center"/>
        </w:trPr>
        <w:tc>
          <w:tcPr>
            <w:tcW w:w="670" w:type="dxa"/>
            <w:vMerge w:val="continue"/>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p>
        </w:tc>
        <w:tc>
          <w:tcPr>
            <w:tcW w:w="1095" w:type="dxa"/>
            <w:textDirection w:val="lrTb"/>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default" w:ascii="Times New Roman" w:hAnsi="Times New Roman" w:cs="Times New Roman"/>
                <w:color w:val="auto"/>
                <w:sz w:val="21"/>
                <w:szCs w:val="21"/>
                <w:vertAlign w:val="baseline"/>
                <w:lang w:val="en-US" w:eastAsia="zh-CN"/>
              </w:rPr>
              <w:t>NH</w:t>
            </w:r>
            <w:r>
              <w:rPr>
                <w:rFonts w:hint="default" w:ascii="Times New Roman" w:hAnsi="Times New Roman" w:cs="Times New Roman"/>
                <w:color w:val="auto"/>
                <w:sz w:val="21"/>
                <w:szCs w:val="21"/>
                <w:vertAlign w:val="subscript"/>
                <w:lang w:val="en-US" w:eastAsia="zh-CN"/>
              </w:rPr>
              <w:t>3</w:t>
            </w:r>
          </w:p>
        </w:tc>
        <w:tc>
          <w:tcPr>
            <w:tcW w:w="1917"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0.04</w:t>
            </w:r>
            <w:r>
              <w:rPr>
                <w:rFonts w:hint="default"/>
                <w:color w:val="auto"/>
              </w:rPr>
              <w:t>～</w:t>
            </w:r>
            <w:r>
              <w:rPr>
                <w:rFonts w:hint="eastAsia"/>
                <w:color w:val="auto"/>
                <w:lang w:val="en-US" w:eastAsia="zh-CN"/>
              </w:rPr>
              <w:t>0.18</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rPr>
              <w:t>0</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rPr>
              <w:t>0</w:t>
            </w:r>
          </w:p>
        </w:tc>
        <w:tc>
          <w:tcPr>
            <w:tcW w:w="2526" w:type="dxa"/>
            <w:textDirection w:val="lrTb"/>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6" w:hRule="atLeast"/>
          <w:jc w:val="center"/>
        </w:trPr>
        <w:tc>
          <w:tcPr>
            <w:tcW w:w="670" w:type="dxa"/>
            <w:vMerge w:val="continue"/>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default"/>
                <w:color w:val="auto"/>
              </w:rPr>
            </w:pPr>
          </w:p>
        </w:tc>
        <w:tc>
          <w:tcPr>
            <w:tcW w:w="1095" w:type="dxa"/>
            <w:textDirection w:val="lrTb"/>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default" w:ascii="Times New Roman" w:hAnsi="Times New Roman" w:cs="Times New Roman"/>
                <w:color w:val="auto"/>
                <w:sz w:val="21"/>
                <w:szCs w:val="21"/>
                <w:vertAlign w:val="baseline"/>
                <w:lang w:val="en-US" w:eastAsia="zh-CN"/>
              </w:rPr>
              <w:t>H</w:t>
            </w:r>
            <w:r>
              <w:rPr>
                <w:rFonts w:hint="default" w:ascii="Times New Roman" w:hAnsi="Times New Roman" w:cs="Times New Roman"/>
                <w:color w:val="auto"/>
                <w:sz w:val="21"/>
                <w:szCs w:val="21"/>
                <w:vertAlign w:val="subscript"/>
                <w:lang w:val="en-US" w:eastAsia="zh-CN"/>
              </w:rPr>
              <w:t>2</w:t>
            </w:r>
            <w:r>
              <w:rPr>
                <w:rFonts w:hint="default" w:ascii="Times New Roman" w:hAnsi="Times New Roman" w:cs="Times New Roman"/>
                <w:color w:val="auto"/>
                <w:sz w:val="21"/>
                <w:szCs w:val="21"/>
                <w:vertAlign w:val="baseline"/>
                <w:lang w:val="en-US" w:eastAsia="zh-CN"/>
              </w:rPr>
              <w:t>S</w:t>
            </w:r>
          </w:p>
        </w:tc>
        <w:tc>
          <w:tcPr>
            <w:tcW w:w="1917"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vertAlign w:val="baseline"/>
                <w:lang w:val="en-US" w:eastAsia="zh-CN"/>
              </w:rPr>
              <w:t>0.001ND</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rPr>
              <w:t>0</w:t>
            </w:r>
          </w:p>
        </w:tc>
        <w:tc>
          <w:tcPr>
            <w:tcW w:w="1156" w:type="dxa"/>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rPr>
              <w:t>0</w:t>
            </w:r>
          </w:p>
        </w:tc>
        <w:tc>
          <w:tcPr>
            <w:tcW w:w="2526" w:type="dxa"/>
            <w:textDirection w:val="lrTb"/>
            <w:vAlign w:val="center"/>
          </w:tcPr>
          <w:p>
            <w:pPr>
              <w:pStyle w:val="23"/>
              <w:keepNext w:val="0"/>
              <w:keepLines w:val="0"/>
              <w:pageBreakBefore w:val="0"/>
              <w:widowControl w:val="0"/>
              <w:suppressLineNumbers w:val="0"/>
              <w:kinsoku/>
              <w:wordWrap/>
              <w:overflowPunct/>
              <w:topLinePunct w:val="0"/>
              <w:autoSpaceDE/>
              <w:autoSpaceDN/>
              <w:bidi w:val="0"/>
              <w:adjustRightInd/>
              <w:snapToGrid/>
              <w:spacing w:before="80" w:beforeAutospacing="0" w:after="0" w:afterAutospacing="0" w:line="240" w:lineRule="auto"/>
              <w:ind w:left="0" w:leftChars="0" w:right="0" w:rightChars="0" w:firstLine="0" w:firstLineChars="0"/>
              <w:jc w:val="center"/>
              <w:textAlignment w:val="auto"/>
              <w:outlineLvl w:val="9"/>
              <w:rPr>
                <w:rFonts w:hint="eastAsia"/>
                <w:color w:val="auto"/>
              </w:rPr>
            </w:pPr>
            <w:r>
              <w:rPr>
                <w:rFonts w:hint="eastAsia"/>
                <w:color w:val="auto"/>
                <w:lang w:val="en-US" w:eastAsia="zh-CN"/>
              </w:rPr>
              <w:t>0.01</w:t>
            </w:r>
          </w:p>
        </w:tc>
      </w:tr>
    </w:tbl>
    <w:p>
      <w:pPr>
        <w:rPr>
          <w:rFonts w:hint="eastAsia"/>
          <w:color w:val="auto"/>
          <w:sz w:val="24"/>
          <w:lang w:val="en-US" w:eastAsia="zh-CN"/>
        </w:rPr>
      </w:pPr>
      <w:r>
        <w:rPr>
          <w:rFonts w:hint="eastAsia"/>
          <w:color w:val="auto"/>
          <w:lang w:val="en-US" w:eastAsia="zh-CN"/>
        </w:rPr>
        <w:t>由上表可知，</w:t>
      </w:r>
      <w:r>
        <w:rPr>
          <w:rFonts w:hint="eastAsia"/>
          <w:color w:val="auto"/>
          <w:sz w:val="24"/>
        </w:rPr>
        <w:t>所在区</w:t>
      </w:r>
      <w:r>
        <w:rPr>
          <w:color w:val="auto"/>
          <w:sz w:val="24"/>
        </w:rPr>
        <w:t>域PM</w:t>
      </w:r>
      <w:r>
        <w:rPr>
          <w:color w:val="auto"/>
          <w:sz w:val="24"/>
          <w:vertAlign w:val="subscript"/>
        </w:rPr>
        <w:t>10</w:t>
      </w:r>
      <w:r>
        <w:rPr>
          <w:rFonts w:hint="eastAsia"/>
          <w:color w:val="auto"/>
          <w:sz w:val="24"/>
        </w:rPr>
        <w:t>、</w:t>
      </w:r>
      <w:r>
        <w:rPr>
          <w:color w:val="auto"/>
          <w:sz w:val="24"/>
        </w:rPr>
        <w:t>SO</w:t>
      </w:r>
      <w:r>
        <w:rPr>
          <w:color w:val="auto"/>
          <w:sz w:val="24"/>
          <w:vertAlign w:val="subscript"/>
        </w:rPr>
        <w:t>2</w:t>
      </w:r>
      <w:r>
        <w:rPr>
          <w:rFonts w:hint="eastAsia"/>
          <w:color w:val="auto"/>
          <w:sz w:val="24"/>
        </w:rPr>
        <w:t>、</w:t>
      </w:r>
      <w:r>
        <w:rPr>
          <w:color w:val="auto"/>
          <w:sz w:val="24"/>
        </w:rPr>
        <w:t xml:space="preserve"> NO</w:t>
      </w:r>
      <w:r>
        <w:rPr>
          <w:color w:val="auto"/>
          <w:sz w:val="24"/>
          <w:vertAlign w:val="subscript"/>
        </w:rPr>
        <w:t>2</w:t>
      </w:r>
      <w:r>
        <w:rPr>
          <w:rFonts w:hint="eastAsia"/>
          <w:color w:val="auto"/>
          <w:sz w:val="24"/>
        </w:rPr>
        <w:t>和TSP</w:t>
      </w:r>
      <w:r>
        <w:rPr>
          <w:color w:val="auto"/>
          <w:sz w:val="24"/>
        </w:rPr>
        <w:t>日均浓度均</w:t>
      </w:r>
      <w:r>
        <w:rPr>
          <w:rFonts w:hint="eastAsia"/>
          <w:color w:val="auto"/>
          <w:sz w:val="24"/>
        </w:rPr>
        <w:t>满足</w:t>
      </w:r>
      <w:r>
        <w:rPr>
          <w:color w:val="auto"/>
          <w:sz w:val="24"/>
        </w:rPr>
        <w:t>《环境空气质量标准》(GB3095-2012)中二级标准要求；</w:t>
      </w:r>
      <w:r>
        <w:rPr>
          <w:rFonts w:hint="default" w:ascii="Times New Roman" w:hAnsi="Times New Roman" w:cs="Times New Roman"/>
          <w:color w:val="auto"/>
          <w:sz w:val="24"/>
          <w:szCs w:val="24"/>
          <w:vertAlign w:val="baseline"/>
          <w:lang w:val="en-US" w:eastAsia="zh-CN"/>
        </w:rPr>
        <w:t>NH</w:t>
      </w:r>
      <w:r>
        <w:rPr>
          <w:rFonts w:hint="default" w:ascii="Times New Roman" w:hAnsi="Times New Roman" w:cs="Times New Roman"/>
          <w:color w:val="auto"/>
          <w:sz w:val="24"/>
          <w:szCs w:val="24"/>
          <w:vertAlign w:val="subscript"/>
          <w:lang w:val="en-US" w:eastAsia="zh-CN"/>
        </w:rPr>
        <w:t>3</w:t>
      </w:r>
      <w:r>
        <w:rPr>
          <w:rFonts w:hint="default" w:ascii="Times New Roman" w:hAnsi="Times New Roman" w:cs="Times New Roman"/>
          <w:color w:val="auto"/>
          <w:sz w:val="24"/>
          <w:lang w:eastAsia="zh-CN"/>
        </w:rPr>
        <w:t>、</w:t>
      </w:r>
      <w:r>
        <w:rPr>
          <w:rFonts w:hint="default" w:ascii="Times New Roman" w:hAnsi="Times New Roman" w:cs="Times New Roman"/>
          <w:color w:val="auto"/>
          <w:sz w:val="24"/>
          <w:szCs w:val="24"/>
          <w:vertAlign w:val="baseline"/>
          <w:lang w:val="en-US" w:eastAsia="zh-CN"/>
        </w:rPr>
        <w:t>H</w:t>
      </w:r>
      <w:r>
        <w:rPr>
          <w:rFonts w:hint="default" w:ascii="Times New Roman" w:hAnsi="Times New Roman" w:cs="Times New Roman"/>
          <w:color w:val="auto"/>
          <w:sz w:val="24"/>
          <w:szCs w:val="24"/>
          <w:vertAlign w:val="subscript"/>
          <w:lang w:val="en-US" w:eastAsia="zh-CN"/>
        </w:rPr>
        <w:t>2</w:t>
      </w:r>
      <w:r>
        <w:rPr>
          <w:rFonts w:hint="default" w:ascii="Times New Roman" w:hAnsi="Times New Roman" w:cs="Times New Roman"/>
          <w:color w:val="auto"/>
          <w:sz w:val="24"/>
          <w:szCs w:val="24"/>
          <w:vertAlign w:val="baseline"/>
          <w:lang w:val="en-US" w:eastAsia="zh-CN"/>
        </w:rPr>
        <w:t>S</w:t>
      </w:r>
      <w:r>
        <w:rPr>
          <w:rFonts w:hint="eastAsia" w:cs="Times New Roman"/>
          <w:color w:val="auto"/>
          <w:sz w:val="24"/>
          <w:szCs w:val="24"/>
          <w:vertAlign w:val="baseline"/>
          <w:lang w:val="en-US" w:eastAsia="zh-CN"/>
        </w:rPr>
        <w:t>执行《工业企业设计卫生标准》（TJ36-79）中表1居住区大气中有害物质的最高容许浓度</w:t>
      </w:r>
      <w:r>
        <w:rPr>
          <w:rFonts w:hint="eastAsia"/>
          <w:color w:val="auto"/>
          <w:sz w:val="24"/>
        </w:rPr>
        <w:t>，项目所在区域环境空气质量较好。</w:t>
      </w:r>
    </w:p>
    <w:p>
      <w:pPr>
        <w:pStyle w:val="4"/>
        <w:rPr>
          <w:rFonts w:hint="eastAsia"/>
          <w:color w:val="auto"/>
          <w:lang w:val="en-US" w:eastAsia="zh-CN"/>
        </w:rPr>
      </w:pPr>
      <w:r>
        <w:rPr>
          <w:rFonts w:hint="eastAsia"/>
          <w:color w:val="auto"/>
          <w:lang w:val="en-US" w:eastAsia="zh-CN"/>
        </w:rPr>
        <w:t>6.2.2地表水环境质量现状调查与评价</w:t>
      </w:r>
    </w:p>
    <w:p>
      <w:pPr>
        <w:rPr>
          <w:rFonts w:hint="eastAsia"/>
          <w:color w:val="auto"/>
          <w:lang w:eastAsia="zh-CN"/>
        </w:rPr>
      </w:pPr>
      <w:r>
        <w:rPr>
          <w:rFonts w:hint="eastAsia"/>
          <w:color w:val="auto"/>
          <w:lang w:val="en-US" w:eastAsia="zh-CN"/>
        </w:rPr>
        <w:t>本项目废水经场内污水处理站处理后，通过自建污水管道排入芭蕉湖。</w:t>
      </w:r>
      <w:r>
        <w:rPr>
          <w:color w:val="auto"/>
        </w:rPr>
        <w:t>根据</w:t>
      </w:r>
      <w:r>
        <w:rPr>
          <w:rFonts w:hint="eastAsia"/>
          <w:color w:val="auto"/>
          <w:lang w:eastAsia="zh-CN"/>
        </w:rPr>
        <w:t>《岳阳市水环境功能区管理规定》和《岳阳市水环境功能区划分》</w:t>
      </w:r>
      <w:r>
        <w:rPr>
          <w:color w:val="auto"/>
        </w:rPr>
        <w:t>：</w:t>
      </w:r>
      <w:r>
        <w:rPr>
          <w:rFonts w:hint="eastAsia"/>
          <w:color w:val="auto"/>
          <w:lang w:eastAsia="zh-CN"/>
        </w:rPr>
        <w:t>芭蕉湖</w:t>
      </w:r>
      <w:r>
        <w:rPr>
          <w:color w:val="auto"/>
        </w:rPr>
        <w:t>水域功能区类型为</w:t>
      </w:r>
      <w:r>
        <w:rPr>
          <w:rFonts w:hint="eastAsia"/>
          <w:color w:val="auto"/>
          <w:lang w:eastAsia="zh-CN"/>
        </w:rPr>
        <w:t>一般渔类</w:t>
      </w:r>
      <w:r>
        <w:rPr>
          <w:color w:val="auto"/>
        </w:rPr>
        <w:t>用水区，执行</w:t>
      </w:r>
      <w:r>
        <w:rPr>
          <w:rFonts w:hint="eastAsia"/>
          <w:color w:val="auto"/>
          <w:lang w:eastAsia="zh-CN"/>
        </w:rPr>
        <w:t>《地表水环境质量标准》（</w:t>
      </w:r>
      <w:r>
        <w:rPr>
          <w:rFonts w:hint="eastAsia"/>
          <w:color w:val="auto"/>
          <w:lang w:val="en-US" w:eastAsia="zh-CN"/>
        </w:rPr>
        <w:t>GB3838-2002</w:t>
      </w:r>
      <w:r>
        <w:rPr>
          <w:rFonts w:hint="eastAsia"/>
          <w:color w:val="auto"/>
          <w:lang w:eastAsia="zh-CN"/>
        </w:rPr>
        <w:t>）</w:t>
      </w:r>
      <w:r>
        <w:rPr>
          <w:rFonts w:hint="eastAsia"/>
          <w:color w:val="auto"/>
          <w:lang w:val="en-US" w:eastAsia="zh-CN"/>
        </w:rPr>
        <w:t xml:space="preserve"> </w:t>
      </w:r>
      <w:r>
        <w:rPr>
          <w:rFonts w:hint="eastAsia"/>
          <w:color w:val="auto"/>
          <w:lang w:eastAsia="zh-CN"/>
        </w:rPr>
        <w:t>Ⅲ</w:t>
      </w:r>
      <w:r>
        <w:rPr>
          <w:color w:val="auto"/>
        </w:rPr>
        <w:t>类标准</w:t>
      </w:r>
      <w:r>
        <w:rPr>
          <w:rFonts w:hint="eastAsia"/>
          <w:color w:val="auto"/>
          <w:lang w:eastAsia="zh-CN"/>
        </w:rPr>
        <w:t>。</w:t>
      </w:r>
    </w:p>
    <w:p>
      <w:pPr>
        <w:rPr>
          <w:rFonts w:hint="eastAsia"/>
          <w:color w:val="auto"/>
          <w:lang w:val="en-US" w:eastAsia="zh-CN"/>
        </w:rPr>
      </w:pPr>
      <w:r>
        <w:rPr>
          <w:rFonts w:hint="eastAsia"/>
          <w:color w:val="auto"/>
          <w:lang w:val="en-US" w:eastAsia="zh-CN"/>
        </w:rPr>
        <w:t>（1）芭蕉湖</w:t>
      </w:r>
    </w:p>
    <w:p>
      <w:pPr>
        <w:rPr>
          <w:rFonts w:hint="eastAsia"/>
          <w:color w:val="auto"/>
          <w:lang w:val="en-US" w:eastAsia="zh-CN"/>
        </w:rPr>
      </w:pPr>
      <w:r>
        <w:rPr>
          <w:rFonts w:hint="eastAsia"/>
          <w:color w:val="auto"/>
          <w:lang w:val="en-US" w:eastAsia="zh-CN"/>
        </w:rPr>
        <w:t>为了解芭蕉湖水质环境现状，本次环评特委托岳阳市衡润检测有限公司对芭蕉湖进行了现状监测。</w:t>
      </w:r>
    </w:p>
    <w:p>
      <w:pPr>
        <w:numPr>
          <w:ilvl w:val="0"/>
          <w:numId w:val="10"/>
        </w:numPr>
        <w:rPr>
          <w:rFonts w:hint="eastAsia"/>
          <w:color w:val="auto"/>
          <w:lang w:val="en-US" w:eastAsia="zh-CN"/>
        </w:rPr>
      </w:pPr>
      <w:r>
        <w:rPr>
          <w:rFonts w:hint="eastAsia"/>
          <w:color w:val="auto"/>
          <w:lang w:val="en-US" w:eastAsia="zh-CN"/>
        </w:rPr>
        <w:t>监测点：设置2个监测点，监测点为W1芭蕉湖污水排入口处、W2芭蕉湖距污水排入口1500m处。</w:t>
      </w:r>
    </w:p>
    <w:p>
      <w:pPr>
        <w:numPr>
          <w:ilvl w:val="0"/>
          <w:numId w:val="10"/>
        </w:numPr>
        <w:rPr>
          <w:rFonts w:hint="eastAsia"/>
          <w:color w:val="auto"/>
          <w:lang w:val="en-US" w:eastAsia="zh-CN"/>
        </w:rPr>
      </w:pPr>
      <w:r>
        <w:rPr>
          <w:rFonts w:hint="eastAsia"/>
          <w:color w:val="auto"/>
          <w:lang w:val="en-US" w:eastAsia="zh-CN"/>
        </w:rPr>
        <w:t>监测因子：</w:t>
      </w:r>
      <w:r>
        <w:rPr>
          <w:rFonts w:hint="default" w:ascii="Times New Roman" w:hAnsi="Times New Roman" w:cs="Times New Roman" w:eastAsiaTheme="minorEastAsia"/>
          <w:color w:val="auto"/>
          <w:sz w:val="24"/>
          <w:szCs w:val="24"/>
          <w:lang w:val="en-US" w:eastAsia="zh-CN"/>
        </w:rPr>
        <w:t>pH、总硬度、COD</w:t>
      </w:r>
      <w:r>
        <w:rPr>
          <w:rFonts w:hint="default" w:ascii="Times New Roman" w:hAnsi="Times New Roman" w:cs="Times New Roman" w:eastAsiaTheme="minorEastAsia"/>
          <w:color w:val="auto"/>
          <w:sz w:val="24"/>
          <w:szCs w:val="24"/>
          <w:vertAlign w:val="subscript"/>
          <w:lang w:val="en-US" w:eastAsia="zh-CN"/>
        </w:rPr>
        <w:t>Mn</w:t>
      </w:r>
      <w:r>
        <w:rPr>
          <w:rFonts w:hint="default" w:ascii="Times New Roman" w:hAnsi="Times New Roman" w:cs="Times New Roman" w:eastAsiaTheme="minorEastAsia"/>
          <w:color w:val="auto"/>
          <w:sz w:val="24"/>
          <w:szCs w:val="24"/>
          <w:lang w:val="en-US" w:eastAsia="zh-CN"/>
        </w:rPr>
        <w:t>、氨氮、硝酸盐氮、亚硝酸盐氮、硫酸盐、氯化物、挥发酚、氰化物、氟、粪大肠菌群、砷、汞、总铬、六价铬、镉、铅、铁、锰、铜、锌</w:t>
      </w:r>
      <w:r>
        <w:rPr>
          <w:rFonts w:hint="eastAsia" w:ascii="Times New Roman" w:hAnsi="Times New Roman" w:cs="Times New Roman" w:eastAsiaTheme="minorEastAsia"/>
          <w:color w:val="auto"/>
          <w:sz w:val="24"/>
          <w:szCs w:val="24"/>
          <w:lang w:val="en-US" w:eastAsia="zh-CN"/>
        </w:rPr>
        <w:t>，共22项</w:t>
      </w:r>
      <w:r>
        <w:rPr>
          <w:rFonts w:hint="default" w:ascii="Times New Roman" w:hAnsi="Times New Roman" w:cs="Times New Roman" w:eastAsiaTheme="minorEastAsia"/>
          <w:color w:val="auto"/>
          <w:sz w:val="24"/>
          <w:szCs w:val="24"/>
          <w:lang w:val="en-US" w:eastAsia="zh-CN"/>
        </w:rPr>
        <w:t>。</w:t>
      </w:r>
    </w:p>
    <w:p>
      <w:pPr>
        <w:numPr>
          <w:ilvl w:val="0"/>
          <w:numId w:val="10"/>
        </w:numPr>
        <w:rPr>
          <w:color w:val="auto"/>
          <w:kern w:val="0"/>
          <w:sz w:val="24"/>
        </w:rPr>
      </w:pPr>
      <w:r>
        <w:rPr>
          <w:rFonts w:hint="eastAsia" w:ascii="Times New Roman" w:hAnsi="Times New Roman" w:cs="Times New Roman" w:eastAsiaTheme="minorEastAsia"/>
          <w:color w:val="auto"/>
          <w:sz w:val="24"/>
          <w:szCs w:val="24"/>
          <w:lang w:val="en-US" w:eastAsia="zh-CN"/>
        </w:rPr>
        <w:t>采样时间与频率</w:t>
      </w:r>
      <w:r>
        <w:rPr>
          <w:color w:val="auto"/>
          <w:kern w:val="0"/>
          <w:sz w:val="24"/>
        </w:rPr>
        <w:t>：地表水监测三天，监测时间为201</w:t>
      </w:r>
      <w:r>
        <w:rPr>
          <w:rFonts w:hint="eastAsia"/>
          <w:color w:val="auto"/>
          <w:kern w:val="0"/>
          <w:sz w:val="24"/>
          <w:lang w:val="en-US" w:eastAsia="zh-CN"/>
        </w:rPr>
        <w:t>7</w:t>
      </w:r>
      <w:r>
        <w:rPr>
          <w:color w:val="auto"/>
          <w:kern w:val="0"/>
          <w:sz w:val="24"/>
        </w:rPr>
        <w:t>年</w:t>
      </w:r>
      <w:r>
        <w:rPr>
          <w:rFonts w:hint="eastAsia"/>
          <w:color w:val="auto"/>
          <w:kern w:val="0"/>
          <w:sz w:val="24"/>
          <w:lang w:val="en-US" w:eastAsia="zh-CN"/>
        </w:rPr>
        <w:t>1</w:t>
      </w:r>
      <w:r>
        <w:rPr>
          <w:color w:val="auto"/>
          <w:kern w:val="0"/>
          <w:sz w:val="24"/>
        </w:rPr>
        <w:t>月</w:t>
      </w:r>
      <w:r>
        <w:rPr>
          <w:rFonts w:hint="eastAsia"/>
          <w:color w:val="auto"/>
          <w:kern w:val="0"/>
          <w:sz w:val="24"/>
          <w:lang w:val="en-US" w:eastAsia="zh-CN"/>
        </w:rPr>
        <w:t>3</w:t>
      </w:r>
      <w:r>
        <w:rPr>
          <w:color w:val="auto"/>
          <w:kern w:val="0"/>
          <w:sz w:val="24"/>
        </w:rPr>
        <w:t>～</w:t>
      </w:r>
      <w:r>
        <w:rPr>
          <w:rFonts w:hint="eastAsia"/>
          <w:color w:val="auto"/>
          <w:kern w:val="0"/>
          <w:sz w:val="24"/>
          <w:lang w:val="en-US" w:eastAsia="zh-CN"/>
        </w:rPr>
        <w:t>5</w:t>
      </w:r>
      <w:r>
        <w:rPr>
          <w:color w:val="auto"/>
          <w:kern w:val="0"/>
          <w:sz w:val="24"/>
        </w:rPr>
        <w:t>日。</w:t>
      </w:r>
    </w:p>
    <w:p>
      <w:pPr>
        <w:numPr>
          <w:ilvl w:val="0"/>
          <w:numId w:val="10"/>
        </w:numPr>
        <w:rPr>
          <w:rFonts w:hint="eastAsia"/>
          <w:color w:val="auto"/>
          <w:sz w:val="24"/>
        </w:rPr>
      </w:pPr>
      <w:r>
        <w:rPr>
          <w:color w:val="auto"/>
          <w:kern w:val="0"/>
          <w:sz w:val="24"/>
        </w:rPr>
        <w:t>采样和监测分析方法：按照《环境监测技术规范》（地表水和污水监测技术规范HJ/T91-2002）及《水和废水监测分析方法》（第四版）的有关规定及要求进行。</w:t>
      </w:r>
    </w:p>
    <w:p>
      <w:pPr>
        <w:numPr>
          <w:ilvl w:val="0"/>
          <w:numId w:val="10"/>
        </w:numPr>
        <w:rPr>
          <w:color w:val="auto"/>
          <w:kern w:val="0"/>
          <w:sz w:val="24"/>
        </w:rPr>
      </w:pPr>
      <w:r>
        <w:rPr>
          <w:color w:val="auto"/>
          <w:sz w:val="24"/>
        </w:rPr>
        <w:t>评价标准</w:t>
      </w:r>
      <w:r>
        <w:rPr>
          <w:rFonts w:hint="eastAsia"/>
          <w:color w:val="auto"/>
          <w:sz w:val="24"/>
        </w:rPr>
        <w:t>：</w:t>
      </w:r>
      <w:r>
        <w:rPr>
          <w:color w:val="auto"/>
          <w:sz w:val="24"/>
        </w:rPr>
        <w:t>执行《地表水环境质量标准》（GB3838-2002）中的</w:t>
      </w:r>
      <w:r>
        <w:rPr>
          <w:rFonts w:ascii="宋体" w:hAnsi="宋体"/>
          <w:color w:val="auto"/>
          <w:sz w:val="24"/>
        </w:rPr>
        <w:t>Ⅲ</w:t>
      </w:r>
      <w:r>
        <w:rPr>
          <w:color w:val="auto"/>
          <w:sz w:val="24"/>
        </w:rPr>
        <w:t>类标准</w:t>
      </w:r>
      <w:r>
        <w:rPr>
          <w:rFonts w:hint="eastAsia"/>
          <w:color w:val="auto"/>
          <w:sz w:val="24"/>
          <w:lang w:eastAsia="zh-CN"/>
        </w:rPr>
        <w:t>。</w:t>
      </w:r>
    </w:p>
    <w:p>
      <w:pPr>
        <w:numPr>
          <w:ilvl w:val="0"/>
          <w:numId w:val="10"/>
        </w:numPr>
        <w:rPr>
          <w:color w:val="auto"/>
          <w:sz w:val="24"/>
        </w:rPr>
      </w:pPr>
      <w:r>
        <w:rPr>
          <w:color w:val="auto"/>
          <w:kern w:val="0"/>
          <w:sz w:val="24"/>
        </w:rPr>
        <w:t>评价方法：根据监测结果，采用超标率、最大超标倍数对评价范围内的水环境质量现状进行评价。</w:t>
      </w:r>
    </w:p>
    <w:p>
      <w:pPr>
        <w:numPr>
          <w:ilvl w:val="0"/>
          <w:numId w:val="10"/>
        </w:numPr>
        <w:rPr>
          <w:color w:val="auto"/>
          <w:sz w:val="24"/>
        </w:rPr>
      </w:pPr>
      <w:r>
        <w:rPr>
          <w:color w:val="auto"/>
          <w:sz w:val="24"/>
        </w:rPr>
        <w:t>监测结果分析</w:t>
      </w:r>
      <w:r>
        <w:rPr>
          <w:rFonts w:hint="eastAsia"/>
          <w:color w:val="auto"/>
          <w:sz w:val="24"/>
        </w:rPr>
        <w:t>：</w:t>
      </w:r>
      <w:r>
        <w:rPr>
          <w:color w:val="auto"/>
          <w:sz w:val="24"/>
        </w:rPr>
        <w:t>具体水质监测结果见表</w:t>
      </w:r>
      <w:r>
        <w:rPr>
          <w:rFonts w:hint="eastAsia"/>
          <w:color w:val="auto"/>
          <w:sz w:val="24"/>
          <w:lang w:val="en-US" w:eastAsia="zh-CN"/>
        </w:rPr>
        <w:t>6</w:t>
      </w:r>
      <w:r>
        <w:rPr>
          <w:rFonts w:hint="eastAsia"/>
          <w:color w:val="auto"/>
          <w:sz w:val="24"/>
        </w:rPr>
        <w:t>-</w:t>
      </w:r>
      <w:r>
        <w:rPr>
          <w:rFonts w:hint="eastAsia"/>
          <w:color w:val="auto"/>
          <w:sz w:val="24"/>
          <w:lang w:val="en-US" w:eastAsia="zh-CN"/>
        </w:rPr>
        <w:t>4</w:t>
      </w:r>
      <w:r>
        <w:rPr>
          <w:color w:val="auto"/>
          <w:sz w:val="24"/>
        </w:rPr>
        <w:t>。</w:t>
      </w:r>
    </w:p>
    <w:p>
      <w:pPr>
        <w:pStyle w:val="23"/>
        <w:rPr>
          <w:rFonts w:hint="eastAsia" w:eastAsia="宋体"/>
          <w:b/>
          <w:bCs/>
          <w:color w:val="auto"/>
          <w:lang w:eastAsia="zh-CN"/>
        </w:rPr>
      </w:pPr>
      <w:r>
        <w:rPr>
          <w:rFonts w:hint="eastAsia"/>
          <w:b/>
          <w:bCs/>
          <w:color w:val="auto"/>
          <w:lang w:eastAsia="zh-CN"/>
        </w:rPr>
        <w:t>表</w:t>
      </w:r>
      <w:r>
        <w:rPr>
          <w:rFonts w:hint="eastAsia"/>
          <w:b/>
          <w:bCs/>
          <w:color w:val="auto"/>
          <w:lang w:val="en-US" w:eastAsia="zh-CN"/>
        </w:rPr>
        <w:t>6-4  地表水环境质量现状检测结果</w:t>
      </w:r>
    </w:p>
    <w:tbl>
      <w:tblPr>
        <w:tblStyle w:val="20"/>
        <w:tblW w:w="85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1380"/>
        <w:gridCol w:w="1140"/>
        <w:gridCol w:w="1140"/>
        <w:gridCol w:w="1140"/>
        <w:gridCol w:w="960"/>
        <w:gridCol w:w="920"/>
        <w:gridCol w:w="1"/>
        <w:gridCol w:w="1112"/>
        <w:gridCol w:w="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1" w:type="dxa"/>
          <w:trHeight w:val="419" w:hRule="atLeast"/>
          <w:tblHeader/>
        </w:trPr>
        <w:tc>
          <w:tcPr>
            <w:tcW w:w="725" w:type="dxa"/>
            <w:vMerge w:val="restart"/>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采样地点</w:t>
            </w:r>
          </w:p>
        </w:tc>
        <w:tc>
          <w:tcPr>
            <w:tcW w:w="1380" w:type="dxa"/>
            <w:vMerge w:val="restart"/>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检测因子</w:t>
            </w:r>
          </w:p>
        </w:tc>
        <w:tc>
          <w:tcPr>
            <w:tcW w:w="3420" w:type="dxa"/>
            <w:gridSpan w:val="3"/>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检测时间</w:t>
            </w:r>
          </w:p>
        </w:tc>
        <w:tc>
          <w:tcPr>
            <w:tcW w:w="960" w:type="dxa"/>
            <w:vMerge w:val="restart"/>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超标率</w:t>
            </w:r>
          </w:p>
        </w:tc>
        <w:tc>
          <w:tcPr>
            <w:tcW w:w="920" w:type="dxa"/>
            <w:vMerge w:val="restart"/>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最大超标倍数</w:t>
            </w:r>
          </w:p>
        </w:tc>
        <w:tc>
          <w:tcPr>
            <w:tcW w:w="1113" w:type="dxa"/>
            <w:gridSpan w:val="2"/>
            <w:vMerge w:val="restart"/>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1" w:hRule="atLeast"/>
          <w:tblHeader/>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1380"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114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01月03日</w:t>
            </w:r>
          </w:p>
        </w:tc>
        <w:tc>
          <w:tcPr>
            <w:tcW w:w="114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01月04日</w:t>
            </w:r>
          </w:p>
        </w:tc>
        <w:tc>
          <w:tcPr>
            <w:tcW w:w="114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01月05日</w:t>
            </w:r>
          </w:p>
        </w:tc>
        <w:tc>
          <w:tcPr>
            <w:tcW w:w="960" w:type="dxa"/>
            <w:vMerge w:val="continue"/>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p>
        </w:tc>
        <w:tc>
          <w:tcPr>
            <w:tcW w:w="921" w:type="dxa"/>
            <w:gridSpan w:val="2"/>
            <w:vMerge w:val="continue"/>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p>
        </w:tc>
        <w:tc>
          <w:tcPr>
            <w:tcW w:w="1113" w:type="dxa"/>
            <w:gridSpan w:val="2"/>
            <w:vMerge w:val="continue"/>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restart"/>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bookmarkStart w:id="70" w:name="OLE_LINK4" w:colFirst="2" w:colLast="7"/>
            <w:r>
              <w:rPr>
                <w:rFonts w:hint="eastAsia"/>
                <w:color w:val="auto"/>
                <w:lang w:val="en-US" w:eastAsia="zh-CN"/>
              </w:rPr>
              <w:t>W1</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PH</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7.76</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7.75</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7.69</w:t>
            </w:r>
          </w:p>
        </w:tc>
        <w:tc>
          <w:tcPr>
            <w:tcW w:w="96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w:t>
            </w:r>
          </w:p>
        </w:tc>
        <w:tc>
          <w:tcPr>
            <w:tcW w:w="921"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CODMn</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7.4</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7.5</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7.4</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100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0.25</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NH3-N</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1.96</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1.67</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1.81</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100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0.96</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挥发酚</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0.006</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0.005</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0.006</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33</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0.2</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粪大肠菌群</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1800</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1400</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1600</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亚硝酸盐氮</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0.152</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0.1477</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0.142</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硝酸盐氮</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1.16</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1.23</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1.17</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总硬度</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1.39</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1.39</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1.38</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硫酸盐</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31.2</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30.5</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29.3</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氯化物</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40.43</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38.26</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38.55</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氰化物</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0.004ND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0.004ND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0.004ND</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氟</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0.30</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0.32</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0.31</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砷</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0.0005</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0.0007</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0.0006</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汞</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0.00007</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0.00008</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0.00007</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总铬</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0.03</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0.04</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0.02</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六价铬</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0.023</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0.025</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0.022</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镉</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0.0001ND</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铅</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0.00089</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0.00086</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0.00088</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铜</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0.01ND</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锌</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0.05</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0.03</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0.06</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铁</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0.21</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0.26</w:t>
            </w:r>
          </w:p>
        </w:tc>
        <w:tc>
          <w:tcPr>
            <w:tcW w:w="114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0.19</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锰</w:t>
            </w:r>
          </w:p>
        </w:tc>
        <w:tc>
          <w:tcPr>
            <w:tcW w:w="1140"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0.09</w:t>
            </w:r>
          </w:p>
        </w:tc>
        <w:tc>
          <w:tcPr>
            <w:tcW w:w="1140"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0.08</w:t>
            </w:r>
          </w:p>
        </w:tc>
        <w:tc>
          <w:tcPr>
            <w:tcW w:w="1140"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0.09</w:t>
            </w:r>
          </w:p>
        </w:tc>
        <w:tc>
          <w:tcPr>
            <w:tcW w:w="96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0.1</w:t>
            </w:r>
          </w:p>
        </w:tc>
      </w:tr>
      <w:bookmarkEnd w:id="70"/>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restart"/>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W2</w:t>
            </w: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PH</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7.83</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7.45</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7.32</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CODMn</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3.13</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3.37</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3.21</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NH3-N</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0.88</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0.82</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0.85</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挥发酚</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0.002</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0.003</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0.002</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粪大肠菌群</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1600</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1500</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1500</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亚硝酸盐氮</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0.009</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0.007</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0.011</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硝酸盐氮</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1.01</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0.95</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1.18</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总硬度</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1.37</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1.35</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1.32</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硫酸盐</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30.5</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30.1</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28.9</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氯化物</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32.1</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36.5</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33.6</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氰化物</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0.004ND</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0.004ND</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0.004ND</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氟</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029</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0.27</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0.32</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砷</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0.0004</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0.0005</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0.0004</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汞</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0.00005</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0.00005</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0.00006</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总铬</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0.02</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0.03</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0.03</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六价铬</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0.018</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0.023</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0.021</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镉</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0.0001ND</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0.0001ND</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0.0001ND</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铅</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0.00078</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0.00074</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0.00080</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铜</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0.01ND</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0.01ND</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0.01ND</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锌</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0.04</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0.04</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0.05</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铁</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0.22</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0.20</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0.17</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p>
        </w:tc>
        <w:tc>
          <w:tcPr>
            <w:tcW w:w="138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锰</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0.05</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0.06</w:t>
            </w:r>
          </w:p>
        </w:tc>
        <w:tc>
          <w:tcPr>
            <w:tcW w:w="114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0.04</w:t>
            </w:r>
          </w:p>
        </w:tc>
        <w:tc>
          <w:tcPr>
            <w:tcW w:w="960" w:type="dxa"/>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921"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w:t>
            </w:r>
          </w:p>
        </w:tc>
        <w:tc>
          <w:tcPr>
            <w:tcW w:w="1113" w:type="dxa"/>
            <w:gridSpan w:val="2"/>
            <w:textDirection w:val="lrTb"/>
            <w:vAlign w:val="center"/>
          </w:tcPr>
          <w:p>
            <w:pPr>
              <w:pStyle w:val="23"/>
              <w:keepNext w:val="0"/>
              <w:keepLines w:val="0"/>
              <w:suppressLineNumbers w:val="0"/>
              <w:spacing w:before="0" w:beforeAutospacing="0" w:after="0" w:afterAutospacing="0" w:line="240" w:lineRule="auto"/>
              <w:ind w:left="0" w:leftChars="0" w:right="0" w:rightChars="0" w:firstLine="0" w:firstLineChars="0"/>
              <w:rPr>
                <w:rFonts w:hint="eastAsia"/>
                <w:color w:val="auto"/>
                <w:lang w:val="en-US" w:eastAsia="zh-CN"/>
              </w:rPr>
            </w:pPr>
            <w:r>
              <w:rPr>
                <w:rFonts w:hint="eastAsia"/>
                <w:color w:val="auto"/>
                <w:lang w:val="en-US" w:eastAsia="zh-CN"/>
              </w:rPr>
              <w:t>0.1</w:t>
            </w:r>
          </w:p>
        </w:tc>
      </w:tr>
    </w:tbl>
    <w:p>
      <w:pPr>
        <w:rPr>
          <w:rFonts w:hint="eastAsia"/>
          <w:color w:val="auto"/>
        </w:rPr>
      </w:pPr>
      <w:r>
        <w:rPr>
          <w:rFonts w:hint="eastAsia"/>
          <w:color w:val="auto"/>
          <w:lang w:val="en-US" w:eastAsia="zh-CN"/>
        </w:rPr>
        <w:t>由上表可知，除W1污水排入口处COD、氨氮、挥发酚外，芭蕉湖两个检测点各检测因子均能满足</w:t>
      </w:r>
      <w:r>
        <w:rPr>
          <w:color w:val="auto"/>
        </w:rPr>
        <w:t>《地表水环境质量标准》（GB3838-2002）</w:t>
      </w:r>
      <w:r>
        <w:rPr>
          <w:rFonts w:hint="eastAsia"/>
          <w:color w:val="auto"/>
        </w:rPr>
        <w:t>Ⅲ</w:t>
      </w:r>
      <w:r>
        <w:rPr>
          <w:color w:val="auto"/>
        </w:rPr>
        <w:t>类标准</w:t>
      </w:r>
      <w:r>
        <w:rPr>
          <w:rFonts w:hint="eastAsia"/>
          <w:color w:val="auto"/>
        </w:rPr>
        <w:t>要求，</w:t>
      </w:r>
      <w:r>
        <w:rPr>
          <w:rFonts w:hint="eastAsia"/>
          <w:color w:val="auto"/>
          <w:lang w:val="en-US" w:eastAsia="zh-CN"/>
        </w:rPr>
        <w:t>W1处COD、氨氮、挥发酚超标，主要是由于污水汇入芭蕉湖处还未完全混合，出现局部超标现象。由芭蕉湖W2检测断面数据可以</w:t>
      </w:r>
      <w:r>
        <w:rPr>
          <w:rFonts w:hint="eastAsia"/>
          <w:color w:val="auto"/>
        </w:rPr>
        <w:t>说明项目所在地表水环境质量现状较好。</w:t>
      </w:r>
    </w:p>
    <w:p>
      <w:pPr>
        <w:rPr>
          <w:rFonts w:hint="eastAsia"/>
          <w:color w:val="auto"/>
          <w:lang w:val="en-US" w:eastAsia="zh-CN"/>
        </w:rPr>
      </w:pPr>
      <w:r>
        <w:rPr>
          <w:rFonts w:hint="eastAsia"/>
          <w:color w:val="auto"/>
          <w:lang w:val="en-US" w:eastAsia="zh-CN"/>
        </w:rPr>
        <w:t>（2）周边水环境</w:t>
      </w:r>
    </w:p>
    <w:p>
      <w:pPr>
        <w:ind w:firstLine="480"/>
        <w:rPr>
          <w:u w:val="none"/>
        </w:rPr>
      </w:pPr>
      <w:r>
        <w:rPr>
          <w:rFonts w:hint="eastAsia"/>
          <w:u w:val="none"/>
        </w:rPr>
        <w:t>为了解垃圾填埋场周边水质环境现状，本次环评特委托岳阳市衡润检测有限公司对垃圾填埋场周边的水塘进行了现状监测。</w:t>
      </w:r>
    </w:p>
    <w:p>
      <w:pPr>
        <w:numPr>
          <w:ilvl w:val="0"/>
          <w:numId w:val="11"/>
        </w:numPr>
        <w:ind w:firstLineChars="0"/>
        <w:rPr>
          <w:u w:val="none"/>
        </w:rPr>
      </w:pPr>
      <w:r>
        <w:rPr>
          <w:rFonts w:hint="eastAsia"/>
          <w:u w:val="none"/>
        </w:rPr>
        <w:t>监测点：设置2个监测点，监测点为W3北面胥家桥村鱼塘、W4处理厂西北面水塘。</w:t>
      </w:r>
    </w:p>
    <w:p>
      <w:pPr>
        <w:numPr>
          <w:ilvl w:val="0"/>
          <w:numId w:val="11"/>
        </w:numPr>
        <w:ind w:firstLine="480"/>
        <w:rPr>
          <w:u w:val="none"/>
        </w:rPr>
      </w:pPr>
      <w:r>
        <w:rPr>
          <w:rFonts w:hint="eastAsia"/>
          <w:u w:val="none"/>
        </w:rPr>
        <w:t>监测因子：</w:t>
      </w:r>
      <w:r>
        <w:rPr>
          <w:rFonts w:cs="Times New Roman" w:eastAsiaTheme="minorEastAsia"/>
          <w:u w:val="none"/>
        </w:rPr>
        <w:t>pH、总硬度、COD</w:t>
      </w:r>
      <w:r>
        <w:rPr>
          <w:rFonts w:cs="Times New Roman" w:eastAsiaTheme="minorEastAsia"/>
          <w:u w:val="none"/>
          <w:vertAlign w:val="subscript"/>
        </w:rPr>
        <w:t>Mn</w:t>
      </w:r>
      <w:r>
        <w:rPr>
          <w:rFonts w:cs="Times New Roman" w:eastAsiaTheme="minorEastAsia"/>
          <w:u w:val="none"/>
        </w:rPr>
        <w:t>、氨氮、硝酸盐氮、亚硝酸盐氮、硫酸盐、氯化物、挥发酚、氰化物、氟、粪大肠菌群、砷、汞、总铬、六价铬、镉、铅、铁、锰、铜、锌</w:t>
      </w:r>
      <w:r>
        <w:rPr>
          <w:rFonts w:hint="eastAsia" w:cs="Times New Roman" w:eastAsiaTheme="minorEastAsia"/>
          <w:u w:val="none"/>
        </w:rPr>
        <w:t>，共22项</w:t>
      </w:r>
      <w:r>
        <w:rPr>
          <w:rFonts w:cs="Times New Roman" w:eastAsiaTheme="minorEastAsia"/>
          <w:u w:val="none"/>
        </w:rPr>
        <w:t>。</w:t>
      </w:r>
    </w:p>
    <w:p>
      <w:pPr>
        <w:numPr>
          <w:ilvl w:val="0"/>
          <w:numId w:val="11"/>
        </w:numPr>
        <w:ind w:firstLine="480"/>
        <w:rPr>
          <w:kern w:val="0"/>
          <w:u w:val="none"/>
        </w:rPr>
      </w:pPr>
      <w:r>
        <w:rPr>
          <w:rFonts w:hint="eastAsia" w:cs="Times New Roman" w:eastAsiaTheme="minorEastAsia"/>
          <w:u w:val="none"/>
        </w:rPr>
        <w:t>采样时间与频率</w:t>
      </w:r>
      <w:r>
        <w:rPr>
          <w:kern w:val="0"/>
          <w:u w:val="none"/>
        </w:rPr>
        <w:t>：地表水监测三天，监测时间为201</w:t>
      </w:r>
      <w:r>
        <w:rPr>
          <w:rFonts w:hint="eastAsia"/>
          <w:kern w:val="0"/>
          <w:u w:val="none"/>
        </w:rPr>
        <w:t>7</w:t>
      </w:r>
      <w:r>
        <w:rPr>
          <w:kern w:val="0"/>
          <w:u w:val="none"/>
        </w:rPr>
        <w:t>年</w:t>
      </w:r>
      <w:r>
        <w:rPr>
          <w:rFonts w:hint="eastAsia"/>
          <w:kern w:val="0"/>
          <w:u w:val="none"/>
        </w:rPr>
        <w:t>2</w:t>
      </w:r>
      <w:r>
        <w:rPr>
          <w:kern w:val="0"/>
          <w:u w:val="none"/>
        </w:rPr>
        <w:t>月</w:t>
      </w:r>
      <w:r>
        <w:rPr>
          <w:rFonts w:hint="eastAsia"/>
          <w:kern w:val="0"/>
          <w:u w:val="none"/>
        </w:rPr>
        <w:t>9</w:t>
      </w:r>
      <w:r>
        <w:rPr>
          <w:kern w:val="0"/>
          <w:u w:val="none"/>
        </w:rPr>
        <w:t>～</w:t>
      </w:r>
      <w:r>
        <w:rPr>
          <w:rFonts w:hint="eastAsia"/>
          <w:kern w:val="0"/>
          <w:u w:val="none"/>
        </w:rPr>
        <w:t>11</w:t>
      </w:r>
      <w:r>
        <w:rPr>
          <w:kern w:val="0"/>
          <w:u w:val="none"/>
        </w:rPr>
        <w:t>日。</w:t>
      </w:r>
    </w:p>
    <w:p>
      <w:pPr>
        <w:numPr>
          <w:ilvl w:val="0"/>
          <w:numId w:val="11"/>
        </w:numPr>
        <w:ind w:firstLine="480"/>
        <w:rPr>
          <w:u w:val="none"/>
        </w:rPr>
      </w:pPr>
      <w:r>
        <w:rPr>
          <w:kern w:val="0"/>
          <w:u w:val="none"/>
        </w:rPr>
        <w:t>采样和监测分析方法：按照《环境监测技术规范》（地表水和污水监测技术规范HJ/T91-2002）及《水和废水监测分析方法》（第四版）的有关规定及要求进行。</w:t>
      </w:r>
    </w:p>
    <w:p>
      <w:pPr>
        <w:numPr>
          <w:ilvl w:val="0"/>
          <w:numId w:val="11"/>
        </w:numPr>
        <w:ind w:firstLine="480"/>
        <w:rPr>
          <w:kern w:val="0"/>
          <w:u w:val="none"/>
        </w:rPr>
      </w:pPr>
      <w:r>
        <w:rPr>
          <w:u w:val="none"/>
        </w:rPr>
        <w:t>评价标准</w:t>
      </w:r>
      <w:r>
        <w:rPr>
          <w:rFonts w:hint="eastAsia"/>
          <w:u w:val="none"/>
        </w:rPr>
        <w:t>：</w:t>
      </w:r>
      <w:r>
        <w:rPr>
          <w:u w:val="none"/>
        </w:rPr>
        <w:t>执行《地表水环境质量标准》（GB3838-2002）中的</w:t>
      </w:r>
      <w:r>
        <w:rPr>
          <w:rFonts w:ascii="宋体" w:hAnsi="宋体"/>
          <w:u w:val="none"/>
        </w:rPr>
        <w:t>Ⅲ</w:t>
      </w:r>
      <w:r>
        <w:rPr>
          <w:u w:val="none"/>
        </w:rPr>
        <w:t>类标准</w:t>
      </w:r>
      <w:r>
        <w:rPr>
          <w:rFonts w:hint="eastAsia"/>
          <w:u w:val="none"/>
        </w:rPr>
        <w:t>。</w:t>
      </w:r>
    </w:p>
    <w:p>
      <w:pPr>
        <w:numPr>
          <w:ilvl w:val="0"/>
          <w:numId w:val="11"/>
        </w:numPr>
        <w:ind w:firstLine="480"/>
        <w:rPr>
          <w:u w:val="none"/>
        </w:rPr>
      </w:pPr>
      <w:r>
        <w:rPr>
          <w:kern w:val="0"/>
          <w:u w:val="none"/>
        </w:rPr>
        <w:t>评价方法：根据监测结果，采用超标率、最大超标倍数对评价范围内的水环境质量现状进行评价。</w:t>
      </w:r>
    </w:p>
    <w:p>
      <w:pPr>
        <w:numPr>
          <w:ilvl w:val="0"/>
          <w:numId w:val="11"/>
        </w:numPr>
        <w:ind w:firstLine="480"/>
        <w:rPr>
          <w:u w:val="none"/>
        </w:rPr>
      </w:pPr>
      <w:r>
        <w:rPr>
          <w:u w:val="none"/>
        </w:rPr>
        <w:t>监测结果分析</w:t>
      </w:r>
      <w:r>
        <w:rPr>
          <w:rFonts w:hint="eastAsia"/>
          <w:u w:val="none"/>
        </w:rPr>
        <w:t>：</w:t>
      </w:r>
      <w:r>
        <w:rPr>
          <w:u w:val="none"/>
        </w:rPr>
        <w:t>具体水质监测结果见表</w:t>
      </w:r>
      <w:r>
        <w:rPr>
          <w:rFonts w:hint="eastAsia"/>
          <w:u w:val="none"/>
        </w:rPr>
        <w:t>6-</w:t>
      </w:r>
      <w:r>
        <w:rPr>
          <w:rFonts w:hint="eastAsia"/>
          <w:u w:val="none"/>
          <w:lang w:val="en-US" w:eastAsia="zh-CN"/>
        </w:rPr>
        <w:t>5</w:t>
      </w:r>
      <w:r>
        <w:rPr>
          <w:u w:val="none"/>
        </w:rPr>
        <w:t>。</w:t>
      </w:r>
    </w:p>
    <w:p>
      <w:pPr>
        <w:pStyle w:val="23"/>
        <w:rPr>
          <w:b/>
          <w:bCs/>
          <w:u w:val="none"/>
        </w:rPr>
      </w:pPr>
      <w:r>
        <w:rPr>
          <w:rFonts w:hint="eastAsia"/>
          <w:b/>
          <w:bCs/>
          <w:u w:val="none"/>
        </w:rPr>
        <w:t>表6-5  地表水环境质量现状检测结果</w:t>
      </w:r>
    </w:p>
    <w:tbl>
      <w:tblPr>
        <w:tblStyle w:val="20"/>
        <w:tblW w:w="85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1380"/>
        <w:gridCol w:w="1140"/>
        <w:gridCol w:w="1140"/>
        <w:gridCol w:w="1140"/>
        <w:gridCol w:w="960"/>
        <w:gridCol w:w="921"/>
        <w:gridCol w:w="11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9" w:hRule="atLeast"/>
          <w:tblHeader/>
        </w:trPr>
        <w:tc>
          <w:tcPr>
            <w:tcW w:w="725" w:type="dxa"/>
            <w:vMerge w:val="restart"/>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采样地点</w:t>
            </w:r>
          </w:p>
        </w:tc>
        <w:tc>
          <w:tcPr>
            <w:tcW w:w="1380" w:type="dxa"/>
            <w:vMerge w:val="restart"/>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检测因子</w:t>
            </w:r>
          </w:p>
        </w:tc>
        <w:tc>
          <w:tcPr>
            <w:tcW w:w="3420" w:type="dxa"/>
            <w:gridSpan w:val="3"/>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检测时间</w:t>
            </w:r>
          </w:p>
        </w:tc>
        <w:tc>
          <w:tcPr>
            <w:tcW w:w="960" w:type="dxa"/>
            <w:vMerge w:val="restart"/>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超标率 (%)</w:t>
            </w:r>
          </w:p>
        </w:tc>
        <w:tc>
          <w:tcPr>
            <w:tcW w:w="921" w:type="dxa"/>
            <w:vMerge w:val="restart"/>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最大超标倍数</w:t>
            </w:r>
          </w:p>
        </w:tc>
        <w:tc>
          <w:tcPr>
            <w:tcW w:w="1113" w:type="dxa"/>
            <w:vMerge w:val="restart"/>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6" w:hRule="atLeast"/>
          <w:tblHeader/>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2月09日</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02月10日</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2月11日</w:t>
            </w:r>
          </w:p>
        </w:tc>
        <w:tc>
          <w:tcPr>
            <w:tcW w:w="960"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921"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113"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restart"/>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W3</w:t>
            </w: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PH</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7.21</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7.20</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7.20</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COD</w:t>
            </w:r>
            <w:r>
              <w:rPr>
                <w:rFonts w:hint="eastAsia"/>
                <w:u w:val="none"/>
                <w:vertAlign w:val="subscript"/>
              </w:rPr>
              <w:t>Mn</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3.40</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3.33</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3.35</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NH</w:t>
            </w:r>
            <w:r>
              <w:rPr>
                <w:rFonts w:hint="eastAsia"/>
                <w:u w:val="none"/>
                <w:vertAlign w:val="subscript"/>
              </w:rPr>
              <w:t>3</w:t>
            </w:r>
            <w:r>
              <w:rPr>
                <w:rFonts w:hint="eastAsia"/>
                <w:u w:val="none"/>
              </w:rPr>
              <w:t>-N</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color w:val="000000" w:themeColor="text1"/>
                <w:u w:val="none"/>
                <w14:textFill>
                  <w14:solidFill>
                    <w14:schemeClr w14:val="tx1"/>
                  </w14:solidFill>
                </w14:textFill>
              </w:rPr>
            </w:pPr>
            <w:r>
              <w:rPr>
                <w:rFonts w:hint="eastAsia"/>
                <w:color w:val="000000" w:themeColor="text1"/>
                <w:u w:val="none"/>
                <w14:textFill>
                  <w14:solidFill>
                    <w14:schemeClr w14:val="tx1"/>
                  </w14:solidFill>
                </w14:textFill>
              </w:rPr>
              <w:t>1.26</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color w:val="000000" w:themeColor="text1"/>
                <w:u w:val="none"/>
                <w14:textFill>
                  <w14:solidFill>
                    <w14:schemeClr w14:val="tx1"/>
                  </w14:solidFill>
                </w14:textFill>
              </w:rPr>
            </w:pPr>
            <w:r>
              <w:rPr>
                <w:rFonts w:hint="eastAsia"/>
                <w:color w:val="000000" w:themeColor="text1"/>
                <w:u w:val="none"/>
                <w14:textFill>
                  <w14:solidFill>
                    <w14:schemeClr w14:val="tx1"/>
                  </w14:solidFill>
                </w14:textFill>
              </w:rPr>
              <w:t>1.73</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color w:val="000000" w:themeColor="text1"/>
                <w:u w:val="none"/>
                <w14:textFill>
                  <w14:solidFill>
                    <w14:schemeClr w14:val="tx1"/>
                  </w14:solidFill>
                </w14:textFill>
              </w:rPr>
            </w:pPr>
            <w:r>
              <w:rPr>
                <w:rFonts w:hint="eastAsia"/>
                <w:color w:val="000000" w:themeColor="text1"/>
                <w:u w:val="none"/>
                <w14:textFill>
                  <w14:solidFill>
                    <w14:schemeClr w14:val="tx1"/>
                  </w14:solidFill>
                </w14:textFill>
              </w:rPr>
              <w:t>1.11</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0.73</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挥发酚</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0.002ND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0.002ND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0.002ND</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粪大肠菌群</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2200</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2100</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2100</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亚硝酸盐氮</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0.970</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0.959</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0.948</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硝酸盐氮</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0.24</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0.23</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0.18</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总硬度</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2.80</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2.66</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2.73</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硫酸盐</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39.6</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38.6</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38.7</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氯化物</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85.92</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93.15</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90.43</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氰化物</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0.007</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0.006</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0.008</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氟</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color w:val="000000" w:themeColor="text1"/>
                <w:u w:val="none"/>
                <w14:textFill>
                  <w14:solidFill>
                    <w14:schemeClr w14:val="tx1"/>
                  </w14:solidFill>
                </w14:textFill>
              </w:rPr>
            </w:pPr>
            <w:r>
              <w:rPr>
                <w:rFonts w:hint="eastAsia"/>
                <w:color w:val="000000" w:themeColor="text1"/>
                <w:u w:val="none"/>
                <w14:textFill>
                  <w14:solidFill>
                    <w14:schemeClr w14:val="tx1"/>
                  </w14:solidFill>
                </w14:textFill>
              </w:rPr>
              <w:t>0.76</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color w:val="000000" w:themeColor="text1"/>
                <w:u w:val="none"/>
                <w14:textFill>
                  <w14:solidFill>
                    <w14:schemeClr w14:val="tx1"/>
                  </w14:solidFill>
                </w14:textFill>
              </w:rPr>
            </w:pPr>
            <w:r>
              <w:rPr>
                <w:rFonts w:hint="eastAsia"/>
                <w:color w:val="000000" w:themeColor="text1"/>
                <w:u w:val="none"/>
                <w14:textFill>
                  <w14:solidFill>
                    <w14:schemeClr w14:val="tx1"/>
                  </w14:solidFill>
                </w14:textFill>
              </w:rPr>
              <w:t>0.72</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color w:val="000000" w:themeColor="text1"/>
                <w:u w:val="none"/>
                <w14:textFill>
                  <w14:solidFill>
                    <w14:schemeClr w14:val="tx1"/>
                  </w14:solidFill>
                </w14:textFill>
              </w:rPr>
            </w:pPr>
            <w:r>
              <w:rPr>
                <w:rFonts w:hint="eastAsia"/>
                <w:color w:val="000000" w:themeColor="text1"/>
                <w:u w:val="none"/>
                <w14:textFill>
                  <w14:solidFill>
                    <w14:schemeClr w14:val="tx1"/>
                  </w14:solidFill>
                </w14:textFill>
              </w:rPr>
              <w:t>0.88</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砷</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0.0011</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0.0017</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0.0016</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汞</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color w:val="000000" w:themeColor="text1"/>
                <w:u w:val="none"/>
                <w14:textFill>
                  <w14:solidFill>
                    <w14:schemeClr w14:val="tx1"/>
                  </w14:solidFill>
                </w14:textFill>
              </w:rPr>
            </w:pPr>
            <w:r>
              <w:rPr>
                <w:rFonts w:hint="eastAsia"/>
                <w:color w:val="000000" w:themeColor="text1"/>
                <w:u w:val="none"/>
                <w14:textFill>
                  <w14:solidFill>
                    <w14:schemeClr w14:val="tx1"/>
                  </w14:solidFill>
                </w14:textFill>
              </w:rPr>
              <w:t>0.00007</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color w:val="000000" w:themeColor="text1"/>
                <w:u w:val="none"/>
                <w14:textFill>
                  <w14:solidFill>
                    <w14:schemeClr w14:val="tx1"/>
                  </w14:solidFill>
                </w14:textFill>
              </w:rPr>
            </w:pPr>
            <w:r>
              <w:rPr>
                <w:rFonts w:hint="eastAsia"/>
                <w:color w:val="000000" w:themeColor="text1"/>
                <w:u w:val="none"/>
                <w14:textFill>
                  <w14:solidFill>
                    <w14:schemeClr w14:val="tx1"/>
                  </w14:solidFill>
                </w14:textFill>
              </w:rPr>
              <w:t>0.00008</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color w:val="000000" w:themeColor="text1"/>
                <w:u w:val="none"/>
                <w14:textFill>
                  <w14:solidFill>
                    <w14:schemeClr w14:val="tx1"/>
                  </w14:solidFill>
                </w14:textFill>
              </w:rPr>
            </w:pPr>
            <w:r>
              <w:rPr>
                <w:rFonts w:hint="eastAsia"/>
                <w:color w:val="000000" w:themeColor="text1"/>
                <w:u w:val="none"/>
                <w14:textFill>
                  <w14:solidFill>
                    <w14:schemeClr w14:val="tx1"/>
                  </w14:solidFill>
                </w14:textFill>
              </w:rPr>
              <w:t>0.00007</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color w:val="000000" w:themeColor="text1"/>
                <w:u w:val="none"/>
                <w14:textFill>
                  <w14:solidFill>
                    <w14:schemeClr w14:val="tx1"/>
                  </w14:solidFill>
                </w14:textFill>
              </w:rPr>
            </w:pPr>
            <w:r>
              <w:rPr>
                <w:rFonts w:hint="eastAsia"/>
                <w:color w:val="000000" w:themeColor="text1"/>
                <w:u w:val="none"/>
                <w14:textFill>
                  <w14:solidFill>
                    <w14:schemeClr w14:val="tx1"/>
                  </w14:solidFill>
                </w14:textFill>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总铬</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0.03</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0.04</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0.04</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六价铬</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0.023</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0.027</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0.029</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镉</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0.0033</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0.0029</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0.0028</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铅</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0.0001ND</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铜</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0.01</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0.02</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0.01</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锌</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0.15</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0.18</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0.19</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铁</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0.21</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0.22</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0.19</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锰</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0.08</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0.08</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0.07</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restart"/>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W4</w:t>
            </w: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PH</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8.19</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8.15</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8.15</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CODMn</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3.19</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3.17</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3.31</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NH</w:t>
            </w:r>
            <w:r>
              <w:rPr>
                <w:rFonts w:hint="eastAsia"/>
                <w:u w:val="none"/>
                <w:vertAlign w:val="subscript"/>
              </w:rPr>
              <w:t>3</w:t>
            </w:r>
            <w:r>
              <w:rPr>
                <w:rFonts w:hint="eastAsia"/>
                <w:u w:val="none"/>
              </w:rPr>
              <w:t>-N</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0.18</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0.24</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023</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挥发酚</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0.002ND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0.002ND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0.002ND</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粪大肠菌群</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1400</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1300</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1300</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亚硝酸盐氮</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0.006</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0.005</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0.005</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硝酸盐氮</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0.57</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0.52</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0.49</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总硬度</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0.20</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0.25</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0.23</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硫酸盐</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32.5</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30.3</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29.8</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氯化物</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4.47</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4.39</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4.40</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氰化物</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0.004ND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0.004ND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0.004ND</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氟</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0.60</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0.56</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0.52</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砷</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0.0008</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0.0007</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0.0006</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汞</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0.00008</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0.00003</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0.00009</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总铬</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0.03</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0.04</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0.03</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六价铬</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0.008</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0.007</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0.006</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镉</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0.0001ND</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铅</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0.01ND</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铜</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0.01ND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0.01ND</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锌</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0.05</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0.04</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0.04</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铁</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0.03ND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0.03ND</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0.03ND</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exact"/>
        </w:trPr>
        <w:tc>
          <w:tcPr>
            <w:tcW w:w="725"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none"/>
              </w:rPr>
            </w:pPr>
          </w:p>
        </w:tc>
        <w:tc>
          <w:tcPr>
            <w:tcW w:w="138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锰</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0.04</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0.03</w:t>
            </w:r>
          </w:p>
        </w:tc>
        <w:tc>
          <w:tcPr>
            <w:tcW w:w="114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0.03</w:t>
            </w:r>
          </w:p>
        </w:tc>
        <w:tc>
          <w:tcPr>
            <w:tcW w:w="960"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921"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w:t>
            </w:r>
          </w:p>
        </w:tc>
        <w:tc>
          <w:tcPr>
            <w:tcW w:w="1113" w:type="dxa"/>
            <w:vAlign w:val="center"/>
          </w:tcPr>
          <w:p>
            <w:pPr>
              <w:pStyle w:val="23"/>
              <w:keepNext w:val="0"/>
              <w:keepLines w:val="0"/>
              <w:suppressLineNumbers w:val="0"/>
              <w:spacing w:before="0" w:beforeAutospacing="0" w:after="0" w:afterAutospacing="0" w:line="240" w:lineRule="auto"/>
              <w:ind w:left="0" w:right="0"/>
              <w:rPr>
                <w:rFonts w:hint="default"/>
                <w:u w:val="none"/>
              </w:rPr>
            </w:pPr>
            <w:r>
              <w:rPr>
                <w:rFonts w:hint="eastAsia"/>
                <w:u w:val="none"/>
              </w:rPr>
              <w:t>0.1</w:t>
            </w:r>
          </w:p>
        </w:tc>
      </w:tr>
    </w:tbl>
    <w:p>
      <w:pPr>
        <w:ind w:firstLine="480"/>
        <w:rPr>
          <w:rFonts w:hint="eastAsia" w:eastAsia="宋体"/>
          <w:color w:val="auto"/>
          <w:u w:val="none"/>
          <w:lang w:val="en-US" w:eastAsia="zh-CN"/>
        </w:rPr>
      </w:pPr>
      <w:r>
        <w:rPr>
          <w:rFonts w:hint="eastAsia"/>
          <w:u w:val="none"/>
        </w:rPr>
        <w:t>由上表可知，处理厂西北面水塘(W4)各检测因子均能满足</w:t>
      </w:r>
      <w:r>
        <w:rPr>
          <w:u w:val="none"/>
        </w:rPr>
        <w:t>《地表水环境质量标准》（GB3838-2002）</w:t>
      </w:r>
      <w:r>
        <w:rPr>
          <w:rFonts w:hint="eastAsia"/>
          <w:u w:val="none"/>
        </w:rPr>
        <w:t>Ⅲ</w:t>
      </w:r>
      <w:r>
        <w:rPr>
          <w:u w:val="none"/>
        </w:rPr>
        <w:t>类标准</w:t>
      </w:r>
      <w:r>
        <w:rPr>
          <w:rFonts w:hint="eastAsia"/>
          <w:u w:val="none"/>
        </w:rPr>
        <w:t>要求，地表水环境质量现状较好；北面胥家桥村鱼塘(W3)氨氮超标，最大超标倍数分别为0.73倍，主要是周边生活污染所致。</w:t>
      </w:r>
    </w:p>
    <w:p>
      <w:pPr>
        <w:pStyle w:val="4"/>
        <w:rPr>
          <w:rFonts w:hint="eastAsia"/>
          <w:color w:val="auto"/>
          <w:lang w:val="en-US" w:eastAsia="zh-CN"/>
        </w:rPr>
      </w:pPr>
      <w:r>
        <w:rPr>
          <w:rFonts w:hint="eastAsia"/>
          <w:color w:val="auto"/>
          <w:lang w:val="en-US" w:eastAsia="zh-CN"/>
        </w:rPr>
        <w:t>6.2.3地下水环境质量现状及评价</w:t>
      </w:r>
    </w:p>
    <w:p>
      <w:pPr>
        <w:rPr>
          <w:rFonts w:hint="eastAsia"/>
          <w:b/>
          <w:bCs/>
          <w:color w:val="auto"/>
          <w:u w:val="single"/>
          <w:lang w:val="en-US" w:eastAsia="zh-CN"/>
        </w:rPr>
      </w:pPr>
      <w:r>
        <w:rPr>
          <w:rFonts w:hint="eastAsia"/>
          <w:b/>
          <w:bCs/>
          <w:color w:val="auto"/>
          <w:u w:val="single"/>
          <w:lang w:val="en-US" w:eastAsia="zh-CN"/>
        </w:rPr>
        <w:t>6.2.3.1场区地质与水文地质背景</w:t>
      </w:r>
    </w:p>
    <w:p>
      <w:pPr>
        <w:rPr>
          <w:rFonts w:hint="eastAsia"/>
          <w:color w:val="auto"/>
          <w:u w:val="single"/>
          <w:lang w:val="en-US" w:eastAsia="zh-CN"/>
        </w:rPr>
      </w:pPr>
      <w:r>
        <w:rPr>
          <w:rFonts w:hint="eastAsia"/>
          <w:color w:val="auto"/>
          <w:u w:val="single"/>
          <w:lang w:val="en-US" w:eastAsia="zh-CN"/>
        </w:rPr>
        <w:t>（1）地质及水文地质情况</w:t>
      </w:r>
    </w:p>
    <w:p>
      <w:pPr>
        <w:rPr>
          <w:rFonts w:hint="eastAsia"/>
          <w:color w:val="auto"/>
          <w:u w:val="single"/>
          <w:lang w:val="en-US" w:eastAsia="zh-CN"/>
        </w:rPr>
      </w:pPr>
      <w:r>
        <w:rPr>
          <w:rFonts w:hint="eastAsia"/>
          <w:color w:val="auto"/>
          <w:u w:val="single"/>
          <w:lang w:val="en-US" w:eastAsia="zh-CN"/>
        </w:rPr>
        <w:t>花果畈垃圾填埋场原是一个天然的山谷谷地，场区西南高，东北地的狭长谷地，谷头谷尾结对标高在50~71m，谷地两侧为构造剥蚀的坡地，谷底自然坡度16~18度。</w:t>
      </w:r>
    </w:p>
    <w:p>
      <w:pPr>
        <w:rPr>
          <w:rFonts w:hint="eastAsia"/>
          <w:color w:val="auto"/>
          <w:u w:val="single"/>
          <w:lang w:val="en-US" w:eastAsia="zh-CN"/>
        </w:rPr>
      </w:pPr>
      <w:r>
        <w:rPr>
          <w:rFonts w:hint="eastAsia"/>
          <w:color w:val="auto"/>
          <w:u w:val="single"/>
          <w:lang w:val="en-US" w:eastAsia="zh-CN"/>
        </w:rPr>
        <w:t>根据花果畈垃圾填埋场现有工程的场地工程地质、水文地质勘察评价报告，场区内前震旦系冷家溪群板岩层厚在3.7~15.9m之间。该地层为棕红色板岩与浅灰绿色绢云母板岩，粉砂质板岩，变余泥质和变余粉砂质结构，板状构造，岩石结构胶紧密，其节理、裂隙较发育，按其风化程度可分为强风化板岩、中风化板岩、微风化板岩。</w:t>
      </w:r>
    </w:p>
    <w:p>
      <w:pPr>
        <w:rPr>
          <w:rFonts w:hint="eastAsia"/>
          <w:color w:val="auto"/>
          <w:u w:val="single"/>
          <w:lang w:val="en-US" w:eastAsia="zh-CN"/>
        </w:rPr>
      </w:pPr>
      <w:r>
        <w:rPr>
          <w:rFonts w:hint="eastAsia"/>
          <w:color w:val="auto"/>
          <w:u w:val="single"/>
          <w:lang w:val="en-US" w:eastAsia="zh-CN"/>
        </w:rPr>
        <w:t>强风化板岩：裂隙板发育，上部风化土状，裂面裂隙被粘土质充填，中夹Si质砾石，层厚0.7~3.9m；中风化板岩：浅灰绿色粉砂质，泥质板岩，裂隙较发育，岩芯10~30cm，强度较高，裂隙被Fe、Mn质浸染，层厚1.1~4.1m；微风化板岩：浅绿色，粉砂质板岩，裂隙发育一般，岩芯较整，30~40cm，强度高，裂隙面被Fe、Mn质斑浸，仅在谷口处，岩芯胶破碎，控制层厚度1.9~7.9m。</w:t>
      </w:r>
    </w:p>
    <w:p>
      <w:pPr>
        <w:rPr>
          <w:rFonts w:hint="eastAsia"/>
          <w:color w:val="auto"/>
          <w:u w:val="single"/>
          <w:lang w:val="en-US" w:eastAsia="zh-CN"/>
        </w:rPr>
      </w:pPr>
      <w:r>
        <w:rPr>
          <w:rFonts w:hint="eastAsia"/>
          <w:color w:val="auto"/>
          <w:u w:val="single"/>
          <w:lang w:val="en-US" w:eastAsia="zh-CN"/>
        </w:rPr>
        <w:t>（2）水文地质条件</w:t>
      </w:r>
    </w:p>
    <w:p>
      <w:pPr>
        <w:rPr>
          <w:rFonts w:hint="eastAsia"/>
          <w:color w:val="auto"/>
          <w:u w:val="single"/>
          <w:lang w:val="en-US" w:eastAsia="zh-CN"/>
        </w:rPr>
      </w:pPr>
      <w:r>
        <w:rPr>
          <w:rFonts w:hint="eastAsia"/>
          <w:color w:val="auto"/>
          <w:u w:val="single"/>
          <w:lang w:val="en-US" w:eastAsia="zh-CN"/>
        </w:rPr>
        <w:t>场地内地层主要为前震旦系冷家溪群和第四系。含水层主要为第四系坡，残积层，分布于场地东西两侧山坡，陡坎处，谷地上层是场地内唯一可含层，由于厚度小，一般小于0.5m，又无有力的储水构造，一般不含水。隔水层，主要为冷家溪群板岩和第四系残积层，冷家溪群板岩除上部风化的土状层外，下部为结构致密的板岩，为良好的隔水岩层。前震旦系冷家溪下部板岩，岩层巨厚为弱风化或未风化板岩，层厚为1872m，渗透系数小于10</w:t>
      </w:r>
      <w:r>
        <w:rPr>
          <w:rFonts w:hint="eastAsia"/>
          <w:color w:val="auto"/>
          <w:u w:val="single"/>
          <w:vertAlign w:val="superscript"/>
          <w:lang w:val="en-US" w:eastAsia="zh-CN"/>
        </w:rPr>
        <w:t>-7</w:t>
      </w:r>
      <w:r>
        <w:rPr>
          <w:rFonts w:hint="eastAsia"/>
          <w:color w:val="auto"/>
          <w:u w:val="single"/>
          <w:lang w:val="en-US" w:eastAsia="zh-CN"/>
        </w:rPr>
        <w:t>cm/s。</w:t>
      </w:r>
    </w:p>
    <w:p>
      <w:pPr>
        <w:rPr>
          <w:rFonts w:hint="eastAsia"/>
          <w:color w:val="auto"/>
          <w:u w:val="single"/>
          <w:lang w:val="en-US" w:eastAsia="zh-CN"/>
        </w:rPr>
      </w:pPr>
      <w:r>
        <w:rPr>
          <w:rFonts w:hint="eastAsia"/>
          <w:color w:val="auto"/>
          <w:u w:val="single"/>
          <w:lang w:val="en-US" w:eastAsia="zh-CN"/>
        </w:rPr>
        <w:t>场地内地下水主要为大气降水补给，根据场内和场地周围进行水文地质调查资料，场地内无地下水含水层和储水构造，地下水极不发育，仅以弱裂隙水孔隙水存在。</w:t>
      </w:r>
    </w:p>
    <w:p>
      <w:pPr>
        <w:rPr>
          <w:rFonts w:hint="eastAsia"/>
          <w:color w:val="auto"/>
          <w:u w:val="single"/>
          <w:lang w:val="en-US" w:eastAsia="zh-CN"/>
        </w:rPr>
      </w:pPr>
      <w:r>
        <w:rPr>
          <w:rFonts w:hint="eastAsia"/>
          <w:color w:val="auto"/>
          <w:u w:val="single"/>
          <w:lang w:val="en-US" w:eastAsia="zh-CN"/>
        </w:rPr>
        <w:t>（3）周边地下水使用情况</w:t>
      </w:r>
    </w:p>
    <w:p>
      <w:pPr>
        <w:rPr>
          <w:rFonts w:hint="eastAsia"/>
          <w:color w:val="auto"/>
          <w:u w:val="single"/>
          <w:lang w:val="en-US" w:eastAsia="zh-CN"/>
        </w:rPr>
      </w:pPr>
      <w:r>
        <w:rPr>
          <w:rFonts w:hint="eastAsia"/>
          <w:color w:val="auto"/>
          <w:u w:val="single"/>
          <w:lang w:val="en-US" w:eastAsia="zh-CN"/>
        </w:rPr>
        <w:t>根据对周边居民走访，场区周边居民生活用水采用自来水作为饮用水源，不使用地下水。</w:t>
      </w:r>
    </w:p>
    <w:p>
      <w:pPr>
        <w:rPr>
          <w:rFonts w:hint="eastAsia"/>
          <w:b/>
          <w:bCs/>
          <w:color w:val="auto"/>
          <w:u w:val="single"/>
          <w:lang w:val="en-US" w:eastAsia="zh-CN"/>
        </w:rPr>
      </w:pPr>
      <w:r>
        <w:rPr>
          <w:rFonts w:hint="eastAsia"/>
          <w:b/>
          <w:bCs/>
          <w:color w:val="auto"/>
          <w:u w:val="single"/>
          <w:lang w:val="en-US" w:eastAsia="zh-CN"/>
        </w:rPr>
        <w:t>6.2.3.2地下水环境质量现状监测</w:t>
      </w:r>
    </w:p>
    <w:p>
      <w:pPr>
        <w:rPr>
          <w:rFonts w:hint="eastAsia"/>
          <w:color w:val="auto"/>
          <w:sz w:val="24"/>
          <w:szCs w:val="24"/>
          <w:lang w:val="en-US" w:eastAsia="zh-CN"/>
        </w:rPr>
      </w:pPr>
      <w:r>
        <w:rPr>
          <w:rFonts w:hint="eastAsia"/>
          <w:color w:val="auto"/>
          <w:sz w:val="24"/>
          <w:szCs w:val="24"/>
          <w:lang w:val="en-US" w:eastAsia="zh-CN"/>
        </w:rPr>
        <w:t>为了解拟建地区域内地下水环境质量现状，本次环评委托岳阳市衡润检测有限公司于2017年1月3日对项目拟建地东北面胥家桥村居民点、</w:t>
      </w:r>
      <w:r>
        <w:rPr>
          <w:rFonts w:hint="eastAsia"/>
          <w:color w:val="auto"/>
          <w:vertAlign w:val="baseline"/>
          <w:lang w:val="en-US" w:eastAsia="zh-CN"/>
        </w:rPr>
        <w:t>南面花果畈村居民水井、西面居民水井</w:t>
      </w:r>
      <w:r>
        <w:rPr>
          <w:rFonts w:hint="eastAsia"/>
          <w:color w:val="auto"/>
          <w:sz w:val="24"/>
          <w:szCs w:val="24"/>
          <w:lang w:val="en-US" w:eastAsia="zh-CN"/>
        </w:rPr>
        <w:t>地下水、垃圾填埋场内本底井和1#污染监视井（填埋场地下水流向下游30m）、2#污染监视井（填埋场地下水流向下游50m）水质进行检测。场区内水井检测结果见表6-6，居民点地下水检测结果见表6-7。</w:t>
      </w:r>
    </w:p>
    <w:p>
      <w:pPr>
        <w:pStyle w:val="23"/>
        <w:rPr>
          <w:b/>
          <w:bCs/>
        </w:rPr>
      </w:pPr>
      <w:r>
        <w:rPr>
          <w:rFonts w:hint="eastAsia"/>
          <w:b/>
          <w:bCs/>
        </w:rPr>
        <w:t>表6-</w:t>
      </w:r>
      <w:r>
        <w:rPr>
          <w:rFonts w:hint="eastAsia"/>
          <w:b/>
          <w:bCs/>
          <w:lang w:val="en-US" w:eastAsia="zh-CN"/>
        </w:rPr>
        <w:t>6</w:t>
      </w:r>
      <w:r>
        <w:rPr>
          <w:rFonts w:hint="eastAsia"/>
          <w:b/>
          <w:bCs/>
        </w:rPr>
        <w:t xml:space="preserve"> 填埋场内地下水环境质量检测结果一览表</w:t>
      </w:r>
    </w:p>
    <w:tbl>
      <w:tblPr>
        <w:tblStyle w:val="20"/>
        <w:tblW w:w="906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5"/>
        <w:gridCol w:w="1457"/>
        <w:gridCol w:w="1457"/>
        <w:gridCol w:w="1618"/>
        <w:gridCol w:w="1618"/>
        <w:gridCol w:w="16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8" w:hRule="atLeast"/>
          <w:tblHeader/>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检测因子</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1#监视井</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2#监视井</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本底井</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是否达标</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lang w:val="en-US" w:eastAsia="zh-CN"/>
              </w:rPr>
              <w:t>p</w:t>
            </w:r>
            <w:r>
              <w:rPr>
                <w:rFonts w:hint="eastAsia"/>
              </w:rPr>
              <w:t>H</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6.85</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7.05</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6.76</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6.5~8.5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COD</w:t>
            </w:r>
            <w:r>
              <w:rPr>
                <w:rFonts w:hint="eastAsia"/>
                <w:vertAlign w:val="subscript"/>
              </w:rPr>
              <w:t>Mn</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1.85</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2.49</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1.12</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NH</w:t>
            </w:r>
            <w:r>
              <w:rPr>
                <w:rFonts w:hint="eastAsia"/>
                <w:vertAlign w:val="subscript"/>
              </w:rPr>
              <w:t>3</w:t>
            </w:r>
            <w:r>
              <w:rPr>
                <w:rFonts w:hint="eastAsia"/>
              </w:rPr>
              <w:t>-N</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0.05</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0.13</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0.07</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挥发酚</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0.002ND</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总大肠菌群</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15</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13</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否</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亚硝酸盐氮</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0.008</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0.010</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0.005</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硝酸盐氮</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1.98</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15.14</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1.34</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总硬度</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5.84</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2.04</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0.64</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硫酸盐</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35.9</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25.6</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14.8</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氯化物</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677.44</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69.03</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11.42</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否</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氰化物</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0.004ND</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0.004ND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0.004ND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氟</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0.42</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0.30</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0.27</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砷</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0.0005</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0.0009</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0.0007</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汞</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w:t>
            </w:r>
            <w:r>
              <w:rPr>
                <w:rFonts w:hint="eastAsia"/>
                <w:lang w:val="en-US" w:eastAsia="zh-CN"/>
              </w:rPr>
              <w:t>7</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w:t>
            </w:r>
            <w:r>
              <w:rPr>
                <w:rFonts w:hint="eastAsia"/>
                <w:lang w:val="en-US" w:eastAsia="zh-CN"/>
              </w:rPr>
              <w:t>4</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w:t>
            </w:r>
            <w:r>
              <w:rPr>
                <w:rFonts w:hint="eastAsia"/>
                <w:lang w:val="en-US" w:eastAsia="zh-CN"/>
              </w:rPr>
              <w:t>4</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总铬</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0.03</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0.03</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0.04</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六价铬</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0.020</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0.022</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0.032</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镉</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0.0001ND</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0.0012</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0.0001ND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铅</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ND</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铜</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0.01</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0.03</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0.02</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锌</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0.01ND</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0.01ND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0.01ND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铁</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0.03ND</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0.03ND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0.03ND</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exact"/>
          <w:jc w:val="center"/>
        </w:trPr>
        <w:tc>
          <w:tcPr>
            <w:tcW w:w="1295"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锰</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0.06</w:t>
            </w:r>
          </w:p>
        </w:tc>
        <w:tc>
          <w:tcPr>
            <w:tcW w:w="145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0.02</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0.02</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是</w:t>
            </w:r>
          </w:p>
        </w:tc>
        <w:tc>
          <w:tcPr>
            <w:tcW w:w="1618"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0.1</w:t>
            </w:r>
          </w:p>
        </w:tc>
      </w:tr>
    </w:tbl>
    <w:p>
      <w:pPr>
        <w:ind w:firstLine="480"/>
        <w:rPr>
          <w:rFonts w:hint="eastAsia"/>
          <w:color w:val="auto"/>
          <w:sz w:val="24"/>
          <w:szCs w:val="24"/>
          <w:lang w:val="en-US" w:eastAsia="zh-CN"/>
        </w:rPr>
      </w:pPr>
      <w:r>
        <w:rPr>
          <w:rFonts w:hint="eastAsia"/>
        </w:rPr>
        <w:t>由上表可知，本项目评价区域范围内地下水检测因子除监测井中的总大肠菌群、氯化物因子未能达到《地下水质量标准》（GB/T14848-93）中Ⅲ</w:t>
      </w:r>
      <w:r>
        <w:t>类标准</w:t>
      </w:r>
      <w:r>
        <w:rPr>
          <w:rFonts w:hint="eastAsia"/>
        </w:rPr>
        <w:t>要求，其他检测因子均能满足《地下水质量标准》（GB/T14848-93）中Ⅲ</w:t>
      </w:r>
      <w:r>
        <w:t>类标准</w:t>
      </w:r>
      <w:r>
        <w:rPr>
          <w:rFonts w:hint="eastAsia"/>
        </w:rPr>
        <w:t>要求。</w:t>
      </w:r>
    </w:p>
    <w:p>
      <w:pPr>
        <w:pStyle w:val="23"/>
        <w:rPr>
          <w:rFonts w:hint="eastAsia"/>
          <w:b/>
          <w:bCs/>
          <w:color w:val="auto"/>
          <w:lang w:val="en-US" w:eastAsia="zh-CN"/>
        </w:rPr>
      </w:pPr>
      <w:r>
        <w:rPr>
          <w:rFonts w:hint="eastAsia"/>
          <w:b/>
          <w:bCs/>
          <w:color w:val="auto"/>
          <w:lang w:val="en-US" w:eastAsia="zh-CN"/>
        </w:rPr>
        <w:t>表6-7 居民点地下水环境质量检测结果一览表</w:t>
      </w:r>
    </w:p>
    <w:tbl>
      <w:tblPr>
        <w:tblStyle w:val="20"/>
        <w:tblW w:w="85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0"/>
        <w:gridCol w:w="1770"/>
        <w:gridCol w:w="1800"/>
        <w:gridCol w:w="1380"/>
        <w:gridCol w:w="841"/>
        <w:gridCol w:w="14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5" w:hRule="exact"/>
          <w:tblHeader/>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检测因子</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项目地东北面胥家桥村居民水井</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项目地南面花果畈村居民水井</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项目地西面居民水井</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是否达标</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pH</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7.54</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7.37</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7.46</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6.5~8.5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COD</w:t>
            </w:r>
            <w:r>
              <w:rPr>
                <w:rFonts w:hint="eastAsia"/>
                <w:color w:val="auto"/>
                <w:vertAlign w:val="subscript"/>
                <w:lang w:val="en-US" w:eastAsia="zh-CN"/>
              </w:rPr>
              <w:t>Mn</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3.2</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3.8</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3.9</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否</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NH</w:t>
            </w:r>
            <w:r>
              <w:rPr>
                <w:rFonts w:hint="eastAsia"/>
                <w:color w:val="auto"/>
                <w:vertAlign w:val="subscript"/>
                <w:lang w:val="en-US" w:eastAsia="zh-CN"/>
              </w:rPr>
              <w:t>3</w:t>
            </w:r>
            <w:r>
              <w:rPr>
                <w:rFonts w:hint="eastAsia"/>
                <w:color w:val="auto"/>
                <w:lang w:val="en-US" w:eastAsia="zh-CN"/>
              </w:rPr>
              <w:t>-N</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0.47</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4.42</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0.84</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否</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挥发酚</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0.003</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0.0003ND</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0.0003ND</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5"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总大肠菌群</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26</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28</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33</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否</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亚硝酸盐氮</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0.033</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0.030</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0.029</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否</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硝酸盐氮</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0.61</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0.68</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0.72</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总硬度</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1.31</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1.54</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1.51</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硫酸盐</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25.7</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27.7</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26.5</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氯化物</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37.45</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25.53</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32.47</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氰化物</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0.004ND</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0.004ND</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0.004ND</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氟</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0.67</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0.29</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0.33</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砷</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0.0003ND</w:t>
            </w:r>
          </w:p>
        </w:tc>
        <w:tc>
          <w:tcPr>
            <w:tcW w:w="1800"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0.0003ND</w:t>
            </w:r>
          </w:p>
        </w:tc>
        <w:tc>
          <w:tcPr>
            <w:tcW w:w="1380"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0.0003ND</w:t>
            </w:r>
          </w:p>
        </w:tc>
        <w:tc>
          <w:tcPr>
            <w:tcW w:w="841"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汞</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0.00004ND</w:t>
            </w:r>
          </w:p>
        </w:tc>
        <w:tc>
          <w:tcPr>
            <w:tcW w:w="1800"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0.00004ND</w:t>
            </w:r>
          </w:p>
        </w:tc>
        <w:tc>
          <w:tcPr>
            <w:tcW w:w="1380"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0.00004ND</w:t>
            </w:r>
          </w:p>
        </w:tc>
        <w:tc>
          <w:tcPr>
            <w:tcW w:w="841"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textDirection w:val="lrTb"/>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总铬</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0.21</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0.27</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0.34</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六价铬</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0.022</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0.042</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0.028</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镉</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0.0001ND</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0.0001ND</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0.0001ND</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铅</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0.00117</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0.00089</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0.00096</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铜</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0.01ND</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0.01ND</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0.01ND</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锌</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0.01ND</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0.01ND</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0.01ND</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是</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铁</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1.19</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0.44</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0.35</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否</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exact"/>
          <w:jc w:val="center"/>
        </w:trPr>
        <w:tc>
          <w:tcPr>
            <w:tcW w:w="12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锰</w:t>
            </w:r>
          </w:p>
        </w:tc>
        <w:tc>
          <w:tcPr>
            <w:tcW w:w="177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0.94</w:t>
            </w:r>
          </w:p>
        </w:tc>
        <w:tc>
          <w:tcPr>
            <w:tcW w:w="180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0.61</w:t>
            </w:r>
          </w:p>
        </w:tc>
        <w:tc>
          <w:tcPr>
            <w:tcW w:w="1380"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0.48</w:t>
            </w:r>
          </w:p>
        </w:tc>
        <w:tc>
          <w:tcPr>
            <w:tcW w:w="841"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否</w:t>
            </w:r>
          </w:p>
        </w:tc>
        <w:tc>
          <w:tcPr>
            <w:tcW w:w="1459" w:type="dxa"/>
            <w:vAlign w:val="center"/>
          </w:tcPr>
          <w:p>
            <w:pPr>
              <w:pStyle w:val="23"/>
              <w:keepNext w:val="0"/>
              <w:keepLines w:val="0"/>
              <w:suppressLineNumbers w:val="0"/>
              <w:spacing w:before="0" w:beforeAutospacing="0" w:after="0" w:afterAutospacing="0" w:line="240" w:lineRule="auto"/>
              <w:ind w:left="0" w:right="0"/>
              <w:rPr>
                <w:rFonts w:hint="eastAsia"/>
                <w:color w:val="auto"/>
                <w:lang w:val="en-US" w:eastAsia="zh-CN"/>
              </w:rPr>
            </w:pPr>
            <w:r>
              <w:rPr>
                <w:rFonts w:hint="eastAsia"/>
                <w:color w:val="auto"/>
                <w:lang w:val="en-US" w:eastAsia="zh-CN"/>
              </w:rPr>
              <w:t>0.1</w:t>
            </w:r>
          </w:p>
        </w:tc>
      </w:tr>
    </w:tbl>
    <w:p>
      <w:pPr>
        <w:rPr>
          <w:rFonts w:hint="eastAsia"/>
          <w:color w:val="auto"/>
          <w:u w:val="single"/>
          <w:lang w:eastAsia="zh-CN"/>
        </w:rPr>
      </w:pPr>
      <w:r>
        <w:rPr>
          <w:rFonts w:hint="eastAsia"/>
          <w:color w:val="auto"/>
          <w:lang w:val="en-US" w:eastAsia="zh-CN"/>
        </w:rPr>
        <w:t>由上表可知，</w:t>
      </w:r>
      <w:r>
        <w:rPr>
          <w:rFonts w:hint="eastAsia"/>
          <w:color w:val="auto"/>
          <w:u w:val="single"/>
          <w:lang w:val="en-US" w:eastAsia="zh-CN"/>
        </w:rPr>
        <w:t>本项目评价区域范围内地下水检测因子除COD</w:t>
      </w:r>
      <w:r>
        <w:rPr>
          <w:rFonts w:hint="eastAsia"/>
          <w:color w:val="auto"/>
          <w:u w:val="single"/>
          <w:vertAlign w:val="subscript"/>
          <w:lang w:val="en-US" w:eastAsia="zh-CN"/>
        </w:rPr>
        <w:t>Mn</w:t>
      </w:r>
      <w:r>
        <w:rPr>
          <w:rFonts w:hint="eastAsia"/>
          <w:color w:val="auto"/>
          <w:u w:val="single"/>
          <w:vertAlign w:val="baseline"/>
          <w:lang w:val="en-US" w:eastAsia="zh-CN"/>
        </w:rPr>
        <w:t>、氨氮、总大肠菌群、亚硝酸盐氮、铁、锰6项因子外未能达到《地下水质量标准》（GB/T14848-93）中</w:t>
      </w:r>
      <w:r>
        <w:rPr>
          <w:rFonts w:hint="eastAsia"/>
          <w:color w:val="auto"/>
          <w:u w:val="single"/>
        </w:rPr>
        <w:t>Ⅲ</w:t>
      </w:r>
      <w:r>
        <w:rPr>
          <w:color w:val="auto"/>
          <w:u w:val="single"/>
        </w:rPr>
        <w:t>类标准</w:t>
      </w:r>
      <w:r>
        <w:rPr>
          <w:rFonts w:hint="eastAsia"/>
          <w:color w:val="auto"/>
          <w:u w:val="single"/>
        </w:rPr>
        <w:t>要求</w:t>
      </w:r>
      <w:r>
        <w:rPr>
          <w:rFonts w:hint="eastAsia"/>
          <w:color w:val="auto"/>
          <w:u w:val="single"/>
          <w:lang w:eastAsia="zh-CN"/>
        </w:rPr>
        <w:t>，其他检测因子均能满足</w:t>
      </w:r>
      <w:r>
        <w:rPr>
          <w:rFonts w:hint="eastAsia"/>
          <w:color w:val="auto"/>
          <w:u w:val="single"/>
          <w:vertAlign w:val="baseline"/>
          <w:lang w:val="en-US" w:eastAsia="zh-CN"/>
        </w:rPr>
        <w:t>《地下水质量标准》（GB/T14848-93）中</w:t>
      </w:r>
      <w:r>
        <w:rPr>
          <w:rFonts w:hint="eastAsia"/>
          <w:color w:val="auto"/>
          <w:u w:val="single"/>
        </w:rPr>
        <w:t>Ⅲ</w:t>
      </w:r>
      <w:r>
        <w:rPr>
          <w:color w:val="auto"/>
          <w:u w:val="single"/>
        </w:rPr>
        <w:t>类标准</w:t>
      </w:r>
      <w:r>
        <w:rPr>
          <w:rFonts w:hint="eastAsia"/>
          <w:color w:val="auto"/>
          <w:u w:val="single"/>
        </w:rPr>
        <w:t>要求</w:t>
      </w:r>
      <w:r>
        <w:rPr>
          <w:rFonts w:hint="eastAsia"/>
          <w:color w:val="auto"/>
          <w:u w:val="single"/>
          <w:lang w:eastAsia="zh-CN"/>
        </w:rPr>
        <w:t>。根据表</w:t>
      </w:r>
      <w:r>
        <w:rPr>
          <w:rFonts w:hint="eastAsia"/>
          <w:color w:val="auto"/>
          <w:u w:val="single"/>
          <w:lang w:val="en-US" w:eastAsia="zh-CN"/>
        </w:rPr>
        <w:t>6-6，垃圾填埋场本底井和污染监视井水质较好，因此，居民地下水铁、锰出现超标的原因可能是铁、锰背景值较高；COD</w:t>
      </w:r>
      <w:r>
        <w:rPr>
          <w:rFonts w:hint="eastAsia"/>
          <w:color w:val="auto"/>
          <w:u w:val="single"/>
          <w:vertAlign w:val="subscript"/>
          <w:lang w:val="en-US" w:eastAsia="zh-CN"/>
        </w:rPr>
        <w:t>Mn</w:t>
      </w:r>
      <w:r>
        <w:rPr>
          <w:rFonts w:hint="eastAsia"/>
          <w:color w:val="auto"/>
          <w:u w:val="single"/>
          <w:vertAlign w:val="baseline"/>
          <w:lang w:val="en-US" w:eastAsia="zh-CN"/>
        </w:rPr>
        <w:t>、氨氮、总大肠菌群、亚硝酸盐氮出现超标的原因可能是由于周边居民生活污水未经处理直排或区域内小型养殖场废水未经处理直排造成</w:t>
      </w:r>
      <w:r>
        <w:rPr>
          <w:rFonts w:hint="eastAsia"/>
          <w:color w:val="auto"/>
          <w:u w:val="single"/>
          <w:lang w:eastAsia="zh-CN"/>
        </w:rPr>
        <w:t>。</w:t>
      </w:r>
    </w:p>
    <w:p>
      <w:pPr>
        <w:pStyle w:val="4"/>
        <w:rPr>
          <w:rFonts w:hint="eastAsia"/>
          <w:color w:val="auto"/>
          <w:lang w:val="en-US" w:eastAsia="zh-CN"/>
        </w:rPr>
      </w:pPr>
      <w:r>
        <w:rPr>
          <w:rFonts w:hint="eastAsia"/>
          <w:color w:val="auto"/>
          <w:lang w:val="en-US" w:eastAsia="zh-CN"/>
        </w:rPr>
        <w:t>6.2.4声环境质量现状调查与评价</w:t>
      </w:r>
    </w:p>
    <w:p>
      <w:pPr>
        <w:rPr>
          <w:rFonts w:hint="eastAsia"/>
          <w:color w:val="auto"/>
          <w:lang w:val="en-US" w:eastAsia="zh-CN"/>
        </w:rPr>
      </w:pPr>
      <w:r>
        <w:rPr>
          <w:rFonts w:hint="eastAsia"/>
          <w:color w:val="auto"/>
          <w:lang w:val="en-US" w:eastAsia="zh-CN"/>
        </w:rPr>
        <w:t>为了了解项目拟建地声环境质量现状，本次环评委托岳阳市衡润检测有限公司对项目拟建地场界四周进行了声环境质量现状监测。</w:t>
      </w:r>
    </w:p>
    <w:p>
      <w:pPr>
        <w:numPr>
          <w:ilvl w:val="0"/>
          <w:numId w:val="12"/>
        </w:numPr>
        <w:rPr>
          <w:rFonts w:hint="eastAsia"/>
          <w:color w:val="auto"/>
          <w:lang w:val="en-US" w:eastAsia="zh-CN"/>
        </w:rPr>
      </w:pPr>
      <w:r>
        <w:rPr>
          <w:rFonts w:hint="eastAsia"/>
          <w:color w:val="auto"/>
          <w:lang w:val="en-US" w:eastAsia="zh-CN"/>
        </w:rPr>
        <w:t>监测布点</w:t>
      </w:r>
    </w:p>
    <w:p>
      <w:pPr>
        <w:autoSpaceDE w:val="0"/>
        <w:autoSpaceDN w:val="0"/>
        <w:adjustRightInd w:val="0"/>
        <w:spacing w:line="360" w:lineRule="auto"/>
        <w:ind w:firstLine="480" w:firstLineChars="200"/>
        <w:rPr>
          <w:rFonts w:hint="eastAsia"/>
          <w:color w:val="auto"/>
          <w:kern w:val="0"/>
          <w:sz w:val="24"/>
        </w:rPr>
      </w:pPr>
      <w:r>
        <w:rPr>
          <w:color w:val="auto"/>
          <w:kern w:val="0"/>
          <w:sz w:val="24"/>
        </w:rPr>
        <w:t>项目沿</w:t>
      </w:r>
      <w:r>
        <w:rPr>
          <w:rFonts w:hint="eastAsia"/>
          <w:color w:val="auto"/>
          <w:kern w:val="0"/>
          <w:sz w:val="24"/>
          <w:lang w:eastAsia="zh-CN"/>
        </w:rPr>
        <w:t>填埋场</w:t>
      </w:r>
      <w:r>
        <w:rPr>
          <w:rFonts w:hint="eastAsia"/>
          <w:color w:val="auto"/>
          <w:kern w:val="0"/>
          <w:sz w:val="24"/>
        </w:rPr>
        <w:t>四周各布设1个点，</w:t>
      </w:r>
      <w:r>
        <w:rPr>
          <w:color w:val="auto"/>
          <w:kern w:val="0"/>
          <w:sz w:val="24"/>
        </w:rPr>
        <w:t>共设</w:t>
      </w:r>
      <w:r>
        <w:rPr>
          <w:rFonts w:hint="eastAsia"/>
          <w:color w:val="auto"/>
          <w:kern w:val="0"/>
          <w:sz w:val="24"/>
        </w:rPr>
        <w:t>4</w:t>
      </w:r>
      <w:r>
        <w:rPr>
          <w:color w:val="auto"/>
          <w:kern w:val="0"/>
          <w:sz w:val="24"/>
        </w:rPr>
        <w:t>个点。按国家规定的噪声测试规范要求进行昼间和夜间环境噪声监测。</w:t>
      </w:r>
    </w:p>
    <w:p>
      <w:pPr>
        <w:autoSpaceDE w:val="0"/>
        <w:autoSpaceDN w:val="0"/>
        <w:adjustRightInd w:val="0"/>
        <w:spacing w:line="360" w:lineRule="auto"/>
        <w:ind w:firstLine="480" w:firstLineChars="200"/>
        <w:jc w:val="left"/>
        <w:rPr>
          <w:color w:val="auto"/>
          <w:kern w:val="0"/>
          <w:sz w:val="24"/>
        </w:rPr>
      </w:pPr>
      <w:r>
        <w:rPr>
          <w:rFonts w:hint="eastAsia"/>
          <w:color w:val="auto"/>
          <w:kern w:val="0"/>
          <w:sz w:val="24"/>
          <w:lang w:val="en-US" w:eastAsia="zh-CN"/>
        </w:rPr>
        <w:t>2、</w:t>
      </w:r>
      <w:r>
        <w:rPr>
          <w:color w:val="auto"/>
          <w:kern w:val="0"/>
          <w:sz w:val="24"/>
        </w:rPr>
        <w:t>监测时段</w:t>
      </w:r>
    </w:p>
    <w:p>
      <w:pPr>
        <w:autoSpaceDE w:val="0"/>
        <w:autoSpaceDN w:val="0"/>
        <w:adjustRightInd w:val="0"/>
        <w:spacing w:line="360" w:lineRule="auto"/>
        <w:ind w:firstLine="480" w:firstLineChars="200"/>
        <w:jc w:val="left"/>
        <w:rPr>
          <w:color w:val="auto"/>
          <w:kern w:val="0"/>
          <w:sz w:val="24"/>
        </w:rPr>
      </w:pPr>
      <w:r>
        <w:rPr>
          <w:color w:val="auto"/>
          <w:kern w:val="0"/>
          <w:sz w:val="24"/>
        </w:rPr>
        <w:t>按环评技术导则规定，分别测定昼间和夜间的环境等效A声级，并连续监测两天，连续监测2天，昼、夜间各一次。</w:t>
      </w:r>
    </w:p>
    <w:p>
      <w:pPr>
        <w:autoSpaceDE w:val="0"/>
        <w:autoSpaceDN w:val="0"/>
        <w:adjustRightInd w:val="0"/>
        <w:spacing w:line="360" w:lineRule="auto"/>
        <w:ind w:firstLine="480" w:firstLineChars="200"/>
        <w:jc w:val="left"/>
        <w:rPr>
          <w:color w:val="auto"/>
          <w:kern w:val="0"/>
          <w:sz w:val="24"/>
        </w:rPr>
      </w:pPr>
      <w:r>
        <w:rPr>
          <w:rFonts w:hint="eastAsia"/>
          <w:color w:val="auto"/>
          <w:kern w:val="0"/>
          <w:sz w:val="24"/>
          <w:lang w:val="en-US" w:eastAsia="zh-CN"/>
        </w:rPr>
        <w:t>3、</w:t>
      </w:r>
      <w:r>
        <w:rPr>
          <w:color w:val="auto"/>
          <w:kern w:val="0"/>
          <w:sz w:val="24"/>
        </w:rPr>
        <w:t>监测方法</w:t>
      </w:r>
    </w:p>
    <w:p>
      <w:pPr>
        <w:autoSpaceDE w:val="0"/>
        <w:autoSpaceDN w:val="0"/>
        <w:adjustRightInd w:val="0"/>
        <w:spacing w:line="360" w:lineRule="auto"/>
        <w:ind w:firstLine="480" w:firstLineChars="200"/>
        <w:jc w:val="left"/>
        <w:rPr>
          <w:color w:val="auto"/>
          <w:kern w:val="0"/>
          <w:sz w:val="24"/>
        </w:rPr>
      </w:pPr>
      <w:r>
        <w:rPr>
          <w:color w:val="auto"/>
          <w:kern w:val="0"/>
          <w:sz w:val="24"/>
        </w:rPr>
        <w:t>按《声</w:t>
      </w:r>
      <w:r>
        <w:rPr>
          <w:rFonts w:hint="eastAsia"/>
          <w:color w:val="auto"/>
          <w:kern w:val="0"/>
          <w:sz w:val="24"/>
        </w:rPr>
        <w:t>环境质量标准</w:t>
      </w:r>
      <w:r>
        <w:rPr>
          <w:color w:val="auto"/>
          <w:kern w:val="0"/>
          <w:sz w:val="24"/>
        </w:rPr>
        <w:t>》</w:t>
      </w:r>
      <w:r>
        <w:rPr>
          <w:color w:val="auto"/>
          <w:sz w:val="24"/>
        </w:rPr>
        <w:t>GB3096-2008</w:t>
      </w:r>
      <w:r>
        <w:rPr>
          <w:color w:val="auto"/>
          <w:kern w:val="0"/>
          <w:sz w:val="24"/>
        </w:rPr>
        <w:t>规定方法和要求执行，采用符合国家计量规定的声级计进行监测。室外测量的气象条件应满足无雨、无雪、风力小于四级(5.5m/s)。</w:t>
      </w:r>
    </w:p>
    <w:p>
      <w:pPr>
        <w:numPr>
          <w:ilvl w:val="0"/>
          <w:numId w:val="13"/>
        </w:numPr>
        <w:rPr>
          <w:rFonts w:hint="eastAsia"/>
          <w:color w:val="auto"/>
          <w:lang w:val="en-US" w:eastAsia="zh-CN"/>
        </w:rPr>
      </w:pPr>
      <w:r>
        <w:rPr>
          <w:rFonts w:hint="eastAsia"/>
          <w:color w:val="auto"/>
          <w:lang w:val="en-US" w:eastAsia="zh-CN"/>
        </w:rPr>
        <w:t>监测结果及评价</w:t>
      </w:r>
    </w:p>
    <w:p>
      <w:pPr>
        <w:rPr>
          <w:rFonts w:hint="eastAsia"/>
          <w:color w:val="auto"/>
          <w:lang w:val="en-US" w:eastAsia="zh-CN"/>
        </w:rPr>
      </w:pPr>
      <w:r>
        <w:rPr>
          <w:rFonts w:hint="eastAsia"/>
          <w:color w:val="auto"/>
          <w:lang w:val="en-US" w:eastAsia="zh-CN"/>
        </w:rPr>
        <w:t>本次声环境质量现状监测时间为2017年1月3日~4日，对各监测点环境噪声监测数据统计见表6-8。</w:t>
      </w:r>
    </w:p>
    <w:p>
      <w:pPr>
        <w:pStyle w:val="23"/>
        <w:rPr>
          <w:b/>
          <w:bCs/>
          <w:color w:val="auto"/>
        </w:rPr>
      </w:pPr>
      <w:r>
        <w:rPr>
          <w:b/>
          <w:bCs/>
          <w:color w:val="auto"/>
        </w:rPr>
        <w:t>表</w:t>
      </w:r>
      <w:r>
        <w:rPr>
          <w:rFonts w:hint="eastAsia"/>
          <w:b/>
          <w:bCs/>
          <w:color w:val="auto"/>
          <w:lang w:val="en-US" w:eastAsia="zh-CN"/>
        </w:rPr>
        <w:t>6-8</w:t>
      </w:r>
      <w:r>
        <w:rPr>
          <w:b/>
          <w:bCs/>
          <w:color w:val="auto"/>
        </w:rPr>
        <w:t>评价区环境噪声监测统计与评价结果         dB（A）</w:t>
      </w:r>
    </w:p>
    <w:tbl>
      <w:tblPr>
        <w:tblStyle w:val="20"/>
        <w:tblW w:w="85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4"/>
        <w:gridCol w:w="783"/>
        <w:gridCol w:w="1360"/>
        <w:gridCol w:w="1360"/>
        <w:gridCol w:w="1360"/>
        <w:gridCol w:w="1360"/>
        <w:gridCol w:w="13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4" w:hRule="atLeast"/>
        </w:trPr>
        <w:tc>
          <w:tcPr>
            <w:tcW w:w="1717" w:type="dxa"/>
            <w:gridSpan w:val="2"/>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检测时间</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厂界北</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厂界东</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厂界南</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厂界西</w:t>
            </w:r>
          </w:p>
        </w:tc>
        <w:tc>
          <w:tcPr>
            <w:tcW w:w="1362"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4" w:hRule="atLeast"/>
        </w:trPr>
        <w:tc>
          <w:tcPr>
            <w:tcW w:w="934" w:type="dxa"/>
            <w:vMerge w:val="restart"/>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1月3日</w:t>
            </w:r>
          </w:p>
        </w:tc>
        <w:tc>
          <w:tcPr>
            <w:tcW w:w="783"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昼间</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58.7</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57.2</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56.1</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59.1</w:t>
            </w:r>
          </w:p>
        </w:tc>
        <w:tc>
          <w:tcPr>
            <w:tcW w:w="1362"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4" w:hRule="atLeast"/>
        </w:trPr>
        <w:tc>
          <w:tcPr>
            <w:tcW w:w="934" w:type="dxa"/>
            <w:vMerge w:val="continue"/>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p>
        </w:tc>
        <w:tc>
          <w:tcPr>
            <w:tcW w:w="783"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夜间</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43.6</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44.5</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41.2</w:t>
            </w:r>
          </w:p>
        </w:tc>
        <w:tc>
          <w:tcPr>
            <w:tcW w:w="1360"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44.6</w:t>
            </w:r>
          </w:p>
        </w:tc>
        <w:tc>
          <w:tcPr>
            <w:tcW w:w="1362" w:type="dxa"/>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4" w:hRule="atLeast"/>
        </w:trPr>
        <w:tc>
          <w:tcPr>
            <w:tcW w:w="934" w:type="dxa"/>
            <w:vMerge w:val="restart"/>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1月4日</w:t>
            </w:r>
          </w:p>
        </w:tc>
        <w:tc>
          <w:tcPr>
            <w:tcW w:w="783"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昼间</w:t>
            </w:r>
          </w:p>
        </w:tc>
        <w:tc>
          <w:tcPr>
            <w:tcW w:w="1360"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57.3</w:t>
            </w:r>
          </w:p>
        </w:tc>
        <w:tc>
          <w:tcPr>
            <w:tcW w:w="1360"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57.9</w:t>
            </w:r>
          </w:p>
        </w:tc>
        <w:tc>
          <w:tcPr>
            <w:tcW w:w="1360"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58.1</w:t>
            </w:r>
          </w:p>
        </w:tc>
        <w:tc>
          <w:tcPr>
            <w:tcW w:w="1360"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59.7</w:t>
            </w:r>
          </w:p>
        </w:tc>
        <w:tc>
          <w:tcPr>
            <w:tcW w:w="1362"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4" w:hRule="atLeast"/>
        </w:trPr>
        <w:tc>
          <w:tcPr>
            <w:tcW w:w="934" w:type="dxa"/>
            <w:vMerge w:val="continue"/>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p>
        </w:tc>
        <w:tc>
          <w:tcPr>
            <w:tcW w:w="783"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夜间</w:t>
            </w:r>
          </w:p>
        </w:tc>
        <w:tc>
          <w:tcPr>
            <w:tcW w:w="1360"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42.6</w:t>
            </w:r>
          </w:p>
        </w:tc>
        <w:tc>
          <w:tcPr>
            <w:tcW w:w="1360"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39.7</w:t>
            </w:r>
          </w:p>
        </w:tc>
        <w:tc>
          <w:tcPr>
            <w:tcW w:w="1360"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44.2</w:t>
            </w:r>
          </w:p>
        </w:tc>
        <w:tc>
          <w:tcPr>
            <w:tcW w:w="1360"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43.6</w:t>
            </w:r>
          </w:p>
        </w:tc>
        <w:tc>
          <w:tcPr>
            <w:tcW w:w="1362" w:type="dxa"/>
            <w:textDirection w:val="lrTb"/>
            <w:vAlign w:val="center"/>
          </w:tcPr>
          <w:p>
            <w:pPr>
              <w:pStyle w:val="23"/>
              <w:keepNext w:val="0"/>
              <w:keepLines w:val="0"/>
              <w:suppressLineNumbers w:val="0"/>
              <w:spacing w:before="0" w:beforeAutospacing="0" w:after="0" w:afterAutospacing="0" w:line="240" w:lineRule="auto"/>
              <w:ind w:left="0" w:right="0"/>
              <w:jc w:val="center"/>
              <w:rPr>
                <w:rFonts w:hint="eastAsia"/>
                <w:color w:val="auto"/>
                <w:lang w:val="en-US" w:eastAsia="zh-CN"/>
              </w:rPr>
            </w:pPr>
            <w:r>
              <w:rPr>
                <w:rFonts w:hint="eastAsia"/>
                <w:color w:val="auto"/>
                <w:lang w:val="en-US" w:eastAsia="zh-CN"/>
              </w:rPr>
              <w:t>50</w:t>
            </w:r>
          </w:p>
        </w:tc>
      </w:tr>
    </w:tbl>
    <w:p>
      <w:pPr>
        <w:widowControl/>
        <w:spacing w:line="360" w:lineRule="auto"/>
        <w:ind w:firstLine="480" w:firstLineChars="200"/>
        <w:jc w:val="left"/>
        <w:rPr>
          <w:rFonts w:hint="eastAsia"/>
          <w:color w:val="auto"/>
          <w:kern w:val="0"/>
          <w:sz w:val="24"/>
        </w:rPr>
      </w:pPr>
      <w:r>
        <w:rPr>
          <w:color w:val="auto"/>
          <w:kern w:val="0"/>
          <w:sz w:val="24"/>
        </w:rPr>
        <w:t>由</w:t>
      </w:r>
      <w:r>
        <w:rPr>
          <w:rFonts w:hint="eastAsia"/>
          <w:color w:val="auto"/>
          <w:kern w:val="0"/>
          <w:sz w:val="24"/>
          <w:lang w:eastAsia="zh-CN"/>
        </w:rPr>
        <w:t>上表检测</w:t>
      </w:r>
      <w:r>
        <w:rPr>
          <w:color w:val="auto"/>
          <w:kern w:val="0"/>
          <w:sz w:val="24"/>
        </w:rPr>
        <w:t>结果可以看出</w:t>
      </w:r>
      <w:r>
        <w:rPr>
          <w:rFonts w:hint="eastAsia"/>
          <w:color w:val="auto"/>
          <w:kern w:val="0"/>
          <w:sz w:val="24"/>
        </w:rPr>
        <w:t>，</w:t>
      </w:r>
      <w:r>
        <w:rPr>
          <w:rFonts w:hint="eastAsia"/>
          <w:color w:val="auto"/>
          <w:kern w:val="0"/>
          <w:sz w:val="24"/>
          <w:lang w:eastAsia="zh-CN"/>
        </w:rPr>
        <w:t>检测</w:t>
      </w:r>
      <w:r>
        <w:rPr>
          <w:color w:val="auto"/>
          <w:kern w:val="0"/>
          <w:sz w:val="24"/>
        </w:rPr>
        <w:t>期间</w:t>
      </w:r>
      <w:r>
        <w:rPr>
          <w:rFonts w:hint="eastAsia"/>
          <w:color w:val="auto"/>
          <w:kern w:val="0"/>
          <w:sz w:val="24"/>
        </w:rPr>
        <w:t>各</w:t>
      </w:r>
      <w:r>
        <w:rPr>
          <w:rFonts w:hint="eastAsia"/>
          <w:color w:val="auto"/>
          <w:kern w:val="0"/>
          <w:sz w:val="24"/>
          <w:lang w:eastAsia="zh-CN"/>
        </w:rPr>
        <w:t>检测</w:t>
      </w:r>
      <w:r>
        <w:rPr>
          <w:rFonts w:hint="eastAsia"/>
          <w:color w:val="auto"/>
          <w:kern w:val="0"/>
          <w:sz w:val="24"/>
        </w:rPr>
        <w:t>点昼夜</w:t>
      </w:r>
      <w:r>
        <w:rPr>
          <w:color w:val="auto"/>
          <w:kern w:val="0"/>
          <w:sz w:val="24"/>
        </w:rPr>
        <w:t>环境噪声均</w:t>
      </w:r>
      <w:r>
        <w:rPr>
          <w:rFonts w:hint="eastAsia"/>
          <w:color w:val="auto"/>
          <w:kern w:val="0"/>
          <w:sz w:val="24"/>
        </w:rPr>
        <w:t>能满足</w:t>
      </w:r>
      <w:r>
        <w:rPr>
          <w:color w:val="auto"/>
          <w:kern w:val="0"/>
          <w:sz w:val="24"/>
        </w:rPr>
        <w:t>《声环境质量标准》（GB309</w:t>
      </w:r>
      <w:r>
        <w:rPr>
          <w:rFonts w:hint="eastAsia"/>
          <w:color w:val="auto"/>
          <w:kern w:val="0"/>
          <w:sz w:val="24"/>
        </w:rPr>
        <w:t>-</w:t>
      </w:r>
      <w:r>
        <w:rPr>
          <w:color w:val="auto"/>
          <w:kern w:val="0"/>
          <w:sz w:val="24"/>
        </w:rPr>
        <w:t>2008）中的</w:t>
      </w:r>
      <w:r>
        <w:rPr>
          <w:rFonts w:hint="eastAsia"/>
          <w:color w:val="auto"/>
          <w:kern w:val="0"/>
          <w:sz w:val="24"/>
          <w:lang w:val="en-US" w:eastAsia="zh-CN"/>
        </w:rPr>
        <w:t>2</w:t>
      </w:r>
      <w:r>
        <w:rPr>
          <w:color w:val="auto"/>
          <w:kern w:val="0"/>
          <w:sz w:val="24"/>
        </w:rPr>
        <w:t>类标准要求</w:t>
      </w:r>
      <w:r>
        <w:rPr>
          <w:rFonts w:hint="eastAsia"/>
          <w:color w:val="auto"/>
          <w:kern w:val="0"/>
          <w:sz w:val="24"/>
        </w:rPr>
        <w:t>，说明项目所在地声环境质量现状较好。</w:t>
      </w:r>
    </w:p>
    <w:p>
      <w:pPr>
        <w:pStyle w:val="4"/>
        <w:rPr>
          <w:rFonts w:hint="eastAsia"/>
          <w:color w:val="auto"/>
          <w:lang w:val="en-US" w:eastAsia="zh-CN"/>
        </w:rPr>
      </w:pPr>
      <w:r>
        <w:rPr>
          <w:rFonts w:hint="eastAsia"/>
          <w:color w:val="auto"/>
          <w:lang w:val="en-US" w:eastAsia="zh-CN"/>
        </w:rPr>
        <w:t>6.2.5土壤环境质量现状调查与评价</w:t>
      </w:r>
    </w:p>
    <w:p>
      <w:pPr>
        <w:rPr>
          <w:rFonts w:hint="eastAsia"/>
          <w:color w:val="auto"/>
          <w:lang w:val="en-US" w:eastAsia="zh-CN"/>
        </w:rPr>
      </w:pPr>
      <w:r>
        <w:rPr>
          <w:rFonts w:hint="eastAsia"/>
          <w:color w:val="auto"/>
          <w:lang w:val="en-US" w:eastAsia="zh-CN"/>
        </w:rPr>
        <w:t>为了解拟建地土壤环境质量现状，特委托岳阳市衡润检测有限公司对花果贩生活垃圾填埋场污水处理站北侧及胥家桥村居民点进行土壤环境质量现状检测，采样时间为2017年1月3日。检测结果详见表6-9。</w:t>
      </w:r>
    </w:p>
    <w:p>
      <w:pPr>
        <w:pStyle w:val="23"/>
        <w:keepNext w:val="0"/>
        <w:keepLines w:val="0"/>
        <w:pageBreakBefore w:val="0"/>
        <w:widowControl w:val="0"/>
        <w:suppressLineNumbers w:val="0"/>
        <w:kinsoku/>
        <w:wordWrap/>
        <w:overflowPunct/>
        <w:topLinePunct w:val="0"/>
        <w:autoSpaceDE/>
        <w:autoSpaceDN/>
        <w:bidi w:val="0"/>
        <w:adjustRightInd/>
        <w:snapToGrid/>
        <w:spacing w:before="120" w:beforeAutospacing="0" w:after="0" w:afterAutospacing="0" w:line="360" w:lineRule="auto"/>
        <w:ind w:left="0" w:leftChars="0" w:right="0" w:rightChars="0" w:firstLine="0" w:firstLineChars="0"/>
        <w:jc w:val="center"/>
        <w:textAlignment w:val="center"/>
        <w:outlineLvl w:val="9"/>
        <w:rPr>
          <w:rFonts w:hint="eastAsia"/>
          <w:b/>
          <w:bCs/>
          <w:color w:val="auto"/>
          <w:lang w:val="en-US" w:eastAsia="zh-CN"/>
        </w:rPr>
      </w:pPr>
      <w:r>
        <w:rPr>
          <w:rFonts w:hint="eastAsia"/>
          <w:b/>
          <w:bCs/>
          <w:color w:val="auto"/>
          <w:lang w:val="en-US" w:eastAsia="zh-CN"/>
        </w:rPr>
        <w:t>表6-9 土壤现状检测结果一览表</w:t>
      </w:r>
    </w:p>
    <w:tbl>
      <w:tblPr>
        <w:tblStyle w:val="20"/>
        <w:tblW w:w="9084" w:type="dxa"/>
        <w:jc w:val="center"/>
        <w:tblInd w:w="-4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0"/>
        <w:gridCol w:w="938"/>
        <w:gridCol w:w="1133"/>
        <w:gridCol w:w="1350"/>
        <w:gridCol w:w="808"/>
        <w:gridCol w:w="744"/>
        <w:gridCol w:w="744"/>
        <w:gridCol w:w="744"/>
        <w:gridCol w:w="744"/>
        <w:gridCol w:w="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2" w:hRule="atLeast"/>
          <w:jc w:val="center"/>
        </w:trPr>
        <w:tc>
          <w:tcPr>
            <w:tcW w:w="1130" w:type="dxa"/>
            <w:vAlign w:val="center"/>
          </w:tcPr>
          <w:p>
            <w:pPr>
              <w:pStyle w:val="23"/>
              <w:keepNext w:val="0"/>
              <w:keepLines w:val="0"/>
              <w:suppressLineNumbers w:val="0"/>
              <w:spacing w:before="120" w:beforeAutospacing="0" w:after="0" w:afterAutospacing="0"/>
              <w:ind w:left="0" w:right="0"/>
              <w:jc w:val="center"/>
              <w:textAlignment w:val="center"/>
              <w:rPr>
                <w:rFonts w:hint="default"/>
              </w:rPr>
            </w:pPr>
            <w:r>
              <w:rPr>
                <w:rFonts w:hint="eastAsia"/>
              </w:rPr>
              <w:t>采样地点</w:t>
            </w:r>
          </w:p>
        </w:tc>
        <w:tc>
          <w:tcPr>
            <w:tcW w:w="938" w:type="dxa"/>
          </w:tcPr>
          <w:p>
            <w:pPr>
              <w:pStyle w:val="23"/>
              <w:keepNext w:val="0"/>
              <w:keepLines w:val="0"/>
              <w:suppressLineNumbers w:val="0"/>
              <w:spacing w:before="120" w:beforeAutospacing="0" w:after="0" w:afterAutospacing="0"/>
              <w:ind w:left="0" w:right="0"/>
              <w:textAlignment w:val="center"/>
              <w:rPr>
                <w:rFonts w:hint="default"/>
                <w:u w:val="single"/>
              </w:rPr>
            </w:pPr>
            <w:r>
              <w:rPr>
                <w:rFonts w:hint="eastAsia"/>
                <w:u w:val="single"/>
              </w:rPr>
              <w:t>PH</w:t>
            </w:r>
          </w:p>
        </w:tc>
        <w:tc>
          <w:tcPr>
            <w:tcW w:w="1133"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细菌总数</w:t>
            </w:r>
          </w:p>
        </w:tc>
        <w:tc>
          <w:tcPr>
            <w:tcW w:w="1350"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总大肠杆菌</w:t>
            </w:r>
          </w:p>
        </w:tc>
        <w:tc>
          <w:tcPr>
            <w:tcW w:w="808"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铅</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汞</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砷</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锌</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铬</w:t>
            </w:r>
          </w:p>
        </w:tc>
        <w:tc>
          <w:tcPr>
            <w:tcW w:w="749"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3" w:hRule="atLeast"/>
          <w:jc w:val="center"/>
        </w:trPr>
        <w:tc>
          <w:tcPr>
            <w:tcW w:w="1130" w:type="dxa"/>
            <w:vAlign w:val="center"/>
          </w:tcPr>
          <w:p>
            <w:pPr>
              <w:pStyle w:val="23"/>
              <w:keepNext w:val="0"/>
              <w:keepLines w:val="0"/>
              <w:suppressLineNumbers w:val="0"/>
              <w:spacing w:before="120" w:beforeAutospacing="0" w:after="0" w:afterAutospacing="0" w:line="240" w:lineRule="auto"/>
              <w:ind w:left="0" w:right="0"/>
              <w:textAlignment w:val="center"/>
              <w:rPr>
                <w:rFonts w:hint="default"/>
              </w:rPr>
            </w:pPr>
            <w:r>
              <w:rPr>
                <w:rFonts w:hint="eastAsia"/>
              </w:rPr>
              <w:t>污水处理站北侧</w:t>
            </w:r>
          </w:p>
        </w:tc>
        <w:tc>
          <w:tcPr>
            <w:tcW w:w="938" w:type="dxa"/>
          </w:tcPr>
          <w:p>
            <w:pPr>
              <w:pStyle w:val="23"/>
              <w:keepNext w:val="0"/>
              <w:keepLines w:val="0"/>
              <w:suppressLineNumbers w:val="0"/>
              <w:spacing w:before="120" w:beforeAutospacing="0" w:after="0" w:afterAutospacing="0"/>
              <w:ind w:left="0" w:right="0"/>
              <w:textAlignment w:val="center"/>
              <w:rPr>
                <w:rFonts w:hint="default"/>
                <w:u w:val="single"/>
              </w:rPr>
            </w:pPr>
            <w:r>
              <w:rPr>
                <w:rFonts w:hint="eastAsia"/>
                <w:u w:val="single"/>
              </w:rPr>
              <w:t>7.38</w:t>
            </w:r>
          </w:p>
        </w:tc>
        <w:tc>
          <w:tcPr>
            <w:tcW w:w="1133"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1500</w:t>
            </w:r>
          </w:p>
        </w:tc>
        <w:tc>
          <w:tcPr>
            <w:tcW w:w="1350"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1100</w:t>
            </w:r>
          </w:p>
        </w:tc>
        <w:tc>
          <w:tcPr>
            <w:tcW w:w="808"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8.7</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0.01</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0.69</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8.83</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9</w:t>
            </w:r>
          </w:p>
        </w:tc>
        <w:tc>
          <w:tcPr>
            <w:tcW w:w="749"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atLeast"/>
          <w:jc w:val="center"/>
        </w:trPr>
        <w:tc>
          <w:tcPr>
            <w:tcW w:w="1130"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胥家桥村</w:t>
            </w:r>
          </w:p>
        </w:tc>
        <w:tc>
          <w:tcPr>
            <w:tcW w:w="938" w:type="dxa"/>
          </w:tcPr>
          <w:p>
            <w:pPr>
              <w:pStyle w:val="23"/>
              <w:keepNext w:val="0"/>
              <w:keepLines w:val="0"/>
              <w:suppressLineNumbers w:val="0"/>
              <w:spacing w:before="120" w:beforeAutospacing="0" w:after="0" w:afterAutospacing="0"/>
              <w:ind w:left="0" w:right="0"/>
              <w:textAlignment w:val="center"/>
              <w:rPr>
                <w:rFonts w:hint="default"/>
                <w:u w:val="single"/>
              </w:rPr>
            </w:pPr>
            <w:r>
              <w:rPr>
                <w:rFonts w:hint="eastAsia"/>
                <w:u w:val="single"/>
              </w:rPr>
              <w:t>6.91</w:t>
            </w:r>
          </w:p>
        </w:tc>
        <w:tc>
          <w:tcPr>
            <w:tcW w:w="1133"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600</w:t>
            </w:r>
          </w:p>
        </w:tc>
        <w:tc>
          <w:tcPr>
            <w:tcW w:w="1350"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400</w:t>
            </w:r>
          </w:p>
        </w:tc>
        <w:tc>
          <w:tcPr>
            <w:tcW w:w="808"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0.04</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0.008</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0.74</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0.66</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5ND</w:t>
            </w:r>
          </w:p>
        </w:tc>
        <w:tc>
          <w:tcPr>
            <w:tcW w:w="749" w:type="dxa"/>
            <w:vAlign w:val="center"/>
          </w:tcPr>
          <w:p>
            <w:pPr>
              <w:pStyle w:val="23"/>
              <w:keepNext w:val="0"/>
              <w:keepLines w:val="0"/>
              <w:suppressLineNumbers w:val="0"/>
              <w:spacing w:before="120" w:beforeAutospacing="0" w:after="0" w:afterAutospacing="0"/>
              <w:ind w:left="0" w:right="0"/>
              <w:textAlignment w:val="center"/>
              <w:rPr>
                <w:rFonts w:hint="default"/>
              </w:rPr>
            </w:pPr>
            <w:r>
              <w:rPr>
                <w:rFonts w:hint="eastAsia"/>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5" w:hRule="atLeast"/>
          <w:jc w:val="center"/>
        </w:trPr>
        <w:tc>
          <w:tcPr>
            <w:tcW w:w="1130" w:type="dxa"/>
            <w:vAlign w:val="center"/>
          </w:tcPr>
          <w:p>
            <w:pPr>
              <w:pStyle w:val="23"/>
              <w:keepNext w:val="0"/>
              <w:keepLines w:val="0"/>
              <w:suppressLineNumbers w:val="0"/>
              <w:spacing w:before="120" w:beforeAutospacing="0" w:after="0" w:afterAutospacing="0"/>
              <w:ind w:left="0" w:right="0"/>
              <w:textAlignment w:val="center"/>
              <w:rPr>
                <w:rFonts w:hint="eastAsia" w:eastAsia="宋体"/>
                <w:lang w:eastAsia="zh-CN"/>
              </w:rPr>
            </w:pPr>
            <w:r>
              <w:rPr>
                <w:rFonts w:hint="eastAsia"/>
                <w:lang w:eastAsia="zh-CN"/>
              </w:rPr>
              <w:t>标准值</w:t>
            </w:r>
          </w:p>
        </w:tc>
        <w:tc>
          <w:tcPr>
            <w:tcW w:w="938" w:type="dxa"/>
          </w:tcPr>
          <w:p>
            <w:pPr>
              <w:pStyle w:val="23"/>
              <w:keepNext w:val="0"/>
              <w:keepLines w:val="0"/>
              <w:suppressLineNumbers w:val="0"/>
              <w:spacing w:before="120" w:beforeAutospacing="0" w:after="0" w:afterAutospacing="0"/>
              <w:ind w:left="0" w:right="0"/>
              <w:textAlignment w:val="center"/>
              <w:rPr>
                <w:rFonts w:hint="eastAsia" w:eastAsia="宋体"/>
                <w:u w:val="single"/>
                <w:lang w:val="en-US" w:eastAsia="zh-CN"/>
              </w:rPr>
            </w:pPr>
            <w:r>
              <w:rPr>
                <w:rFonts w:hint="eastAsia"/>
                <w:u w:val="single"/>
                <w:lang w:val="en-US" w:eastAsia="zh-CN"/>
              </w:rPr>
              <w:t>/</w:t>
            </w:r>
          </w:p>
        </w:tc>
        <w:tc>
          <w:tcPr>
            <w:tcW w:w="1133" w:type="dxa"/>
            <w:vAlign w:val="center"/>
          </w:tcPr>
          <w:p>
            <w:pPr>
              <w:pStyle w:val="23"/>
              <w:keepNext w:val="0"/>
              <w:keepLines w:val="0"/>
              <w:suppressLineNumbers w:val="0"/>
              <w:spacing w:before="120" w:beforeAutospacing="0" w:after="0" w:afterAutospacing="0"/>
              <w:ind w:left="0" w:right="0"/>
              <w:textAlignment w:val="center"/>
              <w:rPr>
                <w:rFonts w:hint="eastAsia" w:eastAsia="宋体"/>
                <w:lang w:val="en-US" w:eastAsia="zh-CN"/>
              </w:rPr>
            </w:pPr>
            <w:r>
              <w:rPr>
                <w:rFonts w:hint="eastAsia"/>
                <w:lang w:val="en-US" w:eastAsia="zh-CN"/>
              </w:rPr>
              <w:t>/</w:t>
            </w:r>
          </w:p>
        </w:tc>
        <w:tc>
          <w:tcPr>
            <w:tcW w:w="1350" w:type="dxa"/>
            <w:vAlign w:val="center"/>
          </w:tcPr>
          <w:p>
            <w:pPr>
              <w:pStyle w:val="23"/>
              <w:keepNext w:val="0"/>
              <w:keepLines w:val="0"/>
              <w:suppressLineNumbers w:val="0"/>
              <w:spacing w:before="120" w:beforeAutospacing="0" w:after="0" w:afterAutospacing="0"/>
              <w:ind w:left="0" w:right="0"/>
              <w:textAlignment w:val="center"/>
              <w:rPr>
                <w:rFonts w:hint="eastAsia" w:eastAsia="宋体"/>
                <w:lang w:val="en-US" w:eastAsia="zh-CN"/>
              </w:rPr>
            </w:pPr>
            <w:r>
              <w:rPr>
                <w:rFonts w:hint="eastAsia"/>
                <w:lang w:val="en-US" w:eastAsia="zh-CN"/>
              </w:rPr>
              <w:t>/</w:t>
            </w:r>
          </w:p>
        </w:tc>
        <w:tc>
          <w:tcPr>
            <w:tcW w:w="808" w:type="dxa"/>
            <w:vAlign w:val="center"/>
          </w:tcPr>
          <w:p>
            <w:pPr>
              <w:pStyle w:val="23"/>
              <w:keepNext w:val="0"/>
              <w:keepLines w:val="0"/>
              <w:suppressLineNumbers w:val="0"/>
              <w:spacing w:before="120" w:beforeAutospacing="0" w:after="0" w:afterAutospacing="0"/>
              <w:ind w:left="0" w:right="0"/>
              <w:textAlignment w:val="center"/>
              <w:rPr>
                <w:rFonts w:hint="eastAsia" w:eastAsia="宋体"/>
                <w:lang w:val="en-US" w:eastAsia="zh-CN"/>
              </w:rPr>
            </w:pPr>
            <w:r>
              <w:rPr>
                <w:rFonts w:hint="eastAsia"/>
                <w:lang w:val="en-US" w:eastAsia="zh-CN"/>
              </w:rPr>
              <w:t>300</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eastAsia" w:eastAsia="宋体"/>
                <w:lang w:val="en-US" w:eastAsia="zh-CN"/>
              </w:rPr>
            </w:pPr>
            <w:r>
              <w:rPr>
                <w:rFonts w:hint="eastAsia"/>
                <w:lang w:val="en-US" w:eastAsia="zh-CN"/>
              </w:rPr>
              <w:t>0.50</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eastAsia" w:eastAsia="宋体"/>
                <w:lang w:val="en-US" w:eastAsia="zh-CN"/>
              </w:rPr>
            </w:pPr>
            <w:r>
              <w:rPr>
                <w:rFonts w:hint="eastAsia"/>
                <w:lang w:val="en-US" w:eastAsia="zh-CN"/>
              </w:rPr>
              <w:t>30</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eastAsia" w:eastAsia="宋体"/>
                <w:lang w:val="en-US" w:eastAsia="zh-CN"/>
              </w:rPr>
            </w:pPr>
            <w:r>
              <w:rPr>
                <w:rFonts w:hint="eastAsia"/>
                <w:lang w:val="en-US" w:eastAsia="zh-CN"/>
              </w:rPr>
              <w:t>250</w:t>
            </w:r>
          </w:p>
        </w:tc>
        <w:tc>
          <w:tcPr>
            <w:tcW w:w="744" w:type="dxa"/>
            <w:vAlign w:val="center"/>
          </w:tcPr>
          <w:p>
            <w:pPr>
              <w:pStyle w:val="23"/>
              <w:keepNext w:val="0"/>
              <w:keepLines w:val="0"/>
              <w:suppressLineNumbers w:val="0"/>
              <w:spacing w:before="120" w:beforeAutospacing="0" w:after="0" w:afterAutospacing="0"/>
              <w:ind w:left="0" w:right="0"/>
              <w:textAlignment w:val="center"/>
              <w:rPr>
                <w:rFonts w:hint="eastAsia" w:eastAsia="宋体"/>
                <w:lang w:val="en-US" w:eastAsia="zh-CN"/>
              </w:rPr>
            </w:pPr>
            <w:r>
              <w:rPr>
                <w:rFonts w:hint="eastAsia"/>
                <w:lang w:val="en-US" w:eastAsia="zh-CN"/>
              </w:rPr>
              <w:t>200</w:t>
            </w:r>
          </w:p>
        </w:tc>
        <w:tc>
          <w:tcPr>
            <w:tcW w:w="749" w:type="dxa"/>
            <w:vAlign w:val="center"/>
          </w:tcPr>
          <w:p>
            <w:pPr>
              <w:pStyle w:val="23"/>
              <w:keepNext w:val="0"/>
              <w:keepLines w:val="0"/>
              <w:suppressLineNumbers w:val="0"/>
              <w:spacing w:before="120" w:beforeAutospacing="0" w:after="0" w:afterAutospacing="0"/>
              <w:ind w:left="0" w:right="0"/>
              <w:textAlignment w:val="center"/>
              <w:rPr>
                <w:rFonts w:hint="eastAsia" w:eastAsia="宋体"/>
                <w:lang w:val="en-US" w:eastAsia="zh-CN"/>
              </w:rPr>
            </w:pPr>
            <w:r>
              <w:rPr>
                <w:rFonts w:hint="eastAsia"/>
                <w:lang w:val="en-US" w:eastAsia="zh-CN"/>
              </w:rPr>
              <w:t>0.30</w:t>
            </w:r>
          </w:p>
        </w:tc>
      </w:tr>
    </w:tbl>
    <w:p>
      <w:pPr>
        <w:rPr>
          <w:rFonts w:hint="eastAsia"/>
          <w:color w:val="auto"/>
          <w:lang w:val="en-US" w:eastAsia="zh-CN"/>
        </w:rPr>
        <w:sectPr>
          <w:pgSz w:w="11906" w:h="16838"/>
          <w:pgMar w:top="1418" w:right="1418" w:bottom="1418" w:left="1418" w:header="851" w:footer="992" w:gutter="0"/>
          <w:pgNumType w:fmt="decimal"/>
          <w:cols w:space="720" w:num="1"/>
          <w:docGrid w:linePitch="312" w:charSpace="0"/>
        </w:sectPr>
      </w:pPr>
      <w:r>
        <w:rPr>
          <w:rFonts w:hint="eastAsia"/>
          <w:color w:val="auto"/>
          <w:lang w:val="en-US" w:eastAsia="zh-CN"/>
        </w:rPr>
        <w:t>由上表可知，检测点土壤中各检测因子均满足《土壤环境质量标准》（GB15618-1995）标准限值。因此，评价区域范围内土壤环境质量现状较好。</w:t>
      </w:r>
    </w:p>
    <w:p>
      <w:pPr>
        <w:pStyle w:val="2"/>
        <w:numPr>
          <w:ilvl w:val="0"/>
          <w:numId w:val="14"/>
        </w:numPr>
        <w:rPr>
          <w:rFonts w:hint="eastAsia"/>
          <w:color w:val="auto"/>
          <w:lang w:val="en-US" w:eastAsia="zh-CN"/>
        </w:rPr>
      </w:pPr>
      <w:bookmarkStart w:id="71" w:name="_Toc8589"/>
      <w:r>
        <w:rPr>
          <w:rFonts w:hint="eastAsia"/>
          <w:color w:val="auto"/>
          <w:lang w:val="en-US" w:eastAsia="zh-CN"/>
        </w:rPr>
        <w:t>环境影响预测与评价</w:t>
      </w:r>
      <w:bookmarkEnd w:id="71"/>
    </w:p>
    <w:p>
      <w:pPr>
        <w:pStyle w:val="3"/>
        <w:rPr>
          <w:rFonts w:hint="eastAsia"/>
          <w:color w:val="auto"/>
          <w:lang w:val="en-US" w:eastAsia="zh-CN"/>
        </w:rPr>
      </w:pPr>
      <w:bookmarkStart w:id="72" w:name="_Toc7008"/>
      <w:r>
        <w:rPr>
          <w:rFonts w:hint="eastAsia"/>
          <w:color w:val="auto"/>
          <w:lang w:val="en-US" w:eastAsia="zh-CN"/>
        </w:rPr>
        <w:t>7.1施工期环境影响预测与评价</w:t>
      </w:r>
      <w:bookmarkEnd w:id="72"/>
    </w:p>
    <w:p>
      <w:pPr>
        <w:pStyle w:val="4"/>
        <w:rPr>
          <w:rFonts w:hint="eastAsia"/>
          <w:color w:val="auto"/>
          <w:lang w:val="en-US" w:eastAsia="zh-CN"/>
        </w:rPr>
      </w:pPr>
      <w:r>
        <w:rPr>
          <w:rFonts w:hint="eastAsia"/>
          <w:color w:val="auto"/>
          <w:lang w:val="en-US" w:eastAsia="zh-CN"/>
        </w:rPr>
        <w:t>7.1.1大气环境影响分析</w:t>
      </w:r>
    </w:p>
    <w:p>
      <w:pPr>
        <w:rPr>
          <w:rFonts w:hint="eastAsia"/>
          <w:color w:val="auto"/>
        </w:rPr>
      </w:pPr>
      <w:r>
        <w:rPr>
          <w:rFonts w:hint="eastAsia"/>
          <w:color w:val="auto"/>
        </w:rPr>
        <w:t>施工期扬尘影响主要表现在施工工地及交通沿线附近，尤其是天气干燥及风速较大时影响更为明显，从而使该区块及周围近地区大气中总悬浮颗粒(TSP)浓度增大。根据天气状况、风力大小、物料的干湿程度、作业的文明程度发生较大的变化，影响范围可达150~300m。扬尘在空气中的传播扩散情况与风速等气象条件有关。本工程若在夏秋二季施工应特别注意防尘的问题，制定必要的抑尘措施，以减少施工扬尘对周围环境的影响。</w:t>
      </w:r>
    </w:p>
    <w:p>
      <w:pPr>
        <w:rPr>
          <w:rFonts w:hint="eastAsia"/>
          <w:color w:val="auto"/>
        </w:rPr>
      </w:pPr>
      <w:r>
        <w:rPr>
          <w:rFonts w:hint="eastAsia"/>
          <w:color w:val="auto"/>
        </w:rPr>
        <w:t>交通扬尘的影响主要集中在交通沿线，本项目建筑材料特别是砂石的运输将给道路两侧带来一定的粉尘污染，特别是对运输路线影响较大。在同样路面清洁程度条件下，车速越快，扬尘量越大；而在同样车速情况下，路面越脏，扬尘量越大。因此限速行驶及保持路面的清洁是减少汽车扬尘的有效办法。</w:t>
      </w:r>
    </w:p>
    <w:p>
      <w:pPr>
        <w:rPr>
          <w:rFonts w:hint="eastAsia"/>
          <w:color w:val="auto"/>
        </w:rPr>
      </w:pPr>
      <w:r>
        <w:rPr>
          <w:rFonts w:hint="eastAsia"/>
          <w:color w:val="auto"/>
        </w:rPr>
        <w:t>另外为工程车辆进出行驶产生的汽车尾气，以及施工接卸包括挖掘机、推土机、装载机等，以柴油为燃料的重工器械运转产生的一定量燃料废气，包括CO、NOx、SO2等。但产生量有限，影响范围基本局限于施工场界内，对周边环境影响不大。</w:t>
      </w:r>
    </w:p>
    <w:p>
      <w:pPr>
        <w:pStyle w:val="4"/>
        <w:rPr>
          <w:rFonts w:hint="eastAsia"/>
          <w:color w:val="auto"/>
          <w:lang w:val="en-US" w:eastAsia="zh-CN"/>
        </w:rPr>
      </w:pPr>
      <w:r>
        <w:rPr>
          <w:rFonts w:hint="eastAsia"/>
          <w:color w:val="auto"/>
          <w:lang w:val="en-US" w:eastAsia="zh-CN"/>
        </w:rPr>
        <w:t>7.1.2地表水环境影响分析</w:t>
      </w:r>
    </w:p>
    <w:p>
      <w:pPr>
        <w:rPr>
          <w:rFonts w:hint="eastAsia"/>
          <w:color w:val="auto"/>
          <w:lang w:val="en-US" w:eastAsia="zh-CN"/>
        </w:rPr>
      </w:pPr>
      <w:r>
        <w:rPr>
          <w:rFonts w:hint="eastAsia"/>
          <w:color w:val="auto"/>
          <w:lang w:val="en-US" w:eastAsia="zh-CN"/>
        </w:rPr>
        <w:t>施工废水污染物主要包括：库区边界修整、导流管与截流沟等开挖渗出的泥水，施工场地泥浆废水，汽车、机械设备维修、冲洗废水，以及施工人员生活污水。</w:t>
      </w:r>
    </w:p>
    <w:p>
      <w:pPr>
        <w:rPr>
          <w:rFonts w:hint="eastAsia"/>
          <w:color w:val="auto"/>
          <w:lang w:val="en-US" w:eastAsia="zh-CN"/>
        </w:rPr>
      </w:pPr>
      <w:r>
        <w:rPr>
          <w:rFonts w:hint="eastAsia"/>
          <w:color w:val="auto"/>
          <w:lang w:val="en-US" w:eastAsia="zh-CN"/>
        </w:rPr>
        <w:t>施工场地泥浆废水主要为泥水，SS含量在500~1000mg/L。环评要求，在钻孔施工过程中，尽量采用先进的施工方法，减少泥土固体悬浮物的产生量。车辆出入需进行冲洗，产生的废水，主要含SS、石油类。该废水通过导流沟排入现有场区污水处理站进行处理。</w:t>
      </w:r>
    </w:p>
    <w:p>
      <w:pPr>
        <w:rPr>
          <w:rFonts w:hint="eastAsia"/>
          <w:color w:val="auto"/>
          <w:lang w:val="en-US" w:eastAsia="zh-CN"/>
        </w:rPr>
      </w:pPr>
      <w:r>
        <w:rPr>
          <w:rFonts w:hint="eastAsia"/>
          <w:color w:val="auto"/>
          <w:lang w:val="en-US" w:eastAsia="zh-CN"/>
        </w:rPr>
        <w:t>施工人员生活污水，主要为冲厕废水以及洗漱废水等，主要污染物为COD、氨氮，依托现有工程化粪池处理后排入污水处理站进行进一步处理。根据本次环评对污水处理站进出口水质检测结果可知，废水经场区内污水处理站处理后能达标排放，对周边环境影响较小。</w:t>
      </w:r>
    </w:p>
    <w:p>
      <w:pPr>
        <w:pStyle w:val="4"/>
        <w:rPr>
          <w:rFonts w:hint="eastAsia"/>
          <w:color w:val="auto"/>
          <w:lang w:val="en-US" w:eastAsia="zh-CN"/>
        </w:rPr>
      </w:pPr>
      <w:r>
        <w:rPr>
          <w:rFonts w:hint="eastAsia"/>
          <w:color w:val="auto"/>
          <w:lang w:val="en-US" w:eastAsia="zh-CN"/>
        </w:rPr>
        <w:t>7.1.3声环境影响预测评价</w:t>
      </w:r>
    </w:p>
    <w:p>
      <w:pPr>
        <w:rPr>
          <w:color w:val="auto"/>
        </w:rPr>
      </w:pPr>
      <w:r>
        <w:rPr>
          <w:color w:val="auto"/>
        </w:rPr>
        <w:t>本工程施工周期约</w:t>
      </w:r>
      <w:r>
        <w:rPr>
          <w:rFonts w:hint="eastAsia"/>
          <w:color w:val="auto"/>
          <w:lang w:val="en-US" w:eastAsia="zh-CN"/>
        </w:rPr>
        <w:t>5</w:t>
      </w:r>
      <w:r>
        <w:rPr>
          <w:color w:val="auto"/>
        </w:rPr>
        <w:t>个月。本项目施工建设活动必须严格执行《建筑施工场界环境噪声排放标准》(GB12523-2011)中的标准和规定。在建筑施工过程中使用机械设备可能产生环境噪声污染的施工单位，应当按照《中华人民共和国环境噪声污染防治法》有关规定，及时向环境保护部门申报；禁止在夜间进行产生噪声污染的施工作业</w:t>
      </w:r>
      <w:r>
        <w:rPr>
          <w:rFonts w:hint="eastAsia"/>
          <w:color w:val="auto"/>
          <w:lang w:eastAsia="zh-CN"/>
        </w:rPr>
        <w:t>，</w:t>
      </w:r>
      <w:r>
        <w:rPr>
          <w:color w:val="auto"/>
        </w:rPr>
        <w:t>因生产工艺要求确需在夜间进行施工作业的，施工单位应当持所在地建设行政主管部门的施工意见书，向所在地环境保护部门申领夜间作业证明。同时加强运输车辆管理，文明施工，禁止夜间开挖等，防止噪声扰民。</w:t>
      </w:r>
    </w:p>
    <w:p>
      <w:pPr>
        <w:pStyle w:val="4"/>
        <w:rPr>
          <w:rFonts w:hint="eastAsia"/>
          <w:color w:val="auto"/>
          <w:lang w:val="en-US" w:eastAsia="zh-CN"/>
        </w:rPr>
      </w:pPr>
      <w:r>
        <w:rPr>
          <w:rFonts w:hint="eastAsia"/>
          <w:color w:val="auto"/>
          <w:lang w:val="en-US" w:eastAsia="zh-CN"/>
        </w:rPr>
        <w:t>7.1.4固体废物环境影响分析</w:t>
      </w:r>
    </w:p>
    <w:p>
      <w:pPr>
        <w:rPr>
          <w:color w:val="auto"/>
        </w:rPr>
      </w:pPr>
      <w:r>
        <w:rPr>
          <w:color w:val="auto"/>
        </w:rPr>
        <w:t>施工期固废主要为库区</w:t>
      </w:r>
      <w:r>
        <w:rPr>
          <w:rFonts w:hint="eastAsia"/>
          <w:color w:val="auto"/>
          <w:lang w:eastAsia="zh-CN"/>
        </w:rPr>
        <w:t>边界修整</w:t>
      </w:r>
      <w:r>
        <w:rPr>
          <w:color w:val="auto"/>
        </w:rPr>
        <w:t>、</w:t>
      </w:r>
      <w:r>
        <w:rPr>
          <w:rFonts w:hint="eastAsia"/>
          <w:color w:val="auto"/>
          <w:lang w:eastAsia="zh-CN"/>
        </w:rPr>
        <w:t>截流沟、导流管铺设</w:t>
      </w:r>
      <w:r>
        <w:rPr>
          <w:color w:val="auto"/>
        </w:rPr>
        <w:t>开挖产生的废弃渣土、泥浆；</w:t>
      </w:r>
      <w:r>
        <w:rPr>
          <w:rFonts w:hint="eastAsia"/>
          <w:color w:val="auto"/>
          <w:lang w:eastAsia="zh-CN"/>
        </w:rPr>
        <w:t>施工过程产生的</w:t>
      </w:r>
      <w:r>
        <w:rPr>
          <w:color w:val="auto"/>
        </w:rPr>
        <w:t>建筑垃圾；以及少量施工人员生活垃圾。</w:t>
      </w:r>
    </w:p>
    <w:p>
      <w:pPr>
        <w:rPr>
          <w:color w:val="auto"/>
        </w:rPr>
      </w:pPr>
      <w:r>
        <w:rPr>
          <w:color w:val="auto"/>
        </w:rPr>
        <w:t>该项目开挖土石方</w:t>
      </w:r>
      <w:r>
        <w:rPr>
          <w:rFonts w:hint="eastAsia"/>
          <w:color w:val="auto"/>
          <w:lang w:val="en-US" w:eastAsia="zh-CN"/>
        </w:rPr>
        <w:t>3760</w:t>
      </w:r>
      <w:r>
        <w:rPr>
          <w:color w:val="auto"/>
        </w:rPr>
        <w:t>m</w:t>
      </w:r>
      <w:r>
        <w:rPr>
          <w:color w:val="auto"/>
          <w:vertAlign w:val="superscript"/>
        </w:rPr>
        <w:t>3</w:t>
      </w:r>
      <w:r>
        <w:rPr>
          <w:color w:val="auto"/>
        </w:rPr>
        <w:t>，回填土石方</w:t>
      </w:r>
      <w:r>
        <w:rPr>
          <w:rFonts w:hint="eastAsia"/>
          <w:color w:val="auto"/>
          <w:lang w:val="en-US" w:eastAsia="zh-CN"/>
        </w:rPr>
        <w:t>769</w:t>
      </w:r>
      <w:r>
        <w:rPr>
          <w:color w:val="auto"/>
        </w:rPr>
        <w:t>m</w:t>
      </w:r>
      <w:r>
        <w:rPr>
          <w:color w:val="auto"/>
          <w:vertAlign w:val="superscript"/>
        </w:rPr>
        <w:t>3</w:t>
      </w:r>
      <w:r>
        <w:rPr>
          <w:color w:val="auto"/>
        </w:rPr>
        <w:t>，</w:t>
      </w:r>
      <w:r>
        <w:rPr>
          <w:rFonts w:hint="eastAsia"/>
          <w:color w:val="auto"/>
          <w:lang w:eastAsia="zh-CN"/>
        </w:rPr>
        <w:t>弃</w:t>
      </w:r>
      <w:r>
        <w:rPr>
          <w:color w:val="auto"/>
        </w:rPr>
        <w:t>土石方</w:t>
      </w:r>
      <w:r>
        <w:rPr>
          <w:rFonts w:hint="eastAsia"/>
          <w:color w:val="auto"/>
          <w:lang w:val="en-US" w:eastAsia="zh-CN"/>
        </w:rPr>
        <w:t>2991</w:t>
      </w:r>
      <w:r>
        <w:rPr>
          <w:color w:val="auto"/>
        </w:rPr>
        <w:t>m</w:t>
      </w:r>
      <w:r>
        <w:rPr>
          <w:color w:val="auto"/>
          <w:vertAlign w:val="superscript"/>
        </w:rPr>
        <w:t>3</w:t>
      </w:r>
      <w:r>
        <w:rPr>
          <w:color w:val="auto"/>
        </w:rPr>
        <w:t>。工程开挖的土石方主要利用于</w:t>
      </w:r>
      <w:r>
        <w:rPr>
          <w:rFonts w:hint="eastAsia"/>
          <w:color w:val="auto"/>
          <w:lang w:eastAsia="zh-CN"/>
        </w:rPr>
        <w:t>现有工程</w:t>
      </w:r>
      <w:r>
        <w:rPr>
          <w:color w:val="auto"/>
        </w:rPr>
        <w:t>垃圾填埋时覆土，</w:t>
      </w:r>
      <w:r>
        <w:rPr>
          <w:rFonts w:hint="eastAsia"/>
          <w:color w:val="auto"/>
          <w:lang w:eastAsia="zh-CN"/>
        </w:rPr>
        <w:t>由于其土石方产生量不大，可以在场区内实现综合利用，不外排，</w:t>
      </w:r>
      <w:r>
        <w:rPr>
          <w:color w:val="auto"/>
        </w:rPr>
        <w:t>对外环境影响较小。</w:t>
      </w:r>
    </w:p>
    <w:p>
      <w:pPr>
        <w:rPr>
          <w:color w:val="auto"/>
        </w:rPr>
      </w:pPr>
      <w:r>
        <w:rPr>
          <w:rFonts w:hint="eastAsia"/>
          <w:color w:val="auto"/>
          <w:lang w:eastAsia="zh-CN"/>
        </w:rPr>
        <w:t>库区边界修整、垂直防渗施工</w:t>
      </w:r>
      <w:r>
        <w:rPr>
          <w:color w:val="auto"/>
        </w:rPr>
        <w:t>等产生的建筑垃圾，通过类比源强估算，产生量较小，为一般固体废物。建筑垃圾</w:t>
      </w:r>
      <w:r>
        <w:rPr>
          <w:rFonts w:hint="eastAsia"/>
          <w:color w:val="auto"/>
          <w:lang w:eastAsia="zh-CN"/>
        </w:rPr>
        <w:t>对可利用的</w:t>
      </w:r>
      <w:r>
        <w:rPr>
          <w:color w:val="auto"/>
        </w:rPr>
        <w:t>进行综合利用，</w:t>
      </w:r>
      <w:r>
        <w:rPr>
          <w:rFonts w:hint="eastAsia"/>
          <w:color w:val="auto"/>
          <w:lang w:eastAsia="zh-CN"/>
        </w:rPr>
        <w:t>不可利用的托运至现有工程填埋场区进行卫生填埋</w:t>
      </w:r>
      <w:r>
        <w:rPr>
          <w:color w:val="auto"/>
        </w:rPr>
        <w:t>，对周边环境亦基本无影响。</w:t>
      </w:r>
    </w:p>
    <w:p>
      <w:pPr>
        <w:rPr>
          <w:color w:val="auto"/>
        </w:rPr>
      </w:pPr>
      <w:r>
        <w:rPr>
          <w:color w:val="auto"/>
        </w:rPr>
        <w:t>施工营地产生的少量生活垃圾，</w:t>
      </w:r>
      <w:r>
        <w:rPr>
          <w:rFonts w:hint="eastAsia"/>
          <w:color w:val="auto"/>
          <w:lang w:eastAsia="zh-CN"/>
        </w:rPr>
        <w:t>可与场区内现有工程产生的生活垃圾一起运至垃圾填埋场内现有工程进行卫生填埋，对周围环境无影响</w:t>
      </w:r>
      <w:r>
        <w:rPr>
          <w:color w:val="auto"/>
        </w:rPr>
        <w:t>。</w:t>
      </w:r>
    </w:p>
    <w:p>
      <w:pPr>
        <w:rPr>
          <w:color w:val="auto"/>
        </w:rPr>
      </w:pPr>
      <w:r>
        <w:rPr>
          <w:color w:val="auto"/>
        </w:rPr>
        <w:t>综上</w:t>
      </w:r>
      <w:r>
        <w:rPr>
          <w:rFonts w:hint="eastAsia"/>
          <w:color w:val="auto"/>
          <w:lang w:eastAsia="zh-CN"/>
        </w:rPr>
        <w:t>所述</w:t>
      </w:r>
      <w:r>
        <w:rPr>
          <w:color w:val="auto"/>
        </w:rPr>
        <w:t>，项目各施工期固废均合理收集，处理处置，对周边环境基本无影响。</w:t>
      </w:r>
    </w:p>
    <w:p>
      <w:pPr>
        <w:pStyle w:val="3"/>
        <w:rPr>
          <w:rFonts w:hint="eastAsia"/>
          <w:color w:val="auto"/>
          <w:lang w:val="en-US" w:eastAsia="zh-CN"/>
        </w:rPr>
      </w:pPr>
      <w:bookmarkStart w:id="73" w:name="_Toc23744"/>
      <w:r>
        <w:rPr>
          <w:rFonts w:hint="eastAsia"/>
          <w:color w:val="auto"/>
          <w:lang w:val="en-US" w:eastAsia="zh-CN"/>
        </w:rPr>
        <w:t>7.2营运期环境影响预测与评价</w:t>
      </w:r>
      <w:bookmarkEnd w:id="73"/>
    </w:p>
    <w:p>
      <w:pPr>
        <w:pStyle w:val="4"/>
        <w:rPr>
          <w:rFonts w:hint="eastAsia"/>
          <w:color w:val="auto"/>
          <w:lang w:val="en-US" w:eastAsia="zh-CN"/>
        </w:rPr>
      </w:pPr>
      <w:r>
        <w:rPr>
          <w:rFonts w:hint="eastAsia"/>
          <w:color w:val="auto"/>
          <w:lang w:val="en-US" w:eastAsia="zh-CN"/>
        </w:rPr>
        <w:t>7.2.1大气环境影响预测与评价</w:t>
      </w:r>
    </w:p>
    <w:p>
      <w:pPr>
        <w:rPr>
          <w:rFonts w:hint="eastAsia"/>
          <w:color w:val="auto"/>
          <w:lang w:val="en-US" w:eastAsia="zh-CN"/>
        </w:rPr>
      </w:pPr>
      <w:r>
        <w:rPr>
          <w:rFonts w:hint="eastAsia"/>
          <w:color w:val="auto"/>
          <w:lang w:val="en-US" w:eastAsia="zh-CN"/>
        </w:rPr>
        <w:t>1、气象资料</w:t>
      </w:r>
    </w:p>
    <w:p>
      <w:pPr>
        <w:rPr>
          <w:rFonts w:hint="default"/>
          <w:color w:val="auto"/>
          <w:lang w:val="en-US" w:eastAsia="zh-CN"/>
        </w:rPr>
      </w:pPr>
      <w:r>
        <w:rPr>
          <w:rFonts w:hint="default"/>
          <w:color w:val="auto"/>
          <w:lang w:val="en-US" w:eastAsia="zh-CN"/>
        </w:rPr>
        <w:t>岳阳市属北亚热带季风湿润气候区，气候湿润。根据岳阳市气象站1992~2010近20年的气象统计资料，年平均气温17℃，年平均降雨量1302mm，年平均相对湿度为79%，全年无霜期为277天，年日照时数为1722.1~1816.5h，是湖南日照时数最多的地区之一。常年主导风向为NE，夏季主导风为S，冬季主导风向为NE。</w:t>
      </w:r>
    </w:p>
    <w:p>
      <w:pPr>
        <w:ind w:left="0" w:leftChars="0" w:firstLine="0" w:firstLineChars="0"/>
        <w:rPr>
          <w:rFonts w:hint="default"/>
          <w:color w:val="auto"/>
          <w:lang w:val="en-US" w:eastAsia="zh-CN"/>
        </w:rPr>
      </w:pPr>
    </w:p>
    <w:p>
      <w:pPr>
        <w:pStyle w:val="29"/>
        <w:widowControl/>
        <w:ind w:left="520"/>
        <w:jc w:val="center"/>
        <w:rPr>
          <w:b/>
          <w:bCs/>
          <w:color w:val="auto"/>
          <w:sz w:val="21"/>
          <w:szCs w:val="21"/>
          <w:lang w:val="en-US"/>
        </w:rPr>
      </w:pPr>
      <w:r>
        <w:rPr>
          <w:rFonts w:hint="eastAsia" w:ascii="Times New Roman" w:hAnsi="Times New Roman" w:eastAsia="宋体" w:cs="宋体"/>
          <w:b/>
          <w:bCs/>
          <w:color w:val="auto"/>
          <w:sz w:val="21"/>
          <w:szCs w:val="21"/>
          <w:lang w:eastAsia="zh-CN"/>
        </w:rPr>
        <w:t>表</w:t>
      </w:r>
      <w:r>
        <w:rPr>
          <w:rFonts w:hint="eastAsia"/>
          <w:b/>
          <w:bCs/>
          <w:color w:val="auto"/>
          <w:sz w:val="21"/>
          <w:szCs w:val="21"/>
          <w:lang w:val="en-US" w:eastAsia="zh-CN"/>
        </w:rPr>
        <w:t>7-1</w:t>
      </w:r>
      <w:r>
        <w:rPr>
          <w:b/>
          <w:bCs/>
          <w:color w:val="auto"/>
          <w:sz w:val="21"/>
          <w:szCs w:val="21"/>
          <w:lang w:val="en-US"/>
        </w:rPr>
        <w:t xml:space="preserve">  </w:t>
      </w:r>
      <w:r>
        <w:rPr>
          <w:rFonts w:hint="eastAsia" w:ascii="Times New Roman" w:hAnsi="Times New Roman" w:eastAsia="宋体" w:cs="宋体"/>
          <w:b/>
          <w:bCs/>
          <w:color w:val="auto"/>
          <w:sz w:val="21"/>
          <w:szCs w:val="21"/>
          <w:lang w:eastAsia="zh-CN"/>
        </w:rPr>
        <w:t>近</w:t>
      </w:r>
      <w:r>
        <w:rPr>
          <w:b/>
          <w:bCs/>
          <w:color w:val="auto"/>
          <w:sz w:val="21"/>
          <w:szCs w:val="21"/>
          <w:lang w:val="en-US"/>
        </w:rPr>
        <w:t>20</w:t>
      </w:r>
      <w:r>
        <w:rPr>
          <w:rFonts w:hint="eastAsia" w:ascii="Times New Roman" w:hAnsi="Times New Roman" w:eastAsia="宋体" w:cs="宋体"/>
          <w:b/>
          <w:bCs/>
          <w:color w:val="auto"/>
          <w:sz w:val="21"/>
          <w:szCs w:val="21"/>
          <w:lang w:eastAsia="zh-CN"/>
        </w:rPr>
        <w:t>年各月各气象要素统计值</w:t>
      </w:r>
    </w:p>
    <w:tbl>
      <w:tblPr>
        <w:tblStyle w:val="19"/>
        <w:tblW w:w="833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921"/>
        <w:gridCol w:w="592"/>
        <w:gridCol w:w="592"/>
        <w:gridCol w:w="592"/>
        <w:gridCol w:w="592"/>
        <w:gridCol w:w="592"/>
        <w:gridCol w:w="495"/>
        <w:gridCol w:w="495"/>
        <w:gridCol w:w="495"/>
        <w:gridCol w:w="592"/>
        <w:gridCol w:w="592"/>
        <w:gridCol w:w="592"/>
        <w:gridCol w:w="592"/>
        <w:gridCol w:w="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PrEx>
        <w:trPr>
          <w:trHeight w:val="160" w:hRule="atLeast"/>
          <w:jc w:val="center"/>
        </w:trPr>
        <w:tc>
          <w:tcPr>
            <w:tcW w:w="921" w:type="dxa"/>
            <w:tcBorders>
              <w:top w:val="single" w:color="auto" w:sz="12"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月份</w:t>
            </w:r>
          </w:p>
        </w:tc>
        <w:tc>
          <w:tcPr>
            <w:tcW w:w="59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w:t>
            </w:r>
          </w:p>
        </w:tc>
        <w:tc>
          <w:tcPr>
            <w:tcW w:w="59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w:t>
            </w:r>
          </w:p>
        </w:tc>
        <w:tc>
          <w:tcPr>
            <w:tcW w:w="59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w:t>
            </w:r>
          </w:p>
        </w:tc>
        <w:tc>
          <w:tcPr>
            <w:tcW w:w="59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w:t>
            </w:r>
          </w:p>
        </w:tc>
        <w:tc>
          <w:tcPr>
            <w:tcW w:w="59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w:t>
            </w:r>
          </w:p>
        </w:tc>
        <w:tc>
          <w:tcPr>
            <w:tcW w:w="495"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w:t>
            </w:r>
          </w:p>
        </w:tc>
        <w:tc>
          <w:tcPr>
            <w:tcW w:w="495"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w:t>
            </w:r>
          </w:p>
        </w:tc>
        <w:tc>
          <w:tcPr>
            <w:tcW w:w="495"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w:t>
            </w:r>
          </w:p>
        </w:tc>
        <w:tc>
          <w:tcPr>
            <w:tcW w:w="59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w:t>
            </w:r>
          </w:p>
        </w:tc>
        <w:tc>
          <w:tcPr>
            <w:tcW w:w="59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59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w:t>
            </w:r>
          </w:p>
        </w:tc>
        <w:tc>
          <w:tcPr>
            <w:tcW w:w="59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w:t>
            </w:r>
          </w:p>
        </w:tc>
        <w:tc>
          <w:tcPr>
            <w:tcW w:w="602" w:type="dxa"/>
            <w:tcBorders>
              <w:top w:val="single" w:color="auto" w:sz="12"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全年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160" w:hRule="atLeast"/>
          <w:jc w:val="center"/>
        </w:trPr>
        <w:tc>
          <w:tcPr>
            <w:tcW w:w="921"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平均气压</w:t>
            </w:r>
            <w:r>
              <w:rPr>
                <w:rFonts w:hint="default" w:ascii="Times New Roman" w:hAnsi="Times New Roman" w:eastAsia="宋体" w:cs="Times New Roman"/>
                <w:snapToGrid/>
                <w:color w:val="auto"/>
                <w:spacing w:val="0"/>
                <w:kern w:val="0"/>
                <w:sz w:val="21"/>
                <w:szCs w:val="21"/>
                <w:lang w:val="en-US" w:eastAsia="zh-CN" w:bidi="ar"/>
              </w:rPr>
              <w:t>(hPa)</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1020.0</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1017.5</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1013.2</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1008.0</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1003.6</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999.1</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996.7</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998.9</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1006.1</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1013.2</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1017.8</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1019.9</w:t>
            </w:r>
          </w:p>
        </w:tc>
        <w:tc>
          <w:tcPr>
            <w:tcW w:w="602"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60" w:hRule="atLeast"/>
          <w:jc w:val="center"/>
        </w:trPr>
        <w:tc>
          <w:tcPr>
            <w:tcW w:w="921"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平均气温</w:t>
            </w:r>
            <w:r>
              <w:rPr>
                <w:rFonts w:hint="default" w:ascii="Times New Roman" w:hAnsi="Times New Roman" w:eastAsia="宋体" w:cs="Times New Roman"/>
                <w:snapToGrid/>
                <w:color w:val="auto"/>
                <w:spacing w:val="0"/>
                <w:kern w:val="0"/>
                <w:sz w:val="21"/>
                <w:szCs w:val="21"/>
                <w:lang w:val="en-US" w:eastAsia="zh-CN" w:bidi="ar"/>
              </w:rPr>
              <w:t>(</w:t>
            </w:r>
            <w:r>
              <w:rPr>
                <w:rFonts w:hint="eastAsia" w:ascii="宋体" w:hAnsi="宋体" w:eastAsia="宋体" w:cs="宋体"/>
                <w:snapToGrid/>
                <w:color w:val="auto"/>
                <w:spacing w:val="0"/>
                <w:kern w:val="0"/>
                <w:sz w:val="21"/>
                <w:szCs w:val="21"/>
                <w:lang w:val="en-US" w:eastAsia="zh-CN" w:bidi="ar"/>
              </w:rPr>
              <w:t>℃</w:t>
            </w:r>
            <w:r>
              <w:rPr>
                <w:rFonts w:hint="default" w:ascii="Times New Roman" w:hAnsi="Times New Roman" w:eastAsia="宋体" w:cs="Times New Roman"/>
                <w:snapToGrid/>
                <w:color w:val="auto"/>
                <w:spacing w:val="0"/>
                <w:kern w:val="0"/>
                <w:sz w:val="21"/>
                <w:szCs w:val="21"/>
                <w:lang w:val="en-US" w:eastAsia="zh-CN" w:bidi="ar"/>
              </w:rPr>
              <w:t>)</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4.4</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6.1</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10.8</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16.7</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21.2</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25.7</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29.2</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28.5</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23.8</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18.2</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12.2</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6.7</w:t>
            </w:r>
          </w:p>
        </w:tc>
        <w:tc>
          <w:tcPr>
            <w:tcW w:w="602"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60" w:hRule="atLeast"/>
          <w:jc w:val="center"/>
        </w:trPr>
        <w:tc>
          <w:tcPr>
            <w:tcW w:w="921"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平均相对湿度</w:t>
            </w:r>
            <w:r>
              <w:rPr>
                <w:rFonts w:hint="default" w:ascii="Times New Roman" w:hAnsi="Times New Roman" w:eastAsia="宋体" w:cs="Times New Roman"/>
                <w:snapToGrid/>
                <w:color w:val="auto"/>
                <w:spacing w:val="0"/>
                <w:kern w:val="0"/>
                <w:sz w:val="21"/>
                <w:szCs w:val="21"/>
                <w:lang w:val="en-US" w:eastAsia="zh-CN" w:bidi="ar"/>
              </w:rPr>
              <w:t>(%)</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77</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79</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81</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81</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81</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80</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75</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78</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79</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78</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77</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77</w:t>
            </w:r>
          </w:p>
        </w:tc>
        <w:tc>
          <w:tcPr>
            <w:tcW w:w="602"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60" w:hRule="atLeast"/>
          <w:jc w:val="center"/>
        </w:trPr>
        <w:tc>
          <w:tcPr>
            <w:tcW w:w="921"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降水量</w:t>
            </w:r>
          </w:p>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(mm)</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46.7</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71.0</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128.7</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174.8</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201.9</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227.6</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95.4</w:t>
            </w:r>
          </w:p>
        </w:tc>
        <w:tc>
          <w:tcPr>
            <w:tcW w:w="4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118.7</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53.6</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73.5</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63.2</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47.2</w:t>
            </w:r>
          </w:p>
        </w:tc>
        <w:tc>
          <w:tcPr>
            <w:tcW w:w="602"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60" w:hRule="atLeast"/>
          <w:jc w:val="center"/>
        </w:trPr>
        <w:tc>
          <w:tcPr>
            <w:tcW w:w="921" w:type="dxa"/>
            <w:tcBorders>
              <w:top w:val="single" w:color="auto" w:sz="4" w:space="0"/>
              <w:left w:val="single" w:color="auto" w:sz="12"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蒸发量</w:t>
            </w:r>
          </w:p>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(mm)</w:t>
            </w:r>
          </w:p>
        </w:tc>
        <w:tc>
          <w:tcPr>
            <w:tcW w:w="592"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47.9</w:t>
            </w:r>
          </w:p>
        </w:tc>
        <w:tc>
          <w:tcPr>
            <w:tcW w:w="592"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50.1</w:t>
            </w:r>
          </w:p>
        </w:tc>
        <w:tc>
          <w:tcPr>
            <w:tcW w:w="592"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77.7</w:t>
            </w:r>
          </w:p>
        </w:tc>
        <w:tc>
          <w:tcPr>
            <w:tcW w:w="592"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108.1</w:t>
            </w:r>
          </w:p>
        </w:tc>
        <w:tc>
          <w:tcPr>
            <w:tcW w:w="592"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128.3</w:t>
            </w:r>
          </w:p>
        </w:tc>
        <w:tc>
          <w:tcPr>
            <w:tcW w:w="495"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162.4</w:t>
            </w:r>
          </w:p>
        </w:tc>
        <w:tc>
          <w:tcPr>
            <w:tcW w:w="495"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252.2</w:t>
            </w:r>
          </w:p>
        </w:tc>
        <w:tc>
          <w:tcPr>
            <w:tcW w:w="495"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212.5</w:t>
            </w:r>
          </w:p>
        </w:tc>
        <w:tc>
          <w:tcPr>
            <w:tcW w:w="592"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149.6</w:t>
            </w:r>
          </w:p>
        </w:tc>
        <w:tc>
          <w:tcPr>
            <w:tcW w:w="592"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106.9</w:t>
            </w:r>
          </w:p>
        </w:tc>
        <w:tc>
          <w:tcPr>
            <w:tcW w:w="592"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71.8</w:t>
            </w:r>
          </w:p>
        </w:tc>
        <w:tc>
          <w:tcPr>
            <w:tcW w:w="592"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56.7</w:t>
            </w:r>
          </w:p>
        </w:tc>
        <w:tc>
          <w:tcPr>
            <w:tcW w:w="602" w:type="dxa"/>
            <w:tcBorders>
              <w:top w:val="single" w:color="auto" w:sz="4" w:space="0"/>
              <w:left w:val="single" w:color="auto" w:sz="4" w:space="0"/>
              <w:bottom w:val="single" w:color="auto" w:sz="12"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1424.2</w:t>
            </w:r>
          </w:p>
        </w:tc>
      </w:tr>
    </w:tbl>
    <w:p>
      <w:pPr>
        <w:pStyle w:val="17"/>
        <w:keepNext w:val="0"/>
        <w:keepLines w:val="0"/>
        <w:widowControl w:val="0"/>
        <w:suppressLineNumbers w:val="0"/>
        <w:adjustRightInd w:val="0"/>
        <w:snapToGrid w:val="0"/>
        <w:spacing w:before="0" w:beforeAutospacing="0" w:after="0" w:afterAutospacing="0" w:line="480" w:lineRule="exact"/>
        <w:ind w:left="0" w:right="0" w:firstLine="480" w:firstLineChars="200"/>
        <w:jc w:val="both"/>
        <w:rPr>
          <w:rFonts w:hint="default" w:ascii="Times New Roman" w:hAnsi="Times New Roman" w:cs="Times New Roman"/>
          <w:color w:val="auto"/>
          <w:spacing w:val="0"/>
          <w:kern w:val="0"/>
          <w:sz w:val="24"/>
          <w:szCs w:val="24"/>
          <w:lang w:eastAsia="zh-CN"/>
        </w:rPr>
      </w:pPr>
      <w:r>
        <w:rPr>
          <w:rFonts w:hint="default" w:ascii="Times New Roman" w:hAnsi="Times New Roman" w:eastAsia="Times New Roman" w:cs="Times New Roman"/>
          <w:snapToGrid/>
          <w:color w:val="auto"/>
          <w:spacing w:val="0"/>
          <w:kern w:val="0"/>
          <w:sz w:val="24"/>
          <w:szCs w:val="24"/>
          <w:lang w:val="en-US" w:eastAsia="zh-CN" w:bidi="ar"/>
        </w:rPr>
        <w:t>风对大气污染物的扩散和迁移方向起着决定性的作用。表</w:t>
      </w:r>
      <w:r>
        <w:rPr>
          <w:rFonts w:hint="eastAsia" w:ascii="Times New Roman" w:hAnsi="Times New Roman" w:eastAsia="Times New Roman" w:cs="Times New Roman"/>
          <w:snapToGrid/>
          <w:color w:val="auto"/>
          <w:spacing w:val="0"/>
          <w:kern w:val="0"/>
          <w:sz w:val="24"/>
          <w:szCs w:val="24"/>
          <w:lang w:val="en-US" w:eastAsia="zh-CN" w:bidi="ar"/>
        </w:rPr>
        <w:t>7</w:t>
      </w:r>
      <w:r>
        <w:rPr>
          <w:rFonts w:hint="default" w:ascii="Times New Roman" w:hAnsi="Times New Roman" w:eastAsia="Times New Roman" w:cs="Times New Roman"/>
          <w:snapToGrid/>
          <w:color w:val="auto"/>
          <w:spacing w:val="0"/>
          <w:kern w:val="0"/>
          <w:sz w:val="24"/>
          <w:szCs w:val="24"/>
          <w:lang w:val="en-US" w:eastAsia="zh-CN" w:bidi="ar"/>
        </w:rPr>
        <w:t>-3是岳阳市气象站2001-2005年风向频率统计表，图</w:t>
      </w:r>
      <w:r>
        <w:rPr>
          <w:rFonts w:hint="eastAsia" w:ascii="Times New Roman" w:hAnsi="Times New Roman" w:eastAsia="Times New Roman" w:cs="Times New Roman"/>
          <w:snapToGrid/>
          <w:color w:val="auto"/>
          <w:spacing w:val="0"/>
          <w:kern w:val="0"/>
          <w:sz w:val="24"/>
          <w:szCs w:val="24"/>
          <w:lang w:val="en-US" w:eastAsia="zh-CN" w:bidi="ar"/>
        </w:rPr>
        <w:t>7</w:t>
      </w:r>
      <w:r>
        <w:rPr>
          <w:rFonts w:hint="default" w:ascii="Times New Roman" w:hAnsi="Times New Roman" w:eastAsia="Times New Roman" w:cs="Times New Roman"/>
          <w:snapToGrid/>
          <w:color w:val="auto"/>
          <w:spacing w:val="0"/>
          <w:kern w:val="0"/>
          <w:sz w:val="24"/>
          <w:szCs w:val="24"/>
          <w:lang w:val="en-US" w:eastAsia="zh-CN" w:bidi="ar"/>
        </w:rPr>
        <w:t>-1为风向频率玫瑰图。</w:t>
      </w:r>
    </w:p>
    <w:p>
      <w:pPr>
        <w:pStyle w:val="17"/>
        <w:keepNext w:val="0"/>
        <w:keepLines w:val="0"/>
        <w:widowControl w:val="0"/>
        <w:suppressLineNumbers w:val="0"/>
        <w:adjustRightInd w:val="0"/>
        <w:snapToGrid w:val="0"/>
        <w:spacing w:before="0" w:beforeAutospacing="0" w:after="0" w:afterAutospacing="0" w:line="480" w:lineRule="exact"/>
        <w:ind w:left="0" w:right="0" w:firstLine="480" w:firstLineChars="200"/>
        <w:jc w:val="both"/>
        <w:rPr>
          <w:rFonts w:hint="default" w:ascii="Times New Roman" w:hAnsi="Times New Roman" w:cs="Times New Roman"/>
          <w:color w:val="auto"/>
          <w:spacing w:val="0"/>
          <w:kern w:val="0"/>
          <w:sz w:val="24"/>
          <w:szCs w:val="24"/>
          <w:lang w:eastAsia="zh-CN"/>
        </w:rPr>
      </w:pPr>
      <w:r>
        <w:rPr>
          <w:rFonts w:hint="default" w:ascii="Times New Roman" w:hAnsi="Times New Roman" w:eastAsia="Times New Roman" w:cs="Times New Roman"/>
          <w:snapToGrid/>
          <w:color w:val="auto"/>
          <w:spacing w:val="0"/>
          <w:kern w:val="0"/>
          <w:sz w:val="24"/>
          <w:szCs w:val="24"/>
          <w:lang w:val="en-US" w:eastAsia="zh-CN" w:bidi="ar"/>
        </w:rPr>
        <w:t>从表</w:t>
      </w:r>
      <w:r>
        <w:rPr>
          <w:rFonts w:hint="eastAsia" w:ascii="Times New Roman" w:hAnsi="Times New Roman" w:eastAsia="Times New Roman" w:cs="Times New Roman"/>
          <w:snapToGrid/>
          <w:color w:val="auto"/>
          <w:spacing w:val="0"/>
          <w:kern w:val="0"/>
          <w:sz w:val="24"/>
          <w:szCs w:val="24"/>
          <w:lang w:val="en-US" w:eastAsia="zh-CN" w:bidi="ar"/>
        </w:rPr>
        <w:t>7</w:t>
      </w:r>
      <w:r>
        <w:rPr>
          <w:rFonts w:hint="default" w:ascii="Times New Roman" w:hAnsi="Times New Roman" w:eastAsia="Times New Roman" w:cs="Times New Roman"/>
          <w:snapToGrid/>
          <w:color w:val="auto"/>
          <w:spacing w:val="0"/>
          <w:kern w:val="0"/>
          <w:sz w:val="24"/>
          <w:szCs w:val="24"/>
          <w:lang w:val="en-US" w:eastAsia="zh-CN" w:bidi="ar"/>
        </w:rPr>
        <w:t>-6和图</w:t>
      </w:r>
      <w:r>
        <w:rPr>
          <w:rFonts w:hint="eastAsia" w:ascii="Times New Roman" w:hAnsi="Times New Roman" w:eastAsia="Times New Roman" w:cs="Times New Roman"/>
          <w:snapToGrid/>
          <w:color w:val="auto"/>
          <w:spacing w:val="0"/>
          <w:kern w:val="0"/>
          <w:sz w:val="24"/>
          <w:szCs w:val="24"/>
          <w:lang w:val="en-US" w:eastAsia="zh-CN" w:bidi="ar"/>
        </w:rPr>
        <w:t>7</w:t>
      </w:r>
      <w:r>
        <w:rPr>
          <w:rFonts w:hint="default" w:ascii="Times New Roman" w:hAnsi="Times New Roman" w:eastAsia="Times New Roman" w:cs="Times New Roman"/>
          <w:snapToGrid/>
          <w:color w:val="auto"/>
          <w:spacing w:val="0"/>
          <w:kern w:val="0"/>
          <w:sz w:val="24"/>
          <w:szCs w:val="24"/>
          <w:lang w:val="en-US" w:eastAsia="zh-CN" w:bidi="ar"/>
        </w:rPr>
        <w:t>-1中可以看出：岳阳市常年主导风为NE风，年出现频率为17.8%。冬季(1月)以NE风为主，出现频率22.4%；春季(4月)以NE风为主，出现频率14.6%；夏季(7月)以S风为主，出现频率15.0%；秋季(10月)以NE风为主，出现频率均为18.4%。全年静风频率11.7%，夏季静风频率较低为7.0%。秋季17.4%、冬季节性13.4%、春季10.8%。</w:t>
      </w:r>
    </w:p>
    <w:p>
      <w:pPr>
        <w:pStyle w:val="29"/>
        <w:widowControl/>
        <w:ind w:left="520"/>
        <w:jc w:val="center"/>
        <w:rPr>
          <w:rFonts w:hint="eastAsia" w:ascii="Times New Roman" w:hAnsi="Times New Roman" w:eastAsia="宋体" w:cs="宋体"/>
          <w:b/>
          <w:bCs/>
          <w:color w:val="auto"/>
          <w:sz w:val="21"/>
          <w:szCs w:val="21"/>
          <w:lang w:val="en-US" w:eastAsia="zh-CN"/>
        </w:rPr>
      </w:pPr>
      <w:r>
        <w:rPr>
          <w:rFonts w:hint="eastAsia" w:ascii="Times New Roman" w:hAnsi="Times New Roman" w:eastAsia="宋体" w:cs="宋体"/>
          <w:b/>
          <w:bCs/>
          <w:color w:val="auto"/>
          <w:sz w:val="21"/>
          <w:szCs w:val="21"/>
          <w:lang w:eastAsia="zh-CN"/>
        </w:rPr>
        <w:t>表</w:t>
      </w:r>
      <w:r>
        <w:rPr>
          <w:rFonts w:hint="eastAsia" w:ascii="Times New Roman" w:hAnsi="Times New Roman" w:eastAsia="宋体" w:cs="宋体"/>
          <w:b/>
          <w:bCs/>
          <w:color w:val="auto"/>
          <w:sz w:val="21"/>
          <w:szCs w:val="21"/>
          <w:lang w:val="en-US" w:eastAsia="zh-CN"/>
        </w:rPr>
        <w:t xml:space="preserve">7-3   </w:t>
      </w:r>
      <w:r>
        <w:rPr>
          <w:rFonts w:hint="eastAsia" w:ascii="Times New Roman" w:hAnsi="Times New Roman" w:eastAsia="宋体" w:cs="宋体"/>
          <w:b/>
          <w:bCs/>
          <w:color w:val="auto"/>
          <w:sz w:val="21"/>
          <w:szCs w:val="21"/>
          <w:lang w:eastAsia="zh-CN"/>
        </w:rPr>
        <w:t>全年及各月风向频率（</w:t>
      </w:r>
      <w:r>
        <w:rPr>
          <w:rFonts w:hint="eastAsia" w:ascii="Times New Roman" w:hAnsi="Times New Roman" w:eastAsia="宋体" w:cs="宋体"/>
          <w:b/>
          <w:bCs/>
          <w:color w:val="auto"/>
          <w:sz w:val="21"/>
          <w:szCs w:val="21"/>
          <w:lang w:val="en-US" w:eastAsia="zh-CN"/>
        </w:rPr>
        <w:t>%</w:t>
      </w:r>
      <w:r>
        <w:rPr>
          <w:rFonts w:hint="eastAsia" w:ascii="Times New Roman" w:hAnsi="Times New Roman" w:eastAsia="宋体" w:cs="宋体"/>
          <w:b/>
          <w:bCs/>
          <w:color w:val="auto"/>
          <w:sz w:val="21"/>
          <w:szCs w:val="21"/>
          <w:lang w:eastAsia="zh-CN"/>
        </w:rPr>
        <w:t>）</w:t>
      </w:r>
    </w:p>
    <w:tbl>
      <w:tblPr>
        <w:tblStyle w:val="19"/>
        <w:tblW w:w="926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Layout w:type="fixed"/>
        <w:tblCellMar>
          <w:top w:w="0" w:type="dxa"/>
          <w:left w:w="28" w:type="dxa"/>
          <w:bottom w:w="0" w:type="dxa"/>
          <w:right w:w="28" w:type="dxa"/>
        </w:tblCellMar>
      </w:tblPr>
      <w:tblGrid>
        <w:gridCol w:w="930"/>
        <w:gridCol w:w="451"/>
        <w:gridCol w:w="538"/>
        <w:gridCol w:w="468"/>
        <w:gridCol w:w="513"/>
        <w:gridCol w:w="439"/>
        <w:gridCol w:w="474"/>
        <w:gridCol w:w="468"/>
        <w:gridCol w:w="461"/>
        <w:gridCol w:w="468"/>
        <w:gridCol w:w="538"/>
        <w:gridCol w:w="459"/>
        <w:gridCol w:w="571"/>
        <w:gridCol w:w="400"/>
        <w:gridCol w:w="606"/>
        <w:gridCol w:w="453"/>
        <w:gridCol w:w="559"/>
        <w:gridCol w:w="46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Layout w:type="fixed"/>
          <w:tblCellMar>
            <w:top w:w="0" w:type="dxa"/>
            <w:left w:w="28" w:type="dxa"/>
            <w:bottom w:w="0" w:type="dxa"/>
            <w:right w:w="28" w:type="dxa"/>
          </w:tblCellMar>
        </w:tblPrEx>
        <w:trPr>
          <w:trHeight w:val="641" w:hRule="atLeast"/>
          <w:jc w:val="center"/>
        </w:trPr>
        <w:tc>
          <w:tcPr>
            <w:tcW w:w="930" w:type="dxa"/>
            <w:tcBorders>
              <w:top w:val="single" w:color="auto" w:sz="12" w:space="0"/>
              <w:left w:val="single" w:color="auto" w:sz="12" w:space="0"/>
              <w:bottom w:val="single" w:color="auto" w:sz="4" w:space="0"/>
              <w:right w:val="single" w:color="auto" w:sz="4" w:space="0"/>
              <w:tl2br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val="0"/>
                <w:color w:val="auto"/>
                <w:spacing w:val="10"/>
                <w:kern w:val="0"/>
                <w:sz w:val="24"/>
                <w:szCs w:val="24"/>
                <w:lang w:val="en-US" w:eastAsia="zh-CN" w:bidi="ar"/>
              </w:rPr>
              <mc:AlternateContent>
                <mc:Choice Requires="wps">
                  <w:drawing>
                    <wp:anchor distT="0" distB="0" distL="114300" distR="114300" simplePos="0" relativeHeight="251659264" behindDoc="0" locked="0" layoutInCell="1" allowOverlap="1">
                      <wp:simplePos x="0" y="0"/>
                      <wp:positionH relativeFrom="column">
                        <wp:posOffset>3175</wp:posOffset>
                      </wp:positionH>
                      <wp:positionV relativeFrom="paragraph">
                        <wp:posOffset>0</wp:posOffset>
                      </wp:positionV>
                      <wp:extent cx="485140" cy="216535"/>
                      <wp:effectExtent l="1905" t="4445" r="8255" b="7620"/>
                      <wp:wrapNone/>
                      <wp:docPr id="36" name="任意多边形 358"/>
                      <wp:cNvGraphicFramePr/>
                      <a:graphic xmlns:a="http://schemas.openxmlformats.org/drawingml/2006/main">
                        <a:graphicData uri="http://schemas.microsoft.com/office/word/2010/wordprocessingShape">
                          <wps:wsp>
                            <wps:cNvSpPr/>
                            <wps:spPr>
                              <a:xfrm>
                                <a:off x="0" y="0"/>
                                <a:ext cx="485140" cy="216535"/>
                              </a:xfrm>
                              <a:custGeom>
                                <a:avLst/>
                                <a:gdLst/>
                                <a:ahLst/>
                                <a:cxnLst>
                                  <a:cxn ang="0">
                                    <a:pos x="0" y="0"/>
                                  </a:cxn>
                                  <a:cxn ang="0">
                                    <a:pos x="485140" y="216535"/>
                                  </a:cxn>
                                </a:cxnLst>
                                <a:pathLst>
                                  <a:path w="1020" h="450">
                                    <a:moveTo>
                                      <a:pt x="0" y="0"/>
                                    </a:moveTo>
                                    <a:lnTo>
                                      <a:pt x="1020" y="450"/>
                                    </a:lnTo>
                                  </a:path>
                                </a:pathLst>
                              </a:custGeom>
                              <a:solidFill>
                                <a:srgbClr val="FFFFFF"/>
                              </a:solidFill>
                              <a:ln w="6350" cap="flat" cmpd="sng">
                                <a:solidFill>
                                  <a:srgbClr val="000000"/>
                                </a:solidFill>
                                <a:prstDash val="solid"/>
                                <a:headEnd type="none" w="med" len="med"/>
                                <a:tailEnd type="none" w="med" len="med"/>
                              </a:ln>
                            </wps:spPr>
                            <wps:bodyPr wrap="square" upright="1"/>
                          </wps:wsp>
                        </a:graphicData>
                      </a:graphic>
                    </wp:anchor>
                  </w:drawing>
                </mc:Choice>
                <mc:Fallback>
                  <w:pict>
                    <v:shape id="任意多边形 358" o:spid="_x0000_s1026" o:spt="100" style="position:absolute;left:0pt;margin-left:0.25pt;margin-top:0pt;height:17.05pt;width:38.2pt;z-index:251659264;mso-width-relative:page;mso-height-relative:page;" fillcolor="#FFFFFF" filled="t" stroked="t" coordsize="1020,450" o:gfxdata="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PrOuFDTAAAAAwEAAA8AAAAAAAAAAQAgAAAA&#10;IgAAAGRycy9kb3ducmV2LnhtbFBLAQIUABQAAAAIAIdO4kDX4p92SQIAAOYEAAAOAAAAAAAAAAEA&#10;IAAAACIBAABkcnMvZTJvRG9jLnhtbFBLBQYAAAAABgAGAFkBAADdBQAAAAA=&#10;" path="m0,0l1020,450e">
                      <v:path o:connectlocs="0,0;485140,216535" o:connectangles="0,0"/>
                      <v:fill on="t" focussize="0,0"/>
                      <v:stroke weight="0.5pt" color="#000000" joinstyle="round"/>
                      <v:imagedata o:title=""/>
                      <o:lock v:ext="edit" aspectratio="f"/>
                    </v:shape>
                  </w:pict>
                </mc:Fallback>
              </mc:AlternateContent>
            </w:r>
            <w:r>
              <w:rPr>
                <w:rFonts w:hint="eastAsia" w:ascii="Times New Roman" w:hAnsi="Times New Roman" w:eastAsia="宋体" w:cs="宋体"/>
                <w:snapToGrid/>
                <w:color w:val="auto"/>
                <w:spacing w:val="0"/>
                <w:kern w:val="0"/>
                <w:sz w:val="21"/>
                <w:szCs w:val="21"/>
                <w:lang w:val="en-US" w:eastAsia="zh-CN" w:bidi="ar"/>
              </w:rPr>
              <w:t>风向</w:t>
            </w:r>
          </w:p>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 xml:space="preserve">     </w:t>
            </w:r>
            <w:r>
              <w:rPr>
                <w:rFonts w:hint="eastAsia" w:ascii="Times New Roman" w:hAnsi="Times New Roman" w:eastAsia="宋体" w:cs="宋体"/>
                <w:snapToGrid/>
                <w:color w:val="auto"/>
                <w:spacing w:val="0"/>
                <w:kern w:val="0"/>
                <w:sz w:val="21"/>
                <w:szCs w:val="21"/>
                <w:lang w:val="en-US" w:eastAsia="zh-CN" w:bidi="ar"/>
              </w:rPr>
              <w:t>频率</w:t>
            </w:r>
          </w:p>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月份</w:t>
            </w:r>
          </w:p>
        </w:tc>
        <w:tc>
          <w:tcPr>
            <w:tcW w:w="451"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N</w:t>
            </w:r>
          </w:p>
        </w:tc>
        <w:tc>
          <w:tcPr>
            <w:tcW w:w="538"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NNE</w:t>
            </w:r>
          </w:p>
        </w:tc>
        <w:tc>
          <w:tcPr>
            <w:tcW w:w="468"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NE</w:t>
            </w:r>
          </w:p>
        </w:tc>
        <w:tc>
          <w:tcPr>
            <w:tcW w:w="513"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ENE</w:t>
            </w:r>
          </w:p>
        </w:tc>
        <w:tc>
          <w:tcPr>
            <w:tcW w:w="439"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E</w:t>
            </w:r>
          </w:p>
        </w:tc>
        <w:tc>
          <w:tcPr>
            <w:tcW w:w="474"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ESE</w:t>
            </w:r>
          </w:p>
        </w:tc>
        <w:tc>
          <w:tcPr>
            <w:tcW w:w="468"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SE</w:t>
            </w:r>
          </w:p>
        </w:tc>
        <w:tc>
          <w:tcPr>
            <w:tcW w:w="461"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SSE</w:t>
            </w:r>
          </w:p>
        </w:tc>
        <w:tc>
          <w:tcPr>
            <w:tcW w:w="468"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S</w:t>
            </w:r>
          </w:p>
        </w:tc>
        <w:tc>
          <w:tcPr>
            <w:tcW w:w="538"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SSW</w:t>
            </w:r>
          </w:p>
        </w:tc>
        <w:tc>
          <w:tcPr>
            <w:tcW w:w="459"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SW</w:t>
            </w:r>
          </w:p>
        </w:tc>
        <w:tc>
          <w:tcPr>
            <w:tcW w:w="571"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WSW</w:t>
            </w:r>
          </w:p>
        </w:tc>
        <w:tc>
          <w:tcPr>
            <w:tcW w:w="40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W</w:t>
            </w:r>
          </w:p>
        </w:tc>
        <w:tc>
          <w:tcPr>
            <w:tcW w:w="606"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WNW</w:t>
            </w:r>
          </w:p>
        </w:tc>
        <w:tc>
          <w:tcPr>
            <w:tcW w:w="453"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NW</w:t>
            </w:r>
          </w:p>
        </w:tc>
        <w:tc>
          <w:tcPr>
            <w:tcW w:w="559"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NNW</w:t>
            </w:r>
          </w:p>
        </w:tc>
        <w:tc>
          <w:tcPr>
            <w:tcW w:w="468" w:type="dxa"/>
            <w:tcBorders>
              <w:top w:val="single" w:color="auto" w:sz="12"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12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C</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4.6</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9.4</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22.4</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12.6</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6.6</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3.8</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4.0</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4.0</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2.4</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3.6</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7.8</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13.8</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20.4</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12.0</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4.2</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5.8</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4.0</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2.4</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4.2</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7.0</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10.6</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17.2</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5.6</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3.4</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3.8</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9.8</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7.2</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4.8</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4.4</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8.6</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10.0</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14.6</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6.0</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3.4</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7.0</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9.2</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7.4</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4.0</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5.8</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3.4</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0.8</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3.8</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6.6</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10.4</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20.0</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4.8</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5.6</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4.8</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4.4</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0.8</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4.6</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3.6</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5.8</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4.2</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5.0</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3.4</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5.6</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6.2</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3.8</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11.6</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7.8</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10.8</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1.8</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6.8</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7.2</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6.8</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3.8</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15.4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5.2</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7.0</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5.0</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1.8</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10.8</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11.2</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15.0</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2.4</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11.8</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5.4</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5.6</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8.6</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11.2</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16.4</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12.2</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3.6</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5.8</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5.6</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3.4</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3.4</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3.8</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8.2</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10.0</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22.0</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13.2</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4.0</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4.4</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3.6</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5.4</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1.8</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4.4</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14.0</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18.4</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8.2</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5.0</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3.4</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4.0</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1.8</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4.2</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4.6</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17.4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5.2</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10.2</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22.2</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10.6</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5.8</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4.0</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7.2</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2.4</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3.8</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w:t>
            </w:r>
            <w:r>
              <w:rPr>
                <w:rFonts w:hint="eastAsia" w:ascii="Times New Roman" w:hAnsi="Times New Roman" w:eastAsia="宋体" w:cs="宋体"/>
                <w:snapToGrid/>
                <w:color w:val="auto"/>
                <w:spacing w:val="0"/>
                <w:kern w:val="0"/>
                <w:sz w:val="21"/>
                <w:szCs w:val="21"/>
                <w:lang w:val="en-US" w:eastAsia="zh-CN" w:bidi="ar"/>
              </w:rPr>
              <w:t>月</w:t>
            </w:r>
          </w:p>
        </w:tc>
        <w:tc>
          <w:tcPr>
            <w:tcW w:w="4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9.6</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14.8</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26.8</w:t>
            </w:r>
          </w:p>
        </w:tc>
        <w:tc>
          <w:tcPr>
            <w:tcW w:w="51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12.4</w:t>
            </w:r>
          </w:p>
        </w:tc>
        <w:tc>
          <w:tcPr>
            <w:tcW w:w="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4.2</w:t>
            </w:r>
          </w:p>
        </w:tc>
        <w:tc>
          <w:tcPr>
            <w:tcW w:w="47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4.8</w:t>
            </w:r>
          </w:p>
        </w:tc>
        <w:tc>
          <w:tcPr>
            <w:tcW w:w="46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w:t>
            </w:r>
          </w:p>
        </w:tc>
        <w:tc>
          <w:tcPr>
            <w:tcW w:w="46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53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4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w:t>
            </w:r>
          </w:p>
        </w:tc>
        <w:tc>
          <w:tcPr>
            <w:tcW w:w="5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w:t>
            </w:r>
          </w:p>
        </w:tc>
        <w:tc>
          <w:tcPr>
            <w:tcW w:w="60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4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w:t>
            </w:r>
          </w:p>
        </w:tc>
        <w:tc>
          <w:tcPr>
            <w:tcW w:w="55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w:t>
            </w:r>
          </w:p>
        </w:tc>
        <w:tc>
          <w:tcPr>
            <w:tcW w:w="46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Ex>
        <w:trPr>
          <w:trHeight w:val="385" w:hRule="atLeast"/>
          <w:jc w:val="center"/>
        </w:trPr>
        <w:tc>
          <w:tcPr>
            <w:tcW w:w="930" w:type="dxa"/>
            <w:tcBorders>
              <w:top w:val="single" w:color="auto" w:sz="4" w:space="0"/>
              <w:left w:val="single" w:color="auto" w:sz="12"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全年</w:t>
            </w:r>
          </w:p>
        </w:tc>
        <w:tc>
          <w:tcPr>
            <w:tcW w:w="451"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6.4</w:t>
            </w:r>
          </w:p>
        </w:tc>
        <w:tc>
          <w:tcPr>
            <w:tcW w:w="538"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10.4</w:t>
            </w:r>
          </w:p>
        </w:tc>
        <w:tc>
          <w:tcPr>
            <w:tcW w:w="468"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17.8</w:t>
            </w:r>
          </w:p>
        </w:tc>
        <w:tc>
          <w:tcPr>
            <w:tcW w:w="513"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8.8</w:t>
            </w:r>
          </w:p>
        </w:tc>
        <w:tc>
          <w:tcPr>
            <w:tcW w:w="439"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3.8</w:t>
            </w:r>
          </w:p>
        </w:tc>
        <w:tc>
          <w:tcPr>
            <w:tcW w:w="474"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3.4</w:t>
            </w:r>
          </w:p>
        </w:tc>
        <w:tc>
          <w:tcPr>
            <w:tcW w:w="468"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6.6</w:t>
            </w:r>
          </w:p>
        </w:tc>
        <w:tc>
          <w:tcPr>
            <w:tcW w:w="461"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5.5</w:t>
            </w:r>
          </w:p>
        </w:tc>
        <w:tc>
          <w:tcPr>
            <w:tcW w:w="468"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5.0</w:t>
            </w:r>
          </w:p>
        </w:tc>
        <w:tc>
          <w:tcPr>
            <w:tcW w:w="538"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1.8</w:t>
            </w:r>
          </w:p>
        </w:tc>
        <w:tc>
          <w:tcPr>
            <w:tcW w:w="459"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4.2</w:t>
            </w:r>
          </w:p>
        </w:tc>
        <w:tc>
          <w:tcPr>
            <w:tcW w:w="571"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3.8</w:t>
            </w:r>
          </w:p>
        </w:tc>
        <w:tc>
          <w:tcPr>
            <w:tcW w:w="40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4.2</w:t>
            </w:r>
          </w:p>
        </w:tc>
        <w:tc>
          <w:tcPr>
            <w:tcW w:w="606"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1.9</w:t>
            </w:r>
          </w:p>
        </w:tc>
        <w:tc>
          <w:tcPr>
            <w:tcW w:w="453"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w:t>
            </w:r>
          </w:p>
        </w:tc>
        <w:tc>
          <w:tcPr>
            <w:tcW w:w="559"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3.2</w:t>
            </w:r>
          </w:p>
        </w:tc>
        <w:tc>
          <w:tcPr>
            <w:tcW w:w="468" w:type="dxa"/>
            <w:tcBorders>
              <w:top w:val="single" w:color="auto" w:sz="4" w:space="0"/>
              <w:left w:val="single" w:color="auto" w:sz="4" w:space="0"/>
              <w:bottom w:val="single" w:color="auto" w:sz="12"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11.7</w:t>
            </w:r>
          </w:p>
        </w:tc>
      </w:tr>
    </w:tbl>
    <w:p>
      <w:pPr>
        <w:pStyle w:val="17"/>
        <w:keepNext w:val="0"/>
        <w:keepLines w:val="0"/>
        <w:widowControl w:val="0"/>
        <w:suppressLineNumbers w:val="0"/>
        <w:adjustRightInd w:val="0"/>
        <w:snapToGrid w:val="0"/>
        <w:spacing w:before="0" w:beforeAutospacing="0" w:after="0" w:afterAutospacing="0" w:line="480" w:lineRule="exact"/>
        <w:ind w:left="0" w:right="0" w:firstLine="480" w:firstLineChars="200"/>
        <w:jc w:val="both"/>
        <w:rPr>
          <w:rFonts w:hint="default" w:ascii="Times New Roman" w:hAnsi="Times New Roman" w:cs="Times New Roman"/>
          <w:color w:val="auto"/>
          <w:spacing w:val="0"/>
          <w:kern w:val="0"/>
          <w:sz w:val="24"/>
          <w:szCs w:val="24"/>
          <w:lang w:eastAsia="zh-CN"/>
        </w:rPr>
      </w:pPr>
      <w:r>
        <w:rPr>
          <w:rFonts w:hint="default" w:ascii="Times New Roman" w:hAnsi="Times New Roman" w:eastAsia="Times New Roman" w:cs="Times New Roman"/>
          <w:snapToGrid/>
          <w:color w:val="auto"/>
          <w:spacing w:val="0"/>
          <w:kern w:val="0"/>
          <w:sz w:val="24"/>
          <w:szCs w:val="24"/>
          <w:lang w:val="en-US" w:eastAsia="zh-CN" w:bidi="ar"/>
        </w:rPr>
        <w:t>岳阳市多年平均风速为2</w:t>
      </w:r>
      <w:r>
        <w:rPr>
          <w:rFonts w:hint="eastAsia" w:ascii="Times New Roman" w:hAnsi="Times New Roman" w:eastAsia="Times New Roman" w:cs="Times New Roman"/>
          <w:snapToGrid/>
          <w:color w:val="auto"/>
          <w:spacing w:val="0"/>
          <w:kern w:val="0"/>
          <w:sz w:val="24"/>
          <w:szCs w:val="24"/>
          <w:lang w:val="en-US" w:eastAsia="zh-CN" w:bidi="ar"/>
        </w:rPr>
        <w:t>.6</w:t>
      </w:r>
      <w:r>
        <w:rPr>
          <w:rFonts w:hint="default" w:ascii="Times New Roman" w:hAnsi="Times New Roman" w:eastAsia="Times New Roman" w:cs="Times New Roman"/>
          <w:snapToGrid/>
          <w:color w:val="auto"/>
          <w:spacing w:val="0"/>
          <w:kern w:val="0"/>
          <w:sz w:val="24"/>
          <w:szCs w:val="24"/>
          <w:lang w:val="en-US" w:eastAsia="zh-CN" w:bidi="ar"/>
        </w:rPr>
        <w:t>m/s。月平均风速变化规律为4月风速较大，为3.0 m/s；其它月份平均风速在2.2～2.8m/s的范围内波动。</w:t>
      </w:r>
    </w:p>
    <w:p>
      <w:pPr>
        <w:pStyle w:val="29"/>
        <w:widowControl/>
        <w:ind w:left="520"/>
        <w:jc w:val="center"/>
        <w:rPr>
          <w:rFonts w:hint="default" w:ascii="Times New Roman" w:hAnsi="Times New Roman" w:eastAsia="宋体" w:cs="宋体"/>
          <w:b/>
          <w:bCs/>
          <w:color w:val="auto"/>
          <w:sz w:val="21"/>
          <w:szCs w:val="21"/>
          <w:lang w:eastAsia="zh-CN"/>
        </w:rPr>
      </w:pPr>
      <w:r>
        <w:rPr>
          <w:rFonts w:hint="default" w:ascii="Times New Roman" w:hAnsi="Times New Roman" w:eastAsia="宋体" w:cs="宋体"/>
          <w:b/>
          <w:bCs/>
          <w:color w:val="auto"/>
          <w:sz w:val="21"/>
          <w:szCs w:val="21"/>
          <w:lang w:val="en-US" w:eastAsia="zh-CN"/>
        </w:rPr>
        <w:t>表</w:t>
      </w:r>
      <w:r>
        <w:rPr>
          <w:rFonts w:hint="eastAsia" w:ascii="Times New Roman" w:hAnsi="Times New Roman" w:eastAsia="宋体" w:cs="宋体"/>
          <w:b/>
          <w:bCs/>
          <w:color w:val="auto"/>
          <w:sz w:val="21"/>
          <w:szCs w:val="21"/>
          <w:lang w:val="en-US" w:eastAsia="zh-CN"/>
        </w:rPr>
        <w:t>7</w:t>
      </w:r>
      <w:r>
        <w:rPr>
          <w:rFonts w:hint="default" w:ascii="Times New Roman" w:hAnsi="Times New Roman" w:eastAsia="宋体" w:cs="宋体"/>
          <w:b/>
          <w:bCs/>
          <w:color w:val="auto"/>
          <w:sz w:val="21"/>
          <w:szCs w:val="21"/>
          <w:lang w:val="en-US" w:eastAsia="zh-CN"/>
        </w:rPr>
        <w:t>-4  各月平均风速(m/s)</w:t>
      </w:r>
    </w:p>
    <w:tbl>
      <w:tblPr>
        <w:tblStyle w:val="19"/>
        <w:tblW w:w="8505"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72"/>
        <w:gridCol w:w="581"/>
        <w:gridCol w:w="581"/>
        <w:gridCol w:w="580"/>
        <w:gridCol w:w="580"/>
        <w:gridCol w:w="580"/>
        <w:gridCol w:w="580"/>
        <w:gridCol w:w="580"/>
        <w:gridCol w:w="580"/>
        <w:gridCol w:w="580"/>
        <w:gridCol w:w="580"/>
        <w:gridCol w:w="580"/>
        <w:gridCol w:w="580"/>
        <w:gridCol w:w="77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53" w:hRule="atLeast"/>
          <w:jc w:val="center"/>
        </w:trPr>
        <w:tc>
          <w:tcPr>
            <w:tcW w:w="772" w:type="dxa"/>
            <w:tcBorders>
              <w:top w:val="single" w:color="auto" w:sz="12"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月份</w:t>
            </w:r>
          </w:p>
        </w:tc>
        <w:tc>
          <w:tcPr>
            <w:tcW w:w="581"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w:t>
            </w:r>
          </w:p>
        </w:tc>
        <w:tc>
          <w:tcPr>
            <w:tcW w:w="581"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w:t>
            </w:r>
          </w:p>
        </w:tc>
        <w:tc>
          <w:tcPr>
            <w:tcW w:w="58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w:t>
            </w:r>
          </w:p>
        </w:tc>
        <w:tc>
          <w:tcPr>
            <w:tcW w:w="58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w:t>
            </w:r>
          </w:p>
        </w:tc>
        <w:tc>
          <w:tcPr>
            <w:tcW w:w="58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w:t>
            </w:r>
          </w:p>
        </w:tc>
        <w:tc>
          <w:tcPr>
            <w:tcW w:w="58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w:t>
            </w:r>
          </w:p>
        </w:tc>
        <w:tc>
          <w:tcPr>
            <w:tcW w:w="58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w:t>
            </w:r>
          </w:p>
        </w:tc>
        <w:tc>
          <w:tcPr>
            <w:tcW w:w="58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w:t>
            </w:r>
          </w:p>
        </w:tc>
        <w:tc>
          <w:tcPr>
            <w:tcW w:w="58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w:t>
            </w:r>
          </w:p>
        </w:tc>
        <w:tc>
          <w:tcPr>
            <w:tcW w:w="58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58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w:t>
            </w:r>
          </w:p>
        </w:tc>
        <w:tc>
          <w:tcPr>
            <w:tcW w:w="58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w:t>
            </w:r>
          </w:p>
        </w:tc>
        <w:tc>
          <w:tcPr>
            <w:tcW w:w="771" w:type="dxa"/>
            <w:tcBorders>
              <w:top w:val="single" w:color="auto" w:sz="12"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年均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72" w:type="dxa"/>
            <w:tcBorders>
              <w:top w:val="single" w:color="auto" w:sz="4" w:space="0"/>
              <w:left w:val="single" w:color="auto" w:sz="12"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平均</w:t>
            </w:r>
          </w:p>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风速</w:t>
            </w:r>
          </w:p>
        </w:tc>
        <w:tc>
          <w:tcPr>
            <w:tcW w:w="581"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2.4</w:t>
            </w:r>
          </w:p>
        </w:tc>
        <w:tc>
          <w:tcPr>
            <w:tcW w:w="581"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w:t>
            </w:r>
          </w:p>
        </w:tc>
        <w:tc>
          <w:tcPr>
            <w:tcW w:w="58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58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w:t>
            </w:r>
          </w:p>
        </w:tc>
        <w:tc>
          <w:tcPr>
            <w:tcW w:w="58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2.4</w:t>
            </w:r>
          </w:p>
        </w:tc>
        <w:tc>
          <w:tcPr>
            <w:tcW w:w="58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w:t>
            </w:r>
          </w:p>
        </w:tc>
        <w:tc>
          <w:tcPr>
            <w:tcW w:w="58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58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58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w:t>
            </w:r>
          </w:p>
        </w:tc>
        <w:tc>
          <w:tcPr>
            <w:tcW w:w="58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2.3</w:t>
            </w:r>
          </w:p>
        </w:tc>
        <w:tc>
          <w:tcPr>
            <w:tcW w:w="58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2.4</w:t>
            </w:r>
          </w:p>
        </w:tc>
        <w:tc>
          <w:tcPr>
            <w:tcW w:w="580"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2.7</w:t>
            </w:r>
          </w:p>
        </w:tc>
        <w:tc>
          <w:tcPr>
            <w:tcW w:w="771" w:type="dxa"/>
            <w:tcBorders>
              <w:top w:val="single" w:color="auto" w:sz="4" w:space="0"/>
              <w:left w:val="single" w:color="auto" w:sz="4" w:space="0"/>
              <w:bottom w:val="single" w:color="auto" w:sz="12"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w:t>
            </w:r>
          </w:p>
        </w:tc>
      </w:tr>
    </w:tbl>
    <w:p>
      <w:pPr>
        <w:pStyle w:val="29"/>
        <w:widowControl/>
        <w:ind w:left="520"/>
        <w:jc w:val="center"/>
        <w:rPr>
          <w:rFonts w:hint="default" w:ascii="Times New Roman" w:hAnsi="Times New Roman" w:eastAsia="宋体" w:cs="宋体"/>
          <w:b/>
          <w:bCs/>
          <w:color w:val="auto"/>
          <w:sz w:val="21"/>
          <w:szCs w:val="21"/>
          <w:lang w:val="en-US" w:eastAsia="zh-CN"/>
        </w:rPr>
      </w:pPr>
      <w:r>
        <w:rPr>
          <w:rFonts w:hint="default" w:ascii="Times New Roman" w:hAnsi="Times New Roman" w:eastAsia="宋体" w:cs="宋体"/>
          <w:b/>
          <w:bCs/>
          <w:color w:val="auto"/>
          <w:sz w:val="21"/>
          <w:szCs w:val="21"/>
          <w:lang w:val="en-US" w:eastAsia="zh-CN"/>
        </w:rPr>
        <w:t>表</w:t>
      </w:r>
      <w:r>
        <w:rPr>
          <w:rFonts w:hint="eastAsia" w:ascii="Times New Roman" w:hAnsi="Times New Roman" w:eastAsia="宋体" w:cs="宋体"/>
          <w:b/>
          <w:bCs/>
          <w:color w:val="auto"/>
          <w:sz w:val="21"/>
          <w:szCs w:val="21"/>
          <w:lang w:val="en-US" w:eastAsia="zh-CN"/>
        </w:rPr>
        <w:t>7</w:t>
      </w:r>
      <w:r>
        <w:rPr>
          <w:rFonts w:hint="default" w:ascii="Times New Roman" w:hAnsi="Times New Roman" w:eastAsia="宋体" w:cs="宋体"/>
          <w:b/>
          <w:bCs/>
          <w:color w:val="auto"/>
          <w:sz w:val="21"/>
          <w:szCs w:val="21"/>
          <w:lang w:val="en-US" w:eastAsia="zh-CN"/>
        </w:rPr>
        <w:t>-5  各风速段风向出现频率（%）</w:t>
      </w:r>
    </w:p>
    <w:tbl>
      <w:tblPr>
        <w:tblStyle w:val="19"/>
        <w:tblW w:w="84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45" w:type="dxa"/>
          <w:bottom w:w="0" w:type="dxa"/>
          <w:right w:w="45" w:type="dxa"/>
        </w:tblCellMar>
      </w:tblPr>
      <w:tblGrid>
        <w:gridCol w:w="685"/>
        <w:gridCol w:w="353"/>
        <w:gridCol w:w="522"/>
        <w:gridCol w:w="370"/>
        <w:gridCol w:w="499"/>
        <w:gridCol w:w="353"/>
        <w:gridCol w:w="464"/>
        <w:gridCol w:w="353"/>
        <w:gridCol w:w="452"/>
        <w:gridCol w:w="353"/>
        <w:gridCol w:w="522"/>
        <w:gridCol w:w="405"/>
        <w:gridCol w:w="604"/>
        <w:gridCol w:w="353"/>
        <w:gridCol w:w="639"/>
        <w:gridCol w:w="440"/>
        <w:gridCol w:w="592"/>
        <w:gridCol w:w="4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45" w:type="dxa"/>
            <w:bottom w:w="0" w:type="dxa"/>
            <w:right w:w="45" w:type="dxa"/>
          </w:tblCellMar>
        </w:tblPrEx>
        <w:trPr>
          <w:trHeight w:val="453" w:hRule="atLeast"/>
          <w:jc w:val="center"/>
        </w:trPr>
        <w:tc>
          <w:tcPr>
            <w:tcW w:w="685" w:type="dxa"/>
            <w:tcBorders>
              <w:top w:val="single" w:color="auto" w:sz="12"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风速段</w:t>
            </w:r>
          </w:p>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(m/s)</w:t>
            </w:r>
          </w:p>
        </w:tc>
        <w:tc>
          <w:tcPr>
            <w:tcW w:w="353"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N</w:t>
            </w:r>
          </w:p>
        </w:tc>
        <w:tc>
          <w:tcPr>
            <w:tcW w:w="52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NNE</w:t>
            </w:r>
          </w:p>
        </w:tc>
        <w:tc>
          <w:tcPr>
            <w:tcW w:w="37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NE</w:t>
            </w:r>
          </w:p>
        </w:tc>
        <w:tc>
          <w:tcPr>
            <w:tcW w:w="499"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ENE</w:t>
            </w:r>
          </w:p>
        </w:tc>
        <w:tc>
          <w:tcPr>
            <w:tcW w:w="353"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E</w:t>
            </w:r>
          </w:p>
        </w:tc>
        <w:tc>
          <w:tcPr>
            <w:tcW w:w="464"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ESE</w:t>
            </w:r>
          </w:p>
        </w:tc>
        <w:tc>
          <w:tcPr>
            <w:tcW w:w="353"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SE</w:t>
            </w:r>
          </w:p>
        </w:tc>
        <w:tc>
          <w:tcPr>
            <w:tcW w:w="45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SSE</w:t>
            </w:r>
          </w:p>
        </w:tc>
        <w:tc>
          <w:tcPr>
            <w:tcW w:w="353"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S</w:t>
            </w:r>
          </w:p>
        </w:tc>
        <w:tc>
          <w:tcPr>
            <w:tcW w:w="52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SSW</w:t>
            </w:r>
          </w:p>
        </w:tc>
        <w:tc>
          <w:tcPr>
            <w:tcW w:w="405"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SW</w:t>
            </w:r>
          </w:p>
        </w:tc>
        <w:tc>
          <w:tcPr>
            <w:tcW w:w="604"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WSW</w:t>
            </w:r>
          </w:p>
        </w:tc>
        <w:tc>
          <w:tcPr>
            <w:tcW w:w="353"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W</w:t>
            </w:r>
          </w:p>
        </w:tc>
        <w:tc>
          <w:tcPr>
            <w:tcW w:w="639"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WNW</w:t>
            </w:r>
          </w:p>
        </w:tc>
        <w:tc>
          <w:tcPr>
            <w:tcW w:w="440"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NW</w:t>
            </w:r>
          </w:p>
        </w:tc>
        <w:tc>
          <w:tcPr>
            <w:tcW w:w="592"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NNW</w:t>
            </w:r>
          </w:p>
        </w:tc>
        <w:tc>
          <w:tcPr>
            <w:tcW w:w="458" w:type="dxa"/>
            <w:tcBorders>
              <w:top w:val="single" w:color="auto" w:sz="12"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45" w:type="dxa"/>
            <w:bottom w:w="0" w:type="dxa"/>
            <w:right w:w="45" w:type="dxa"/>
          </w:tblCellMar>
        </w:tblPrEx>
        <w:trPr>
          <w:cantSplit/>
          <w:trHeight w:val="444" w:hRule="atLeast"/>
          <w:jc w:val="center"/>
        </w:trPr>
        <w:tc>
          <w:tcPr>
            <w:tcW w:w="685"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0-0.9</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0.6</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0.4</w:t>
            </w:r>
          </w:p>
        </w:tc>
        <w:tc>
          <w:tcPr>
            <w:tcW w:w="37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49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0.8</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0.8</w:t>
            </w:r>
          </w:p>
        </w:tc>
        <w:tc>
          <w:tcPr>
            <w:tcW w:w="46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0.4</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0.4</w:t>
            </w:r>
          </w:p>
        </w:tc>
        <w:tc>
          <w:tcPr>
            <w:tcW w:w="4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0.3</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0.3</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0.5</w:t>
            </w:r>
          </w:p>
        </w:tc>
        <w:tc>
          <w:tcPr>
            <w:tcW w:w="60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0.3</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0.3</w:t>
            </w:r>
          </w:p>
        </w:tc>
        <w:tc>
          <w:tcPr>
            <w:tcW w:w="6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4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0.4</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0.4</w:t>
            </w:r>
          </w:p>
        </w:tc>
        <w:tc>
          <w:tcPr>
            <w:tcW w:w="45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45" w:type="dxa"/>
            <w:bottom w:w="0" w:type="dxa"/>
            <w:right w:w="45" w:type="dxa"/>
          </w:tblCellMar>
        </w:tblPrEx>
        <w:trPr>
          <w:cantSplit/>
          <w:trHeight w:val="444" w:hRule="atLeast"/>
          <w:jc w:val="center"/>
        </w:trPr>
        <w:tc>
          <w:tcPr>
            <w:tcW w:w="685"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1.0-1.9</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37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2.7</w:t>
            </w:r>
          </w:p>
        </w:tc>
        <w:tc>
          <w:tcPr>
            <w:tcW w:w="49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w:t>
            </w:r>
          </w:p>
        </w:tc>
        <w:tc>
          <w:tcPr>
            <w:tcW w:w="46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w:t>
            </w:r>
          </w:p>
        </w:tc>
        <w:tc>
          <w:tcPr>
            <w:tcW w:w="4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0.8</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0.6</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w:t>
            </w:r>
          </w:p>
        </w:tc>
        <w:tc>
          <w:tcPr>
            <w:tcW w:w="60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6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0.3</w:t>
            </w:r>
          </w:p>
        </w:tc>
        <w:tc>
          <w:tcPr>
            <w:tcW w:w="44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0.7</w:t>
            </w:r>
          </w:p>
        </w:tc>
        <w:tc>
          <w:tcPr>
            <w:tcW w:w="45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45" w:type="dxa"/>
            <w:bottom w:w="0" w:type="dxa"/>
            <w:right w:w="45" w:type="dxa"/>
          </w:tblCellMar>
        </w:tblPrEx>
        <w:trPr>
          <w:cantSplit/>
          <w:trHeight w:val="444" w:hRule="atLeast"/>
          <w:jc w:val="center"/>
        </w:trPr>
        <w:tc>
          <w:tcPr>
            <w:tcW w:w="685"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2.0-2.9</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3.1</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3.6</w:t>
            </w:r>
          </w:p>
        </w:tc>
        <w:tc>
          <w:tcPr>
            <w:tcW w:w="37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6.0</w:t>
            </w:r>
          </w:p>
        </w:tc>
        <w:tc>
          <w:tcPr>
            <w:tcW w:w="49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0.8</w:t>
            </w:r>
          </w:p>
        </w:tc>
        <w:tc>
          <w:tcPr>
            <w:tcW w:w="46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0.8</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w:t>
            </w:r>
          </w:p>
        </w:tc>
        <w:tc>
          <w:tcPr>
            <w:tcW w:w="4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0.7</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2.5</w:t>
            </w:r>
          </w:p>
        </w:tc>
        <w:tc>
          <w:tcPr>
            <w:tcW w:w="60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1.5</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1.5</w:t>
            </w:r>
          </w:p>
        </w:tc>
        <w:tc>
          <w:tcPr>
            <w:tcW w:w="6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0.3</w:t>
            </w:r>
          </w:p>
        </w:tc>
        <w:tc>
          <w:tcPr>
            <w:tcW w:w="44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0.9</w:t>
            </w:r>
          </w:p>
        </w:tc>
        <w:tc>
          <w:tcPr>
            <w:tcW w:w="45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45" w:type="dxa"/>
            <w:bottom w:w="0" w:type="dxa"/>
            <w:right w:w="45" w:type="dxa"/>
          </w:tblCellMar>
        </w:tblPrEx>
        <w:trPr>
          <w:cantSplit/>
          <w:trHeight w:val="444" w:hRule="atLeast"/>
          <w:jc w:val="center"/>
        </w:trPr>
        <w:tc>
          <w:tcPr>
            <w:tcW w:w="685"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3.0-3.9</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3.3</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3.9</w:t>
            </w:r>
          </w:p>
        </w:tc>
        <w:tc>
          <w:tcPr>
            <w:tcW w:w="37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6.0</w:t>
            </w:r>
          </w:p>
        </w:tc>
        <w:tc>
          <w:tcPr>
            <w:tcW w:w="49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0.2</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6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0.4</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2.3</w:t>
            </w:r>
          </w:p>
        </w:tc>
        <w:tc>
          <w:tcPr>
            <w:tcW w:w="4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left"/>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0.8</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1.7</w:t>
            </w:r>
          </w:p>
        </w:tc>
        <w:tc>
          <w:tcPr>
            <w:tcW w:w="60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0.8</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1.5</w:t>
            </w:r>
          </w:p>
        </w:tc>
        <w:tc>
          <w:tcPr>
            <w:tcW w:w="6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4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0.3</w:t>
            </w:r>
          </w:p>
        </w:tc>
        <w:tc>
          <w:tcPr>
            <w:tcW w:w="45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45" w:type="dxa"/>
            <w:bottom w:w="0" w:type="dxa"/>
            <w:right w:w="45" w:type="dxa"/>
          </w:tblCellMar>
        </w:tblPrEx>
        <w:trPr>
          <w:cantSplit/>
          <w:trHeight w:val="444" w:hRule="atLeast"/>
          <w:jc w:val="center"/>
        </w:trPr>
        <w:tc>
          <w:tcPr>
            <w:tcW w:w="685"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4.0-5.9</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2.5</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2.8</w:t>
            </w:r>
          </w:p>
        </w:tc>
        <w:tc>
          <w:tcPr>
            <w:tcW w:w="37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4.3</w:t>
            </w:r>
          </w:p>
        </w:tc>
        <w:tc>
          <w:tcPr>
            <w:tcW w:w="49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6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w:t>
            </w:r>
          </w:p>
        </w:tc>
        <w:tc>
          <w:tcPr>
            <w:tcW w:w="4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2.4</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0.6</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60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6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4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5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45" w:type="dxa"/>
            <w:bottom w:w="0" w:type="dxa"/>
            <w:right w:w="45" w:type="dxa"/>
          </w:tblCellMar>
        </w:tblPrEx>
        <w:trPr>
          <w:cantSplit/>
          <w:trHeight w:val="444" w:hRule="atLeast"/>
          <w:jc w:val="center"/>
        </w:trPr>
        <w:tc>
          <w:tcPr>
            <w:tcW w:w="685"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≥6.0</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0.3</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left"/>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37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49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6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52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60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6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4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59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458"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45" w:type="dxa"/>
            <w:bottom w:w="0" w:type="dxa"/>
            <w:right w:w="45" w:type="dxa"/>
          </w:tblCellMar>
        </w:tblPrEx>
        <w:trPr>
          <w:cantSplit/>
          <w:trHeight w:val="444" w:hRule="atLeast"/>
          <w:jc w:val="center"/>
        </w:trPr>
        <w:tc>
          <w:tcPr>
            <w:tcW w:w="8417" w:type="dxa"/>
            <w:gridSpan w:val="18"/>
            <w:tcBorders>
              <w:top w:val="single" w:color="auto" w:sz="4" w:space="0"/>
              <w:left w:val="single" w:color="auto" w:sz="12" w:space="0"/>
              <w:bottom w:val="single" w:color="auto" w:sz="12"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注：其中静风频率</w:t>
            </w:r>
            <w:r>
              <w:rPr>
                <w:rFonts w:hint="default" w:ascii="Times New Roman" w:hAnsi="Times New Roman" w:eastAsia="宋体" w:cs="Times New Roman"/>
                <w:snapToGrid/>
                <w:color w:val="auto"/>
                <w:spacing w:val="0"/>
                <w:kern w:val="0"/>
                <w:sz w:val="21"/>
                <w:szCs w:val="21"/>
                <w:lang w:val="en-US" w:eastAsia="zh-CN" w:bidi="ar"/>
              </w:rPr>
              <w:t>7.5%</w:t>
            </w:r>
            <w:r>
              <w:rPr>
                <w:rFonts w:hint="eastAsia" w:ascii="Times New Roman" w:hAnsi="Times New Roman" w:eastAsia="宋体" w:cs="宋体"/>
                <w:snapToGrid/>
                <w:color w:val="auto"/>
                <w:spacing w:val="0"/>
                <w:kern w:val="0"/>
                <w:sz w:val="21"/>
                <w:szCs w:val="21"/>
                <w:lang w:val="en-US" w:eastAsia="zh-CN" w:bidi="ar"/>
              </w:rPr>
              <w:t>。</w:t>
            </w:r>
          </w:p>
        </w:tc>
      </w:tr>
    </w:tbl>
    <w:p>
      <w:pPr>
        <w:pStyle w:val="17"/>
        <w:keepNext w:val="0"/>
        <w:keepLines w:val="0"/>
        <w:widowControl w:val="0"/>
        <w:suppressLineNumbers w:val="0"/>
        <w:adjustRightInd w:val="0"/>
        <w:snapToGrid w:val="0"/>
        <w:spacing w:before="0" w:beforeAutospacing="0" w:after="0" w:afterAutospacing="0" w:line="480" w:lineRule="exact"/>
        <w:ind w:left="0" w:right="0" w:firstLine="480" w:firstLineChars="200"/>
        <w:jc w:val="both"/>
        <w:rPr>
          <w:rFonts w:hint="default" w:ascii="Times New Roman" w:hAnsi="Times New Roman" w:cs="Times New Roman"/>
          <w:color w:val="auto"/>
          <w:spacing w:val="0"/>
          <w:kern w:val="0"/>
          <w:sz w:val="24"/>
          <w:szCs w:val="24"/>
          <w:lang w:eastAsia="zh-CN"/>
        </w:rPr>
      </w:pPr>
      <w:r>
        <w:rPr>
          <w:rFonts w:hint="default" w:ascii="Times New Roman" w:hAnsi="Times New Roman" w:eastAsia="Times New Roman" w:cs="Times New Roman"/>
          <w:snapToGrid/>
          <w:color w:val="auto"/>
          <w:spacing w:val="0"/>
          <w:kern w:val="0"/>
          <w:sz w:val="24"/>
          <w:szCs w:val="24"/>
          <w:lang w:val="en-US" w:eastAsia="zh-CN" w:bidi="ar"/>
        </w:rPr>
        <w:t>岳阳市常年逐月大气稳定度统计情况见表</w:t>
      </w:r>
      <w:r>
        <w:rPr>
          <w:rFonts w:hint="eastAsia" w:ascii="Times New Roman" w:hAnsi="Times New Roman" w:eastAsia="Times New Roman" w:cs="Times New Roman"/>
          <w:snapToGrid/>
          <w:color w:val="auto"/>
          <w:spacing w:val="0"/>
          <w:kern w:val="0"/>
          <w:sz w:val="24"/>
          <w:szCs w:val="24"/>
          <w:lang w:val="en-US" w:eastAsia="zh-CN" w:bidi="ar"/>
        </w:rPr>
        <w:t>7</w:t>
      </w:r>
      <w:r>
        <w:rPr>
          <w:rFonts w:hint="default" w:ascii="Times New Roman" w:hAnsi="Times New Roman" w:eastAsia="Times New Roman" w:cs="Times New Roman"/>
          <w:snapToGrid/>
          <w:color w:val="auto"/>
          <w:spacing w:val="0"/>
          <w:kern w:val="0"/>
          <w:sz w:val="24"/>
          <w:szCs w:val="24"/>
          <w:lang w:val="en-US" w:eastAsia="zh-CN" w:bidi="ar"/>
        </w:rPr>
        <w:t>-6。由表可见，该地春、夏、秋、冬及全年均以D类稳定度为主，频率分别为40.87%、25.81%、31.99%、43.82%和39.05%。全年不稳定类占23.24%，稳定类占37.71%。</w:t>
      </w:r>
    </w:p>
    <w:p>
      <w:pPr>
        <w:pStyle w:val="29"/>
        <w:widowControl/>
        <w:ind w:left="520"/>
        <w:jc w:val="center"/>
        <w:rPr>
          <w:rFonts w:hint="default" w:ascii="Times New Roman" w:hAnsi="Times New Roman" w:eastAsia="宋体" w:cs="宋体"/>
          <w:b/>
          <w:bCs/>
          <w:color w:val="auto"/>
          <w:sz w:val="21"/>
          <w:szCs w:val="21"/>
          <w:lang w:val="en-US" w:eastAsia="zh-CN"/>
        </w:rPr>
      </w:pPr>
      <w:r>
        <w:rPr>
          <w:rFonts w:hint="default" w:ascii="Times New Roman" w:hAnsi="Times New Roman" w:eastAsia="宋体" w:cs="宋体"/>
          <w:b/>
          <w:bCs/>
          <w:color w:val="auto"/>
          <w:sz w:val="21"/>
          <w:szCs w:val="21"/>
          <w:lang w:val="en-US" w:eastAsia="zh-CN"/>
        </w:rPr>
        <w:t>表</w:t>
      </w:r>
      <w:r>
        <w:rPr>
          <w:rFonts w:hint="eastAsia" w:ascii="Times New Roman" w:hAnsi="Times New Roman" w:eastAsia="宋体" w:cs="宋体"/>
          <w:b/>
          <w:bCs/>
          <w:color w:val="auto"/>
          <w:sz w:val="21"/>
          <w:szCs w:val="21"/>
          <w:lang w:val="en-US" w:eastAsia="zh-CN"/>
        </w:rPr>
        <w:t>7</w:t>
      </w:r>
      <w:r>
        <w:rPr>
          <w:rFonts w:hint="default" w:ascii="Times New Roman" w:hAnsi="Times New Roman" w:eastAsia="宋体" w:cs="宋体"/>
          <w:b/>
          <w:bCs/>
          <w:color w:val="auto"/>
          <w:sz w:val="21"/>
          <w:szCs w:val="21"/>
          <w:lang w:val="en-US" w:eastAsia="zh-CN"/>
        </w:rPr>
        <w:t>-6  区域各季及全年大气稳定度分类统计表 ％</w:t>
      </w:r>
    </w:p>
    <w:tbl>
      <w:tblPr>
        <w:tblStyle w:val="19"/>
        <w:tblW w:w="8522"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244"/>
        <w:gridCol w:w="1054"/>
        <w:gridCol w:w="1244"/>
        <w:gridCol w:w="1245"/>
        <w:gridCol w:w="1245"/>
        <w:gridCol w:w="1245"/>
        <w:gridCol w:w="124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c>
          <w:tcPr>
            <w:tcW w:w="1244" w:type="dxa"/>
            <w:tcBorders>
              <w:top w:val="single" w:color="auto" w:sz="12"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时间</w:t>
            </w:r>
          </w:p>
        </w:tc>
        <w:tc>
          <w:tcPr>
            <w:tcW w:w="1054"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A</w:t>
            </w:r>
          </w:p>
        </w:tc>
        <w:tc>
          <w:tcPr>
            <w:tcW w:w="1244"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B</w:t>
            </w:r>
          </w:p>
        </w:tc>
        <w:tc>
          <w:tcPr>
            <w:tcW w:w="1245"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C</w:t>
            </w:r>
          </w:p>
        </w:tc>
        <w:tc>
          <w:tcPr>
            <w:tcW w:w="1245"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D</w:t>
            </w:r>
          </w:p>
        </w:tc>
        <w:tc>
          <w:tcPr>
            <w:tcW w:w="1245" w:type="dxa"/>
            <w:tcBorders>
              <w:top w:val="single" w:color="auto" w:sz="12"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E</w:t>
            </w:r>
          </w:p>
        </w:tc>
        <w:tc>
          <w:tcPr>
            <w:tcW w:w="1245" w:type="dxa"/>
            <w:tcBorders>
              <w:top w:val="single" w:color="auto" w:sz="12" w:space="0"/>
              <w:left w:val="single" w:color="auto" w:sz="4" w:space="0"/>
              <w:bottom w:val="single" w:color="auto" w:sz="4" w:space="0"/>
              <w:right w:val="single" w:color="auto" w:sz="12"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F</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8.06</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6.99</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44.09</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25.27</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15.59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8.82</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7.94</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49.12</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22.35</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11.76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12.5</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45.28</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23.06</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7.54</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20.64</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41.27</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17.46</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5</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0.81</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10.48</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15.05</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39.25</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25</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9.41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6</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0.56</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16.11</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13.33</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31.39</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26.94</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11.67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1.34</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14.25</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19.35</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25.81</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22.85</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8.6</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20.16</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37.1</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19.62</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14.52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18.33</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13.33</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30.56</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16.67</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21.11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12.1</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13.17</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31.99</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26.61</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16.13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11</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9.17</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10.28</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34.72</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30.28</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15.56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w:t>
            </w:r>
            <w:r>
              <w:rPr>
                <w:rFonts w:hint="eastAsia" w:ascii="Times New Roman" w:hAnsi="Times New Roman" w:eastAsia="宋体" w:cs="宋体"/>
                <w:snapToGrid/>
                <w:color w:val="auto"/>
                <w:spacing w:val="0"/>
                <w:kern w:val="0"/>
                <w:sz w:val="21"/>
                <w:szCs w:val="21"/>
                <w:lang w:val="en-US" w:eastAsia="zh-CN" w:bidi="ar"/>
              </w:rPr>
              <w:t>月</w:t>
            </w:r>
          </w:p>
        </w:tc>
        <w:tc>
          <w:tcPr>
            <w:tcW w:w="10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w:t>
            </w:r>
          </w:p>
        </w:tc>
        <w:tc>
          <w:tcPr>
            <w:tcW w:w="124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1.88</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7.26</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46.51</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29.03</w:t>
            </w:r>
          </w:p>
        </w:tc>
        <w:tc>
          <w:tcPr>
            <w:tcW w:w="1245" w:type="dxa"/>
            <w:tcBorders>
              <w:top w:val="single" w:color="auto" w:sz="4" w:space="0"/>
              <w:left w:val="single" w:color="auto" w:sz="4" w:space="0"/>
              <w:bottom w:val="single" w:color="auto" w:sz="4"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15.32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c>
          <w:tcPr>
            <w:tcW w:w="1244" w:type="dxa"/>
            <w:tcBorders>
              <w:top w:val="single" w:color="auto" w:sz="4" w:space="0"/>
              <w:left w:val="single" w:color="auto" w:sz="12"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eastAsia" w:ascii="Times New Roman" w:hAnsi="Times New Roman" w:eastAsia="宋体" w:cs="宋体"/>
                <w:snapToGrid/>
                <w:color w:val="auto"/>
                <w:spacing w:val="0"/>
                <w:kern w:val="0"/>
                <w:sz w:val="21"/>
                <w:szCs w:val="21"/>
                <w:lang w:val="en-US" w:eastAsia="zh-CN" w:bidi="ar"/>
              </w:rPr>
              <w:t>全年</w:t>
            </w:r>
          </w:p>
        </w:tc>
        <w:tc>
          <w:tcPr>
            <w:tcW w:w="1054"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0.17</w:t>
            </w:r>
          </w:p>
        </w:tc>
        <w:tc>
          <w:tcPr>
            <w:tcW w:w="1244"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10.39</w:t>
            </w:r>
          </w:p>
        </w:tc>
        <w:tc>
          <w:tcPr>
            <w:tcW w:w="1245"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12.54</w:t>
            </w:r>
          </w:p>
        </w:tc>
        <w:tc>
          <w:tcPr>
            <w:tcW w:w="1245"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val="0"/>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39.19</w:t>
            </w:r>
          </w:p>
        </w:tc>
        <w:tc>
          <w:tcPr>
            <w:tcW w:w="1245" w:type="dxa"/>
            <w:tcBorders>
              <w:top w:val="single" w:color="auto" w:sz="4" w:space="0"/>
              <w:left w:val="single" w:color="auto" w:sz="4" w:space="0"/>
              <w:bottom w:val="single" w:color="auto" w:sz="12"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24.14</w:t>
            </w:r>
          </w:p>
        </w:tc>
        <w:tc>
          <w:tcPr>
            <w:tcW w:w="1245" w:type="dxa"/>
            <w:tcBorders>
              <w:top w:val="single" w:color="auto" w:sz="4" w:space="0"/>
              <w:left w:val="single" w:color="auto" w:sz="4" w:space="0"/>
              <w:bottom w:val="single" w:color="auto" w:sz="12" w:space="0"/>
              <w:right w:val="single" w:color="auto" w:sz="12" w:space="0"/>
            </w:tcBorders>
            <w:shd w:val="clear" w:color="auto" w:fill="auto"/>
            <w:vAlign w:val="center"/>
          </w:tcPr>
          <w:p>
            <w:pPr>
              <w:keepNext w:val="0"/>
              <w:keepLines w:val="0"/>
              <w:widowControl/>
              <w:suppressLineNumbers w:val="0"/>
              <w:adjustRightInd w:val="0"/>
              <w:snapToGrid w:val="0"/>
              <w:spacing w:before="0" w:beforeAutospacing="0" w:after="0" w:afterAutospacing="0" w:line="240" w:lineRule="auto"/>
              <w:ind w:left="0" w:right="0" w:firstLine="0" w:firstLineChars="0"/>
              <w:jc w:val="center"/>
              <w:rPr>
                <w:rFonts w:hint="default"/>
                <w:color w:val="auto"/>
                <w:spacing w:val="0"/>
                <w:sz w:val="21"/>
                <w:szCs w:val="21"/>
                <w:lang w:val="en-US"/>
              </w:rPr>
            </w:pPr>
            <w:r>
              <w:rPr>
                <w:rFonts w:hint="default" w:ascii="Times New Roman" w:hAnsi="Times New Roman" w:eastAsia="宋体" w:cs="Times New Roman"/>
                <w:snapToGrid/>
                <w:color w:val="auto"/>
                <w:spacing w:val="0"/>
                <w:kern w:val="0"/>
                <w:sz w:val="21"/>
                <w:szCs w:val="21"/>
                <w:lang w:val="en-US" w:eastAsia="zh-CN" w:bidi="ar"/>
              </w:rPr>
              <w:t>13.57</w:t>
            </w:r>
          </w:p>
        </w:tc>
      </w:tr>
    </w:tbl>
    <w:p>
      <w:pPr>
        <w:pStyle w:val="5"/>
        <w:widowControl/>
        <w:ind w:left="0" w:firstLine="210"/>
        <w:rPr>
          <w:color w:val="auto"/>
          <w:lang w:eastAsia="zh-CN"/>
        </w:rPr>
      </w:pPr>
    </w:p>
    <w:p>
      <w:pPr>
        <w:pStyle w:val="5"/>
        <w:widowControl/>
        <w:ind w:left="0" w:firstLine="210"/>
        <w:rPr>
          <w:color w:val="auto"/>
          <w:lang w:eastAsia="zh-CN"/>
        </w:rPr>
      </w:pPr>
    </w:p>
    <w:p>
      <w:pPr>
        <w:pStyle w:val="5"/>
        <w:widowControl/>
        <w:ind w:left="0" w:firstLine="210"/>
        <w:jc w:val="center"/>
        <w:rPr>
          <w:color w:val="auto"/>
        </w:rPr>
      </w:pPr>
      <w:r>
        <w:rPr>
          <w:color w:val="auto"/>
          <w:lang w:eastAsia="zh-CN"/>
        </w:rPr>
        <w:drawing>
          <wp:inline distT="0" distB="0" distL="0" distR="0">
            <wp:extent cx="4371975" cy="7648575"/>
            <wp:effectExtent l="0" t="0" r="9525" b="9525"/>
            <wp:docPr id="35" name="图片 357" descr="岳阳2001-2005年风频玫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7" descr="岳阳2001-2005年风频玫瑰图"/>
                    <pic:cNvPicPr>
                      <a:picLocks noChangeAspect="1"/>
                    </pic:cNvPicPr>
                  </pic:nvPicPr>
                  <pic:blipFill>
                    <a:blip r:embed="rId27">
                      <a:grayscl/>
                    </a:blip>
                    <a:stretch>
                      <a:fillRect/>
                    </a:stretch>
                  </pic:blipFill>
                  <pic:spPr>
                    <a:xfrm>
                      <a:off x="0" y="0"/>
                      <a:ext cx="4371975" cy="7648575"/>
                    </a:xfrm>
                    <a:prstGeom prst="rect">
                      <a:avLst/>
                    </a:prstGeom>
                    <a:noFill/>
                    <a:ln w="9525">
                      <a:noFill/>
                    </a:ln>
                  </pic:spPr>
                </pic:pic>
              </a:graphicData>
            </a:graphic>
          </wp:inline>
        </w:drawing>
      </w:r>
    </w:p>
    <w:p>
      <w:pPr>
        <w:pStyle w:val="5"/>
        <w:widowControl/>
        <w:ind w:left="0" w:firstLine="210"/>
        <w:rPr>
          <w:color w:val="auto"/>
          <w:lang w:eastAsia="zh-CN"/>
        </w:rPr>
      </w:pPr>
    </w:p>
    <w:p>
      <w:pPr>
        <w:numPr>
          <w:ilvl w:val="0"/>
          <w:numId w:val="15"/>
        </w:numPr>
        <w:rPr>
          <w:rFonts w:hint="eastAsia"/>
          <w:color w:val="auto"/>
          <w:lang w:val="en-US" w:eastAsia="zh-CN"/>
        </w:rPr>
        <w:sectPr>
          <w:pgSz w:w="11906" w:h="16838"/>
          <w:pgMar w:top="1418" w:right="1418" w:bottom="1418" w:left="1418" w:header="851" w:footer="992" w:gutter="0"/>
          <w:pgNumType w:fmt="decimal"/>
          <w:cols w:space="720" w:num="1"/>
          <w:docGrid w:linePitch="312" w:charSpace="0"/>
        </w:sectPr>
      </w:pPr>
      <w:r>
        <w:rPr>
          <w:color w:val="auto"/>
          <w:lang w:eastAsia="zh-CN"/>
        </w:rPr>
        <mc:AlternateContent>
          <mc:Choice Requires="wps">
            <w:drawing>
              <wp:anchor distT="0" distB="0" distL="114300" distR="114300" simplePos="0" relativeHeight="251660288" behindDoc="0" locked="0" layoutInCell="1" allowOverlap="1">
                <wp:simplePos x="0" y="0"/>
                <wp:positionH relativeFrom="column">
                  <wp:posOffset>1609090</wp:posOffset>
                </wp:positionH>
                <wp:positionV relativeFrom="paragraph">
                  <wp:posOffset>73025</wp:posOffset>
                </wp:positionV>
                <wp:extent cx="2559050" cy="361950"/>
                <wp:effectExtent l="0" t="0" r="12700" b="0"/>
                <wp:wrapNone/>
                <wp:docPr id="37" name="矩形 356"/>
                <wp:cNvGraphicFramePr/>
                <a:graphic xmlns:a="http://schemas.openxmlformats.org/drawingml/2006/main">
                  <a:graphicData uri="http://schemas.microsoft.com/office/word/2010/wordprocessingShape">
                    <wps:wsp>
                      <wps:cNvSpPr/>
                      <wps:spPr>
                        <a:xfrm>
                          <a:off x="0" y="0"/>
                          <a:ext cx="2559050" cy="361950"/>
                        </a:xfrm>
                        <a:prstGeom prst="rect">
                          <a:avLst/>
                        </a:prstGeom>
                        <a:solidFill>
                          <a:srgbClr val="FFFFFF"/>
                        </a:solidFill>
                        <a:ln w="9525">
                          <a:noFill/>
                        </a:ln>
                      </wps:spPr>
                      <wps:txbx>
                        <w:txbxContent>
                          <w:p>
                            <w:pPr>
                              <w:pStyle w:val="29"/>
                              <w:widowControl/>
                              <w:ind w:left="520"/>
                              <w:jc w:val="center"/>
                            </w:pPr>
                            <w:r>
                              <w:rPr>
                                <w:rFonts w:hint="eastAsia" w:ascii="Times New Roman" w:hAnsi="Times New Roman" w:eastAsia="宋体" w:cs="宋体"/>
                                <w:lang w:eastAsia="zh-CN"/>
                              </w:rPr>
                              <w:t>图</w:t>
                            </w:r>
                            <w:r>
                              <w:rPr>
                                <w:rFonts w:hint="eastAsia" w:cs="宋体"/>
                                <w:lang w:val="en-US" w:eastAsia="zh-CN"/>
                              </w:rPr>
                              <w:t>7</w:t>
                            </w:r>
                            <w:r>
                              <w:rPr>
                                <w:lang w:val="en-US"/>
                              </w:rPr>
                              <w:t xml:space="preserve">-1  </w:t>
                            </w:r>
                            <w:r>
                              <w:rPr>
                                <w:rFonts w:hint="eastAsia" w:ascii="Times New Roman" w:hAnsi="Times New Roman" w:eastAsia="宋体" w:cs="宋体"/>
                                <w:lang w:eastAsia="zh-CN"/>
                              </w:rPr>
                              <w:t>评价地区风向玫瑰图</w:t>
                            </w:r>
                          </w:p>
                        </w:txbxContent>
                      </wps:txbx>
                      <wps:bodyPr upright="1"/>
                    </wps:wsp>
                  </a:graphicData>
                </a:graphic>
              </wp:anchor>
            </w:drawing>
          </mc:Choice>
          <mc:Fallback>
            <w:pict>
              <v:rect id="矩形 356" o:spid="_x0000_s1026" o:spt="1" style="position:absolute;left:0pt;margin-left:126.7pt;margin-top:5.75pt;height:28.5pt;width:201.5pt;z-index:251660288;mso-width-relative:page;mso-height-relative:page;" fillcolor="#FFFFFF" filled="t" stroked="f" coordsize="21600,21600" o:gfxdata="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L2w2FnWAAAACQEAAA8AAAAA&#10;AAAAAQAgAAAAIgAAAGRycy9kb3ducmV2LnhtbFBLAQIUABQAAAAIAIdO4kBL3WTspAEAACgDAAAO&#10;AAAAAAAAAAEAIAAAACUBAABkcnMvZTJvRG9jLnhtbFBLBQYAAAAABgAGAFkBAAA7BQAAAAA=&#10;">
                <v:fill on="t" focussize="0,0"/>
                <v:stroke on="f"/>
                <v:imagedata o:title=""/>
                <o:lock v:ext="edit" aspectratio="f"/>
                <v:textbox>
                  <w:txbxContent>
                    <w:p>
                      <w:pPr>
                        <w:pStyle w:val="29"/>
                        <w:widowControl/>
                        <w:ind w:left="520"/>
                        <w:jc w:val="center"/>
                      </w:pPr>
                      <w:r>
                        <w:rPr>
                          <w:rFonts w:hint="eastAsia" w:ascii="Times New Roman" w:hAnsi="Times New Roman" w:eastAsia="宋体" w:cs="宋体"/>
                          <w:lang w:eastAsia="zh-CN"/>
                        </w:rPr>
                        <w:t>图</w:t>
                      </w:r>
                      <w:r>
                        <w:rPr>
                          <w:rFonts w:hint="eastAsia" w:cs="宋体"/>
                          <w:lang w:val="en-US" w:eastAsia="zh-CN"/>
                        </w:rPr>
                        <w:t>7</w:t>
                      </w:r>
                      <w:r>
                        <w:rPr>
                          <w:lang w:val="en-US"/>
                        </w:rPr>
                        <w:t xml:space="preserve">-1  </w:t>
                      </w:r>
                      <w:r>
                        <w:rPr>
                          <w:rFonts w:hint="eastAsia" w:ascii="Times New Roman" w:hAnsi="Times New Roman" w:eastAsia="宋体" w:cs="宋体"/>
                          <w:lang w:eastAsia="zh-CN"/>
                        </w:rPr>
                        <w:t>评价地区风向玫瑰图</w:t>
                      </w:r>
                    </w:p>
                  </w:txbxContent>
                </v:textbox>
              </v:rect>
            </w:pict>
          </mc:Fallback>
        </mc:AlternateContent>
      </w:r>
    </w:p>
    <w:p>
      <w:pPr>
        <w:numPr>
          <w:ilvl w:val="0"/>
          <w:numId w:val="15"/>
        </w:numPr>
        <w:ind w:firstLine="420" w:firstLineChars="200"/>
        <w:rPr>
          <w:rFonts w:hint="eastAsia"/>
          <w:color w:val="auto"/>
          <w:lang w:val="en-US" w:eastAsia="zh-CN"/>
        </w:rPr>
      </w:pPr>
      <w:r>
        <w:rPr>
          <w:rFonts w:hint="eastAsia"/>
          <w:color w:val="auto"/>
          <w:lang w:val="en-US" w:eastAsia="zh-CN"/>
        </w:rPr>
        <w:t>大气环境影响预测</w:t>
      </w:r>
    </w:p>
    <w:p>
      <w:pPr>
        <w:rPr>
          <w:rFonts w:hint="eastAsia"/>
          <w:color w:val="auto"/>
          <w:lang w:val="en-US" w:eastAsia="zh-CN"/>
        </w:rPr>
      </w:pPr>
      <w:r>
        <w:rPr>
          <w:rFonts w:hint="eastAsia"/>
          <w:color w:val="auto"/>
          <w:lang w:val="en-US" w:eastAsia="zh-CN"/>
        </w:rPr>
        <w:t>根据《环境影响评价技术导则-大气环境》(HJ2.2-2008)，推荐模式中的SCREEN3模型预测分析各污染物浓度分布情况，本项目正常工况下大气评价为三级评价，可直接以估算模式的计算结果作为预测与分析的依据。</w:t>
      </w:r>
    </w:p>
    <w:p>
      <w:pPr>
        <w:spacing w:line="360" w:lineRule="auto"/>
        <w:ind w:firstLine="480" w:firstLineChars="200"/>
        <w:jc w:val="left"/>
        <w:rPr>
          <w:sz w:val="24"/>
        </w:rPr>
      </w:pPr>
      <w:r>
        <w:rPr>
          <w:sz w:val="24"/>
        </w:rPr>
        <w:t>为了解大气污染物对周围环境的影响，本次评价对填埋气体中主要污染物进行预测。</w:t>
      </w:r>
    </w:p>
    <w:p>
      <w:pPr>
        <w:numPr>
          <w:ilvl w:val="0"/>
          <w:numId w:val="16"/>
        </w:numPr>
        <w:spacing w:line="360" w:lineRule="auto"/>
        <w:ind w:firstLine="480" w:firstLineChars="200"/>
        <w:jc w:val="left"/>
        <w:rPr>
          <w:sz w:val="24"/>
        </w:rPr>
      </w:pPr>
      <w:r>
        <w:rPr>
          <w:sz w:val="24"/>
        </w:rPr>
        <w:t>预测因子：根据填埋场项目大气污染物特点，取预测因子为：NH</w:t>
      </w:r>
      <w:r>
        <w:rPr>
          <w:sz w:val="24"/>
          <w:vertAlign w:val="subscript"/>
        </w:rPr>
        <w:t>3</w:t>
      </w:r>
      <w:r>
        <w:rPr>
          <w:sz w:val="24"/>
        </w:rPr>
        <w:t>、H</w:t>
      </w:r>
      <w:r>
        <w:rPr>
          <w:sz w:val="24"/>
          <w:vertAlign w:val="subscript"/>
        </w:rPr>
        <w:t>2</w:t>
      </w:r>
      <w:r>
        <w:rPr>
          <w:sz w:val="24"/>
        </w:rPr>
        <w:t>S。</w:t>
      </w:r>
    </w:p>
    <w:p>
      <w:pPr>
        <w:numPr>
          <w:ilvl w:val="0"/>
          <w:numId w:val="16"/>
        </w:numPr>
        <w:spacing w:line="360" w:lineRule="auto"/>
        <w:ind w:firstLine="480" w:firstLineChars="200"/>
        <w:jc w:val="left"/>
        <w:rPr>
          <w:sz w:val="24"/>
        </w:rPr>
      </w:pPr>
      <w:r>
        <w:rPr>
          <w:sz w:val="24"/>
        </w:rPr>
        <w:t>预测范围：填埋场场界外2.5km范围内。</w:t>
      </w:r>
    </w:p>
    <w:p>
      <w:pPr>
        <w:numPr>
          <w:ilvl w:val="0"/>
          <w:numId w:val="16"/>
        </w:numPr>
        <w:spacing w:line="360" w:lineRule="auto"/>
        <w:ind w:firstLine="480" w:firstLineChars="200"/>
        <w:jc w:val="left"/>
        <w:rPr>
          <w:sz w:val="24"/>
        </w:rPr>
      </w:pPr>
      <w:r>
        <w:rPr>
          <w:sz w:val="24"/>
        </w:rPr>
        <w:t>预测内容</w:t>
      </w:r>
    </w:p>
    <w:p>
      <w:pPr>
        <w:spacing w:line="360" w:lineRule="auto"/>
        <w:ind w:firstLine="480" w:firstLineChars="200"/>
        <w:jc w:val="left"/>
        <w:rPr>
          <w:sz w:val="24"/>
        </w:rPr>
      </w:pPr>
      <w:r>
        <w:rPr>
          <w:sz w:val="24"/>
        </w:rPr>
        <w:t>正常工况和事故工况下，垃圾处理场下风向不同距离处各污染物浓度值，下风向最大浓度、最大浓度出现的距离。</w:t>
      </w:r>
    </w:p>
    <w:p>
      <w:pPr>
        <w:numPr>
          <w:ilvl w:val="0"/>
          <w:numId w:val="16"/>
        </w:numPr>
        <w:spacing w:line="360" w:lineRule="auto"/>
        <w:ind w:firstLine="480" w:firstLineChars="200"/>
        <w:rPr>
          <w:sz w:val="24"/>
        </w:rPr>
      </w:pPr>
      <w:r>
        <w:rPr>
          <w:sz w:val="24"/>
        </w:rPr>
        <w:t xml:space="preserve">预测模式 </w:t>
      </w:r>
    </w:p>
    <w:p>
      <w:pPr>
        <w:spacing w:line="360" w:lineRule="auto"/>
        <w:ind w:firstLine="480" w:firstLineChars="200"/>
        <w:rPr>
          <w:sz w:val="24"/>
        </w:rPr>
      </w:pPr>
      <w:r>
        <w:rPr>
          <w:sz w:val="24"/>
        </w:rPr>
        <w:t>采用《环境影响评价技术导则 大气环境》HJ2.2-2008推荐的估算模式SCREEN3。</w:t>
      </w:r>
    </w:p>
    <w:p>
      <w:pPr>
        <w:spacing w:line="360" w:lineRule="auto"/>
        <w:ind w:firstLine="480" w:firstLineChars="200"/>
        <w:rPr>
          <w:sz w:val="24"/>
        </w:rPr>
      </w:pPr>
      <w:r>
        <w:rPr>
          <w:sz w:val="24"/>
        </w:rPr>
        <w:t>SCREEN3是一个单源高斯烟羽模式，可计算点源、火炬源、面源和体源的最大地面浓度，以及下洗和岸边熏烟等特殊条件下的最大地面浓度。估算模式中嵌入了多种预设的气象组合条件，包括一些最不利的气象条件，在某个地区有可能发生，也有可能没有此种不利气象条件。所以估算模式计算出的是某一污染源对环境空气质量的最大影响程度和影响范围的保守的计算结果。</w:t>
      </w:r>
    </w:p>
    <w:p>
      <w:pPr>
        <w:numPr>
          <w:ilvl w:val="0"/>
          <w:numId w:val="16"/>
        </w:numPr>
        <w:spacing w:line="360" w:lineRule="auto"/>
        <w:ind w:firstLine="480" w:firstLineChars="200"/>
        <w:rPr>
          <w:sz w:val="24"/>
        </w:rPr>
      </w:pPr>
      <w:r>
        <w:rPr>
          <w:sz w:val="24"/>
        </w:rPr>
        <w:t>污染源强参数</w:t>
      </w:r>
    </w:p>
    <w:p>
      <w:pPr>
        <w:spacing w:line="360" w:lineRule="auto"/>
        <w:ind w:firstLine="480" w:firstLineChars="200"/>
        <w:rPr>
          <w:sz w:val="24"/>
        </w:rPr>
      </w:pPr>
      <w:r>
        <w:rPr>
          <w:sz w:val="24"/>
        </w:rPr>
        <w:t>本次预测考虑的事故排放源强为所有废气处理设施均不能运行时的源强，即污染物产生源强，为最不利</w:t>
      </w:r>
      <w:r>
        <w:rPr>
          <w:rFonts w:hint="eastAsia"/>
          <w:sz w:val="24"/>
          <w:lang w:val="en-US" w:eastAsia="zh-CN"/>
        </w:rPr>
        <w:t xml:space="preserve"> </w:t>
      </w:r>
      <w:r>
        <w:rPr>
          <w:sz w:val="24"/>
        </w:rPr>
        <w:t>放时的污染源强参数见表</w:t>
      </w:r>
      <w:r>
        <w:rPr>
          <w:rFonts w:hint="eastAsia"/>
          <w:sz w:val="24"/>
          <w:lang w:val="en-US" w:eastAsia="zh-CN"/>
        </w:rPr>
        <w:t>7-7</w:t>
      </w:r>
      <w:r>
        <w:rPr>
          <w:sz w:val="24"/>
        </w:rPr>
        <w:t>。</w:t>
      </w:r>
    </w:p>
    <w:p>
      <w:pPr>
        <w:pStyle w:val="23"/>
      </w:pPr>
      <w:r>
        <w:rPr>
          <w:b/>
          <w:bCs/>
        </w:rPr>
        <w:t>表</w:t>
      </w:r>
      <w:r>
        <w:rPr>
          <w:rFonts w:hint="eastAsia"/>
          <w:b/>
          <w:bCs/>
          <w:lang w:val="en-US" w:eastAsia="zh-CN"/>
        </w:rPr>
        <w:t>7-7</w:t>
      </w:r>
      <w:r>
        <w:rPr>
          <w:b/>
          <w:bCs/>
        </w:rPr>
        <w:t xml:space="preserve"> 各污染物正常排放和事故排放时的污染源强参数</w:t>
      </w:r>
      <w:r>
        <w:t xml:space="preserve"> </w:t>
      </w:r>
    </w:p>
    <w:tbl>
      <w:tblPr>
        <w:tblStyle w:val="19"/>
        <w:tblW w:w="9151"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73"/>
        <w:gridCol w:w="1694"/>
        <w:gridCol w:w="1559"/>
        <w:gridCol w:w="1447"/>
        <w:gridCol w:w="765"/>
        <w:gridCol w:w="836"/>
        <w:gridCol w:w="157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0" w:hRule="atLeast"/>
          <w:jc w:val="center"/>
        </w:trPr>
        <w:tc>
          <w:tcPr>
            <w:tcW w:w="1273" w:type="dxa"/>
            <w:vMerge w:val="restart"/>
            <w:vAlign w:val="center"/>
          </w:tcPr>
          <w:p>
            <w:pPr>
              <w:pStyle w:val="23"/>
              <w:keepNext w:val="0"/>
              <w:keepLines w:val="0"/>
              <w:suppressLineNumbers w:val="0"/>
              <w:spacing w:before="0" w:beforeAutospacing="0" w:after="0" w:afterAutospacing="0"/>
              <w:ind w:left="0" w:right="0"/>
              <w:rPr>
                <w:rFonts w:hint="default"/>
              </w:rPr>
            </w:pPr>
            <w:r>
              <w:rPr>
                <w:rFonts w:hint="default"/>
              </w:rPr>
              <w:t>污染物</w:t>
            </w:r>
          </w:p>
          <w:p>
            <w:pPr>
              <w:pStyle w:val="23"/>
              <w:keepNext w:val="0"/>
              <w:keepLines w:val="0"/>
              <w:suppressLineNumbers w:val="0"/>
              <w:spacing w:before="0" w:beforeAutospacing="0" w:after="0" w:afterAutospacing="0"/>
              <w:ind w:left="0" w:right="0"/>
              <w:rPr>
                <w:rFonts w:hint="default"/>
              </w:rPr>
            </w:pPr>
            <w:r>
              <w:rPr>
                <w:rFonts w:hint="default"/>
              </w:rPr>
              <w:t>名称</w:t>
            </w:r>
          </w:p>
        </w:tc>
        <w:tc>
          <w:tcPr>
            <w:tcW w:w="1694" w:type="dxa"/>
            <w:vMerge w:val="restart"/>
            <w:vAlign w:val="center"/>
          </w:tcPr>
          <w:p>
            <w:pPr>
              <w:pStyle w:val="23"/>
              <w:keepNext w:val="0"/>
              <w:keepLines w:val="0"/>
              <w:suppressLineNumbers w:val="0"/>
              <w:spacing w:before="0" w:beforeAutospacing="0" w:after="0" w:afterAutospacing="0"/>
              <w:ind w:left="0" w:right="0"/>
              <w:rPr>
                <w:rFonts w:hint="default"/>
              </w:rPr>
            </w:pPr>
            <w:r>
              <w:rPr>
                <w:rFonts w:hint="default"/>
              </w:rPr>
              <w:t>等效面源长度(m)</w:t>
            </w:r>
          </w:p>
        </w:tc>
        <w:tc>
          <w:tcPr>
            <w:tcW w:w="1559" w:type="dxa"/>
            <w:vMerge w:val="restart"/>
            <w:vAlign w:val="center"/>
          </w:tcPr>
          <w:p>
            <w:pPr>
              <w:pStyle w:val="23"/>
              <w:keepNext w:val="0"/>
              <w:keepLines w:val="0"/>
              <w:suppressLineNumbers w:val="0"/>
              <w:spacing w:before="0" w:beforeAutospacing="0" w:after="0" w:afterAutospacing="0"/>
              <w:ind w:left="0" w:right="0"/>
              <w:rPr>
                <w:rFonts w:hint="default"/>
              </w:rPr>
            </w:pPr>
            <w:r>
              <w:rPr>
                <w:rFonts w:hint="default"/>
              </w:rPr>
              <w:t>等效面源宽度(m)</w:t>
            </w:r>
          </w:p>
        </w:tc>
        <w:tc>
          <w:tcPr>
            <w:tcW w:w="1447" w:type="dxa"/>
            <w:vMerge w:val="restart"/>
            <w:vAlign w:val="center"/>
          </w:tcPr>
          <w:p>
            <w:pPr>
              <w:pStyle w:val="23"/>
              <w:keepNext w:val="0"/>
              <w:keepLines w:val="0"/>
              <w:suppressLineNumbers w:val="0"/>
              <w:spacing w:before="0" w:beforeAutospacing="0" w:after="0" w:afterAutospacing="0"/>
              <w:ind w:left="0" w:right="0"/>
              <w:rPr>
                <w:rFonts w:hint="default"/>
              </w:rPr>
            </w:pPr>
            <w:r>
              <w:rPr>
                <w:rFonts w:hint="default"/>
              </w:rPr>
              <w:t>等效排放高度(m)</w:t>
            </w:r>
          </w:p>
        </w:tc>
        <w:tc>
          <w:tcPr>
            <w:tcW w:w="1601" w:type="dxa"/>
            <w:gridSpan w:val="2"/>
            <w:tcBorders>
              <w:bottom w:val="single" w:color="auto" w:sz="4" w:space="0"/>
            </w:tcBorders>
            <w:vAlign w:val="center"/>
          </w:tcPr>
          <w:p>
            <w:pPr>
              <w:pStyle w:val="23"/>
              <w:keepNext w:val="0"/>
              <w:keepLines w:val="0"/>
              <w:suppressLineNumbers w:val="0"/>
              <w:spacing w:before="0" w:beforeAutospacing="0" w:after="0" w:afterAutospacing="0"/>
              <w:ind w:left="0" w:right="0"/>
              <w:rPr>
                <w:rFonts w:hint="default"/>
              </w:rPr>
            </w:pPr>
            <w:r>
              <w:rPr>
                <w:rFonts w:hint="default"/>
              </w:rPr>
              <w:t>排放速率(kg/h)</w:t>
            </w:r>
          </w:p>
        </w:tc>
        <w:tc>
          <w:tcPr>
            <w:tcW w:w="1577" w:type="dxa"/>
            <w:vMerge w:val="restart"/>
            <w:vAlign w:val="center"/>
          </w:tcPr>
          <w:p>
            <w:pPr>
              <w:pStyle w:val="23"/>
              <w:keepNext w:val="0"/>
              <w:keepLines w:val="0"/>
              <w:suppressLineNumbers w:val="0"/>
              <w:spacing w:before="0" w:beforeAutospacing="0" w:after="0" w:afterAutospacing="0"/>
              <w:ind w:left="0" w:right="0"/>
              <w:rPr>
                <w:rFonts w:hint="default"/>
              </w:rPr>
            </w:pPr>
            <w:r>
              <w:rPr>
                <w:rFonts w:hint="default"/>
              </w:rPr>
              <w:t>标准</w:t>
            </w:r>
            <w:r>
              <w:rPr>
                <w:rFonts w:hint="eastAsia"/>
              </w:rPr>
              <w:t>值</w:t>
            </w:r>
            <w:r>
              <w:rPr>
                <w:rFonts w:hint="default"/>
              </w:rPr>
              <w:t>(一次值：mg/m3)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25" w:hRule="atLeast"/>
          <w:jc w:val="center"/>
        </w:trPr>
        <w:tc>
          <w:tcPr>
            <w:tcW w:w="1273" w:type="dxa"/>
            <w:vMerge w:val="continue"/>
            <w:vAlign w:val="center"/>
          </w:tcPr>
          <w:p>
            <w:pPr>
              <w:pStyle w:val="23"/>
              <w:keepNext w:val="0"/>
              <w:keepLines w:val="0"/>
              <w:suppressLineNumbers w:val="0"/>
              <w:spacing w:before="0" w:beforeAutospacing="0" w:after="0" w:afterAutospacing="0"/>
              <w:ind w:left="0" w:right="0"/>
              <w:rPr>
                <w:rFonts w:hint="default"/>
              </w:rPr>
            </w:pPr>
          </w:p>
        </w:tc>
        <w:tc>
          <w:tcPr>
            <w:tcW w:w="1694" w:type="dxa"/>
            <w:vMerge w:val="continue"/>
            <w:vAlign w:val="center"/>
          </w:tcPr>
          <w:p>
            <w:pPr>
              <w:pStyle w:val="23"/>
              <w:keepNext w:val="0"/>
              <w:keepLines w:val="0"/>
              <w:suppressLineNumbers w:val="0"/>
              <w:spacing w:before="0" w:beforeAutospacing="0" w:after="0" w:afterAutospacing="0"/>
              <w:ind w:left="0" w:right="0"/>
              <w:rPr>
                <w:rFonts w:hint="default"/>
              </w:rPr>
            </w:pPr>
          </w:p>
        </w:tc>
        <w:tc>
          <w:tcPr>
            <w:tcW w:w="1559" w:type="dxa"/>
            <w:vMerge w:val="continue"/>
            <w:vAlign w:val="center"/>
          </w:tcPr>
          <w:p>
            <w:pPr>
              <w:pStyle w:val="23"/>
              <w:keepNext w:val="0"/>
              <w:keepLines w:val="0"/>
              <w:suppressLineNumbers w:val="0"/>
              <w:spacing w:before="0" w:beforeAutospacing="0" w:after="0" w:afterAutospacing="0"/>
              <w:ind w:left="0" w:right="0"/>
              <w:rPr>
                <w:rFonts w:hint="default"/>
              </w:rPr>
            </w:pPr>
          </w:p>
        </w:tc>
        <w:tc>
          <w:tcPr>
            <w:tcW w:w="1447" w:type="dxa"/>
            <w:vMerge w:val="continue"/>
            <w:vAlign w:val="center"/>
          </w:tcPr>
          <w:p>
            <w:pPr>
              <w:pStyle w:val="23"/>
              <w:keepNext w:val="0"/>
              <w:keepLines w:val="0"/>
              <w:suppressLineNumbers w:val="0"/>
              <w:spacing w:before="0" w:beforeAutospacing="0" w:after="0" w:afterAutospacing="0"/>
              <w:ind w:left="0" w:right="0"/>
              <w:rPr>
                <w:rFonts w:hint="default"/>
              </w:rPr>
            </w:pPr>
          </w:p>
        </w:tc>
        <w:tc>
          <w:tcPr>
            <w:tcW w:w="765" w:type="dxa"/>
            <w:tcBorders>
              <w:top w:val="single" w:color="auto" w:sz="4" w:space="0"/>
            </w:tcBorders>
            <w:vAlign w:val="top"/>
          </w:tcPr>
          <w:p>
            <w:pPr>
              <w:pStyle w:val="23"/>
              <w:keepNext w:val="0"/>
              <w:keepLines w:val="0"/>
              <w:suppressLineNumbers w:val="0"/>
              <w:spacing w:before="0" w:beforeAutospacing="0" w:after="0" w:afterAutospacing="0"/>
              <w:ind w:left="0" w:right="0"/>
              <w:rPr>
                <w:rFonts w:hint="eastAsia"/>
              </w:rPr>
            </w:pPr>
            <w:r>
              <w:rPr>
                <w:rFonts w:hint="eastAsia"/>
              </w:rPr>
              <w:t>正常</w:t>
            </w:r>
          </w:p>
        </w:tc>
        <w:tc>
          <w:tcPr>
            <w:tcW w:w="836" w:type="dxa"/>
            <w:tcBorders>
              <w:top w:val="single" w:color="auto" w:sz="4" w:space="0"/>
            </w:tcBorders>
            <w:vAlign w:val="top"/>
          </w:tcPr>
          <w:p>
            <w:pPr>
              <w:pStyle w:val="23"/>
              <w:keepNext w:val="0"/>
              <w:keepLines w:val="0"/>
              <w:suppressLineNumbers w:val="0"/>
              <w:spacing w:before="0" w:beforeAutospacing="0" w:after="0" w:afterAutospacing="0"/>
              <w:ind w:left="0" w:right="0"/>
              <w:rPr>
                <w:rFonts w:hint="default"/>
              </w:rPr>
            </w:pPr>
            <w:r>
              <w:rPr>
                <w:rFonts w:hint="eastAsia"/>
              </w:rPr>
              <w:t>事故</w:t>
            </w:r>
          </w:p>
        </w:tc>
        <w:tc>
          <w:tcPr>
            <w:tcW w:w="1577" w:type="dxa"/>
            <w:vMerge w:val="continue"/>
            <w:vAlign w:val="center"/>
          </w:tcPr>
          <w:p>
            <w:pPr>
              <w:pStyle w:val="23"/>
              <w:keepNext w:val="0"/>
              <w:keepLines w:val="0"/>
              <w:suppressLineNumbers w:val="0"/>
              <w:spacing w:before="0" w:beforeAutospacing="0" w:after="0" w:afterAutospacing="0"/>
              <w:ind w:left="0" w:right="0"/>
              <w:rPr>
                <w:rFonts w:hint="default"/>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273" w:type="dxa"/>
            <w:vAlign w:val="center"/>
          </w:tcPr>
          <w:p>
            <w:pPr>
              <w:pStyle w:val="23"/>
              <w:keepNext w:val="0"/>
              <w:keepLines w:val="0"/>
              <w:suppressLineNumbers w:val="0"/>
              <w:spacing w:before="0" w:beforeAutospacing="0" w:after="0" w:afterAutospacing="0"/>
              <w:ind w:left="0" w:right="0"/>
              <w:rPr>
                <w:rFonts w:hint="default"/>
              </w:rPr>
            </w:pPr>
            <w:r>
              <w:rPr>
                <w:rFonts w:hint="default"/>
              </w:rPr>
              <w:t>NH3</w:t>
            </w:r>
          </w:p>
        </w:tc>
        <w:tc>
          <w:tcPr>
            <w:tcW w:w="1694" w:type="dxa"/>
            <w:vAlign w:val="center"/>
          </w:tcPr>
          <w:p>
            <w:pPr>
              <w:pStyle w:val="23"/>
              <w:keepNext w:val="0"/>
              <w:keepLines w:val="0"/>
              <w:suppressLineNumbers w:val="0"/>
              <w:spacing w:before="0" w:beforeAutospacing="0" w:after="0" w:afterAutospacing="0"/>
              <w:ind w:left="0" w:right="0"/>
              <w:rPr>
                <w:rFonts w:hint="default"/>
              </w:rPr>
            </w:pPr>
            <w:r>
              <w:rPr>
                <w:rFonts w:hint="default"/>
                <w:lang w:val="en-US"/>
              </w:rPr>
              <w:t>1000</w:t>
            </w:r>
          </w:p>
        </w:tc>
        <w:tc>
          <w:tcPr>
            <w:tcW w:w="1559" w:type="dxa"/>
            <w:vAlign w:val="center"/>
          </w:tcPr>
          <w:p>
            <w:pPr>
              <w:pStyle w:val="23"/>
              <w:keepNext w:val="0"/>
              <w:keepLines w:val="0"/>
              <w:suppressLineNumbers w:val="0"/>
              <w:spacing w:before="0" w:beforeAutospacing="0" w:after="0" w:afterAutospacing="0"/>
              <w:ind w:left="0" w:right="0"/>
              <w:rPr>
                <w:rFonts w:hint="default"/>
                <w:lang w:val="en-US"/>
              </w:rPr>
            </w:pPr>
            <w:r>
              <w:rPr>
                <w:rFonts w:hint="default"/>
                <w:lang w:val="en-US"/>
              </w:rPr>
              <w:t>210</w:t>
            </w:r>
          </w:p>
        </w:tc>
        <w:tc>
          <w:tcPr>
            <w:tcW w:w="1447" w:type="dxa"/>
            <w:vAlign w:val="center"/>
          </w:tcPr>
          <w:p>
            <w:pPr>
              <w:pStyle w:val="23"/>
              <w:keepNext w:val="0"/>
              <w:keepLines w:val="0"/>
              <w:suppressLineNumbers w:val="0"/>
              <w:spacing w:before="0" w:beforeAutospacing="0" w:after="0" w:afterAutospacing="0"/>
              <w:ind w:left="0" w:right="0"/>
              <w:rPr>
                <w:rFonts w:hint="eastAsia"/>
              </w:rPr>
            </w:pPr>
            <w:r>
              <w:rPr>
                <w:rFonts w:hint="eastAsia"/>
                <w:lang w:val="en-US"/>
              </w:rPr>
              <w:t>8</w:t>
            </w:r>
          </w:p>
        </w:tc>
        <w:tc>
          <w:tcPr>
            <w:tcW w:w="765" w:type="dxa"/>
            <w:vAlign w:val="center"/>
          </w:tcPr>
          <w:p>
            <w:pPr>
              <w:pStyle w:val="23"/>
              <w:keepNext w:val="0"/>
              <w:keepLines w:val="0"/>
              <w:suppressLineNumbers w:val="0"/>
              <w:spacing w:before="0" w:beforeAutospacing="0" w:after="0" w:afterAutospacing="0"/>
              <w:ind w:left="0" w:right="0"/>
              <w:rPr>
                <w:rFonts w:hint="eastAsia"/>
                <w:lang w:val="en-US"/>
              </w:rPr>
            </w:pPr>
            <w:r>
              <w:rPr>
                <w:rFonts w:hint="default"/>
                <w:lang w:val="en-US"/>
              </w:rPr>
              <w:t>0.0504</w:t>
            </w:r>
          </w:p>
        </w:tc>
        <w:tc>
          <w:tcPr>
            <w:tcW w:w="836" w:type="dxa"/>
            <w:vAlign w:val="center"/>
          </w:tcPr>
          <w:p>
            <w:pPr>
              <w:pStyle w:val="23"/>
              <w:keepNext w:val="0"/>
              <w:keepLines w:val="0"/>
              <w:suppressLineNumbers w:val="0"/>
              <w:spacing w:before="0" w:beforeAutospacing="0" w:after="0" w:afterAutospacing="0"/>
              <w:ind w:left="0" w:right="0"/>
              <w:rPr>
                <w:rFonts w:hint="default"/>
                <w:lang w:val="en-US"/>
              </w:rPr>
            </w:pPr>
            <w:r>
              <w:rPr>
                <w:rFonts w:hint="eastAsia"/>
                <w:lang w:val="en-US"/>
              </w:rPr>
              <w:t>0.28</w:t>
            </w:r>
          </w:p>
        </w:tc>
        <w:tc>
          <w:tcPr>
            <w:tcW w:w="1577" w:type="dxa"/>
            <w:vAlign w:val="center"/>
          </w:tcPr>
          <w:p>
            <w:pPr>
              <w:pStyle w:val="23"/>
              <w:keepNext w:val="0"/>
              <w:keepLines w:val="0"/>
              <w:suppressLineNumbers w:val="0"/>
              <w:spacing w:before="0" w:beforeAutospacing="0" w:after="0" w:afterAutospacing="0"/>
              <w:ind w:left="0" w:right="0"/>
              <w:rPr>
                <w:rFonts w:hint="default"/>
              </w:rPr>
            </w:pPr>
            <w:r>
              <w:rPr>
                <w:rFonts w:hint="default"/>
              </w:rPr>
              <w:t>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273" w:type="dxa"/>
            <w:vAlign w:val="center"/>
          </w:tcPr>
          <w:p>
            <w:pPr>
              <w:pStyle w:val="23"/>
              <w:keepNext w:val="0"/>
              <w:keepLines w:val="0"/>
              <w:suppressLineNumbers w:val="0"/>
              <w:spacing w:before="0" w:beforeAutospacing="0" w:after="0" w:afterAutospacing="0"/>
              <w:ind w:left="0" w:right="0"/>
              <w:rPr>
                <w:rFonts w:hint="default"/>
              </w:rPr>
            </w:pPr>
            <w:r>
              <w:rPr>
                <w:rFonts w:hint="default"/>
              </w:rPr>
              <w:t>H2S</w:t>
            </w:r>
          </w:p>
        </w:tc>
        <w:tc>
          <w:tcPr>
            <w:tcW w:w="1694" w:type="dxa"/>
            <w:vAlign w:val="center"/>
          </w:tcPr>
          <w:p>
            <w:pPr>
              <w:pStyle w:val="23"/>
              <w:keepNext w:val="0"/>
              <w:keepLines w:val="0"/>
              <w:suppressLineNumbers w:val="0"/>
              <w:spacing w:before="0" w:beforeAutospacing="0" w:after="0" w:afterAutospacing="0"/>
              <w:ind w:left="0" w:right="0"/>
              <w:rPr>
                <w:rFonts w:hint="default"/>
              </w:rPr>
            </w:pPr>
            <w:r>
              <w:rPr>
                <w:rFonts w:hint="default"/>
                <w:lang w:val="en-US"/>
              </w:rPr>
              <w:t>1000</w:t>
            </w:r>
          </w:p>
        </w:tc>
        <w:tc>
          <w:tcPr>
            <w:tcW w:w="1559" w:type="dxa"/>
            <w:vAlign w:val="center"/>
          </w:tcPr>
          <w:p>
            <w:pPr>
              <w:pStyle w:val="23"/>
              <w:keepNext w:val="0"/>
              <w:keepLines w:val="0"/>
              <w:suppressLineNumbers w:val="0"/>
              <w:spacing w:before="0" w:beforeAutospacing="0" w:after="0" w:afterAutospacing="0"/>
              <w:ind w:left="0" w:right="0"/>
              <w:rPr>
                <w:rFonts w:hint="default"/>
                <w:lang w:val="en-US"/>
              </w:rPr>
            </w:pPr>
            <w:r>
              <w:rPr>
                <w:rFonts w:hint="default"/>
                <w:lang w:val="en-US"/>
              </w:rPr>
              <w:t>210</w:t>
            </w:r>
          </w:p>
        </w:tc>
        <w:tc>
          <w:tcPr>
            <w:tcW w:w="1447" w:type="dxa"/>
            <w:vAlign w:val="center"/>
          </w:tcPr>
          <w:p>
            <w:pPr>
              <w:pStyle w:val="23"/>
              <w:keepNext w:val="0"/>
              <w:keepLines w:val="0"/>
              <w:suppressLineNumbers w:val="0"/>
              <w:spacing w:before="0" w:beforeAutospacing="0" w:after="0" w:afterAutospacing="0"/>
              <w:ind w:left="0" w:right="0"/>
              <w:rPr>
                <w:rFonts w:hint="eastAsia"/>
              </w:rPr>
            </w:pPr>
            <w:r>
              <w:rPr>
                <w:rFonts w:hint="eastAsia"/>
                <w:lang w:val="en-US"/>
              </w:rPr>
              <w:t>8</w:t>
            </w:r>
          </w:p>
        </w:tc>
        <w:tc>
          <w:tcPr>
            <w:tcW w:w="765" w:type="dxa"/>
            <w:vAlign w:val="center"/>
          </w:tcPr>
          <w:p>
            <w:pPr>
              <w:pStyle w:val="23"/>
              <w:keepNext w:val="0"/>
              <w:keepLines w:val="0"/>
              <w:suppressLineNumbers w:val="0"/>
              <w:spacing w:before="0" w:beforeAutospacing="0" w:after="0" w:afterAutospacing="0"/>
              <w:ind w:left="0" w:right="0"/>
              <w:rPr>
                <w:rFonts w:hint="eastAsia"/>
                <w:lang w:val="en-US"/>
              </w:rPr>
            </w:pPr>
            <w:r>
              <w:rPr>
                <w:rFonts w:hint="default"/>
                <w:lang w:val="en-US"/>
              </w:rPr>
              <w:t>0.007</w:t>
            </w:r>
          </w:p>
        </w:tc>
        <w:tc>
          <w:tcPr>
            <w:tcW w:w="836" w:type="dxa"/>
            <w:vAlign w:val="center"/>
          </w:tcPr>
          <w:p>
            <w:pPr>
              <w:pStyle w:val="23"/>
              <w:keepNext w:val="0"/>
              <w:keepLines w:val="0"/>
              <w:suppressLineNumbers w:val="0"/>
              <w:spacing w:before="0" w:beforeAutospacing="0" w:after="0" w:afterAutospacing="0"/>
              <w:ind w:left="0" w:right="0"/>
              <w:rPr>
                <w:rFonts w:hint="default"/>
                <w:lang w:val="en-US"/>
              </w:rPr>
            </w:pPr>
            <w:r>
              <w:rPr>
                <w:rFonts w:hint="eastAsia"/>
                <w:lang w:val="en-US"/>
              </w:rPr>
              <w:t>0.14</w:t>
            </w:r>
          </w:p>
        </w:tc>
        <w:tc>
          <w:tcPr>
            <w:tcW w:w="1577" w:type="dxa"/>
            <w:vAlign w:val="center"/>
          </w:tcPr>
          <w:p>
            <w:pPr>
              <w:pStyle w:val="23"/>
              <w:keepNext w:val="0"/>
              <w:keepLines w:val="0"/>
              <w:suppressLineNumbers w:val="0"/>
              <w:spacing w:before="0" w:beforeAutospacing="0" w:after="0" w:afterAutospacing="0"/>
              <w:ind w:left="0" w:right="0"/>
              <w:rPr>
                <w:rFonts w:hint="default"/>
              </w:rPr>
            </w:pPr>
            <w:r>
              <w:rPr>
                <w:rFonts w:hint="default"/>
              </w:rPr>
              <w:t>0.01</w:t>
            </w:r>
          </w:p>
        </w:tc>
      </w:tr>
    </w:tbl>
    <w:p>
      <w:pPr>
        <w:spacing w:line="360" w:lineRule="auto"/>
        <w:rPr>
          <w:sz w:val="24"/>
        </w:rPr>
      </w:pPr>
      <w:r>
        <w:rPr>
          <w:sz w:val="24"/>
        </w:rPr>
        <w:t xml:space="preserve">   (6)预测结果</w:t>
      </w:r>
    </w:p>
    <w:p>
      <w:pPr>
        <w:spacing w:line="360" w:lineRule="auto"/>
        <w:rPr>
          <w:sz w:val="24"/>
        </w:rPr>
      </w:pPr>
      <w:r>
        <w:rPr>
          <w:sz w:val="24"/>
        </w:rPr>
        <w:t xml:space="preserve">   根据上述预测参数，正常排放</w:t>
      </w:r>
      <w:r>
        <w:rPr>
          <w:rFonts w:hint="eastAsia"/>
          <w:sz w:val="24"/>
        </w:rPr>
        <w:t>和事故排放</w:t>
      </w:r>
      <w:r>
        <w:rPr>
          <w:sz w:val="24"/>
        </w:rPr>
        <w:t>时填埋场污染物浓度贡献值预测结果</w:t>
      </w:r>
      <w:r>
        <w:rPr>
          <w:rFonts w:hint="eastAsia"/>
          <w:sz w:val="24"/>
        </w:rPr>
        <w:t>分别</w:t>
      </w:r>
      <w:r>
        <w:rPr>
          <w:sz w:val="24"/>
        </w:rPr>
        <w:t>见表</w:t>
      </w:r>
      <w:r>
        <w:rPr>
          <w:rFonts w:hint="eastAsia"/>
          <w:sz w:val="24"/>
          <w:lang w:val="en-US" w:eastAsia="zh-CN"/>
        </w:rPr>
        <w:t>7-8</w:t>
      </w:r>
      <w:r>
        <w:rPr>
          <w:rFonts w:hint="eastAsia"/>
          <w:sz w:val="24"/>
        </w:rPr>
        <w:t>、表</w:t>
      </w:r>
      <w:r>
        <w:rPr>
          <w:rFonts w:hint="eastAsia"/>
          <w:sz w:val="24"/>
          <w:lang w:val="en-US" w:eastAsia="zh-CN"/>
        </w:rPr>
        <w:t>7-9</w:t>
      </w:r>
      <w:r>
        <w:rPr>
          <w:sz w:val="24"/>
        </w:rPr>
        <w:t>。</w:t>
      </w:r>
    </w:p>
    <w:p>
      <w:pPr>
        <w:jc w:val="center"/>
        <w:rPr>
          <w:b/>
          <w:szCs w:val="21"/>
        </w:rPr>
      </w:pPr>
      <w:r>
        <w:rPr>
          <w:rStyle w:val="38"/>
          <w:b/>
          <w:bCs/>
        </w:rPr>
        <w:t>表</w:t>
      </w:r>
      <w:r>
        <w:rPr>
          <w:rStyle w:val="38"/>
          <w:rFonts w:hint="eastAsia"/>
          <w:b/>
          <w:bCs/>
          <w:lang w:val="en-US" w:eastAsia="zh-CN"/>
        </w:rPr>
        <w:t>7-8</w:t>
      </w:r>
      <w:r>
        <w:rPr>
          <w:rStyle w:val="38"/>
          <w:b/>
          <w:bCs/>
        </w:rPr>
        <w:t xml:space="preserve">  正常排放时填埋场污染物浓度贡献值预测结果一览表</w:t>
      </w:r>
    </w:p>
    <w:tbl>
      <w:tblPr>
        <w:tblStyle w:val="19"/>
        <w:tblW w:w="9174" w:type="dxa"/>
        <w:jc w:val="center"/>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1177"/>
        <w:gridCol w:w="1464"/>
        <w:gridCol w:w="1739"/>
        <w:gridCol w:w="1486"/>
        <w:gridCol w:w="1739"/>
        <w:gridCol w:w="1569"/>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tblHeader/>
          <w:jc w:val="center"/>
        </w:trPr>
        <w:tc>
          <w:tcPr>
            <w:tcW w:w="1177" w:type="dxa"/>
            <w:vMerge w:val="restart"/>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序号</w:t>
            </w:r>
          </w:p>
        </w:tc>
        <w:tc>
          <w:tcPr>
            <w:tcW w:w="1464" w:type="dxa"/>
            <w:vMerge w:val="restart"/>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距离源下风向距离D（m）</w:t>
            </w:r>
          </w:p>
        </w:tc>
        <w:tc>
          <w:tcPr>
            <w:tcW w:w="3225" w:type="dxa"/>
            <w:gridSpan w:val="2"/>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NH3</w:t>
            </w:r>
          </w:p>
        </w:tc>
        <w:tc>
          <w:tcPr>
            <w:tcW w:w="3308" w:type="dxa"/>
            <w:gridSpan w:val="2"/>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H2S</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421" w:hRule="exact"/>
          <w:tblHeader/>
          <w:jc w:val="center"/>
        </w:trPr>
        <w:tc>
          <w:tcPr>
            <w:tcW w:w="1177" w:type="dxa"/>
            <w:vMerge w:val="continue"/>
            <w:vAlign w:val="center"/>
          </w:tcPr>
          <w:p>
            <w:pPr>
              <w:pStyle w:val="23"/>
              <w:keepNext w:val="0"/>
              <w:keepLines w:val="0"/>
              <w:suppressLineNumbers w:val="0"/>
              <w:spacing w:before="0" w:beforeAutospacing="0" w:after="0" w:afterAutospacing="0" w:line="240" w:lineRule="auto"/>
              <w:ind w:left="0" w:right="0"/>
              <w:rPr>
                <w:rFonts w:hint="default"/>
              </w:rPr>
            </w:pPr>
          </w:p>
        </w:tc>
        <w:tc>
          <w:tcPr>
            <w:tcW w:w="1464" w:type="dxa"/>
            <w:vMerge w:val="continue"/>
            <w:vAlign w:val="center"/>
          </w:tcPr>
          <w:p>
            <w:pPr>
              <w:pStyle w:val="23"/>
              <w:keepNext w:val="0"/>
              <w:keepLines w:val="0"/>
              <w:suppressLineNumbers w:val="0"/>
              <w:spacing w:before="0" w:beforeAutospacing="0" w:after="0" w:afterAutospacing="0" w:line="240" w:lineRule="auto"/>
              <w:ind w:left="0" w:right="0"/>
              <w:rPr>
                <w:rFonts w:hint="default"/>
              </w:rPr>
            </w:pP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Ci（mg/m3）</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Pi(%)</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Ci（mg/m3）</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Pi(%)</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0.001445</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0.72</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0.000201</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2.01</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40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0.001574</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0.79</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0.000219</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2.19</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2</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0.001765</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0.88</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0.000245</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2.45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3</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180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0.002003</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0.000278</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2.78</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4</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0.00206</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1.03</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0.000286</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2.86</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5</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0.002336</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1.17</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0.000324</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3.24</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6</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320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0.002388</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1.19</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0.000332</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3.32</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7</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370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0.00253</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1.27</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0.000351</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3.51</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8</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400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0.002632</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1.32</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0.000366</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3.66</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9</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500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0.00296</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1.48</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0.000411</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4.11</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10</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600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0.003261</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1.63</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0.000453</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4.53</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11</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700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0.003494</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1.75</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0.000485</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4.85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12</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753</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0.00352</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1.76</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0.000489</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4.89</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13</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800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0.003505</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1.75</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0.000487</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4.87</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14</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900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0.003405</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1.7</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0.000473</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4.73</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15</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1000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0.003269</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1.63</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0.000454</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4.54</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16</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1500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0.002607</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1.3</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0.000362</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3.62</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17</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2000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0.002096</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1.05</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0.000291</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2.91</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18</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2500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0.00171</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0.86</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0.000238</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eastAsia"/>
              </w:rPr>
              <w:t>2.38</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2641" w:type="dxa"/>
            <w:gridSpan w:val="2"/>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最大值</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0.00352</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1.76</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0.000489</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4.89</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443" w:hRule="exact"/>
          <w:jc w:val="center"/>
        </w:trPr>
        <w:tc>
          <w:tcPr>
            <w:tcW w:w="2641" w:type="dxa"/>
            <w:gridSpan w:val="2"/>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最大落地浓度距离</w:t>
            </w:r>
          </w:p>
        </w:tc>
        <w:tc>
          <w:tcPr>
            <w:tcW w:w="6533" w:type="dxa"/>
            <w:gridSpan w:val="4"/>
            <w:vAlign w:val="center"/>
          </w:tcPr>
          <w:p>
            <w:pPr>
              <w:pStyle w:val="23"/>
              <w:keepNext w:val="0"/>
              <w:keepLines w:val="0"/>
              <w:suppressLineNumbers w:val="0"/>
              <w:spacing w:before="0" w:beforeAutospacing="0" w:after="0" w:afterAutospacing="0" w:line="240" w:lineRule="auto"/>
              <w:ind w:left="0" w:right="0"/>
              <w:rPr>
                <w:rFonts w:hint="default"/>
              </w:rPr>
            </w:pPr>
            <w:r>
              <w:rPr>
                <w:rFonts w:hint="default"/>
              </w:rPr>
              <w:t>753</w:t>
            </w:r>
          </w:p>
        </w:tc>
      </w:tr>
    </w:tbl>
    <w:p>
      <w:pPr>
        <w:jc w:val="center"/>
        <w:rPr>
          <w:rStyle w:val="38"/>
          <w:rFonts w:hint="eastAsia"/>
          <w:b/>
          <w:bCs/>
          <w:u w:val="single"/>
        </w:rPr>
      </w:pPr>
      <w:r>
        <w:rPr>
          <w:rStyle w:val="38"/>
          <w:rFonts w:hint="eastAsia"/>
          <w:b/>
          <w:bCs/>
          <w:u w:val="single"/>
        </w:rPr>
        <w:t>表</w:t>
      </w:r>
      <w:r>
        <w:rPr>
          <w:rStyle w:val="38"/>
          <w:rFonts w:hint="eastAsia"/>
          <w:b/>
          <w:bCs/>
          <w:u w:val="single"/>
          <w:lang w:val="en-US" w:eastAsia="zh-CN"/>
        </w:rPr>
        <w:t>7-9</w:t>
      </w:r>
      <w:r>
        <w:rPr>
          <w:rStyle w:val="38"/>
          <w:rFonts w:hint="eastAsia"/>
          <w:b/>
          <w:bCs/>
          <w:u w:val="single"/>
        </w:rPr>
        <w:t xml:space="preserve">   事故排放时填埋场污染物浓度贡献值预测结果一览表</w:t>
      </w:r>
    </w:p>
    <w:tbl>
      <w:tblPr>
        <w:tblStyle w:val="19"/>
        <w:tblW w:w="9174" w:type="dxa"/>
        <w:jc w:val="center"/>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1177"/>
        <w:gridCol w:w="1464"/>
        <w:gridCol w:w="1739"/>
        <w:gridCol w:w="1486"/>
        <w:gridCol w:w="1739"/>
        <w:gridCol w:w="1569"/>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tblHeader/>
          <w:jc w:val="center"/>
        </w:trPr>
        <w:tc>
          <w:tcPr>
            <w:tcW w:w="1177"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序号</w:t>
            </w:r>
          </w:p>
        </w:tc>
        <w:tc>
          <w:tcPr>
            <w:tcW w:w="1464" w:type="dxa"/>
            <w:vMerge w:val="restart"/>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距离源下风向距离D（m）</w:t>
            </w:r>
          </w:p>
        </w:tc>
        <w:tc>
          <w:tcPr>
            <w:tcW w:w="3225" w:type="dxa"/>
            <w:gridSpan w:val="2"/>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NH3</w:t>
            </w:r>
          </w:p>
        </w:tc>
        <w:tc>
          <w:tcPr>
            <w:tcW w:w="3308" w:type="dxa"/>
            <w:gridSpan w:val="2"/>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H2S</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421" w:hRule="exact"/>
          <w:tblHeader/>
          <w:jc w:val="center"/>
        </w:trPr>
        <w:tc>
          <w:tcPr>
            <w:tcW w:w="1177"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464" w:type="dxa"/>
            <w:vMerge w:val="continue"/>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Ci（mg/m3）</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Pi(%)</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Ci（mg/m3）</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Pi(%)</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1</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0.008029</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4.01</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0.004015</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40.15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40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0.008747</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4.37</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0.004373</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43.73</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2</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100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0.009804</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4.9</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0.004902</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49.02</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3</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180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0.01113</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5.57</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0.005564</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55.64</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4</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200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0.01144</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5.72</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0.005721</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57.21</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22"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5</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300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0.01298</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6.49</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0.006488</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64.88</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6</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320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0.01326</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6.63</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0.006632</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66.32</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7</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370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0.01406</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7.03</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0.007029</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70.29</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8</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400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0.01462</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7.31</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0.007312</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73.12</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9</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500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0.01645</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8.23</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0.008224</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82.24</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600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0.01812</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9.06</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0.009059</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90.59</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11</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700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0.01941</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9.71</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0.009707</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97.07</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12</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753</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0.01956</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9.78</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0.009778</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97.78</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13</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800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0.01947</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9.74</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0.009735</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97.35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14</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0.01892</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9.46</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0.009459</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94.59</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15</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1000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0.01816</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9.08</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0.009079</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90.79</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16</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1500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0.01448</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7.24</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0.007242</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72.42</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17</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2000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0.01164</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5.82</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0.005822</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58.22</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1177"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18</w:t>
            </w:r>
          </w:p>
        </w:tc>
        <w:tc>
          <w:tcPr>
            <w:tcW w:w="1464"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2500</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0.009501</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4.75</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0.00475</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47.5</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369" w:hRule="exact"/>
          <w:jc w:val="center"/>
        </w:trPr>
        <w:tc>
          <w:tcPr>
            <w:tcW w:w="2641" w:type="dxa"/>
            <w:gridSpan w:val="2"/>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最大值</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0.109</w:t>
            </w:r>
          </w:p>
        </w:tc>
        <w:tc>
          <w:tcPr>
            <w:tcW w:w="1486"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54.5</w:t>
            </w:r>
          </w:p>
        </w:tc>
        <w:tc>
          <w:tcPr>
            <w:tcW w:w="173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0.009778</w:t>
            </w:r>
          </w:p>
        </w:tc>
        <w:tc>
          <w:tcPr>
            <w:tcW w:w="1569" w:type="dxa"/>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eastAsia"/>
                <w:u w:val="single"/>
              </w:rPr>
              <w:t>97.78</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443" w:hRule="exact"/>
          <w:jc w:val="center"/>
        </w:trPr>
        <w:tc>
          <w:tcPr>
            <w:tcW w:w="2641" w:type="dxa"/>
            <w:gridSpan w:val="2"/>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最大落地浓度距离</w:t>
            </w:r>
          </w:p>
        </w:tc>
        <w:tc>
          <w:tcPr>
            <w:tcW w:w="6533" w:type="dxa"/>
            <w:gridSpan w:val="4"/>
            <w:vAlign w:val="center"/>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753</w:t>
            </w:r>
          </w:p>
        </w:tc>
      </w:tr>
    </w:tbl>
    <w:p>
      <w:pPr>
        <w:spacing w:line="360" w:lineRule="auto"/>
        <w:ind w:firstLine="480" w:firstLineChars="200"/>
        <w:rPr>
          <w:sz w:val="24"/>
        </w:rPr>
      </w:pPr>
      <w:r>
        <w:rPr>
          <w:sz w:val="24"/>
        </w:rPr>
        <w:t>由上表可知：</w:t>
      </w:r>
    </w:p>
    <w:p>
      <w:pPr>
        <w:spacing w:line="360" w:lineRule="auto"/>
        <w:ind w:firstLine="480" w:firstLineChars="200"/>
        <w:rPr>
          <w:rFonts w:hint="eastAsia"/>
          <w:sz w:val="24"/>
          <w:u w:val="single"/>
        </w:rPr>
      </w:pPr>
      <w:r>
        <w:rPr>
          <w:sz w:val="24"/>
          <w:u w:val="single"/>
        </w:rPr>
        <w:sym w:font="Wingdings" w:char="F081"/>
      </w:r>
      <w:r>
        <w:rPr>
          <w:sz w:val="24"/>
          <w:u w:val="single"/>
        </w:rPr>
        <w:t>正常排放下，填埋场周围环境空气中，NH</w:t>
      </w:r>
      <w:r>
        <w:rPr>
          <w:sz w:val="24"/>
          <w:u w:val="single"/>
          <w:vertAlign w:val="subscript"/>
        </w:rPr>
        <w:t>3</w:t>
      </w:r>
      <w:r>
        <w:rPr>
          <w:sz w:val="24"/>
          <w:u w:val="single"/>
        </w:rPr>
        <w:t>、H</w:t>
      </w:r>
      <w:r>
        <w:rPr>
          <w:sz w:val="24"/>
          <w:u w:val="single"/>
          <w:vertAlign w:val="subscript"/>
        </w:rPr>
        <w:t>2</w:t>
      </w:r>
      <w:r>
        <w:rPr>
          <w:sz w:val="24"/>
          <w:u w:val="single"/>
        </w:rPr>
        <w:t>S下风向最大浓度分别为0.109mg/m</w:t>
      </w:r>
      <w:r>
        <w:rPr>
          <w:sz w:val="24"/>
          <w:u w:val="single"/>
          <w:vertAlign w:val="superscript"/>
        </w:rPr>
        <w:t>3</w:t>
      </w:r>
      <w:r>
        <w:rPr>
          <w:sz w:val="24"/>
          <w:u w:val="single"/>
        </w:rPr>
        <w:t>、0.009778mg/m</w:t>
      </w:r>
      <w:r>
        <w:rPr>
          <w:sz w:val="24"/>
          <w:u w:val="single"/>
          <w:vertAlign w:val="superscript"/>
        </w:rPr>
        <w:t>3</w:t>
      </w:r>
      <w:r>
        <w:rPr>
          <w:sz w:val="24"/>
          <w:u w:val="single"/>
        </w:rPr>
        <w:t>，浓度占标率分别为1.76%、4.89%，最大浓度出现的距离均为753m。</w:t>
      </w:r>
    </w:p>
    <w:p>
      <w:pPr>
        <w:spacing w:line="360" w:lineRule="auto"/>
        <w:ind w:firstLine="480" w:firstLineChars="200"/>
        <w:rPr>
          <w:rFonts w:hint="eastAsia"/>
          <w:sz w:val="24"/>
          <w:u w:val="single"/>
        </w:rPr>
      </w:pPr>
      <w:r>
        <w:rPr>
          <w:sz w:val="24"/>
          <w:u w:val="single"/>
        </w:rPr>
        <w:fldChar w:fldCharType="begin"/>
      </w:r>
      <w:r>
        <w:rPr>
          <w:sz w:val="24"/>
          <w:u w:val="single"/>
        </w:rPr>
        <w:instrText xml:space="preserve"> = 2 \* GB3 \* MERGEFORMAT </w:instrText>
      </w:r>
      <w:r>
        <w:rPr>
          <w:sz w:val="24"/>
          <w:u w:val="single"/>
        </w:rPr>
        <w:fldChar w:fldCharType="separate"/>
      </w:r>
      <w:r>
        <w:rPr>
          <w:rFonts w:hint="eastAsia" w:ascii="宋体" w:hAnsi="宋体" w:cs="宋体"/>
          <w:sz w:val="24"/>
          <w:u w:val="single"/>
        </w:rPr>
        <w:t>②</w:t>
      </w:r>
      <w:r>
        <w:rPr>
          <w:sz w:val="24"/>
          <w:u w:val="single"/>
        </w:rPr>
        <w:fldChar w:fldCharType="end"/>
      </w:r>
      <w:r>
        <w:rPr>
          <w:sz w:val="24"/>
          <w:u w:val="single"/>
        </w:rPr>
        <w:t>事故排放下，填埋场周围环境空气中，NH</w:t>
      </w:r>
      <w:r>
        <w:rPr>
          <w:sz w:val="24"/>
          <w:u w:val="single"/>
          <w:vertAlign w:val="subscript"/>
        </w:rPr>
        <w:t>3</w:t>
      </w:r>
      <w:r>
        <w:rPr>
          <w:sz w:val="24"/>
          <w:u w:val="single"/>
        </w:rPr>
        <w:t>、H</w:t>
      </w:r>
      <w:r>
        <w:rPr>
          <w:sz w:val="24"/>
          <w:u w:val="single"/>
          <w:vertAlign w:val="subscript"/>
        </w:rPr>
        <w:t>2</w:t>
      </w:r>
      <w:r>
        <w:rPr>
          <w:sz w:val="24"/>
          <w:u w:val="single"/>
        </w:rPr>
        <w:t>S下风向最大浓度分别为0.109mg/m</w:t>
      </w:r>
      <w:r>
        <w:rPr>
          <w:sz w:val="24"/>
          <w:u w:val="single"/>
          <w:vertAlign w:val="superscript"/>
        </w:rPr>
        <w:t>3</w:t>
      </w:r>
      <w:r>
        <w:rPr>
          <w:sz w:val="24"/>
          <w:u w:val="single"/>
        </w:rPr>
        <w:t>、0.009778mg/m</w:t>
      </w:r>
      <w:r>
        <w:rPr>
          <w:sz w:val="24"/>
          <w:u w:val="single"/>
          <w:vertAlign w:val="superscript"/>
        </w:rPr>
        <w:t>3</w:t>
      </w:r>
      <w:r>
        <w:rPr>
          <w:sz w:val="24"/>
          <w:u w:val="single"/>
        </w:rPr>
        <w:t>，浓度占标率分别为</w:t>
      </w:r>
      <w:r>
        <w:rPr>
          <w:rFonts w:hint="eastAsia"/>
          <w:sz w:val="24"/>
          <w:u w:val="single"/>
        </w:rPr>
        <w:t>54.5</w:t>
      </w:r>
      <w:r>
        <w:rPr>
          <w:sz w:val="24"/>
          <w:u w:val="single"/>
        </w:rPr>
        <w:t>%、</w:t>
      </w:r>
      <w:r>
        <w:rPr>
          <w:rFonts w:hint="eastAsia"/>
          <w:sz w:val="24"/>
          <w:u w:val="single"/>
        </w:rPr>
        <w:t>97.78</w:t>
      </w:r>
      <w:r>
        <w:rPr>
          <w:sz w:val="24"/>
          <w:u w:val="single"/>
        </w:rPr>
        <w:t>%，最大浓度出现的距离分别均为753m。</w:t>
      </w:r>
    </w:p>
    <w:p>
      <w:pPr>
        <w:rPr>
          <w:sz w:val="24"/>
        </w:rPr>
      </w:pPr>
      <w:r>
        <w:rPr>
          <w:sz w:val="24"/>
          <w:u w:val="single"/>
        </w:rPr>
        <w:fldChar w:fldCharType="begin"/>
      </w:r>
      <w:r>
        <w:rPr>
          <w:sz w:val="24"/>
          <w:u w:val="single"/>
        </w:rPr>
        <w:instrText xml:space="preserve"> = 3 \* GB3 \* MERGEFORMAT </w:instrText>
      </w:r>
      <w:r>
        <w:rPr>
          <w:sz w:val="24"/>
          <w:u w:val="single"/>
        </w:rPr>
        <w:fldChar w:fldCharType="separate"/>
      </w:r>
      <w:r>
        <w:rPr>
          <w:rFonts w:hint="eastAsia" w:ascii="宋体" w:hAnsi="宋体" w:cs="宋体"/>
          <w:sz w:val="24"/>
          <w:u w:val="single"/>
        </w:rPr>
        <w:t>③</w:t>
      </w:r>
      <w:r>
        <w:rPr>
          <w:sz w:val="24"/>
          <w:u w:val="single"/>
        </w:rPr>
        <w:fldChar w:fldCharType="end"/>
      </w:r>
      <w:r>
        <w:rPr>
          <w:sz w:val="24"/>
          <w:u w:val="single"/>
        </w:rPr>
        <w:t>正常排放时，NH</w:t>
      </w:r>
      <w:r>
        <w:rPr>
          <w:sz w:val="24"/>
          <w:u w:val="single"/>
          <w:vertAlign w:val="subscript"/>
        </w:rPr>
        <w:t>3</w:t>
      </w:r>
      <w:r>
        <w:rPr>
          <w:sz w:val="24"/>
          <w:u w:val="single"/>
        </w:rPr>
        <w:t>、H</w:t>
      </w:r>
      <w:r>
        <w:rPr>
          <w:sz w:val="24"/>
          <w:u w:val="single"/>
          <w:vertAlign w:val="subscript"/>
        </w:rPr>
        <w:t>2</w:t>
      </w:r>
      <w:r>
        <w:rPr>
          <w:sz w:val="24"/>
          <w:u w:val="single"/>
        </w:rPr>
        <w:t>S对场区外大气环境的最大小时浓度贡献值占标准值的比例在</w:t>
      </w:r>
      <w:r>
        <w:rPr>
          <w:rFonts w:hint="eastAsia"/>
          <w:sz w:val="24"/>
          <w:u w:val="single"/>
        </w:rPr>
        <w:t>4.89</w:t>
      </w:r>
      <w:r>
        <w:rPr>
          <w:sz w:val="24"/>
          <w:u w:val="single"/>
        </w:rPr>
        <w:t>%以内，说明NH</w:t>
      </w:r>
      <w:r>
        <w:rPr>
          <w:sz w:val="24"/>
          <w:u w:val="single"/>
          <w:vertAlign w:val="subscript"/>
        </w:rPr>
        <w:t>3</w:t>
      </w:r>
      <w:r>
        <w:rPr>
          <w:sz w:val="24"/>
          <w:u w:val="single"/>
        </w:rPr>
        <w:t>、H</w:t>
      </w:r>
      <w:r>
        <w:rPr>
          <w:sz w:val="24"/>
          <w:u w:val="single"/>
          <w:vertAlign w:val="subscript"/>
        </w:rPr>
        <w:t>2</w:t>
      </w:r>
      <w:r>
        <w:rPr>
          <w:sz w:val="24"/>
          <w:u w:val="single"/>
        </w:rPr>
        <w:t>S正常排放时对周围环境影响较小。事故排放时，项目大气污染物对场区外环境空气的最大小时浓度贡献值占标准值的比例显著增加，对周围环境影响明显加大，因此项目应严格控制或杜绝各种污染物的事故排放</w:t>
      </w:r>
      <w:r>
        <w:rPr>
          <w:sz w:val="24"/>
        </w:rPr>
        <w:t>。</w:t>
      </w:r>
    </w:p>
    <w:p>
      <w:pPr>
        <w:rPr>
          <w:rFonts w:hint="eastAsia"/>
          <w:color w:val="auto"/>
          <w:lang w:val="en-US" w:eastAsia="zh-CN"/>
        </w:rPr>
      </w:pPr>
      <w:r>
        <w:rPr>
          <w:rFonts w:hint="eastAsia"/>
          <w:color w:val="auto"/>
          <w:lang w:val="en-US" w:eastAsia="zh-CN"/>
        </w:rPr>
        <w:t>3、大气环境防护距离与卫生防护距离</w:t>
      </w:r>
    </w:p>
    <w:p>
      <w:pPr>
        <w:adjustRightInd w:val="0"/>
        <w:snapToGrid w:val="0"/>
        <w:spacing w:line="360" w:lineRule="auto"/>
        <w:ind w:firstLine="480" w:firstLineChars="200"/>
        <w:rPr>
          <w:color w:val="auto"/>
          <w:sz w:val="24"/>
        </w:rPr>
      </w:pPr>
      <w:r>
        <w:rPr>
          <w:color w:val="auto"/>
          <w:sz w:val="24"/>
        </w:rPr>
        <w:t>根据《环境影响评价技术导则大气环境》(HJ2.2-2008)和《制定地方大气污染物排放标准的技术方法》(GB/T3840-1991)中的规定，对有无组织排放的建设项目需设置大气环境防护距离与卫生防护距离。</w:t>
      </w:r>
    </w:p>
    <w:p>
      <w:pPr>
        <w:spacing w:line="360" w:lineRule="auto"/>
        <w:ind w:firstLine="480" w:firstLineChars="200"/>
        <w:rPr>
          <w:color w:val="auto"/>
          <w:sz w:val="24"/>
        </w:rPr>
      </w:pPr>
      <w:r>
        <w:rPr>
          <w:color w:val="auto"/>
          <w:sz w:val="24"/>
        </w:rPr>
        <w:t>采用导则推荐模式计算，各废气污染因子无组织排放无超标点，可不设置大气防护距离。卫生防护距离，根据《制定地方大气污染物排放标准的技术方法》(GB/T1301-91)，计算公式为：</w:t>
      </w:r>
    </w:p>
    <w:p>
      <w:pPr>
        <w:spacing w:line="360" w:lineRule="auto"/>
        <w:jc w:val="center"/>
        <w:rPr>
          <w:color w:val="auto"/>
          <w:sz w:val="24"/>
          <w:vertAlign w:val="subscript"/>
        </w:rPr>
      </w:pPr>
      <w:r>
        <w:rPr>
          <w:color w:val="auto"/>
          <w:position w:val="-30"/>
          <w:sz w:val="28"/>
        </w:rPr>
        <w:object>
          <v:shape id="_x0000_i1031" o:spt="75" type="#_x0000_t75" style="height:34pt;width:143pt;" o:ole="t" filled="f" o:preferrelative="t" stroked="f" coordsize="21600,21600">
            <v:path/>
            <v:fill on="f" focussize="0,0"/>
            <v:stroke on="f"/>
            <v:imagedata r:id="rId29" o:title=""/>
            <o:lock v:ext="edit" grouping="f" rotation="f" text="f" aspectratio="t"/>
            <w10:wrap type="none"/>
            <w10:anchorlock/>
          </v:shape>
          <o:OLEObject Type="Embed" ProgID="Equation.3" ShapeID="_x0000_i1031" DrawAspect="Content" ObjectID="_1468075731" r:id="rId28">
            <o:LockedField>false</o:LockedField>
          </o:OLEObject>
        </w:object>
      </w:r>
    </w:p>
    <w:p>
      <w:pPr>
        <w:spacing w:line="360" w:lineRule="auto"/>
        <w:ind w:firstLine="240" w:firstLineChars="100"/>
        <w:rPr>
          <w:color w:val="auto"/>
          <w:sz w:val="24"/>
        </w:rPr>
      </w:pPr>
      <w:r>
        <w:rPr>
          <w:color w:val="auto"/>
          <w:sz w:val="24"/>
        </w:rPr>
        <w:t>式中：</w:t>
      </w:r>
      <w:r>
        <w:rPr>
          <w:iCs/>
          <w:color w:val="auto"/>
          <w:sz w:val="24"/>
        </w:rPr>
        <w:t>Qc</w:t>
      </w:r>
      <w:r>
        <w:rPr>
          <w:color w:val="auto"/>
          <w:sz w:val="24"/>
        </w:rPr>
        <w:t>--污染物的无组织排放源强，kg/h；</w:t>
      </w:r>
    </w:p>
    <w:p>
      <w:pPr>
        <w:spacing w:line="360" w:lineRule="auto"/>
        <w:ind w:firstLine="960" w:firstLineChars="400"/>
        <w:rPr>
          <w:color w:val="auto"/>
          <w:sz w:val="24"/>
        </w:rPr>
      </w:pPr>
      <w:r>
        <w:rPr>
          <w:iCs/>
          <w:color w:val="auto"/>
          <w:sz w:val="24"/>
        </w:rPr>
        <w:t>C</w:t>
      </w:r>
      <w:r>
        <w:rPr>
          <w:iCs/>
          <w:color w:val="auto"/>
          <w:sz w:val="24"/>
          <w:vertAlign w:val="subscript"/>
        </w:rPr>
        <w:t>M</w:t>
      </w:r>
      <w:r>
        <w:rPr>
          <w:color w:val="auto"/>
          <w:sz w:val="24"/>
        </w:rPr>
        <w:t>--污染物的标准浓度限值，mg/m</w:t>
      </w:r>
      <w:r>
        <w:rPr>
          <w:color w:val="auto"/>
          <w:sz w:val="24"/>
          <w:vertAlign w:val="superscript"/>
        </w:rPr>
        <w:t>3</w:t>
      </w:r>
      <w:r>
        <w:rPr>
          <w:color w:val="auto"/>
          <w:sz w:val="24"/>
        </w:rPr>
        <w:t>；</w:t>
      </w:r>
    </w:p>
    <w:p>
      <w:pPr>
        <w:spacing w:line="360" w:lineRule="auto"/>
        <w:ind w:firstLine="960" w:firstLineChars="400"/>
        <w:rPr>
          <w:color w:val="auto"/>
          <w:sz w:val="24"/>
        </w:rPr>
      </w:pPr>
      <w:r>
        <w:rPr>
          <w:iCs/>
          <w:color w:val="auto"/>
          <w:sz w:val="24"/>
        </w:rPr>
        <w:t>L</w:t>
      </w:r>
      <w:r>
        <w:rPr>
          <w:color w:val="auto"/>
          <w:sz w:val="24"/>
        </w:rPr>
        <w:t>--卫生防护距离，m；</w:t>
      </w:r>
    </w:p>
    <w:p>
      <w:pPr>
        <w:spacing w:line="360" w:lineRule="auto"/>
        <w:ind w:firstLine="960" w:firstLineChars="400"/>
        <w:rPr>
          <w:color w:val="auto"/>
          <w:sz w:val="24"/>
        </w:rPr>
      </w:pPr>
      <w:r>
        <w:rPr>
          <w:iCs/>
          <w:color w:val="auto"/>
          <w:sz w:val="24"/>
        </w:rPr>
        <w:t>r</w:t>
      </w:r>
      <w:r>
        <w:rPr>
          <w:color w:val="auto"/>
          <w:sz w:val="24"/>
        </w:rPr>
        <w:t>--生产单元的等效半径，m；</w:t>
      </w:r>
    </w:p>
    <w:p>
      <w:pPr>
        <w:adjustRightInd w:val="0"/>
        <w:snapToGrid w:val="0"/>
        <w:spacing w:line="360" w:lineRule="auto"/>
        <w:ind w:firstLine="480" w:firstLineChars="200"/>
        <w:rPr>
          <w:color w:val="auto"/>
          <w:sz w:val="24"/>
        </w:rPr>
      </w:pPr>
      <w:r>
        <w:rPr>
          <w:color w:val="auto"/>
          <w:sz w:val="24"/>
        </w:rPr>
        <w:t>A、B、C、D--计算参数，从GB/T13201-91中查取。拟建项目相关参数选用及计算结果见表7-12。</w:t>
      </w:r>
    </w:p>
    <w:p>
      <w:pPr>
        <w:pStyle w:val="23"/>
        <w:rPr>
          <w:b/>
          <w:bCs/>
          <w:color w:val="auto"/>
        </w:rPr>
      </w:pPr>
      <w:r>
        <w:rPr>
          <w:b/>
          <w:bCs/>
          <w:color w:val="auto"/>
        </w:rPr>
        <w:t>表7-12 卫生防护距离计算结果</w:t>
      </w:r>
    </w:p>
    <w:tbl>
      <w:tblPr>
        <w:tblStyle w:val="19"/>
        <w:tblW w:w="8805" w:type="dxa"/>
        <w:tblInd w:w="-85"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247"/>
        <w:gridCol w:w="596"/>
        <w:gridCol w:w="851"/>
        <w:gridCol w:w="850"/>
        <w:gridCol w:w="902"/>
        <w:gridCol w:w="567"/>
        <w:gridCol w:w="709"/>
        <w:gridCol w:w="708"/>
        <w:gridCol w:w="709"/>
        <w:gridCol w:w="851"/>
        <w:gridCol w:w="81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c>
          <w:tcPr>
            <w:tcW w:w="1247"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排放单元</w:t>
            </w:r>
          </w:p>
        </w:tc>
        <w:tc>
          <w:tcPr>
            <w:tcW w:w="596"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污染物</w:t>
            </w:r>
          </w:p>
        </w:tc>
        <w:tc>
          <w:tcPr>
            <w:tcW w:w="851"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源强(kg/h)</w:t>
            </w:r>
          </w:p>
        </w:tc>
        <w:tc>
          <w:tcPr>
            <w:tcW w:w="850"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标准浓度限值(mg/m3)</w:t>
            </w:r>
          </w:p>
        </w:tc>
        <w:tc>
          <w:tcPr>
            <w:tcW w:w="902" w:type="dxa"/>
            <w:vMerge w:val="restart"/>
            <w:vAlign w:val="center"/>
          </w:tcPr>
          <w:p>
            <w:pPr>
              <w:pStyle w:val="23"/>
              <w:keepNext w:val="0"/>
              <w:keepLines w:val="0"/>
              <w:suppressLineNumbers w:val="0"/>
              <w:spacing w:before="0" w:beforeAutospacing="0" w:after="0" w:afterAutospacing="0"/>
              <w:ind w:left="0" w:right="0"/>
              <w:rPr>
                <w:rFonts w:hint="default"/>
                <w:color w:val="auto"/>
                <w:lang w:val="fr-FR"/>
              </w:rPr>
            </w:pPr>
            <w:r>
              <w:rPr>
                <w:rFonts w:hint="default"/>
                <w:color w:val="auto"/>
              </w:rPr>
              <w:t>无组织排放源面积(m2)</w:t>
            </w:r>
          </w:p>
        </w:tc>
        <w:tc>
          <w:tcPr>
            <w:tcW w:w="2693" w:type="dxa"/>
            <w:gridSpan w:val="4"/>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计算系数(无因次)</w:t>
            </w:r>
          </w:p>
        </w:tc>
        <w:tc>
          <w:tcPr>
            <w:tcW w:w="851"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计算值(m)</w:t>
            </w:r>
          </w:p>
        </w:tc>
        <w:tc>
          <w:tcPr>
            <w:tcW w:w="815"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提级后(m)</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c>
          <w:tcPr>
            <w:tcW w:w="1247"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596"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851"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850"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902"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56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A</w:t>
            </w:r>
          </w:p>
        </w:tc>
        <w:tc>
          <w:tcPr>
            <w:tcW w:w="7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B</w:t>
            </w:r>
          </w:p>
        </w:tc>
        <w:tc>
          <w:tcPr>
            <w:tcW w:w="70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C</w:t>
            </w:r>
          </w:p>
        </w:tc>
        <w:tc>
          <w:tcPr>
            <w:tcW w:w="7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D</w:t>
            </w:r>
          </w:p>
        </w:tc>
        <w:tc>
          <w:tcPr>
            <w:tcW w:w="851"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815"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348" w:hRule="atLeast"/>
        </w:trPr>
        <w:tc>
          <w:tcPr>
            <w:tcW w:w="1247" w:type="dxa"/>
            <w:vMerge w:val="restart"/>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填埋库区</w:t>
            </w:r>
          </w:p>
        </w:tc>
        <w:tc>
          <w:tcPr>
            <w:tcW w:w="59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NH</w:t>
            </w:r>
            <w:r>
              <w:rPr>
                <w:rFonts w:hint="default"/>
                <w:color w:val="auto"/>
                <w:vertAlign w:val="subscript"/>
              </w:rPr>
              <w:t>3</w:t>
            </w:r>
          </w:p>
        </w:tc>
        <w:tc>
          <w:tcPr>
            <w:tcW w:w="851" w:type="dxa"/>
            <w:vAlign w:val="center"/>
          </w:tcPr>
          <w:p>
            <w:pPr>
              <w:pStyle w:val="23"/>
              <w:keepNext w:val="0"/>
              <w:keepLines w:val="0"/>
              <w:suppressLineNumbers w:val="0"/>
              <w:spacing w:before="0" w:beforeAutospacing="0" w:after="0" w:afterAutospacing="0"/>
              <w:ind w:left="0" w:right="0"/>
              <w:rPr>
                <w:rFonts w:hint="default"/>
                <w:color w:val="auto"/>
              </w:rPr>
            </w:pPr>
            <w:r>
              <w:rPr>
                <w:rFonts w:hint="eastAsia"/>
              </w:rPr>
              <w:t>0.288</w:t>
            </w:r>
          </w:p>
        </w:tc>
        <w:tc>
          <w:tcPr>
            <w:tcW w:w="850"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0.20</w:t>
            </w:r>
          </w:p>
        </w:tc>
        <w:tc>
          <w:tcPr>
            <w:tcW w:w="902" w:type="dxa"/>
            <w:vMerge w:val="restart"/>
            <w:vAlign w:val="center"/>
          </w:tcPr>
          <w:p>
            <w:pPr>
              <w:pStyle w:val="23"/>
              <w:keepNext w:val="0"/>
              <w:keepLines w:val="0"/>
              <w:suppressLineNumbers w:val="0"/>
              <w:spacing w:before="0" w:beforeAutospacing="0" w:after="0" w:afterAutospacing="0"/>
              <w:ind w:left="0" w:right="0"/>
              <w:rPr>
                <w:rFonts w:hint="eastAsia" w:eastAsia="宋体"/>
                <w:color w:val="auto"/>
                <w:lang w:eastAsia="zh-CN"/>
              </w:rPr>
            </w:pPr>
            <w:r>
              <w:rPr>
                <w:rFonts w:hint="eastAsia"/>
                <w:color w:val="auto"/>
                <w:lang w:val="en-US" w:eastAsia="zh-CN"/>
              </w:rPr>
              <w:t>90778</w:t>
            </w:r>
          </w:p>
        </w:tc>
        <w:tc>
          <w:tcPr>
            <w:tcW w:w="56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350</w:t>
            </w:r>
          </w:p>
        </w:tc>
        <w:tc>
          <w:tcPr>
            <w:tcW w:w="7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0.021</w:t>
            </w:r>
          </w:p>
        </w:tc>
        <w:tc>
          <w:tcPr>
            <w:tcW w:w="70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1.85</w:t>
            </w:r>
          </w:p>
        </w:tc>
        <w:tc>
          <w:tcPr>
            <w:tcW w:w="7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0.84</w:t>
            </w:r>
          </w:p>
        </w:tc>
        <w:tc>
          <w:tcPr>
            <w:tcW w:w="851" w:type="dxa"/>
            <w:vAlign w:val="center"/>
          </w:tcPr>
          <w:p>
            <w:pPr>
              <w:pStyle w:val="23"/>
              <w:keepNext w:val="0"/>
              <w:keepLines w:val="0"/>
              <w:suppressLineNumbers w:val="0"/>
              <w:spacing w:before="0" w:beforeAutospacing="0" w:after="0" w:afterAutospacing="0"/>
              <w:ind w:left="0" w:right="0"/>
              <w:rPr>
                <w:rFonts w:hint="eastAsia" w:eastAsia="宋体"/>
                <w:color w:val="auto"/>
                <w:lang w:val="en-US" w:eastAsia="zh-CN"/>
              </w:rPr>
            </w:pPr>
            <w:r>
              <w:rPr>
                <w:rFonts w:hint="eastAsia"/>
                <w:color w:val="auto"/>
                <w:lang w:val="en-US" w:eastAsia="zh-CN"/>
              </w:rPr>
              <w:t>7.2</w:t>
            </w:r>
          </w:p>
        </w:tc>
        <w:tc>
          <w:tcPr>
            <w:tcW w:w="815"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200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332" w:hRule="atLeast"/>
        </w:trPr>
        <w:tc>
          <w:tcPr>
            <w:tcW w:w="1247"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596"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H</w:t>
            </w:r>
            <w:r>
              <w:rPr>
                <w:rFonts w:hint="default"/>
                <w:color w:val="auto"/>
                <w:vertAlign w:val="subscript"/>
              </w:rPr>
              <w:t>2</w:t>
            </w:r>
            <w:r>
              <w:rPr>
                <w:rFonts w:hint="default"/>
                <w:color w:val="auto"/>
              </w:rPr>
              <w:t>S</w:t>
            </w:r>
          </w:p>
        </w:tc>
        <w:tc>
          <w:tcPr>
            <w:tcW w:w="851"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eastAsia"/>
                <w:color w:val="auto"/>
                <w:lang w:val="en-US" w:eastAsia="zh-CN"/>
              </w:rPr>
              <w:t>0.144</w:t>
            </w:r>
          </w:p>
        </w:tc>
        <w:tc>
          <w:tcPr>
            <w:tcW w:w="850" w:type="dxa"/>
            <w:vAlign w:val="center"/>
          </w:tcPr>
          <w:p>
            <w:pPr>
              <w:pStyle w:val="23"/>
              <w:keepNext w:val="0"/>
              <w:keepLines w:val="0"/>
              <w:suppressLineNumbers w:val="0"/>
              <w:spacing w:before="0" w:beforeAutospacing="0" w:after="0" w:afterAutospacing="0"/>
              <w:ind w:left="0" w:right="0"/>
              <w:rPr>
                <w:rFonts w:hint="default"/>
                <w:color w:val="auto"/>
                <w:lang w:val="en-US" w:eastAsia="zh-CN"/>
              </w:rPr>
            </w:pPr>
            <w:r>
              <w:rPr>
                <w:rFonts w:hint="default"/>
                <w:color w:val="auto"/>
                <w:lang w:val="en-US" w:eastAsia="zh-CN"/>
              </w:rPr>
              <w:t>0.01</w:t>
            </w:r>
          </w:p>
        </w:tc>
        <w:tc>
          <w:tcPr>
            <w:tcW w:w="902"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56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350</w:t>
            </w:r>
          </w:p>
        </w:tc>
        <w:tc>
          <w:tcPr>
            <w:tcW w:w="7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0.021</w:t>
            </w:r>
          </w:p>
        </w:tc>
        <w:tc>
          <w:tcPr>
            <w:tcW w:w="70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1.85</w:t>
            </w:r>
          </w:p>
        </w:tc>
        <w:tc>
          <w:tcPr>
            <w:tcW w:w="70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0.84</w:t>
            </w:r>
          </w:p>
        </w:tc>
        <w:tc>
          <w:tcPr>
            <w:tcW w:w="851" w:type="dxa"/>
            <w:vAlign w:val="center"/>
          </w:tcPr>
          <w:p>
            <w:pPr>
              <w:pStyle w:val="23"/>
              <w:keepNext w:val="0"/>
              <w:keepLines w:val="0"/>
              <w:suppressLineNumbers w:val="0"/>
              <w:spacing w:before="0" w:beforeAutospacing="0" w:after="0" w:afterAutospacing="0"/>
              <w:ind w:left="0" w:right="0"/>
              <w:rPr>
                <w:rFonts w:hint="default"/>
                <w:color w:val="auto"/>
              </w:rPr>
            </w:pPr>
            <w:r>
              <w:rPr>
                <w:rFonts w:hint="eastAsia"/>
                <w:color w:val="auto"/>
                <w:lang w:val="en-US" w:eastAsia="zh-CN"/>
              </w:rPr>
              <w:t>110.77</w:t>
            </w:r>
          </w:p>
        </w:tc>
        <w:tc>
          <w:tcPr>
            <w:tcW w:w="815"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r>
    </w:tbl>
    <w:p>
      <w:pPr>
        <w:rPr>
          <w:color w:val="auto"/>
          <w:sz w:val="24"/>
        </w:rPr>
      </w:pPr>
      <w:r>
        <w:rPr>
          <w:rFonts w:hint="eastAsia"/>
          <w:color w:val="auto"/>
          <w:sz w:val="24"/>
        </w:rPr>
        <w:t>计算表明其卫生防护距离较小，</w:t>
      </w:r>
      <w:r>
        <w:rPr>
          <w:color w:val="auto"/>
          <w:sz w:val="24"/>
        </w:rPr>
        <w:t>提及后确定为填埋库区外围200m。</w:t>
      </w:r>
    </w:p>
    <w:p>
      <w:pPr>
        <w:rPr>
          <w:rFonts w:hint="eastAsia"/>
          <w:color w:val="auto"/>
          <w:sz w:val="24"/>
          <w:lang w:val="en-US" w:eastAsia="zh-CN"/>
        </w:rPr>
      </w:pPr>
      <w:r>
        <w:rPr>
          <w:rFonts w:hint="eastAsia"/>
          <w:color w:val="auto"/>
          <w:sz w:val="24"/>
          <w:lang w:eastAsia="zh-CN"/>
        </w:rPr>
        <w:t>根据《岳阳市胥家桥片区控制性详规中花果畈垃圾填埋场及其周边区域专项评价》，花果畈垃圾填埋场设有</w:t>
      </w:r>
      <w:r>
        <w:rPr>
          <w:rFonts w:hint="eastAsia"/>
          <w:color w:val="auto"/>
          <w:sz w:val="24"/>
          <w:lang w:val="en-US" w:eastAsia="zh-CN"/>
        </w:rPr>
        <w:t>500m卫生防护距离。因此，本工程卫生防护距离在原有卫生防护距离范围内，无需新设立卫生防护距离。</w:t>
      </w:r>
    </w:p>
    <w:p>
      <w:pPr>
        <w:rPr>
          <w:rFonts w:hint="eastAsia"/>
          <w:color w:val="auto"/>
          <w:sz w:val="24"/>
          <w:lang w:val="en-US" w:eastAsia="zh-CN"/>
        </w:rPr>
      </w:pPr>
      <w:r>
        <w:rPr>
          <w:rFonts w:hint="eastAsia"/>
          <w:color w:val="auto"/>
          <w:sz w:val="24"/>
          <w:lang w:val="en-US" w:eastAsia="zh-CN"/>
        </w:rPr>
        <w:t>根据现场调查，本项目500m范围内存在有居民住宅等环境敏感建筑，根据</w:t>
      </w:r>
      <w:r>
        <w:rPr>
          <w:rFonts w:hint="eastAsia"/>
          <w:color w:val="auto"/>
          <w:sz w:val="24"/>
          <w:lang w:eastAsia="zh-CN"/>
        </w:rPr>
        <w:t>《岳阳市胥家桥片区控制性详规中花果畈垃圾填埋场及其周边区域专项评价》，在</w:t>
      </w:r>
      <w:r>
        <w:rPr>
          <w:rFonts w:hint="eastAsia"/>
          <w:color w:val="auto"/>
          <w:sz w:val="24"/>
          <w:lang w:val="en-US" w:eastAsia="zh-CN"/>
        </w:rPr>
        <w:t>2015年之前，卫生防护距离范围内无敏感建筑。环评建议当地政府应严格控制花果畈垃圾处理场周边建设用地，防护距离内不得新建居民、行政办公、学校、医院等环境敏感建筑。</w:t>
      </w:r>
    </w:p>
    <w:p>
      <w:pPr>
        <w:rPr>
          <w:rFonts w:hint="eastAsia"/>
          <w:color w:val="auto"/>
          <w:sz w:val="24"/>
          <w:lang w:val="en-US" w:eastAsia="zh-CN"/>
        </w:rPr>
      </w:pPr>
      <w:r>
        <w:rPr>
          <w:rFonts w:hint="eastAsia"/>
          <w:color w:val="auto"/>
          <w:sz w:val="24"/>
          <w:lang w:val="en-US" w:eastAsia="zh-CN"/>
        </w:rPr>
        <w:t>4、小结</w:t>
      </w:r>
    </w:p>
    <w:p>
      <w:pPr>
        <w:adjustRightInd w:val="0"/>
        <w:snapToGrid w:val="0"/>
        <w:spacing w:line="360" w:lineRule="auto"/>
        <w:ind w:firstLine="480" w:firstLineChars="200"/>
        <w:rPr>
          <w:color w:val="auto"/>
          <w:sz w:val="24"/>
        </w:rPr>
      </w:pPr>
      <w:r>
        <w:rPr>
          <w:color w:val="auto"/>
          <w:sz w:val="24"/>
        </w:rPr>
        <w:t>(1) 工程填埋气体利用竖直导气石笼井和水平层间盲沟进行收集，气体收集后，</w:t>
      </w:r>
      <w:r>
        <w:rPr>
          <w:rFonts w:hint="eastAsia"/>
          <w:color w:val="auto"/>
          <w:sz w:val="24"/>
        </w:rPr>
        <w:t>精制生产天然气作为城镇燃气或车用燃气供岳阳市民使用</w:t>
      </w:r>
      <w:r>
        <w:rPr>
          <w:color w:val="auto"/>
          <w:sz w:val="24"/>
        </w:rPr>
        <w:t>。</w:t>
      </w:r>
    </w:p>
    <w:p>
      <w:pPr>
        <w:adjustRightInd w:val="0"/>
        <w:snapToGrid w:val="0"/>
        <w:spacing w:line="360" w:lineRule="auto"/>
        <w:ind w:firstLine="480" w:firstLineChars="200"/>
        <w:rPr>
          <w:snapToGrid w:val="0"/>
          <w:color w:val="auto"/>
          <w:kern w:val="0"/>
          <w:sz w:val="24"/>
        </w:rPr>
      </w:pPr>
      <w:r>
        <w:rPr>
          <w:color w:val="auto"/>
          <w:sz w:val="24"/>
        </w:rPr>
        <w:t xml:space="preserve">(2) </w:t>
      </w:r>
      <w:r>
        <w:rPr>
          <w:snapToGrid w:val="0"/>
          <w:color w:val="auto"/>
          <w:kern w:val="0"/>
          <w:sz w:val="24"/>
        </w:rPr>
        <w:t>本工程调节池加防臭膜盖，环评要求调节池内部进一步加装氨气、甲烷浓度检测报警装置</w:t>
      </w:r>
      <w:r>
        <w:rPr>
          <w:color w:val="auto"/>
          <w:sz w:val="24"/>
        </w:rPr>
        <w:t>，</w:t>
      </w:r>
      <w:r>
        <w:rPr>
          <w:rFonts w:hint="eastAsia"/>
          <w:color w:val="auto"/>
          <w:sz w:val="24"/>
          <w:lang w:eastAsia="zh-CN"/>
        </w:rPr>
        <w:t>并将收集的废气通过管道送至废气处理系统进行综合利用，</w:t>
      </w:r>
      <w:r>
        <w:rPr>
          <w:rFonts w:hint="eastAsia"/>
          <w:color w:val="auto"/>
          <w:sz w:val="24"/>
        </w:rPr>
        <w:t>精制生产天然气作为城镇燃气或车用燃气供岳阳市民使用</w:t>
      </w:r>
      <w:r>
        <w:rPr>
          <w:snapToGrid w:val="0"/>
          <w:color w:val="auto"/>
          <w:kern w:val="0"/>
          <w:sz w:val="24"/>
        </w:rPr>
        <w:t>。</w:t>
      </w:r>
    </w:p>
    <w:p>
      <w:pPr>
        <w:adjustRightInd w:val="0"/>
        <w:snapToGrid w:val="0"/>
        <w:spacing w:line="360" w:lineRule="auto"/>
        <w:ind w:firstLine="480" w:firstLineChars="200"/>
        <w:rPr>
          <w:snapToGrid w:val="0"/>
          <w:color w:val="auto"/>
          <w:kern w:val="0"/>
          <w:sz w:val="24"/>
        </w:rPr>
      </w:pPr>
      <w:r>
        <w:rPr>
          <w:color w:val="auto"/>
          <w:sz w:val="24"/>
        </w:rPr>
        <w:t xml:space="preserve">(3) </w:t>
      </w:r>
      <w:r>
        <w:rPr>
          <w:snapToGrid w:val="0"/>
          <w:color w:val="auto"/>
          <w:kern w:val="0"/>
          <w:sz w:val="24"/>
        </w:rPr>
        <w:t>工程填埋废气NH</w:t>
      </w:r>
      <w:r>
        <w:rPr>
          <w:snapToGrid w:val="0"/>
          <w:color w:val="auto"/>
          <w:kern w:val="0"/>
          <w:sz w:val="24"/>
          <w:vertAlign w:val="subscript"/>
        </w:rPr>
        <w:t>3</w:t>
      </w:r>
      <w:r>
        <w:rPr>
          <w:snapToGrid w:val="0"/>
          <w:color w:val="auto"/>
          <w:kern w:val="0"/>
          <w:sz w:val="24"/>
        </w:rPr>
        <w:t>、H</w:t>
      </w:r>
      <w:r>
        <w:rPr>
          <w:snapToGrid w:val="0"/>
          <w:color w:val="auto"/>
          <w:kern w:val="0"/>
          <w:sz w:val="24"/>
          <w:vertAlign w:val="subscript"/>
        </w:rPr>
        <w:t>2</w:t>
      </w:r>
      <w:r>
        <w:rPr>
          <w:snapToGrid w:val="0"/>
          <w:color w:val="auto"/>
          <w:kern w:val="0"/>
          <w:sz w:val="24"/>
        </w:rPr>
        <w:t>S及其他臭气浓度排放符合《恶臭污染物排放标准》(GB14554-93)中二级标准，作业区PM</w:t>
      </w:r>
      <w:r>
        <w:rPr>
          <w:snapToGrid w:val="0"/>
          <w:color w:val="auto"/>
          <w:kern w:val="0"/>
          <w:sz w:val="24"/>
          <w:vertAlign w:val="subscript"/>
        </w:rPr>
        <w:t>10</w:t>
      </w:r>
      <w:r>
        <w:rPr>
          <w:snapToGrid w:val="0"/>
          <w:color w:val="auto"/>
          <w:kern w:val="0"/>
          <w:sz w:val="24"/>
        </w:rPr>
        <w:t>符合《大气污染物综合排放标准》(GB16297-1996)新改扩无组织排放限值标准；工作区符合《环境空气质量标准》(GB3095-2012) 二级标准。</w:t>
      </w:r>
    </w:p>
    <w:p>
      <w:pPr>
        <w:adjustRightInd w:val="0"/>
        <w:snapToGrid w:val="0"/>
        <w:spacing w:line="360" w:lineRule="auto"/>
        <w:ind w:firstLine="480" w:firstLineChars="200"/>
        <w:rPr>
          <w:snapToGrid w:val="0"/>
          <w:color w:val="auto"/>
          <w:kern w:val="0"/>
          <w:sz w:val="24"/>
        </w:rPr>
      </w:pPr>
      <w:r>
        <w:rPr>
          <w:color w:val="auto"/>
          <w:sz w:val="24"/>
        </w:rPr>
        <w:t xml:space="preserve">(4) </w:t>
      </w:r>
      <w:r>
        <w:rPr>
          <w:snapToGrid w:val="0"/>
          <w:color w:val="auto"/>
          <w:kern w:val="0"/>
          <w:sz w:val="24"/>
        </w:rPr>
        <w:t>根据导则SCREEN3预测估算结果，本工程排放的各废气最大落地点浓度、对敏感点影响浓度均符合《工业企业设计卫生标准》(TJ36-79)中居住区大气中有害物质的最高允许浓度限值，且占标率小于10%，对周边环境及敏感点影响较小。</w:t>
      </w:r>
    </w:p>
    <w:p>
      <w:pPr>
        <w:rPr>
          <w:rFonts w:hint="eastAsia"/>
          <w:color w:val="auto"/>
          <w:sz w:val="24"/>
          <w:lang w:val="en-US" w:eastAsia="zh-CN"/>
        </w:rPr>
      </w:pPr>
      <w:r>
        <w:rPr>
          <w:color w:val="auto"/>
          <w:sz w:val="24"/>
        </w:rPr>
        <w:t xml:space="preserve">(5) </w:t>
      </w:r>
      <w:r>
        <w:rPr>
          <w:rFonts w:hint="eastAsia"/>
          <w:color w:val="auto"/>
          <w:sz w:val="24"/>
          <w:lang w:eastAsia="zh-CN"/>
        </w:rPr>
        <w:t>根据《岳阳市胥家桥片区控制性详规中花果畈垃圾填埋场及其周边区域专项评价》，花果畈垃圾填埋场设有</w:t>
      </w:r>
      <w:r>
        <w:rPr>
          <w:rFonts w:hint="eastAsia"/>
          <w:color w:val="auto"/>
          <w:sz w:val="24"/>
          <w:lang w:val="en-US" w:eastAsia="zh-CN"/>
        </w:rPr>
        <w:t>500m卫生防护距离。因此，本工程卫生防护距离在原有卫生防护距离范围内，无需新设立卫生防护距离。</w:t>
      </w:r>
    </w:p>
    <w:p>
      <w:pPr>
        <w:adjustRightInd w:val="0"/>
        <w:snapToGrid w:val="0"/>
        <w:spacing w:line="360" w:lineRule="auto"/>
        <w:ind w:firstLine="480" w:firstLineChars="200"/>
        <w:rPr>
          <w:color w:val="auto"/>
          <w:sz w:val="24"/>
        </w:rPr>
      </w:pPr>
      <w:r>
        <w:rPr>
          <w:rFonts w:hint="eastAsia"/>
          <w:color w:val="auto"/>
          <w:sz w:val="24"/>
          <w:lang w:val="en-US" w:eastAsia="zh-CN"/>
        </w:rPr>
        <w:t>根据现场调查，本项目500m范围内存在有居民住宅等环境敏感建筑，根据</w:t>
      </w:r>
      <w:r>
        <w:rPr>
          <w:rFonts w:hint="eastAsia"/>
          <w:color w:val="auto"/>
          <w:sz w:val="24"/>
          <w:lang w:eastAsia="zh-CN"/>
        </w:rPr>
        <w:t>《岳阳市胥家桥片区控制性详规中花果畈垃圾填埋场及其周边区域专项评价》，在</w:t>
      </w:r>
      <w:r>
        <w:rPr>
          <w:rFonts w:hint="eastAsia"/>
          <w:color w:val="auto"/>
          <w:sz w:val="24"/>
          <w:lang w:val="en-US" w:eastAsia="zh-CN"/>
        </w:rPr>
        <w:t>2015年之前，卫生防护距离范围内无敏感建筑。环评建议当地政府应严格控制花果畈垃圾处理场周边建设用地，防护距离内不得新建居民、行政办公、学校、医院等环境敏感建筑。</w:t>
      </w:r>
    </w:p>
    <w:p>
      <w:pPr>
        <w:pStyle w:val="4"/>
        <w:rPr>
          <w:rFonts w:hint="eastAsia"/>
          <w:color w:val="auto"/>
          <w:lang w:val="en-US" w:eastAsia="zh-CN"/>
        </w:rPr>
      </w:pPr>
      <w:r>
        <w:rPr>
          <w:rFonts w:hint="eastAsia"/>
          <w:color w:val="auto"/>
          <w:lang w:val="en-US" w:eastAsia="zh-CN"/>
        </w:rPr>
        <w:t>7.2.2地表水环境影响预测与分析</w:t>
      </w:r>
    </w:p>
    <w:p>
      <w:pPr>
        <w:rPr>
          <w:rFonts w:hint="eastAsia"/>
          <w:color w:val="auto"/>
          <w:lang w:val="en-US" w:eastAsia="zh-CN"/>
        </w:rPr>
      </w:pPr>
      <w:r>
        <w:rPr>
          <w:rFonts w:hint="eastAsia"/>
          <w:color w:val="auto"/>
          <w:lang w:val="en-US" w:eastAsia="zh-CN"/>
        </w:rPr>
        <w:t>根据现场调查和建设单位提供资料，现有库区的南侧和东侧未设置截洪沟、导致场外大量雨水汇入库区，均转变为渗滤液；同时，现有库区堆体表面采用简易覆盖方式、调节池未做池盖，因此，库区、调节池的雨水均转化为渗滤液。根据本改造工程设计，本改造工程对现有库区的南侧和东侧设置截洪沟，对库区采用HDPE膜进行覆盖、垂直防渗，并对调节池采用浮动盖密封。因此，改造后减少了库区、调节池的雨水转化为渗滤液，场区渗滤液产生量减小。</w:t>
      </w:r>
    </w:p>
    <w:p>
      <w:pPr>
        <w:rPr>
          <w:rFonts w:hint="eastAsia"/>
          <w:color w:val="auto"/>
          <w:lang w:val="en-US" w:eastAsia="zh-CN"/>
        </w:rPr>
      </w:pPr>
      <w:r>
        <w:rPr>
          <w:rFonts w:hint="eastAsia"/>
          <w:color w:val="auto"/>
          <w:lang w:val="en-US" w:eastAsia="zh-CN"/>
        </w:rPr>
        <w:t>（1）预测因子</w:t>
      </w:r>
    </w:p>
    <w:p>
      <w:pPr>
        <w:rPr>
          <w:rFonts w:hint="eastAsia"/>
          <w:color w:val="auto"/>
          <w:lang w:val="en-US" w:eastAsia="zh-CN"/>
        </w:rPr>
      </w:pPr>
      <w:r>
        <w:rPr>
          <w:rFonts w:hint="eastAsia"/>
          <w:color w:val="auto"/>
          <w:lang w:val="en-US" w:eastAsia="zh-CN"/>
        </w:rPr>
        <w:t>根据工程分析，本项目改造后与现有工程的污染因子均主要为COD、NH</w:t>
      </w:r>
      <w:r>
        <w:rPr>
          <w:rFonts w:hint="eastAsia"/>
          <w:color w:val="auto"/>
          <w:vertAlign w:val="subscript"/>
          <w:lang w:val="en-US" w:eastAsia="zh-CN"/>
        </w:rPr>
        <w:t>3</w:t>
      </w:r>
      <w:r>
        <w:rPr>
          <w:rFonts w:hint="eastAsia"/>
          <w:color w:val="auto"/>
          <w:lang w:val="en-US" w:eastAsia="zh-CN"/>
        </w:rPr>
        <w:t>-N，因此，本次环评选取COD、NH</w:t>
      </w:r>
      <w:r>
        <w:rPr>
          <w:rFonts w:hint="eastAsia"/>
          <w:color w:val="auto"/>
          <w:vertAlign w:val="subscript"/>
          <w:lang w:val="en-US" w:eastAsia="zh-CN"/>
        </w:rPr>
        <w:t>3</w:t>
      </w:r>
      <w:r>
        <w:rPr>
          <w:rFonts w:hint="eastAsia"/>
          <w:color w:val="auto"/>
          <w:lang w:val="en-US" w:eastAsia="zh-CN"/>
        </w:rPr>
        <w:t>-N作为预测因子。</w:t>
      </w:r>
    </w:p>
    <w:p>
      <w:pPr>
        <w:rPr>
          <w:rFonts w:hint="eastAsia"/>
          <w:color w:val="auto"/>
          <w:lang w:val="en-US" w:eastAsia="zh-CN"/>
        </w:rPr>
      </w:pPr>
      <w:r>
        <w:rPr>
          <w:rFonts w:hint="eastAsia"/>
          <w:color w:val="auto"/>
          <w:lang w:val="en-US" w:eastAsia="zh-CN"/>
        </w:rPr>
        <w:t>（2）预测范围</w:t>
      </w:r>
    </w:p>
    <w:p>
      <w:pPr>
        <w:rPr>
          <w:rFonts w:hint="eastAsia"/>
          <w:color w:val="auto"/>
          <w:lang w:val="en-US" w:eastAsia="zh-CN"/>
        </w:rPr>
      </w:pPr>
      <w:r>
        <w:rPr>
          <w:rFonts w:hint="eastAsia"/>
          <w:color w:val="auto"/>
          <w:lang w:val="en-US" w:eastAsia="zh-CN"/>
        </w:rPr>
        <w:t>根据现有工程可知，本工程产生的污水最终排入芭蕉湖。为充分分析本工程废水的排放对芭蕉湖水质影响程度，本次评价进行正常排放情况和非正常排放情况两种情况下对芭蕉湖水质的影响。预测范围为污水排放口为中心的3.5km范围。</w:t>
      </w:r>
    </w:p>
    <w:p>
      <w:pPr>
        <w:rPr>
          <w:rFonts w:hint="eastAsia"/>
          <w:color w:val="auto"/>
          <w:lang w:val="en-US" w:eastAsia="zh-CN"/>
        </w:rPr>
      </w:pPr>
      <w:r>
        <w:rPr>
          <w:rFonts w:hint="eastAsia"/>
          <w:color w:val="auto"/>
          <w:lang w:val="en-US" w:eastAsia="zh-CN"/>
        </w:rPr>
        <w:t>（3）预测内容</w:t>
      </w:r>
    </w:p>
    <w:p>
      <w:pPr>
        <w:rPr>
          <w:rFonts w:hint="eastAsia"/>
          <w:color w:val="auto"/>
          <w:lang w:val="en-US" w:eastAsia="zh-CN"/>
        </w:rPr>
      </w:pPr>
      <w:r>
        <w:rPr>
          <w:rFonts w:hint="eastAsia"/>
          <w:color w:val="auto"/>
          <w:lang w:val="en-US" w:eastAsia="zh-CN"/>
        </w:rPr>
        <w:t>①正常排放时，预测芭蕉湖外派污水对水体的预测值。</w:t>
      </w:r>
    </w:p>
    <w:p>
      <w:pPr>
        <w:rPr>
          <w:rFonts w:hint="eastAsia"/>
          <w:color w:val="auto"/>
          <w:lang w:val="en-US" w:eastAsia="zh-CN"/>
        </w:rPr>
      </w:pPr>
      <w:r>
        <w:rPr>
          <w:rFonts w:hint="eastAsia"/>
          <w:color w:val="auto"/>
          <w:lang w:val="en-US" w:eastAsia="zh-CN"/>
        </w:rPr>
        <w:t>②非正常排放（处理效率0），针对芭蕉湖水体自净能力最差的枯水期进行预测非正常排放对芭蕉湖水体的影响。</w:t>
      </w:r>
    </w:p>
    <w:p>
      <w:pPr>
        <w:rPr>
          <w:rFonts w:hint="eastAsia"/>
          <w:color w:val="auto"/>
          <w:lang w:val="en-US" w:eastAsia="zh-CN"/>
        </w:rPr>
      </w:pPr>
      <w:r>
        <w:rPr>
          <w:rFonts w:hint="eastAsia"/>
          <w:color w:val="auto"/>
          <w:lang w:val="en-US" w:eastAsia="zh-CN"/>
        </w:rPr>
        <w:t>（4）预测模式</w:t>
      </w:r>
    </w:p>
    <w:p>
      <w:pPr>
        <w:adjustRightInd w:val="0"/>
        <w:snapToGrid w:val="0"/>
        <w:spacing w:line="360" w:lineRule="auto"/>
        <w:ind w:firstLine="480" w:firstLineChars="200"/>
        <w:rPr>
          <w:sz w:val="24"/>
        </w:rPr>
      </w:pPr>
      <w:r>
        <w:rPr>
          <w:sz w:val="24"/>
        </w:rPr>
        <w:t>根据《环境影响评价技术导则（HJ/T2.3-93）》的要求，结合拟建工程的特点和纳污水体特征。选用《环境影响评价技术导则（地面水环境）》（HJ/T2.2-93）中推荐的湖泊推流衰减模式，适用于点源排放。</w:t>
      </w:r>
    </w:p>
    <w:p>
      <w:pPr>
        <w:pStyle w:val="7"/>
        <w:ind w:firstLine="0" w:firstLineChars="0"/>
        <w:jc w:val="center"/>
      </w:pPr>
      <w:r>
        <w:rPr>
          <w:position w:val="-34"/>
        </w:rPr>
        <w:object>
          <v:shape id="_x0000_i1032" o:spt="75" type="#_x0000_t75" style="height:40pt;width:150pt;" o:ole="t" fillcolor="#000011" filled="f" o:preferrelative="t" stroked="f" coordsize="21600,21600">
            <v:path/>
            <v:fill on="f" alignshape="1" focussize="0,0"/>
            <v:stroke on="f"/>
            <v:imagedata r:id="rId31" grayscale="f" bilevel="f" o:title=""/>
            <o:lock v:ext="edit" aspectratio="t"/>
            <w10:wrap type="none"/>
            <w10:anchorlock/>
          </v:shape>
          <o:OLEObject Type="Embed" ProgID="Equation.3" ShapeID="_x0000_i1032" DrawAspect="Content" ObjectID="_1468075732" r:id="rId30">
            <o:LockedField>false</o:LockedField>
          </o:OLEObject>
        </w:object>
      </w:r>
    </w:p>
    <w:p>
      <w:pPr>
        <w:adjustRightInd w:val="0"/>
        <w:snapToGrid w:val="0"/>
        <w:spacing w:line="360" w:lineRule="auto"/>
        <w:ind w:firstLine="480" w:firstLineChars="200"/>
        <w:rPr>
          <w:sz w:val="24"/>
        </w:rPr>
      </w:pPr>
      <w:r>
        <w:rPr>
          <w:sz w:val="24"/>
        </w:rPr>
        <w:t>式中，</w:t>
      </w:r>
    </w:p>
    <w:p>
      <w:pPr>
        <w:adjustRightInd w:val="0"/>
        <w:snapToGrid w:val="0"/>
        <w:spacing w:line="360" w:lineRule="auto"/>
        <w:ind w:firstLine="480" w:firstLineChars="200"/>
        <w:rPr>
          <w:sz w:val="24"/>
        </w:rPr>
      </w:pPr>
      <w:r>
        <w:rPr>
          <w:iCs/>
          <w:sz w:val="24"/>
        </w:rPr>
        <w:t>r</w:t>
      </w:r>
      <w:r>
        <w:rPr>
          <w:sz w:val="24"/>
        </w:rPr>
        <w:t>——预测点离排放口的距离，m;</w:t>
      </w:r>
    </w:p>
    <w:p>
      <w:pPr>
        <w:pStyle w:val="7"/>
        <w:adjustRightInd w:val="0"/>
        <w:snapToGrid w:val="0"/>
        <w:spacing w:line="360" w:lineRule="auto"/>
        <w:ind w:firstLine="480"/>
        <w:rPr>
          <w:sz w:val="24"/>
        </w:rPr>
      </w:pPr>
      <w:r>
        <w:rPr>
          <w:iCs/>
          <w:sz w:val="24"/>
        </w:rPr>
        <w:t>c</w:t>
      </w:r>
      <w:r>
        <w:rPr>
          <w:iCs/>
          <w:sz w:val="24"/>
          <w:vertAlign w:val="subscript"/>
        </w:rPr>
        <w:t>r</w:t>
      </w:r>
      <w:r>
        <w:rPr>
          <w:sz w:val="24"/>
        </w:rPr>
        <w:t>——预测点处污染物的浓度，mg/L；</w:t>
      </w:r>
    </w:p>
    <w:p>
      <w:pPr>
        <w:pStyle w:val="7"/>
        <w:adjustRightInd w:val="0"/>
        <w:snapToGrid w:val="0"/>
        <w:spacing w:line="360" w:lineRule="auto"/>
        <w:ind w:firstLine="480"/>
        <w:rPr>
          <w:sz w:val="24"/>
        </w:rPr>
      </w:pPr>
      <w:r>
        <w:rPr>
          <w:iCs/>
          <w:sz w:val="24"/>
        </w:rPr>
        <w:t>Q</w:t>
      </w:r>
      <w:r>
        <w:rPr>
          <w:iCs/>
          <w:sz w:val="24"/>
          <w:vertAlign w:val="subscript"/>
        </w:rPr>
        <w:t>p</w:t>
      </w:r>
      <w:r>
        <w:rPr>
          <w:sz w:val="24"/>
        </w:rPr>
        <w:t>——污水流量，m</w:t>
      </w:r>
      <w:r>
        <w:rPr>
          <w:sz w:val="24"/>
          <w:vertAlign w:val="superscript"/>
        </w:rPr>
        <w:t>3</w:t>
      </w:r>
      <w:r>
        <w:rPr>
          <w:sz w:val="24"/>
        </w:rPr>
        <w:t>/s；</w:t>
      </w:r>
    </w:p>
    <w:p>
      <w:pPr>
        <w:pStyle w:val="7"/>
        <w:adjustRightInd w:val="0"/>
        <w:snapToGrid w:val="0"/>
        <w:spacing w:line="360" w:lineRule="auto"/>
        <w:ind w:firstLine="480"/>
        <w:rPr>
          <w:sz w:val="24"/>
        </w:rPr>
      </w:pPr>
      <w:r>
        <w:rPr>
          <w:iCs/>
          <w:sz w:val="24"/>
        </w:rPr>
        <w:t>c</w:t>
      </w:r>
      <w:r>
        <w:rPr>
          <w:iCs/>
          <w:sz w:val="24"/>
          <w:vertAlign w:val="subscript"/>
        </w:rPr>
        <w:t>p</w:t>
      </w:r>
      <w:r>
        <w:rPr>
          <w:sz w:val="24"/>
        </w:rPr>
        <w:t>——污水中污染物的浓度，mg/l；</w:t>
      </w:r>
    </w:p>
    <w:p>
      <w:pPr>
        <w:adjustRightInd w:val="0"/>
        <w:snapToGrid w:val="0"/>
        <w:spacing w:line="360" w:lineRule="auto"/>
        <w:ind w:firstLine="480" w:firstLineChars="200"/>
        <w:rPr>
          <w:sz w:val="24"/>
        </w:rPr>
      </w:pPr>
      <w:r>
        <w:rPr>
          <w:iCs/>
          <w:sz w:val="24"/>
        </w:rPr>
        <w:t>H</w:t>
      </w:r>
      <w:r>
        <w:rPr>
          <w:sz w:val="24"/>
        </w:rPr>
        <w:t>——湖库平均水深，m；</w:t>
      </w:r>
    </w:p>
    <w:p>
      <w:pPr>
        <w:adjustRightInd w:val="0"/>
        <w:snapToGrid w:val="0"/>
        <w:spacing w:line="360" w:lineRule="auto"/>
        <w:ind w:firstLine="480" w:firstLineChars="200"/>
        <w:rPr>
          <w:sz w:val="24"/>
        </w:rPr>
      </w:pPr>
      <w:r>
        <w:rPr>
          <w:iCs/>
          <w:sz w:val="24"/>
        </w:rPr>
        <w:t>φ</w:t>
      </w:r>
      <w:r>
        <w:rPr>
          <w:sz w:val="24"/>
        </w:rPr>
        <w:t>——混合角度，弧度。φ可根据湖（库）的岸边形状和水流情况确定，湖心排放取2π弧度，平直岸边取π弧度；</w:t>
      </w:r>
    </w:p>
    <w:p>
      <w:pPr>
        <w:adjustRightInd w:val="0"/>
        <w:snapToGrid w:val="0"/>
        <w:spacing w:line="360" w:lineRule="auto"/>
        <w:ind w:firstLine="480" w:firstLineChars="200"/>
        <w:rPr>
          <w:sz w:val="24"/>
        </w:rPr>
      </w:pPr>
      <w:r>
        <w:rPr>
          <w:iCs/>
          <w:sz w:val="24"/>
        </w:rPr>
        <w:t>K</w:t>
      </w:r>
      <w:r>
        <w:rPr>
          <w:iCs/>
          <w:sz w:val="24"/>
          <w:vertAlign w:val="subscript"/>
        </w:rPr>
        <w:t>1</w:t>
      </w:r>
      <w:r>
        <w:rPr>
          <w:sz w:val="24"/>
        </w:rPr>
        <w:t>——湖库污染物降解系数，1/d；其中K</w:t>
      </w:r>
      <w:r>
        <w:rPr>
          <w:sz w:val="24"/>
          <w:vertAlign w:val="subscript"/>
        </w:rPr>
        <w:t>1</w:t>
      </w:r>
      <w:r>
        <w:rPr>
          <w:sz w:val="24"/>
        </w:rPr>
        <w:t>的确定：一级可采用多点法或多参数优化法；二级可采用两点法或多参数优化法；三级可采用室内实验法或类比调查法。</w:t>
      </w:r>
    </w:p>
    <w:p>
      <w:pPr>
        <w:pStyle w:val="7"/>
        <w:adjustRightInd w:val="0"/>
        <w:snapToGrid w:val="0"/>
        <w:spacing w:line="360" w:lineRule="auto"/>
        <w:ind w:firstLine="480"/>
        <w:rPr>
          <w:sz w:val="24"/>
        </w:rPr>
      </w:pPr>
      <w:r>
        <w:rPr>
          <w:iCs/>
          <w:sz w:val="24"/>
        </w:rPr>
        <w:t>c</w:t>
      </w:r>
      <w:r>
        <w:rPr>
          <w:iCs/>
          <w:sz w:val="24"/>
          <w:vertAlign w:val="subscript"/>
        </w:rPr>
        <w:t>h</w:t>
      </w:r>
      <w:r>
        <w:rPr>
          <w:sz w:val="24"/>
        </w:rPr>
        <w:t>——湖库水中污染物本底浓度，mg/L；</w:t>
      </w:r>
    </w:p>
    <w:p>
      <w:pPr>
        <w:rPr>
          <w:rFonts w:hint="eastAsia"/>
          <w:color w:val="auto"/>
          <w:lang w:val="en-US" w:eastAsia="zh-CN"/>
        </w:rPr>
      </w:pPr>
      <w:r>
        <w:rPr>
          <w:rFonts w:hint="eastAsia"/>
          <w:color w:val="auto"/>
          <w:lang w:val="en-US" w:eastAsia="zh-CN"/>
        </w:rPr>
        <w:t>（5）参数选取</w:t>
      </w:r>
    </w:p>
    <w:p>
      <w:pPr>
        <w:adjustRightInd w:val="0"/>
        <w:snapToGrid w:val="0"/>
        <w:spacing w:line="360" w:lineRule="auto"/>
        <w:ind w:firstLine="480" w:firstLineChars="200"/>
        <w:rPr>
          <w:sz w:val="24"/>
        </w:rPr>
      </w:pPr>
      <w:r>
        <w:rPr>
          <w:rFonts w:hint="eastAsia"/>
          <w:sz w:val="24"/>
          <w:lang w:eastAsia="zh-CN"/>
        </w:rPr>
        <w:t>①</w:t>
      </w:r>
      <w:r>
        <w:rPr>
          <w:sz w:val="24"/>
        </w:rPr>
        <w:t>预测源强</w:t>
      </w:r>
    </w:p>
    <w:p>
      <w:pPr>
        <w:adjustRightInd w:val="0"/>
        <w:snapToGrid w:val="0"/>
        <w:spacing w:line="360" w:lineRule="auto"/>
        <w:ind w:firstLine="480" w:firstLineChars="200"/>
        <w:rPr>
          <w:sz w:val="24"/>
        </w:rPr>
      </w:pPr>
      <w:r>
        <w:rPr>
          <w:sz w:val="24"/>
        </w:rPr>
        <w:t>A、</w:t>
      </w:r>
      <w:r>
        <w:rPr>
          <w:rFonts w:hint="eastAsia"/>
          <w:sz w:val="24"/>
          <w:lang w:eastAsia="zh-CN"/>
        </w:rPr>
        <w:t>废水</w:t>
      </w:r>
      <w:r>
        <w:rPr>
          <w:sz w:val="24"/>
        </w:rPr>
        <w:t>排放量：</w:t>
      </w:r>
      <w:r>
        <w:rPr>
          <w:rFonts w:hint="eastAsia"/>
          <w:sz w:val="24"/>
          <w:lang w:val="en-US" w:eastAsia="zh-CN"/>
        </w:rPr>
        <w:t>71.64</w:t>
      </w:r>
      <w:r>
        <w:rPr>
          <w:sz w:val="24"/>
        </w:rPr>
        <w:t>m</w:t>
      </w:r>
      <w:r>
        <w:rPr>
          <w:sz w:val="24"/>
          <w:vertAlign w:val="superscript"/>
        </w:rPr>
        <w:t>3</w:t>
      </w:r>
      <w:r>
        <w:rPr>
          <w:sz w:val="24"/>
        </w:rPr>
        <w:t xml:space="preserve">/d，Qp= </w:t>
      </w:r>
      <w:r>
        <w:rPr>
          <w:rFonts w:hint="eastAsia"/>
          <w:sz w:val="24"/>
          <w:lang w:val="en-US" w:eastAsia="zh-CN"/>
        </w:rPr>
        <w:t>0.00083</w:t>
      </w:r>
      <w:r>
        <w:rPr>
          <w:sz w:val="24"/>
        </w:rPr>
        <w:t>m</w:t>
      </w:r>
      <w:r>
        <w:rPr>
          <w:sz w:val="24"/>
          <w:vertAlign w:val="superscript"/>
        </w:rPr>
        <w:t>3</w:t>
      </w:r>
      <w:r>
        <w:rPr>
          <w:sz w:val="24"/>
        </w:rPr>
        <w:t>/s；</w:t>
      </w:r>
    </w:p>
    <w:p>
      <w:pPr>
        <w:adjustRightInd w:val="0"/>
        <w:snapToGrid w:val="0"/>
        <w:spacing w:line="360" w:lineRule="auto"/>
        <w:ind w:firstLine="480" w:firstLineChars="200"/>
        <w:rPr>
          <w:sz w:val="24"/>
        </w:rPr>
      </w:pPr>
      <w:r>
        <w:rPr>
          <w:sz w:val="24"/>
        </w:rPr>
        <w:t>B、</w:t>
      </w:r>
      <w:r>
        <w:rPr>
          <w:rFonts w:hint="eastAsia"/>
          <w:sz w:val="24"/>
          <w:lang w:eastAsia="zh-CN"/>
        </w:rPr>
        <w:t>废水</w:t>
      </w:r>
      <w:r>
        <w:rPr>
          <w:sz w:val="24"/>
        </w:rPr>
        <w:t>排放参数，见下表。</w:t>
      </w:r>
    </w:p>
    <w:p>
      <w:pPr>
        <w:pStyle w:val="23"/>
      </w:pPr>
      <w:r>
        <w:t>表</w:t>
      </w:r>
      <w:r>
        <w:rPr>
          <w:rFonts w:hint="eastAsia"/>
          <w:lang w:val="en-US" w:eastAsia="zh-CN"/>
        </w:rPr>
        <w:t>7-13</w:t>
      </w:r>
      <w:r>
        <w:t>污染源参数表</w:t>
      </w:r>
    </w:p>
    <w:tbl>
      <w:tblPr>
        <w:tblStyle w:val="19"/>
        <w:tblW w:w="8180"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254"/>
        <w:gridCol w:w="1515"/>
        <w:gridCol w:w="2220"/>
        <w:gridCol w:w="319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689" w:hRule="atLeast"/>
          <w:jc w:val="center"/>
        </w:trPr>
        <w:tc>
          <w:tcPr>
            <w:tcW w:w="2769" w:type="dxa"/>
            <w:gridSpan w:val="2"/>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工况</w:t>
            </w:r>
          </w:p>
        </w:tc>
        <w:tc>
          <w:tcPr>
            <w:tcW w:w="2220"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正常排污</w:t>
            </w:r>
          </w:p>
        </w:tc>
        <w:tc>
          <w:tcPr>
            <w:tcW w:w="3191"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非正常排放（处理效率</w:t>
            </w:r>
            <w:r>
              <w:rPr>
                <w:rFonts w:hint="eastAsia"/>
                <w:lang w:val="en-US" w:eastAsia="zh-CN"/>
              </w:rPr>
              <w:t>0</w:t>
            </w:r>
            <w:r>
              <w:rPr>
                <w:rFonts w:hint="default"/>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45" w:hRule="atLeast"/>
          <w:jc w:val="center"/>
        </w:trPr>
        <w:tc>
          <w:tcPr>
            <w:tcW w:w="2769" w:type="dxa"/>
            <w:gridSpan w:val="2"/>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流量（m</w:t>
            </w:r>
            <w:r>
              <w:rPr>
                <w:rFonts w:hint="default"/>
                <w:vertAlign w:val="superscript"/>
              </w:rPr>
              <w:t>3</w:t>
            </w:r>
            <w:r>
              <w:rPr>
                <w:rFonts w:hint="default"/>
              </w:rPr>
              <w:t>/s）</w:t>
            </w:r>
          </w:p>
        </w:tc>
        <w:tc>
          <w:tcPr>
            <w:tcW w:w="2220" w:type="dxa"/>
            <w:shd w:val="clear" w:color="auto" w:fill="auto"/>
            <w:vAlign w:val="center"/>
          </w:tcPr>
          <w:p>
            <w:pPr>
              <w:pStyle w:val="23"/>
              <w:keepNext w:val="0"/>
              <w:keepLines w:val="0"/>
              <w:suppressLineNumbers w:val="0"/>
              <w:spacing w:before="0" w:beforeAutospacing="0" w:after="0" w:afterAutospacing="0"/>
              <w:ind w:left="0" w:right="0"/>
              <w:rPr>
                <w:rFonts w:hint="default"/>
              </w:rPr>
            </w:pPr>
            <w:bookmarkStart w:id="74" w:name="OLE_LINK5"/>
            <w:r>
              <w:rPr>
                <w:rFonts w:hint="default"/>
              </w:rPr>
              <w:t>0.</w:t>
            </w:r>
            <w:r>
              <w:rPr>
                <w:rFonts w:hint="eastAsia"/>
                <w:lang w:val="en-US" w:eastAsia="zh-CN"/>
              </w:rPr>
              <w:t>00083</w:t>
            </w:r>
            <w:bookmarkEnd w:id="74"/>
          </w:p>
        </w:tc>
        <w:tc>
          <w:tcPr>
            <w:tcW w:w="3191"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0.</w:t>
            </w:r>
            <w:r>
              <w:rPr>
                <w:rFonts w:hint="eastAsia"/>
                <w:lang w:val="en-US" w:eastAsia="zh-CN"/>
              </w:rPr>
              <w:t>00083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45" w:hRule="atLeast"/>
          <w:jc w:val="center"/>
        </w:trPr>
        <w:tc>
          <w:tcPr>
            <w:tcW w:w="1254" w:type="dxa"/>
            <w:vMerge w:val="restart"/>
            <w:vAlign w:val="center"/>
          </w:tcPr>
          <w:p>
            <w:pPr>
              <w:pStyle w:val="23"/>
              <w:keepNext w:val="0"/>
              <w:keepLines w:val="0"/>
              <w:suppressLineNumbers w:val="0"/>
              <w:spacing w:before="0" w:beforeAutospacing="0" w:after="0" w:afterAutospacing="0"/>
              <w:ind w:left="0" w:right="0"/>
              <w:rPr>
                <w:rFonts w:hint="default"/>
              </w:rPr>
            </w:pPr>
            <w:r>
              <w:rPr>
                <w:rFonts w:hint="default"/>
              </w:rPr>
              <w:t>浓度(mg/L)</w:t>
            </w:r>
          </w:p>
        </w:tc>
        <w:tc>
          <w:tcPr>
            <w:tcW w:w="1515" w:type="dxa"/>
            <w:vAlign w:val="center"/>
          </w:tcPr>
          <w:p>
            <w:pPr>
              <w:pStyle w:val="23"/>
              <w:keepNext w:val="0"/>
              <w:keepLines w:val="0"/>
              <w:suppressLineNumbers w:val="0"/>
              <w:spacing w:before="0" w:beforeAutospacing="0" w:after="0" w:afterAutospacing="0"/>
              <w:ind w:left="0" w:right="0"/>
              <w:rPr>
                <w:rFonts w:hint="default"/>
              </w:rPr>
            </w:pPr>
            <w:r>
              <w:rPr>
                <w:rFonts w:hint="default"/>
              </w:rPr>
              <w:t>CODcr</w:t>
            </w:r>
          </w:p>
        </w:tc>
        <w:tc>
          <w:tcPr>
            <w:tcW w:w="2220" w:type="dxa"/>
            <w:vAlign w:val="center"/>
          </w:tcPr>
          <w:p>
            <w:pPr>
              <w:pStyle w:val="23"/>
              <w:keepNext w:val="0"/>
              <w:keepLines w:val="0"/>
              <w:suppressLineNumbers w:val="0"/>
              <w:spacing w:before="0" w:beforeAutospacing="0" w:after="0" w:afterAutospacing="0"/>
              <w:ind w:left="0" w:right="0"/>
              <w:rPr>
                <w:rFonts w:hint="eastAsia" w:eastAsia="宋体"/>
                <w:lang w:eastAsia="zh-CN"/>
              </w:rPr>
            </w:pPr>
            <w:r>
              <w:rPr>
                <w:rFonts w:hint="eastAsia"/>
                <w:lang w:val="en-US" w:eastAsia="zh-CN"/>
              </w:rPr>
              <w:t>100</w:t>
            </w:r>
          </w:p>
        </w:tc>
        <w:tc>
          <w:tcPr>
            <w:tcW w:w="3191" w:type="dxa"/>
            <w:vAlign w:val="center"/>
          </w:tcPr>
          <w:p>
            <w:pPr>
              <w:pStyle w:val="23"/>
              <w:keepNext w:val="0"/>
              <w:keepLines w:val="0"/>
              <w:suppressLineNumbers w:val="0"/>
              <w:spacing w:before="0" w:beforeAutospacing="0" w:after="0" w:afterAutospacing="0"/>
              <w:ind w:left="0" w:right="0"/>
              <w:rPr>
                <w:rFonts w:hint="eastAsia" w:eastAsia="宋体"/>
                <w:lang w:eastAsia="zh-CN"/>
              </w:rPr>
            </w:pPr>
            <w:r>
              <w:rPr>
                <w:rFonts w:hint="eastAsia"/>
                <w:lang w:val="en-US" w:eastAsia="zh-CN"/>
              </w:rPr>
              <w:t>4230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cantSplit/>
          <w:trHeight w:val="366" w:hRule="atLeast"/>
          <w:jc w:val="center"/>
        </w:trPr>
        <w:tc>
          <w:tcPr>
            <w:tcW w:w="1254" w:type="dxa"/>
            <w:vMerge w:val="continue"/>
            <w:vAlign w:val="center"/>
          </w:tcPr>
          <w:p>
            <w:pPr>
              <w:pStyle w:val="23"/>
              <w:keepNext w:val="0"/>
              <w:keepLines w:val="0"/>
              <w:suppressLineNumbers w:val="0"/>
              <w:spacing w:before="0" w:beforeAutospacing="0" w:after="0" w:afterAutospacing="0"/>
              <w:ind w:left="0" w:right="0"/>
              <w:rPr>
                <w:rFonts w:hint="default"/>
              </w:rPr>
            </w:pPr>
          </w:p>
        </w:tc>
        <w:tc>
          <w:tcPr>
            <w:tcW w:w="1515" w:type="dxa"/>
            <w:vAlign w:val="center"/>
          </w:tcPr>
          <w:p>
            <w:pPr>
              <w:pStyle w:val="23"/>
              <w:keepNext w:val="0"/>
              <w:keepLines w:val="0"/>
              <w:suppressLineNumbers w:val="0"/>
              <w:spacing w:before="0" w:beforeAutospacing="0" w:after="0" w:afterAutospacing="0"/>
              <w:ind w:left="0" w:right="0"/>
              <w:rPr>
                <w:rFonts w:hint="default"/>
              </w:rPr>
            </w:pPr>
            <w:r>
              <w:rPr>
                <w:rFonts w:hint="default"/>
              </w:rPr>
              <w:t>氨氮</w:t>
            </w:r>
          </w:p>
        </w:tc>
        <w:tc>
          <w:tcPr>
            <w:tcW w:w="2220" w:type="dxa"/>
            <w:vAlign w:val="center"/>
          </w:tcPr>
          <w:p>
            <w:pPr>
              <w:pStyle w:val="23"/>
              <w:keepNext w:val="0"/>
              <w:keepLines w:val="0"/>
              <w:suppressLineNumbers w:val="0"/>
              <w:spacing w:before="0" w:beforeAutospacing="0" w:after="0" w:afterAutospacing="0"/>
              <w:ind w:left="0" w:right="0"/>
              <w:rPr>
                <w:rFonts w:hint="eastAsia" w:eastAsia="宋体"/>
                <w:lang w:eastAsia="zh-CN"/>
              </w:rPr>
            </w:pPr>
            <w:r>
              <w:rPr>
                <w:rFonts w:hint="eastAsia"/>
                <w:lang w:val="en-US" w:eastAsia="zh-CN"/>
              </w:rPr>
              <w:t>25</w:t>
            </w:r>
          </w:p>
        </w:tc>
        <w:tc>
          <w:tcPr>
            <w:tcW w:w="3191" w:type="dxa"/>
            <w:vAlign w:val="center"/>
          </w:tcPr>
          <w:p>
            <w:pPr>
              <w:pStyle w:val="23"/>
              <w:keepNext w:val="0"/>
              <w:keepLines w:val="0"/>
              <w:suppressLineNumbers w:val="0"/>
              <w:spacing w:before="0" w:beforeAutospacing="0" w:after="0" w:afterAutospacing="0"/>
              <w:ind w:left="0" w:right="0"/>
              <w:rPr>
                <w:rFonts w:hint="eastAsia" w:eastAsia="宋体"/>
                <w:lang w:eastAsia="zh-CN"/>
              </w:rPr>
            </w:pPr>
            <w:r>
              <w:rPr>
                <w:rFonts w:hint="eastAsia"/>
                <w:lang w:val="en-US" w:eastAsia="zh-CN"/>
              </w:rPr>
              <w:t>3227</w:t>
            </w:r>
          </w:p>
        </w:tc>
      </w:tr>
    </w:tbl>
    <w:p>
      <w:pPr>
        <w:adjustRightInd w:val="0"/>
        <w:snapToGrid w:val="0"/>
        <w:spacing w:line="360" w:lineRule="auto"/>
        <w:ind w:firstLine="480" w:firstLineChars="200"/>
        <w:rPr>
          <w:sz w:val="24"/>
        </w:rPr>
      </w:pPr>
      <w:r>
        <w:rPr>
          <w:sz w:val="24"/>
        </w:rPr>
        <w:t>C、混合角度：</w:t>
      </w:r>
      <w:r>
        <w:rPr>
          <w:iCs/>
          <w:sz w:val="24"/>
        </w:rPr>
        <w:t>φ</w:t>
      </w:r>
      <w:r>
        <w:rPr>
          <w:sz w:val="24"/>
        </w:rPr>
        <w:t>=π=3.14。</w:t>
      </w:r>
    </w:p>
    <w:p>
      <w:pPr>
        <w:adjustRightInd w:val="0"/>
        <w:snapToGrid w:val="0"/>
        <w:spacing w:line="360" w:lineRule="auto"/>
        <w:ind w:firstLine="480" w:firstLineChars="200"/>
        <w:rPr>
          <w:sz w:val="24"/>
        </w:rPr>
      </w:pPr>
      <w:r>
        <w:rPr>
          <w:rFonts w:hint="eastAsia"/>
          <w:sz w:val="24"/>
          <w:lang w:eastAsia="zh-CN"/>
        </w:rPr>
        <w:t>②</w:t>
      </w:r>
      <w:r>
        <w:rPr>
          <w:sz w:val="24"/>
        </w:rPr>
        <w:t>受纳水体水文参数</w:t>
      </w:r>
    </w:p>
    <w:p>
      <w:pPr>
        <w:adjustRightInd w:val="0"/>
        <w:snapToGrid w:val="0"/>
        <w:spacing w:line="360" w:lineRule="auto"/>
        <w:ind w:firstLine="480" w:firstLineChars="200"/>
        <w:rPr>
          <w:sz w:val="24"/>
        </w:rPr>
      </w:pPr>
      <w:r>
        <w:rPr>
          <w:sz w:val="24"/>
        </w:rPr>
        <w:t>根据当地水文站历年监测统计资料，</w:t>
      </w:r>
      <w:r>
        <w:rPr>
          <w:rFonts w:hint="eastAsia"/>
          <w:sz w:val="24"/>
          <w:lang w:eastAsia="zh-CN"/>
        </w:rPr>
        <w:t>芭蕉湖</w:t>
      </w:r>
      <w:r>
        <w:rPr>
          <w:sz w:val="24"/>
        </w:rPr>
        <w:t>平水期平均水深H=</w:t>
      </w:r>
      <w:r>
        <w:rPr>
          <w:rFonts w:hint="eastAsia"/>
          <w:sz w:val="24"/>
          <w:lang w:val="en-US" w:eastAsia="zh-CN"/>
        </w:rPr>
        <w:t>3</w:t>
      </w:r>
      <w:r>
        <w:rPr>
          <w:sz w:val="24"/>
        </w:rPr>
        <w:t>.2m；枯水期平均水深H=1.8m。</w:t>
      </w:r>
    </w:p>
    <w:p>
      <w:pPr>
        <w:adjustRightInd w:val="0"/>
        <w:snapToGrid w:val="0"/>
        <w:spacing w:line="360" w:lineRule="auto"/>
        <w:ind w:firstLine="480" w:firstLineChars="200"/>
        <w:rPr>
          <w:sz w:val="24"/>
        </w:rPr>
      </w:pPr>
      <w:r>
        <w:rPr>
          <w:rFonts w:hint="eastAsia"/>
          <w:sz w:val="24"/>
          <w:lang w:eastAsia="zh-CN"/>
        </w:rPr>
        <w:t>③</w:t>
      </w:r>
      <w:r>
        <w:rPr>
          <w:sz w:val="24"/>
        </w:rPr>
        <w:t>参数K</w:t>
      </w:r>
      <w:r>
        <w:rPr>
          <w:sz w:val="24"/>
          <w:vertAlign w:val="subscript"/>
        </w:rPr>
        <w:t>1</w:t>
      </w:r>
      <w:r>
        <w:rPr>
          <w:sz w:val="24"/>
        </w:rPr>
        <w:t>确定</w:t>
      </w:r>
    </w:p>
    <w:p>
      <w:pPr>
        <w:adjustRightInd w:val="0"/>
        <w:snapToGrid w:val="0"/>
        <w:spacing w:line="360" w:lineRule="auto"/>
        <w:ind w:firstLine="480" w:firstLineChars="200"/>
        <w:rPr>
          <w:sz w:val="24"/>
        </w:rPr>
      </w:pPr>
      <w:r>
        <w:rPr>
          <w:sz w:val="24"/>
        </w:rPr>
        <w:t>采用经验数据，COD取0.22/d、NH</w:t>
      </w:r>
      <w:r>
        <w:rPr>
          <w:sz w:val="24"/>
          <w:vertAlign w:val="subscript"/>
        </w:rPr>
        <w:t>3</w:t>
      </w:r>
      <w:r>
        <w:rPr>
          <w:sz w:val="24"/>
        </w:rPr>
        <w:t>-N为0.014/d、BOD</w:t>
      </w:r>
      <w:r>
        <w:rPr>
          <w:sz w:val="24"/>
          <w:vertAlign w:val="subscript"/>
        </w:rPr>
        <w:t>5</w:t>
      </w:r>
      <w:r>
        <w:rPr>
          <w:sz w:val="24"/>
        </w:rPr>
        <w:t>为0.38/d。</w:t>
      </w:r>
    </w:p>
    <w:p>
      <w:pPr>
        <w:adjustRightInd w:val="0"/>
        <w:snapToGrid w:val="0"/>
        <w:spacing w:line="360" w:lineRule="auto"/>
        <w:ind w:firstLine="480" w:firstLineChars="200"/>
        <w:rPr>
          <w:sz w:val="24"/>
        </w:rPr>
      </w:pPr>
      <w:r>
        <w:rPr>
          <w:rFonts w:hint="eastAsia"/>
          <w:sz w:val="24"/>
          <w:lang w:eastAsia="zh-CN"/>
        </w:rPr>
        <w:t>④芭蕉湖</w:t>
      </w:r>
      <w:r>
        <w:rPr>
          <w:sz w:val="24"/>
        </w:rPr>
        <w:t>水中污染物本底浓度</w:t>
      </w:r>
    </w:p>
    <w:p>
      <w:pPr>
        <w:adjustRightInd w:val="0"/>
        <w:snapToGrid w:val="0"/>
        <w:spacing w:line="360" w:lineRule="auto"/>
        <w:ind w:firstLine="480" w:firstLineChars="200"/>
        <w:rPr>
          <w:sz w:val="24"/>
        </w:rPr>
      </w:pPr>
      <w:r>
        <w:rPr>
          <w:sz w:val="24"/>
        </w:rPr>
        <w:t>选取湖心断面的监测值为本底值，该断面监测值为COD</w:t>
      </w:r>
      <w:r>
        <w:rPr>
          <w:rFonts w:hint="eastAsia"/>
          <w:sz w:val="24"/>
          <w:lang w:eastAsia="zh-CN"/>
        </w:rPr>
        <w:t>：</w:t>
      </w:r>
      <w:r>
        <w:rPr>
          <w:rFonts w:hint="eastAsia"/>
          <w:sz w:val="24"/>
          <w:lang w:val="en-US" w:eastAsia="zh-CN"/>
        </w:rPr>
        <w:t>5.1</w:t>
      </w:r>
      <w:r>
        <w:rPr>
          <w:sz w:val="24"/>
        </w:rPr>
        <w:t>mg/L，</w:t>
      </w:r>
      <w:r>
        <w:t>NH</w:t>
      </w:r>
      <w:r>
        <w:rPr>
          <w:vertAlign w:val="subscript"/>
        </w:rPr>
        <w:t>3</w:t>
      </w:r>
      <w:r>
        <w:t>-N</w:t>
      </w:r>
      <w:r>
        <w:rPr>
          <w:rFonts w:hint="eastAsia"/>
          <w:sz w:val="24"/>
          <w:lang w:eastAsia="zh-CN"/>
        </w:rPr>
        <w:t>：</w:t>
      </w:r>
      <w:r>
        <w:rPr>
          <w:rFonts w:hint="eastAsia"/>
          <w:sz w:val="24"/>
          <w:lang w:val="en-US" w:eastAsia="zh-CN"/>
        </w:rPr>
        <w:t>0.88</w:t>
      </w:r>
      <w:r>
        <w:rPr>
          <w:sz w:val="24"/>
        </w:rPr>
        <w:t>mg/L。</w:t>
      </w:r>
    </w:p>
    <w:p>
      <w:pPr>
        <w:adjustRightInd w:val="0"/>
        <w:snapToGrid w:val="0"/>
        <w:spacing w:line="360" w:lineRule="auto"/>
        <w:ind w:firstLine="480" w:firstLineChars="200"/>
        <w:rPr>
          <w:sz w:val="24"/>
        </w:rPr>
      </w:pPr>
      <w:r>
        <w:rPr>
          <w:rFonts w:hint="eastAsia"/>
          <w:sz w:val="24"/>
          <w:lang w:eastAsia="zh-CN"/>
        </w:rPr>
        <w:t>（</w:t>
      </w:r>
      <w:r>
        <w:rPr>
          <w:rFonts w:hint="eastAsia"/>
          <w:sz w:val="24"/>
          <w:lang w:val="en-US" w:eastAsia="zh-CN"/>
        </w:rPr>
        <w:t>5</w:t>
      </w:r>
      <w:r>
        <w:rPr>
          <w:rFonts w:hint="eastAsia"/>
          <w:sz w:val="24"/>
          <w:lang w:eastAsia="zh-CN"/>
        </w:rPr>
        <w:t>）</w:t>
      </w:r>
      <w:r>
        <w:rPr>
          <w:sz w:val="24"/>
        </w:rPr>
        <w:t>评价标准</w:t>
      </w:r>
    </w:p>
    <w:p>
      <w:pPr>
        <w:adjustRightInd w:val="0"/>
        <w:snapToGrid w:val="0"/>
        <w:spacing w:line="360" w:lineRule="auto"/>
        <w:ind w:firstLine="480" w:firstLineChars="200"/>
        <w:rPr>
          <w:sz w:val="24"/>
        </w:rPr>
      </w:pPr>
      <w:r>
        <w:rPr>
          <w:rFonts w:hint="eastAsia"/>
          <w:sz w:val="24"/>
          <w:lang w:eastAsia="zh-CN"/>
        </w:rPr>
        <w:t>芭蕉湖</w:t>
      </w:r>
      <w:r>
        <w:rPr>
          <w:sz w:val="24"/>
        </w:rPr>
        <w:t>水质采用《地表水环境质量标准》（GB3838-2002）</w:t>
      </w:r>
      <w:r>
        <w:rPr>
          <w:sz w:val="24"/>
        </w:rPr>
        <w:fldChar w:fldCharType="begin"/>
      </w:r>
      <w:r>
        <w:rPr>
          <w:sz w:val="24"/>
        </w:rPr>
        <w:instrText xml:space="preserve"> = 4 \* ROMAN </w:instrText>
      </w:r>
      <w:r>
        <w:rPr>
          <w:sz w:val="24"/>
        </w:rPr>
        <w:fldChar w:fldCharType="separate"/>
      </w:r>
      <w:r>
        <w:rPr>
          <w:rFonts w:hint="eastAsia"/>
          <w:sz w:val="24"/>
          <w:lang w:val="en-US" w:eastAsia="zh-CN"/>
        </w:rPr>
        <w:t>II</w:t>
      </w:r>
      <w:r>
        <w:rPr>
          <w:sz w:val="24"/>
        </w:rPr>
        <w:fldChar w:fldCharType="end"/>
      </w:r>
      <w:r>
        <w:rPr>
          <w:rFonts w:hint="eastAsia"/>
          <w:sz w:val="24"/>
          <w:lang w:val="en-US" w:eastAsia="zh-CN"/>
        </w:rPr>
        <w:t>I</w:t>
      </w:r>
      <w:r>
        <w:rPr>
          <w:sz w:val="24"/>
        </w:rPr>
        <w:t xml:space="preserve">类标准，即：COD </w:t>
      </w:r>
      <w:r>
        <w:rPr>
          <w:rFonts w:hint="eastAsia"/>
          <w:sz w:val="24"/>
          <w:vertAlign w:val="subscript"/>
          <w:lang w:val="en-US" w:eastAsia="zh-CN"/>
        </w:rPr>
        <w:t>cr</w:t>
      </w:r>
      <w:r>
        <w:rPr>
          <w:rFonts w:hint="eastAsia"/>
          <w:sz w:val="24"/>
          <w:lang w:val="en-US" w:eastAsia="zh-CN"/>
        </w:rPr>
        <w:t>20</w:t>
      </w:r>
      <w:r>
        <w:rPr>
          <w:sz w:val="24"/>
        </w:rPr>
        <w:t>mg/L、 NH</w:t>
      </w:r>
      <w:r>
        <w:rPr>
          <w:sz w:val="24"/>
          <w:vertAlign w:val="subscript"/>
        </w:rPr>
        <w:t>3</w:t>
      </w:r>
      <w:r>
        <w:rPr>
          <w:sz w:val="24"/>
        </w:rPr>
        <w:t>-N</w:t>
      </w:r>
      <w:r>
        <w:rPr>
          <w:sz w:val="24"/>
          <w:vertAlign w:val="subscript"/>
        </w:rPr>
        <w:t xml:space="preserve"> </w:t>
      </w:r>
      <w:r>
        <w:rPr>
          <w:rFonts w:hint="eastAsia"/>
          <w:sz w:val="24"/>
          <w:lang w:val="en-US" w:eastAsia="zh-CN"/>
        </w:rPr>
        <w:t>1.0</w:t>
      </w:r>
      <w:r>
        <w:rPr>
          <w:sz w:val="24"/>
        </w:rPr>
        <w:t>mg/L。</w:t>
      </w:r>
    </w:p>
    <w:p>
      <w:pPr>
        <w:adjustRightInd w:val="0"/>
        <w:snapToGrid w:val="0"/>
        <w:spacing w:line="360" w:lineRule="auto"/>
        <w:ind w:firstLine="480" w:firstLineChars="200"/>
        <w:rPr>
          <w:sz w:val="24"/>
        </w:rPr>
      </w:pPr>
      <w:r>
        <w:rPr>
          <w:rFonts w:hint="eastAsia"/>
          <w:sz w:val="24"/>
          <w:lang w:eastAsia="zh-CN"/>
        </w:rPr>
        <w:t>（</w:t>
      </w:r>
      <w:r>
        <w:rPr>
          <w:rFonts w:hint="eastAsia"/>
          <w:sz w:val="24"/>
          <w:lang w:val="en-US" w:eastAsia="zh-CN"/>
        </w:rPr>
        <w:t>6</w:t>
      </w:r>
      <w:r>
        <w:rPr>
          <w:rFonts w:hint="eastAsia"/>
          <w:sz w:val="24"/>
          <w:lang w:eastAsia="zh-CN"/>
        </w:rPr>
        <w:t>）</w:t>
      </w:r>
      <w:r>
        <w:rPr>
          <w:sz w:val="24"/>
        </w:rPr>
        <w:t>预测结果</w:t>
      </w:r>
    </w:p>
    <w:p>
      <w:pPr>
        <w:pStyle w:val="23"/>
        <w:rPr>
          <w:b/>
          <w:bCs/>
        </w:rPr>
      </w:pPr>
      <w:r>
        <w:rPr>
          <w:b/>
          <w:bCs/>
        </w:rPr>
        <w:t>表</w:t>
      </w:r>
      <w:r>
        <w:rPr>
          <w:rFonts w:hint="eastAsia"/>
          <w:b/>
          <w:bCs/>
          <w:lang w:val="en-US" w:eastAsia="zh-CN"/>
        </w:rPr>
        <w:t>7-14</w:t>
      </w:r>
      <w:r>
        <w:rPr>
          <w:b/>
          <w:bCs/>
        </w:rPr>
        <w:t xml:space="preserve"> </w:t>
      </w:r>
      <w:r>
        <w:rPr>
          <w:rFonts w:hint="eastAsia"/>
          <w:b/>
          <w:bCs/>
          <w:lang w:eastAsia="zh-CN"/>
        </w:rPr>
        <w:t>枯水期</w:t>
      </w:r>
      <w:r>
        <w:rPr>
          <w:b/>
          <w:bCs/>
        </w:rPr>
        <w:t>正常排放时预测值   单位：mg/L</w:t>
      </w:r>
    </w:p>
    <w:tbl>
      <w:tblPr>
        <w:tblStyle w:val="21"/>
        <w:tblW w:w="8260" w:type="dxa"/>
        <w:jc w:val="center"/>
        <w:tblInd w:w="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083"/>
        <w:gridCol w:w="2237"/>
        <w:gridCol w:w="294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与排放口距离（m）</w:t>
            </w:r>
          </w:p>
        </w:tc>
        <w:tc>
          <w:tcPr>
            <w:tcW w:w="2237" w:type="dxa"/>
            <w:tcBorders>
              <w:right w:val="single" w:color="auto" w:sz="4"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COD</w:t>
            </w:r>
          </w:p>
        </w:tc>
        <w:tc>
          <w:tcPr>
            <w:tcW w:w="2940" w:type="dxa"/>
            <w:tcBorders>
              <w:left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NH3-N</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105.1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25.88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9.374</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1.9485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40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5.1003</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0.8801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60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80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300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400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600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700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800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900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1000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1100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1200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1300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1400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1500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1600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1700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1800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1900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2000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2100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2200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2300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2400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2500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bl>
    <w:p>
      <w:pPr>
        <w:pStyle w:val="23"/>
        <w:rPr>
          <w:b/>
          <w:bCs/>
        </w:rPr>
      </w:pPr>
      <w:r>
        <w:rPr>
          <w:b/>
          <w:bCs/>
        </w:rPr>
        <w:t>表</w:t>
      </w:r>
      <w:r>
        <w:rPr>
          <w:rFonts w:hint="eastAsia"/>
          <w:b/>
          <w:bCs/>
          <w:lang w:val="en-US" w:eastAsia="zh-CN"/>
        </w:rPr>
        <w:t>7-15</w:t>
      </w:r>
      <w:r>
        <w:rPr>
          <w:b/>
          <w:bCs/>
        </w:rPr>
        <w:t xml:space="preserve"> </w:t>
      </w:r>
      <w:r>
        <w:rPr>
          <w:rFonts w:hint="eastAsia"/>
          <w:b/>
          <w:bCs/>
          <w:lang w:eastAsia="zh-CN"/>
        </w:rPr>
        <w:t>枯水期非</w:t>
      </w:r>
      <w:r>
        <w:rPr>
          <w:b/>
          <w:bCs/>
        </w:rPr>
        <w:t>正常排放时预测值   单位：mg/L</w:t>
      </w:r>
    </w:p>
    <w:tbl>
      <w:tblPr>
        <w:tblStyle w:val="21"/>
        <w:tblW w:w="8260" w:type="dxa"/>
        <w:jc w:val="center"/>
        <w:tblInd w:w="1"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083"/>
        <w:gridCol w:w="2237"/>
        <w:gridCol w:w="294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与排放口距离（m）</w:t>
            </w:r>
          </w:p>
        </w:tc>
        <w:tc>
          <w:tcPr>
            <w:tcW w:w="2237" w:type="dxa"/>
            <w:tcBorders>
              <w:right w:val="single" w:color="auto" w:sz="4"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COD</w:t>
            </w:r>
          </w:p>
        </w:tc>
        <w:tc>
          <w:tcPr>
            <w:tcW w:w="2940" w:type="dxa"/>
            <w:tcBorders>
              <w:left w:val="single" w:color="auto" w:sz="4" w:space="0"/>
              <w:right w:val="single" w:color="auto" w:sz="4" w:space="0"/>
            </w:tcBorders>
            <w:shd w:val="clear" w:color="auto" w:fill="auto"/>
            <w:vAlign w:val="center"/>
          </w:tcPr>
          <w:p>
            <w:pPr>
              <w:pStyle w:val="23"/>
              <w:keepNext w:val="0"/>
              <w:keepLines w:val="0"/>
              <w:suppressLineNumbers w:val="0"/>
              <w:spacing w:before="0" w:beforeAutospacing="0" w:after="0" w:afterAutospacing="0"/>
              <w:ind w:left="0" w:right="0"/>
              <w:rPr>
                <w:rFonts w:hint="default"/>
              </w:rPr>
            </w:pPr>
            <w:r>
              <w:rPr>
                <w:rFonts w:hint="default"/>
              </w:rPr>
              <w:t>NH3-N</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4235.1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3227.88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185.8919</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138.8033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40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5.1141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0.8908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60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80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300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400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600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700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800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900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1000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1100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1200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1300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1400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1500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1600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1700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1800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1900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2000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2100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2200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2300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2400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Ex>
        <w:trPr>
          <w:trHeight w:val="166" w:hRule="atLeast"/>
          <w:jc w:val="center"/>
        </w:trPr>
        <w:tc>
          <w:tcPr>
            <w:tcW w:w="3083"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2500</w:t>
            </w:r>
          </w:p>
        </w:tc>
        <w:tc>
          <w:tcPr>
            <w:tcW w:w="2237" w:type="dxa"/>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5.1</w:t>
            </w:r>
          </w:p>
        </w:tc>
        <w:tc>
          <w:tcPr>
            <w:tcW w:w="2940" w:type="dxa"/>
            <w:tcBorders>
              <w:right w:val="single" w:color="auto" w:sz="4" w:space="0"/>
            </w:tcBorders>
            <w:shd w:val="clear" w:color="auto" w:fill="auto"/>
            <w:textDirection w:val="lrTb"/>
            <w:vAlign w:val="center"/>
          </w:tcPr>
          <w:p>
            <w:pPr>
              <w:pStyle w:val="23"/>
              <w:keepNext w:val="0"/>
              <w:keepLines w:val="0"/>
              <w:suppressLineNumbers w:val="0"/>
              <w:spacing w:before="0" w:beforeAutospacing="0" w:after="0" w:afterAutospacing="0"/>
              <w:ind w:left="0" w:right="0"/>
              <w:rPr>
                <w:rFonts w:hint="default"/>
              </w:rPr>
            </w:pPr>
            <w:r>
              <w:rPr>
                <w:rFonts w:hint="eastAsia"/>
                <w:lang w:val="en-US" w:eastAsia="zh-CN"/>
              </w:rPr>
              <w:t>0.88</w:t>
            </w:r>
          </w:p>
        </w:tc>
      </w:tr>
    </w:tbl>
    <w:p>
      <w:pPr>
        <w:rPr>
          <w:rFonts w:hint="eastAsia"/>
          <w:color w:val="auto"/>
          <w:lang w:val="en-US" w:eastAsia="zh-CN"/>
        </w:rPr>
      </w:pPr>
      <w:r>
        <w:rPr>
          <w:rFonts w:hint="eastAsia"/>
          <w:color w:val="auto"/>
          <w:lang w:val="en-US" w:eastAsia="zh-CN"/>
        </w:rPr>
        <w:t>（7）预测结果分析</w:t>
      </w:r>
    </w:p>
    <w:p>
      <w:pPr>
        <w:rPr>
          <w:rFonts w:hint="eastAsia"/>
          <w:color w:val="auto"/>
          <w:lang w:val="en-US" w:eastAsia="zh-CN"/>
        </w:rPr>
      </w:pPr>
      <w:r>
        <w:rPr>
          <w:rFonts w:hint="eastAsia"/>
          <w:color w:val="auto"/>
          <w:lang w:val="en-US" w:eastAsia="zh-CN"/>
        </w:rPr>
        <w:t>①正常排放</w:t>
      </w:r>
    </w:p>
    <w:p>
      <w:pPr>
        <w:rPr>
          <w:rFonts w:hint="eastAsia"/>
          <w:color w:val="auto"/>
          <w:lang w:val="en-US" w:eastAsia="zh-CN"/>
        </w:rPr>
      </w:pPr>
      <w:r>
        <w:rPr>
          <w:rFonts w:hint="eastAsia"/>
          <w:sz w:val="24"/>
          <w:szCs w:val="24"/>
        </w:rPr>
        <w:t>排污口周围水体中</w:t>
      </w:r>
      <w:r>
        <w:rPr>
          <w:rFonts w:hint="eastAsia"/>
          <w:sz w:val="24"/>
        </w:rPr>
        <w:t>COD、NH</w:t>
      </w:r>
      <w:r>
        <w:rPr>
          <w:rFonts w:hint="eastAsia"/>
          <w:sz w:val="24"/>
          <w:vertAlign w:val="subscript"/>
        </w:rPr>
        <w:t>3</w:t>
      </w:r>
      <w:r>
        <w:rPr>
          <w:rFonts w:hint="eastAsia"/>
          <w:sz w:val="24"/>
        </w:rPr>
        <w:t>-N都有局部超标现象，距排污口的距离</w:t>
      </w:r>
      <w:r>
        <w:rPr>
          <w:rFonts w:hint="eastAsia"/>
          <w:sz w:val="24"/>
          <w:lang w:val="en-US" w:eastAsia="zh-CN"/>
        </w:rPr>
        <w:t>40m之后</w:t>
      </w:r>
      <w:r>
        <w:rPr>
          <w:sz w:val="24"/>
          <w:szCs w:val="24"/>
        </w:rPr>
        <w:t>，</w:t>
      </w:r>
      <w:r>
        <w:rPr>
          <w:rFonts w:hint="eastAsia"/>
          <w:sz w:val="24"/>
          <w:szCs w:val="24"/>
          <w:lang w:eastAsia="zh-CN"/>
        </w:rPr>
        <w:t>均可达到</w:t>
      </w:r>
      <w:r>
        <w:rPr>
          <w:spacing w:val="4"/>
          <w:sz w:val="24"/>
          <w:szCs w:val="24"/>
        </w:rPr>
        <w:t>《地表水环境质量标准》（GB3838-2002）</w:t>
      </w:r>
      <w:r>
        <w:rPr>
          <w:rFonts w:hint="eastAsia"/>
          <w:sz w:val="24"/>
          <w:lang w:val="en-US" w:eastAsia="zh-CN"/>
        </w:rPr>
        <w:t>III</w:t>
      </w:r>
      <w:r>
        <w:rPr>
          <w:spacing w:val="4"/>
          <w:sz w:val="24"/>
          <w:szCs w:val="24"/>
        </w:rPr>
        <w:t>类标准。</w:t>
      </w:r>
    </w:p>
    <w:p>
      <w:pPr>
        <w:rPr>
          <w:rFonts w:hint="eastAsia"/>
          <w:color w:val="auto"/>
          <w:lang w:val="en-US" w:eastAsia="zh-CN"/>
        </w:rPr>
      </w:pPr>
      <w:r>
        <w:rPr>
          <w:rFonts w:hint="eastAsia"/>
          <w:color w:val="auto"/>
          <w:lang w:val="en-US" w:eastAsia="zh-CN"/>
        </w:rPr>
        <w:t>②非正常排放</w:t>
      </w:r>
    </w:p>
    <w:p>
      <w:pPr>
        <w:rPr>
          <w:spacing w:val="4"/>
          <w:sz w:val="24"/>
          <w:szCs w:val="24"/>
        </w:rPr>
      </w:pPr>
      <w:r>
        <w:rPr>
          <w:rFonts w:hint="eastAsia"/>
          <w:sz w:val="24"/>
          <w:szCs w:val="24"/>
        </w:rPr>
        <w:t>排污口周围水体中</w:t>
      </w:r>
      <w:r>
        <w:rPr>
          <w:rFonts w:hint="eastAsia"/>
          <w:sz w:val="24"/>
        </w:rPr>
        <w:t>COD、NH</w:t>
      </w:r>
      <w:r>
        <w:rPr>
          <w:rFonts w:hint="eastAsia"/>
          <w:sz w:val="24"/>
          <w:vertAlign w:val="subscript"/>
        </w:rPr>
        <w:t>3</w:t>
      </w:r>
      <w:r>
        <w:rPr>
          <w:rFonts w:hint="eastAsia"/>
          <w:sz w:val="24"/>
        </w:rPr>
        <w:t>-N都有局部超标现象，距排污口的距离</w:t>
      </w:r>
      <w:r>
        <w:rPr>
          <w:rFonts w:hint="eastAsia"/>
          <w:sz w:val="24"/>
          <w:lang w:val="en-US" w:eastAsia="zh-CN"/>
        </w:rPr>
        <w:t>40m之后</w:t>
      </w:r>
      <w:r>
        <w:rPr>
          <w:sz w:val="24"/>
          <w:szCs w:val="24"/>
        </w:rPr>
        <w:t>，</w:t>
      </w:r>
      <w:r>
        <w:rPr>
          <w:rFonts w:hint="eastAsia"/>
          <w:sz w:val="24"/>
          <w:szCs w:val="24"/>
          <w:lang w:eastAsia="zh-CN"/>
        </w:rPr>
        <w:t>均可达到</w:t>
      </w:r>
      <w:r>
        <w:rPr>
          <w:spacing w:val="4"/>
          <w:sz w:val="24"/>
          <w:szCs w:val="24"/>
        </w:rPr>
        <w:t>《地表水环境质量标准》（GB3838-2002）</w:t>
      </w:r>
      <w:r>
        <w:rPr>
          <w:rFonts w:hint="eastAsia"/>
          <w:sz w:val="24"/>
          <w:lang w:val="en-US" w:eastAsia="zh-CN"/>
        </w:rPr>
        <w:t>III</w:t>
      </w:r>
      <w:r>
        <w:rPr>
          <w:spacing w:val="4"/>
          <w:sz w:val="24"/>
          <w:szCs w:val="24"/>
        </w:rPr>
        <w:t>类标准。</w:t>
      </w:r>
    </w:p>
    <w:p>
      <w:pPr>
        <w:pStyle w:val="4"/>
        <w:rPr>
          <w:rFonts w:hint="eastAsia"/>
          <w:color w:val="auto"/>
          <w:sz w:val="24"/>
          <w:lang w:val="en-US" w:eastAsia="zh-CN"/>
        </w:rPr>
      </w:pPr>
      <w:r>
        <w:rPr>
          <w:rFonts w:hint="eastAsia"/>
          <w:color w:val="auto"/>
          <w:lang w:val="en-US" w:eastAsia="zh-CN"/>
        </w:rPr>
        <w:t>7.2.3地下水环境影响预测与分析</w:t>
      </w:r>
    </w:p>
    <w:p>
      <w:pPr>
        <w:adjustRightInd w:val="0"/>
        <w:snapToGrid w:val="0"/>
        <w:spacing w:line="360" w:lineRule="auto"/>
        <w:ind w:firstLine="480" w:firstLineChars="200"/>
        <w:rPr>
          <w:rFonts w:hint="eastAsia" w:eastAsia="宋体"/>
          <w:color w:val="auto"/>
          <w:sz w:val="24"/>
          <w:u w:val="single"/>
          <w:lang w:eastAsia="zh-CN"/>
        </w:rPr>
      </w:pPr>
      <w:r>
        <w:rPr>
          <w:rFonts w:hint="eastAsia"/>
          <w:color w:val="auto"/>
          <w:sz w:val="24"/>
          <w:u w:val="single"/>
          <w:lang w:eastAsia="zh-CN"/>
        </w:rPr>
        <w:t>根据现有工程区域地质勘察资料，场区为西南高、东北地的狭长谷地，该去无断层等不良地质构造，场地内前震旦系冷家溪群板岩是良好的隔水层，场地内无储水构造，地下水极不发育，仅以弱裂隙水孔隙水存在，场地内水文地质条件优越，含水层主要为第四系坡残积层，其下前震旦系冷家溪弱风化与微风化板岩层厚达到</w:t>
      </w:r>
      <w:r>
        <w:rPr>
          <w:rFonts w:hint="eastAsia"/>
          <w:color w:val="auto"/>
          <w:sz w:val="24"/>
          <w:u w:val="single"/>
          <w:lang w:val="en-US" w:eastAsia="zh-CN"/>
        </w:rPr>
        <w:t>1872m，</w:t>
      </w:r>
      <w:r>
        <w:rPr>
          <w:color w:val="auto"/>
          <w:sz w:val="24"/>
          <w:u w:val="single"/>
        </w:rPr>
        <w:t>渗透系数</w:t>
      </w:r>
      <w:r>
        <w:rPr>
          <w:rFonts w:hint="eastAsia"/>
          <w:color w:val="auto"/>
          <w:sz w:val="24"/>
          <w:u w:val="single"/>
          <w:lang w:eastAsia="zh-CN"/>
        </w:rPr>
        <w:t>均</w:t>
      </w:r>
      <w:r>
        <w:rPr>
          <w:color w:val="auto"/>
          <w:sz w:val="24"/>
          <w:u w:val="single"/>
        </w:rPr>
        <w:t>小于1.0×10</w:t>
      </w:r>
      <w:r>
        <w:rPr>
          <w:color w:val="auto"/>
          <w:sz w:val="24"/>
          <w:u w:val="single"/>
          <w:vertAlign w:val="superscript"/>
        </w:rPr>
        <w:t>-7</w:t>
      </w:r>
      <w:r>
        <w:rPr>
          <w:color w:val="auto"/>
          <w:sz w:val="24"/>
          <w:u w:val="single"/>
        </w:rPr>
        <w:t>cm/s</w:t>
      </w:r>
      <w:r>
        <w:rPr>
          <w:rFonts w:hint="eastAsia"/>
          <w:color w:val="auto"/>
          <w:sz w:val="24"/>
          <w:u w:val="single"/>
          <w:lang w:eastAsia="zh-CN"/>
        </w:rPr>
        <w:t>，为理想的不透水层，地下水流是沿岩层层面渗流，两侧山体不透水层巨厚，无侧漏现象，本建设场地为一相对独立的水文地质单元。因此，该垃圾填埋场对地下水的影响主要来自地下西南向东北方向渗流、调节池污水渗流、污水处理区污水渗流。</w:t>
      </w:r>
    </w:p>
    <w:p>
      <w:pPr>
        <w:adjustRightInd w:val="0"/>
        <w:snapToGrid w:val="0"/>
        <w:spacing w:line="360" w:lineRule="auto"/>
        <w:ind w:firstLine="480" w:firstLineChars="200"/>
        <w:rPr>
          <w:color w:val="auto"/>
          <w:sz w:val="24"/>
          <w:u w:val="single"/>
        </w:rPr>
      </w:pPr>
      <w:r>
        <w:rPr>
          <w:rFonts w:hint="eastAsia"/>
          <w:color w:val="auto"/>
          <w:sz w:val="24"/>
          <w:u w:val="single"/>
          <w:lang w:eastAsia="zh-CN"/>
        </w:rPr>
        <w:t>为减小渗滤液调节池对地下水的影响，本次技改</w:t>
      </w:r>
      <w:r>
        <w:rPr>
          <w:rFonts w:hint="eastAsia"/>
          <w:color w:val="auto"/>
          <w:u w:val="single"/>
          <w:lang w:val="en-US" w:eastAsia="zh-CN"/>
        </w:rPr>
        <w:t>工程对调节池进行人工膜防渗处理，采用人工防渗-HDPE防渗膜防渗；库区采用垂直帷幕灌浆防渗、库底为天然防渗。</w:t>
      </w:r>
      <w:r>
        <w:rPr>
          <w:bCs/>
          <w:color w:val="auto"/>
          <w:sz w:val="24"/>
          <w:u w:val="single"/>
        </w:rPr>
        <w:t>采取上述措施后，在正常状况下，</w:t>
      </w:r>
      <w:r>
        <w:rPr>
          <w:rFonts w:hint="eastAsia"/>
          <w:bCs/>
          <w:color w:val="auto"/>
          <w:sz w:val="24"/>
          <w:u w:val="single"/>
          <w:lang w:eastAsia="zh-CN"/>
        </w:rPr>
        <w:t>库区与调节池的</w:t>
      </w:r>
      <w:r>
        <w:rPr>
          <w:color w:val="auto"/>
          <w:sz w:val="24"/>
          <w:u w:val="single"/>
        </w:rPr>
        <w:t>渗透系数</w:t>
      </w:r>
      <w:r>
        <w:rPr>
          <w:rFonts w:hint="eastAsia"/>
          <w:color w:val="auto"/>
          <w:sz w:val="24"/>
          <w:u w:val="single"/>
          <w:lang w:eastAsia="zh-CN"/>
        </w:rPr>
        <w:t>均</w:t>
      </w:r>
      <w:r>
        <w:rPr>
          <w:color w:val="auto"/>
          <w:sz w:val="24"/>
          <w:u w:val="single"/>
        </w:rPr>
        <w:t>小于1.0×10</w:t>
      </w:r>
      <w:r>
        <w:rPr>
          <w:color w:val="auto"/>
          <w:sz w:val="24"/>
          <w:u w:val="single"/>
          <w:vertAlign w:val="superscript"/>
        </w:rPr>
        <w:t>-7</w:t>
      </w:r>
      <w:r>
        <w:rPr>
          <w:color w:val="auto"/>
          <w:sz w:val="24"/>
          <w:u w:val="single"/>
        </w:rPr>
        <w:t>cm/s。</w:t>
      </w:r>
    </w:p>
    <w:p>
      <w:pPr>
        <w:adjustRightInd w:val="0"/>
        <w:snapToGrid w:val="0"/>
        <w:spacing w:line="360" w:lineRule="auto"/>
        <w:ind w:firstLine="480" w:firstLineChars="200"/>
        <w:rPr>
          <w:rFonts w:hint="eastAsia"/>
          <w:u w:val="single"/>
        </w:rPr>
      </w:pPr>
      <w:r>
        <w:rPr>
          <w:rFonts w:hint="eastAsia"/>
          <w:color w:val="auto"/>
          <w:sz w:val="24"/>
          <w:u w:val="single"/>
          <w:lang w:eastAsia="zh-CN"/>
        </w:rPr>
        <w:t>根据对场区污染监视井和周边居民处地下水进行检测的结果，场区污染监视井的检测因子除</w:t>
      </w:r>
      <w:r>
        <w:rPr>
          <w:rFonts w:hint="eastAsia"/>
          <w:u w:val="single"/>
        </w:rPr>
        <w:t>除监测井中的总大肠菌群、氯化物因子未能达到《地下水质量标准》（GB/T14848-93）中Ⅲ</w:t>
      </w:r>
      <w:r>
        <w:rPr>
          <w:u w:val="single"/>
        </w:rPr>
        <w:t>类标准</w:t>
      </w:r>
      <w:r>
        <w:rPr>
          <w:rFonts w:hint="eastAsia"/>
          <w:u w:val="single"/>
        </w:rPr>
        <w:t>要求，其他检测因子均能满足《地下水质量标准》（GB/T14848-93）中Ⅲ</w:t>
      </w:r>
      <w:r>
        <w:rPr>
          <w:u w:val="single"/>
        </w:rPr>
        <w:t>类标准</w:t>
      </w:r>
      <w:r>
        <w:rPr>
          <w:rFonts w:hint="eastAsia"/>
          <w:u w:val="single"/>
        </w:rPr>
        <w:t>要求</w:t>
      </w:r>
      <w:r>
        <w:rPr>
          <w:rFonts w:hint="eastAsia"/>
          <w:u w:val="single"/>
          <w:lang w:eastAsia="zh-CN"/>
        </w:rPr>
        <w:t>；周边居民点处地下水</w:t>
      </w:r>
      <w:r>
        <w:rPr>
          <w:rFonts w:hint="eastAsia"/>
          <w:color w:val="auto"/>
          <w:u w:val="single"/>
          <w:lang w:val="en-US" w:eastAsia="zh-CN"/>
        </w:rPr>
        <w:t>检测因子除COD</w:t>
      </w:r>
      <w:r>
        <w:rPr>
          <w:rFonts w:hint="eastAsia"/>
          <w:color w:val="auto"/>
          <w:u w:val="single"/>
          <w:vertAlign w:val="subscript"/>
          <w:lang w:val="en-US" w:eastAsia="zh-CN"/>
        </w:rPr>
        <w:t>Mn</w:t>
      </w:r>
      <w:r>
        <w:rPr>
          <w:rFonts w:hint="eastAsia"/>
          <w:color w:val="auto"/>
          <w:u w:val="single"/>
          <w:vertAlign w:val="baseline"/>
          <w:lang w:val="en-US" w:eastAsia="zh-CN"/>
        </w:rPr>
        <w:t>、氨氮、总大肠菌群、亚硝酸盐氮、铁、锰6项因子外未能达到《地下水质量标准》（GB/T14848-93）中</w:t>
      </w:r>
      <w:r>
        <w:rPr>
          <w:rFonts w:hint="eastAsia"/>
          <w:color w:val="auto"/>
          <w:u w:val="single"/>
        </w:rPr>
        <w:t>Ⅲ</w:t>
      </w:r>
      <w:r>
        <w:rPr>
          <w:color w:val="auto"/>
          <w:u w:val="single"/>
        </w:rPr>
        <w:t>类标准</w:t>
      </w:r>
      <w:r>
        <w:rPr>
          <w:rFonts w:hint="eastAsia"/>
          <w:color w:val="auto"/>
          <w:u w:val="single"/>
        </w:rPr>
        <w:t>要求</w:t>
      </w:r>
      <w:r>
        <w:rPr>
          <w:rFonts w:hint="eastAsia"/>
          <w:color w:val="auto"/>
          <w:u w:val="single"/>
          <w:lang w:eastAsia="zh-CN"/>
        </w:rPr>
        <w:t>，其他检测因子均能满足</w:t>
      </w:r>
      <w:r>
        <w:rPr>
          <w:rFonts w:hint="eastAsia"/>
          <w:color w:val="auto"/>
          <w:u w:val="single"/>
          <w:vertAlign w:val="baseline"/>
          <w:lang w:val="en-US" w:eastAsia="zh-CN"/>
        </w:rPr>
        <w:t>《地下水质量标准》（GB/T14848-93）中</w:t>
      </w:r>
      <w:r>
        <w:rPr>
          <w:rFonts w:hint="eastAsia"/>
          <w:color w:val="auto"/>
          <w:u w:val="single"/>
        </w:rPr>
        <w:t>Ⅲ</w:t>
      </w:r>
      <w:r>
        <w:rPr>
          <w:color w:val="auto"/>
          <w:u w:val="single"/>
        </w:rPr>
        <w:t>类标准</w:t>
      </w:r>
      <w:r>
        <w:rPr>
          <w:rFonts w:hint="eastAsia"/>
          <w:color w:val="auto"/>
          <w:u w:val="single"/>
        </w:rPr>
        <w:t>要求</w:t>
      </w:r>
      <w:r>
        <w:rPr>
          <w:rFonts w:hint="eastAsia"/>
          <w:color w:val="auto"/>
          <w:u w:val="single"/>
          <w:lang w:eastAsia="zh-CN"/>
        </w:rPr>
        <w:t>，根据现有工程地勘，该区域岩石裂隙被</w:t>
      </w:r>
      <w:r>
        <w:rPr>
          <w:rFonts w:hint="eastAsia"/>
          <w:color w:val="auto"/>
          <w:u w:val="single"/>
          <w:lang w:val="en-US" w:eastAsia="zh-CN"/>
        </w:rPr>
        <w:t>Fe、Mn质浸染，因此，居民地下水铁、锰出现超标的原因可能是铁、锰背景值较高；COD</w:t>
      </w:r>
      <w:r>
        <w:rPr>
          <w:rFonts w:hint="eastAsia"/>
          <w:color w:val="auto"/>
          <w:u w:val="single"/>
          <w:vertAlign w:val="subscript"/>
          <w:lang w:val="en-US" w:eastAsia="zh-CN"/>
        </w:rPr>
        <w:t>Mn</w:t>
      </w:r>
      <w:r>
        <w:rPr>
          <w:rFonts w:hint="eastAsia"/>
          <w:color w:val="auto"/>
          <w:u w:val="single"/>
          <w:vertAlign w:val="baseline"/>
          <w:lang w:val="en-US" w:eastAsia="zh-CN"/>
        </w:rPr>
        <w:t>、氨氮、总大肠菌群、亚硝酸盐氮出现超标的原因可能是由于周边居民生活污水未经处理直排或区域内小型养殖场废水未经处理直排造成</w:t>
      </w:r>
      <w:r>
        <w:rPr>
          <w:rFonts w:hint="eastAsia"/>
          <w:u w:val="single"/>
        </w:rPr>
        <w:t>。</w:t>
      </w:r>
    </w:p>
    <w:p>
      <w:pPr>
        <w:adjustRightInd w:val="0"/>
        <w:snapToGrid w:val="0"/>
        <w:spacing w:line="360" w:lineRule="auto"/>
        <w:ind w:firstLine="480" w:firstLineChars="200"/>
        <w:rPr>
          <w:rFonts w:hint="eastAsia"/>
          <w:u w:val="single"/>
        </w:rPr>
      </w:pPr>
      <w:r>
        <w:rPr>
          <w:rFonts w:hint="eastAsia"/>
          <w:color w:val="auto"/>
          <w:sz w:val="24"/>
          <w:u w:val="single"/>
          <w:lang w:eastAsia="zh-CN"/>
        </w:rPr>
        <w:t>类比该处理场现有工程，本次技改后加强调节池防渗和垂直防渗等措施后，其场区防渗能力相比现有工程好，因此，在现有工程的情况下，场区对地下水的影响较小，则在本次技改项目后，场区内污染物对地下水影响也较小。</w:t>
      </w:r>
    </w:p>
    <w:p>
      <w:pPr>
        <w:adjustRightInd w:val="0"/>
        <w:snapToGrid w:val="0"/>
        <w:spacing w:line="360" w:lineRule="auto"/>
        <w:ind w:firstLine="480" w:firstLineChars="200"/>
        <w:rPr>
          <w:rFonts w:hint="eastAsia"/>
          <w:color w:val="auto"/>
          <w:sz w:val="24"/>
          <w:u w:val="single"/>
          <w:lang w:val="en-US" w:eastAsia="zh-CN"/>
        </w:rPr>
      </w:pPr>
      <w:r>
        <w:rPr>
          <w:rFonts w:hint="eastAsia"/>
          <w:color w:val="auto"/>
          <w:sz w:val="24"/>
          <w:u w:val="single"/>
          <w:lang w:val="en-US" w:eastAsia="zh-CN"/>
        </w:rPr>
        <w:t>同时，根据现场调查，该垃圾填埋场附近现分布的胥家桥村、花果畈村等居民点均采用自来水作为生活用水，因此，本次技改后，场区产生的污染物对周边居民的生活饮用水源影响较小。</w:t>
      </w:r>
    </w:p>
    <w:p>
      <w:pPr>
        <w:pStyle w:val="4"/>
        <w:rPr>
          <w:rFonts w:hint="eastAsia"/>
          <w:color w:val="auto"/>
          <w:lang w:val="en-US" w:eastAsia="zh-CN"/>
        </w:rPr>
      </w:pPr>
      <w:r>
        <w:rPr>
          <w:rFonts w:hint="eastAsia"/>
          <w:color w:val="auto"/>
          <w:lang w:val="en-US" w:eastAsia="zh-CN"/>
        </w:rPr>
        <w:t>7.2.4噪声影响评价</w:t>
      </w:r>
    </w:p>
    <w:p>
      <w:pPr>
        <w:rPr>
          <w:rFonts w:hint="eastAsia"/>
          <w:color w:val="auto"/>
          <w:lang w:val="en-US" w:eastAsia="zh-CN"/>
        </w:rPr>
      </w:pPr>
      <w:r>
        <w:rPr>
          <w:rFonts w:hint="eastAsia"/>
          <w:color w:val="auto"/>
          <w:lang w:val="en-US" w:eastAsia="zh-CN"/>
        </w:rPr>
        <w:t>根据建设单位提供的资料，本项目购进2台新设备淘汰已到报废年限的2台作业设备。因此，本改造项目建成后，营运期作业噪声未发生明显变化。</w:t>
      </w:r>
    </w:p>
    <w:p>
      <w:pPr>
        <w:rPr>
          <w:rFonts w:hint="eastAsia"/>
          <w:color w:val="auto"/>
          <w:lang w:val="en-US" w:eastAsia="zh-CN"/>
        </w:rPr>
      </w:pPr>
      <w:r>
        <w:rPr>
          <w:rFonts w:hint="eastAsia"/>
          <w:color w:val="auto"/>
          <w:lang w:val="en-US" w:eastAsia="zh-CN"/>
        </w:rPr>
        <w:t>本次环评对厂界四周进行了声环境质量现状检测，根据其检测数据可知，花果贩填埋场厂界四周均能达标排放。检测结果如下：</w:t>
      </w:r>
    </w:p>
    <w:p>
      <w:pPr>
        <w:pStyle w:val="23"/>
        <w:rPr>
          <w:rFonts w:hint="eastAsia"/>
          <w:b/>
          <w:bCs/>
          <w:color w:val="auto"/>
          <w:lang w:val="en-US" w:eastAsia="zh-CN"/>
        </w:rPr>
      </w:pPr>
      <w:r>
        <w:rPr>
          <w:rFonts w:hint="eastAsia"/>
          <w:b/>
          <w:bCs/>
          <w:color w:val="auto"/>
          <w:lang w:val="en-US" w:eastAsia="zh-CN"/>
        </w:rPr>
        <w:t>表7-13  厂界噪声检测结果一览表</w:t>
      </w:r>
    </w:p>
    <w:tbl>
      <w:tblPr>
        <w:tblStyle w:val="20"/>
        <w:tblW w:w="85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4"/>
        <w:gridCol w:w="783"/>
        <w:gridCol w:w="1360"/>
        <w:gridCol w:w="1360"/>
        <w:gridCol w:w="1360"/>
        <w:gridCol w:w="1360"/>
        <w:gridCol w:w="13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17" w:type="dxa"/>
            <w:gridSpan w:val="2"/>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vertAlign w:val="baseline"/>
                <w:lang w:val="en-US" w:eastAsia="zh-CN"/>
              </w:rPr>
              <w:t>检测时间</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ascii="Times New Roman" w:hAnsi="Times New Roman" w:eastAsia="宋体" w:cstheme="minorBidi"/>
                <w:color w:val="auto"/>
                <w:kern w:val="2"/>
                <w:sz w:val="21"/>
                <w:szCs w:val="21"/>
                <w:vertAlign w:val="baseline"/>
                <w:lang w:val="en-US" w:eastAsia="zh-CN" w:bidi="ar-SA"/>
              </w:rPr>
            </w:pPr>
            <w:r>
              <w:rPr>
                <w:rFonts w:hint="eastAsia"/>
                <w:color w:val="auto"/>
                <w:lang w:val="en-US" w:eastAsia="zh-CN"/>
              </w:rPr>
              <w:t>厂界北</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lang w:val="en-US" w:eastAsia="zh-CN"/>
              </w:rPr>
              <w:t>厂界东</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lang w:val="en-US" w:eastAsia="zh-CN"/>
              </w:rPr>
              <w:t>厂界南</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lang w:val="en-US" w:eastAsia="zh-CN"/>
              </w:rPr>
              <w:t>厂界西</w:t>
            </w:r>
          </w:p>
        </w:tc>
        <w:tc>
          <w:tcPr>
            <w:tcW w:w="1362" w:type="dxa"/>
            <w:vAlign w:val="center"/>
          </w:tcPr>
          <w:p>
            <w:pPr>
              <w:pStyle w:val="23"/>
              <w:keepNext w:val="0"/>
              <w:keepLines w:val="0"/>
              <w:suppressLineNumbers w:val="0"/>
              <w:spacing w:before="0" w:beforeAutospacing="0" w:after="0" w:afterAutospacing="0"/>
              <w:ind w:left="0" w:right="0"/>
              <w:jc w:val="center"/>
              <w:rPr>
                <w:rFonts w:hint="eastAsia"/>
                <w:color w:val="auto"/>
                <w:lang w:val="en-US" w:eastAsia="zh-CN"/>
              </w:rPr>
            </w:pPr>
            <w:r>
              <w:rPr>
                <w:rFonts w:hint="eastAsia"/>
                <w:color w:val="auto"/>
                <w:lang w:val="en-US" w:eastAsia="zh-CN"/>
              </w:rPr>
              <w:t>标准值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4"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vertAlign w:val="baseline"/>
                <w:lang w:val="en-US" w:eastAsia="zh-CN"/>
              </w:rPr>
              <w:t>1月3日</w:t>
            </w:r>
          </w:p>
        </w:tc>
        <w:tc>
          <w:tcPr>
            <w:tcW w:w="783" w:type="dxa"/>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vertAlign w:val="baseline"/>
                <w:lang w:val="en-US" w:eastAsia="zh-CN"/>
              </w:rPr>
              <w:t>昼间</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ascii="Times New Roman" w:hAnsi="Times New Roman" w:eastAsia="宋体" w:cstheme="minorBidi"/>
                <w:color w:val="auto"/>
                <w:kern w:val="2"/>
                <w:sz w:val="21"/>
                <w:szCs w:val="21"/>
                <w:vertAlign w:val="baseline"/>
                <w:lang w:val="en-US" w:eastAsia="zh-CN" w:bidi="ar-SA"/>
              </w:rPr>
            </w:pPr>
            <w:r>
              <w:rPr>
                <w:rFonts w:hint="eastAsia" w:cstheme="minorBidi"/>
                <w:color w:val="auto"/>
                <w:kern w:val="2"/>
                <w:sz w:val="21"/>
                <w:szCs w:val="21"/>
                <w:vertAlign w:val="baseline"/>
                <w:lang w:val="en-US" w:eastAsia="zh-CN" w:bidi="ar-SA"/>
              </w:rPr>
              <w:t>58.7</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vertAlign w:val="baseline"/>
                <w:lang w:val="en-US" w:eastAsia="zh-CN"/>
              </w:rPr>
              <w:t>57.2</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vertAlign w:val="baseline"/>
                <w:lang w:val="en-US" w:eastAsia="zh-CN"/>
              </w:rPr>
              <w:t>56.1</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vertAlign w:val="baseline"/>
                <w:lang w:val="en-US" w:eastAsia="zh-CN"/>
              </w:rPr>
              <w:t>59.1</w:t>
            </w:r>
          </w:p>
        </w:tc>
        <w:tc>
          <w:tcPr>
            <w:tcW w:w="1362"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vertAlign w:val="baseline"/>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4"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p>
        </w:tc>
        <w:tc>
          <w:tcPr>
            <w:tcW w:w="783" w:type="dxa"/>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vertAlign w:val="baseline"/>
                <w:lang w:val="en-US" w:eastAsia="zh-CN"/>
              </w:rPr>
              <w:t>夜间</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ascii="Times New Roman" w:hAnsi="Times New Roman" w:eastAsia="宋体" w:cstheme="minorBidi"/>
                <w:color w:val="auto"/>
                <w:kern w:val="2"/>
                <w:sz w:val="21"/>
                <w:szCs w:val="21"/>
                <w:vertAlign w:val="baseline"/>
                <w:lang w:val="en-US" w:eastAsia="zh-CN" w:bidi="ar-SA"/>
              </w:rPr>
            </w:pPr>
            <w:r>
              <w:rPr>
                <w:rFonts w:hint="eastAsia" w:cstheme="minorBidi"/>
                <w:color w:val="auto"/>
                <w:kern w:val="2"/>
                <w:sz w:val="21"/>
                <w:szCs w:val="21"/>
                <w:vertAlign w:val="baseline"/>
                <w:lang w:val="en-US" w:eastAsia="zh-CN" w:bidi="ar-SA"/>
              </w:rPr>
              <w:t>43.6</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vertAlign w:val="baseline"/>
                <w:lang w:val="en-US" w:eastAsia="zh-CN"/>
              </w:rPr>
              <w:t>44.5</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vertAlign w:val="baseline"/>
                <w:lang w:val="en-US" w:eastAsia="zh-CN"/>
              </w:rPr>
              <w:t>41.2</w:t>
            </w:r>
          </w:p>
        </w:tc>
        <w:tc>
          <w:tcPr>
            <w:tcW w:w="1360"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vertAlign w:val="baseline"/>
                <w:lang w:val="en-US" w:eastAsia="zh-CN"/>
              </w:rPr>
              <w:t>44.6</w:t>
            </w:r>
          </w:p>
        </w:tc>
        <w:tc>
          <w:tcPr>
            <w:tcW w:w="1362" w:type="dxa"/>
            <w:vAlign w:val="center"/>
          </w:tcPr>
          <w:p>
            <w:pPr>
              <w:pStyle w:val="23"/>
              <w:keepNext w:val="0"/>
              <w:keepLines w:val="0"/>
              <w:suppressLineNumbers w:val="0"/>
              <w:spacing w:before="0" w:beforeAutospacing="0" w:after="0" w:afterAutospacing="0"/>
              <w:ind w:left="0" w:right="0"/>
              <w:jc w:val="center"/>
              <w:rPr>
                <w:rFonts w:hint="eastAsia"/>
                <w:color w:val="auto"/>
                <w:vertAlign w:val="baseline"/>
                <w:lang w:val="en-US" w:eastAsia="zh-CN"/>
              </w:rPr>
            </w:pPr>
            <w:r>
              <w:rPr>
                <w:rFonts w:hint="eastAsia"/>
                <w:color w:val="auto"/>
                <w:vertAlign w:val="baseline"/>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4" w:type="dxa"/>
            <w:vMerge w:val="restart"/>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r>
              <w:rPr>
                <w:rFonts w:hint="eastAsia"/>
                <w:color w:val="auto"/>
                <w:vertAlign w:val="baseline"/>
                <w:lang w:val="en-US" w:eastAsia="zh-CN"/>
              </w:rPr>
              <w:t>1月4日</w:t>
            </w:r>
          </w:p>
        </w:tc>
        <w:tc>
          <w:tcPr>
            <w:tcW w:w="783" w:type="dxa"/>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lang w:val="en-US" w:eastAsia="zh-CN"/>
              </w:rPr>
            </w:pPr>
            <w:r>
              <w:rPr>
                <w:rFonts w:hint="eastAsia"/>
                <w:color w:val="auto"/>
                <w:vertAlign w:val="baseline"/>
                <w:lang w:val="en-US" w:eastAsia="zh-CN"/>
              </w:rPr>
              <w:t>昼间</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ascii="Times New Roman" w:hAnsi="Times New Roman" w:eastAsia="宋体" w:cstheme="minorBidi"/>
                <w:color w:val="auto"/>
                <w:kern w:val="2"/>
                <w:sz w:val="21"/>
                <w:szCs w:val="21"/>
                <w:vertAlign w:val="baseline"/>
                <w:lang w:val="en-US" w:eastAsia="zh-CN" w:bidi="ar-SA"/>
              </w:rPr>
            </w:pPr>
            <w:r>
              <w:rPr>
                <w:rFonts w:hint="eastAsia" w:cstheme="minorBidi"/>
                <w:color w:val="auto"/>
                <w:kern w:val="2"/>
                <w:sz w:val="21"/>
                <w:szCs w:val="21"/>
                <w:vertAlign w:val="baseline"/>
                <w:lang w:val="en-US" w:eastAsia="zh-CN" w:bidi="ar-SA"/>
              </w:rPr>
              <w:t>57.3</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vertAlign w:val="baseline"/>
                <w:lang w:val="en-US" w:eastAsia="zh-CN"/>
              </w:rPr>
            </w:pPr>
            <w:r>
              <w:rPr>
                <w:rFonts w:hint="eastAsia"/>
                <w:color w:val="auto"/>
                <w:vertAlign w:val="baseline"/>
                <w:lang w:val="en-US" w:eastAsia="zh-CN"/>
              </w:rPr>
              <w:t>57.9</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vertAlign w:val="baseline"/>
                <w:lang w:val="en-US" w:eastAsia="zh-CN"/>
              </w:rPr>
            </w:pPr>
            <w:r>
              <w:rPr>
                <w:rFonts w:hint="eastAsia"/>
                <w:color w:val="auto"/>
                <w:vertAlign w:val="baseline"/>
                <w:lang w:val="en-US" w:eastAsia="zh-CN"/>
              </w:rPr>
              <w:t>58.1</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vertAlign w:val="baseline"/>
                <w:lang w:val="en-US" w:eastAsia="zh-CN"/>
              </w:rPr>
            </w:pPr>
            <w:r>
              <w:rPr>
                <w:rFonts w:hint="eastAsia"/>
                <w:color w:val="auto"/>
                <w:vertAlign w:val="baseline"/>
                <w:lang w:val="en-US" w:eastAsia="zh-CN"/>
              </w:rPr>
              <w:t>59.7</w:t>
            </w:r>
          </w:p>
        </w:tc>
        <w:tc>
          <w:tcPr>
            <w:tcW w:w="1362"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vertAlign w:val="baseline"/>
                <w:lang w:val="en-US" w:eastAsia="zh-CN"/>
              </w:rPr>
            </w:pPr>
            <w:r>
              <w:rPr>
                <w:rFonts w:hint="eastAsia"/>
                <w:color w:val="auto"/>
                <w:vertAlign w:val="baseline"/>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4" w:type="dxa"/>
            <w:vMerge w:val="continue"/>
            <w:textDirection w:val="lrTb"/>
            <w:vAlign w:val="center"/>
          </w:tcPr>
          <w:p>
            <w:pPr>
              <w:pStyle w:val="23"/>
              <w:keepNext w:val="0"/>
              <w:keepLines w:val="0"/>
              <w:suppressLineNumbers w:val="0"/>
              <w:spacing w:before="0" w:beforeAutospacing="0" w:after="0" w:afterAutospacing="0"/>
              <w:ind w:left="0" w:right="0"/>
              <w:rPr>
                <w:rFonts w:hint="eastAsia"/>
                <w:color w:val="auto"/>
                <w:lang w:val="en-US" w:eastAsia="zh-CN"/>
              </w:rPr>
            </w:pPr>
          </w:p>
        </w:tc>
        <w:tc>
          <w:tcPr>
            <w:tcW w:w="783" w:type="dxa"/>
            <w:textDirection w:val="lrTb"/>
            <w:vAlign w:val="center"/>
          </w:tcPr>
          <w:p>
            <w:pPr>
              <w:pStyle w:val="23"/>
              <w:keepNext w:val="0"/>
              <w:keepLines w:val="0"/>
              <w:suppressLineNumbers w:val="0"/>
              <w:spacing w:before="0" w:beforeAutospacing="0" w:after="0" w:afterAutospacing="0"/>
              <w:ind w:left="0" w:right="0" w:firstLine="0" w:firstLineChars="0"/>
              <w:rPr>
                <w:rFonts w:hint="eastAsia"/>
                <w:color w:val="auto"/>
                <w:lang w:val="en-US" w:eastAsia="zh-CN"/>
              </w:rPr>
            </w:pPr>
            <w:r>
              <w:rPr>
                <w:rFonts w:hint="eastAsia"/>
                <w:color w:val="auto"/>
                <w:vertAlign w:val="baseline"/>
                <w:lang w:val="en-US" w:eastAsia="zh-CN"/>
              </w:rPr>
              <w:t>夜间</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ascii="Times New Roman" w:hAnsi="Times New Roman" w:eastAsia="宋体" w:cstheme="minorBidi"/>
                <w:color w:val="auto"/>
                <w:kern w:val="2"/>
                <w:sz w:val="21"/>
                <w:szCs w:val="21"/>
                <w:vertAlign w:val="baseline"/>
                <w:lang w:val="en-US" w:eastAsia="zh-CN" w:bidi="ar-SA"/>
              </w:rPr>
            </w:pPr>
            <w:r>
              <w:rPr>
                <w:rFonts w:hint="eastAsia" w:cstheme="minorBidi"/>
                <w:color w:val="auto"/>
                <w:kern w:val="2"/>
                <w:sz w:val="21"/>
                <w:szCs w:val="21"/>
                <w:vertAlign w:val="baseline"/>
                <w:lang w:val="en-US" w:eastAsia="zh-CN" w:bidi="ar-SA"/>
              </w:rPr>
              <w:t>42.6</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vertAlign w:val="baseline"/>
                <w:lang w:val="en-US" w:eastAsia="zh-CN"/>
              </w:rPr>
            </w:pPr>
            <w:r>
              <w:rPr>
                <w:rFonts w:hint="eastAsia"/>
                <w:color w:val="auto"/>
                <w:vertAlign w:val="baseline"/>
                <w:lang w:val="en-US" w:eastAsia="zh-CN"/>
              </w:rPr>
              <w:t>39.7</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vertAlign w:val="baseline"/>
                <w:lang w:val="en-US" w:eastAsia="zh-CN"/>
              </w:rPr>
            </w:pPr>
            <w:r>
              <w:rPr>
                <w:rFonts w:hint="eastAsia"/>
                <w:color w:val="auto"/>
                <w:vertAlign w:val="baseline"/>
                <w:lang w:val="en-US" w:eastAsia="zh-CN"/>
              </w:rPr>
              <w:t>44.2</w:t>
            </w:r>
          </w:p>
        </w:tc>
        <w:tc>
          <w:tcPr>
            <w:tcW w:w="1360"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vertAlign w:val="baseline"/>
                <w:lang w:val="en-US" w:eastAsia="zh-CN"/>
              </w:rPr>
            </w:pPr>
            <w:r>
              <w:rPr>
                <w:rFonts w:hint="eastAsia"/>
                <w:color w:val="auto"/>
                <w:vertAlign w:val="baseline"/>
                <w:lang w:val="en-US" w:eastAsia="zh-CN"/>
              </w:rPr>
              <w:t>43.6</w:t>
            </w:r>
          </w:p>
        </w:tc>
        <w:tc>
          <w:tcPr>
            <w:tcW w:w="1362" w:type="dxa"/>
            <w:textDirection w:val="lrTb"/>
            <w:vAlign w:val="center"/>
          </w:tcPr>
          <w:p>
            <w:pPr>
              <w:pStyle w:val="23"/>
              <w:keepNext w:val="0"/>
              <w:keepLines w:val="0"/>
              <w:suppressLineNumbers w:val="0"/>
              <w:spacing w:before="0" w:beforeAutospacing="0" w:after="0" w:afterAutospacing="0"/>
              <w:ind w:left="0" w:right="0" w:firstLine="0" w:firstLineChars="0"/>
              <w:jc w:val="center"/>
              <w:rPr>
                <w:rFonts w:hint="eastAsia"/>
                <w:color w:val="auto"/>
                <w:vertAlign w:val="baseline"/>
                <w:lang w:val="en-US" w:eastAsia="zh-CN"/>
              </w:rPr>
            </w:pPr>
            <w:r>
              <w:rPr>
                <w:rFonts w:hint="eastAsia"/>
                <w:color w:val="auto"/>
                <w:vertAlign w:val="baseline"/>
                <w:lang w:val="en-US" w:eastAsia="zh-CN"/>
              </w:rPr>
              <w:t>50</w:t>
            </w:r>
          </w:p>
        </w:tc>
      </w:tr>
    </w:tbl>
    <w:p>
      <w:pPr>
        <w:rPr>
          <w:rFonts w:hint="eastAsia"/>
          <w:color w:val="auto"/>
          <w:lang w:val="en-US" w:eastAsia="zh-CN"/>
        </w:rPr>
      </w:pPr>
      <w:r>
        <w:rPr>
          <w:rFonts w:hint="eastAsia"/>
          <w:color w:val="auto"/>
          <w:lang w:val="en-US" w:eastAsia="zh-CN"/>
        </w:rPr>
        <w:t>因此，本项目建成后对周边环境影响小。</w:t>
      </w:r>
    </w:p>
    <w:p>
      <w:pPr>
        <w:rPr>
          <w:rFonts w:hint="eastAsia"/>
          <w:color w:val="auto"/>
          <w:lang w:val="en-US" w:eastAsia="zh-CN"/>
        </w:rPr>
      </w:pPr>
      <w:r>
        <w:rPr>
          <w:lang w:eastAsia="zh-CN"/>
        </w:rPr>
        <w:t>由于场地内</w:t>
      </w:r>
      <w:r>
        <w:t>无居民，本区地貌类型为丘陵区，山地呈周边高中间低。</w:t>
      </w:r>
      <w:r>
        <w:rPr>
          <w:lang w:eastAsia="zh-CN"/>
        </w:rPr>
        <w:t>东侧</w:t>
      </w:r>
      <w:r>
        <w:rPr>
          <w:rFonts w:hint="eastAsia"/>
          <w:lang w:eastAsia="zh-CN"/>
        </w:rPr>
        <w:t>胥家桥</w:t>
      </w:r>
      <w:r>
        <w:rPr>
          <w:lang w:eastAsia="zh-CN"/>
        </w:rPr>
        <w:t>村现距离场界最近约1</w:t>
      </w:r>
      <w:r>
        <w:rPr>
          <w:rFonts w:hint="eastAsia"/>
          <w:lang w:val="en-US" w:eastAsia="zh-CN"/>
        </w:rPr>
        <w:t>60</w:t>
      </w:r>
      <w:r>
        <w:rPr>
          <w:lang w:eastAsia="zh-CN"/>
        </w:rPr>
        <w:t>m，本项目对其噪声影响可满足</w:t>
      </w:r>
      <w:r>
        <w:rPr>
          <w:rFonts w:hint="eastAsia"/>
          <w:lang w:val="en-US" w:eastAsia="zh-CN"/>
        </w:rPr>
        <w:t>2</w:t>
      </w:r>
      <w:r>
        <w:rPr>
          <w:lang w:eastAsia="zh-CN"/>
        </w:rPr>
        <w:t>类区标准要求，</w:t>
      </w:r>
      <w:r>
        <w:rPr>
          <w:rFonts w:hint="eastAsia"/>
          <w:lang w:eastAsia="zh-CN"/>
        </w:rPr>
        <w:t>因此，本项目</w:t>
      </w:r>
      <w:r>
        <w:rPr>
          <w:lang w:eastAsia="zh-CN"/>
        </w:rPr>
        <w:t>对其基本无影响。</w:t>
      </w:r>
    </w:p>
    <w:p>
      <w:pPr>
        <w:pStyle w:val="4"/>
        <w:rPr>
          <w:rFonts w:hint="eastAsia"/>
          <w:color w:val="auto"/>
          <w:lang w:val="en-US" w:eastAsia="zh-CN"/>
        </w:rPr>
      </w:pPr>
      <w:r>
        <w:rPr>
          <w:rFonts w:hint="eastAsia"/>
          <w:color w:val="auto"/>
          <w:lang w:val="en-US" w:eastAsia="zh-CN"/>
        </w:rPr>
        <w:t>7.2.5固体废物环境影响分析</w:t>
      </w:r>
    </w:p>
    <w:p>
      <w:pPr>
        <w:rPr>
          <w:color w:val="auto"/>
        </w:rPr>
      </w:pPr>
      <w:r>
        <w:rPr>
          <w:color w:val="auto"/>
        </w:rPr>
        <w:t>本项目营运过程中的固废主要为渗滤液处理系统滤渣</w:t>
      </w:r>
      <w:r>
        <w:rPr>
          <w:rFonts w:hint="eastAsia"/>
          <w:color w:val="auto"/>
          <w:lang w:eastAsia="zh-CN"/>
        </w:rPr>
        <w:t>污泥</w:t>
      </w:r>
      <w:r>
        <w:rPr>
          <w:color w:val="auto"/>
        </w:rPr>
        <w:t>，膜处理产生的浓缩废液，以及少量生活垃圾。</w:t>
      </w:r>
    </w:p>
    <w:p>
      <w:pPr>
        <w:rPr>
          <w:color w:val="auto"/>
        </w:rPr>
      </w:pPr>
      <w:r>
        <w:rPr>
          <w:color w:val="auto"/>
        </w:rPr>
        <w:t>渗滤液处理系统产生的滤渣污泥，需送检鉴定，属于危废的委托资质单位安全固化处理处置；不属于危废，实现场地内安全无害填埋处理。浓缩液回灌场地，通过场地循环消纳处理。</w:t>
      </w:r>
      <w:r>
        <w:rPr>
          <w:rFonts w:hint="eastAsia"/>
          <w:color w:val="auto"/>
        </w:rPr>
        <w:t>废渗透膜、</w:t>
      </w:r>
      <w:r>
        <w:rPr>
          <w:color w:val="auto"/>
        </w:rPr>
        <w:t>生活垃圾场地内安全填埋处理。</w:t>
      </w:r>
    </w:p>
    <w:p>
      <w:pPr>
        <w:rPr>
          <w:color w:val="auto"/>
        </w:rPr>
      </w:pPr>
      <w:r>
        <w:rPr>
          <w:color w:val="auto"/>
        </w:rPr>
        <w:t>各固废分类收集，合理处理处置，最终零排放。危险固废暂存、处理和处置按照《中华人民共和国固体废物污染环境防治法》及《危险废物贮存污染控制标准》(GB18597-2001)及修改单(公告2013年第36号)中有关危险废物的管理条款执行。</w:t>
      </w:r>
    </w:p>
    <w:p>
      <w:pPr>
        <w:pStyle w:val="4"/>
        <w:rPr>
          <w:rFonts w:hint="eastAsia"/>
          <w:color w:val="auto"/>
          <w:lang w:val="en-US" w:eastAsia="zh-CN"/>
        </w:rPr>
      </w:pPr>
      <w:r>
        <w:rPr>
          <w:rFonts w:hint="eastAsia"/>
          <w:color w:val="auto"/>
          <w:lang w:val="en-US" w:eastAsia="zh-CN"/>
        </w:rPr>
        <w:t>7.2.6生态影响分析</w:t>
      </w:r>
    </w:p>
    <w:p>
      <w:pPr>
        <w:rPr>
          <w:color w:val="auto"/>
        </w:rPr>
      </w:pPr>
      <w:r>
        <w:rPr>
          <w:color w:val="auto"/>
        </w:rPr>
        <w:t>填埋场营运期主要生态影响包括填埋作业中的填埋气、扬尘、渗滤液</w:t>
      </w:r>
      <w:r>
        <w:rPr>
          <w:rFonts w:hint="eastAsia"/>
          <w:color w:val="auto"/>
          <w:lang w:eastAsia="zh-CN"/>
        </w:rPr>
        <w:t>等</w:t>
      </w:r>
      <w:r>
        <w:rPr>
          <w:color w:val="auto"/>
        </w:rPr>
        <w:t>对生态系统的影响。</w:t>
      </w:r>
    </w:p>
    <w:p>
      <w:pPr>
        <w:rPr>
          <w:color w:val="auto"/>
        </w:rPr>
      </w:pPr>
      <w:r>
        <w:rPr>
          <w:color w:val="auto"/>
        </w:rPr>
        <w:t>(1) 填埋气的生态影响</w:t>
      </w:r>
    </w:p>
    <w:p>
      <w:pPr>
        <w:rPr>
          <w:color w:val="auto"/>
        </w:rPr>
      </w:pPr>
      <w:r>
        <w:rPr>
          <w:color w:val="auto"/>
        </w:rPr>
        <w:t>填埋气体主要成分为CH</w:t>
      </w:r>
      <w:r>
        <w:rPr>
          <w:color w:val="auto"/>
          <w:vertAlign w:val="subscript"/>
        </w:rPr>
        <w:t>4</w:t>
      </w:r>
      <w:r>
        <w:rPr>
          <w:color w:val="auto"/>
        </w:rPr>
        <w:t>和CO</w:t>
      </w:r>
      <w:r>
        <w:rPr>
          <w:color w:val="auto"/>
          <w:vertAlign w:val="subscript"/>
        </w:rPr>
        <w:t>2</w:t>
      </w:r>
      <w:r>
        <w:rPr>
          <w:color w:val="auto"/>
        </w:rPr>
        <w:t>，另外还含有少量的O</w:t>
      </w:r>
      <w:r>
        <w:rPr>
          <w:color w:val="auto"/>
          <w:vertAlign w:val="subscript"/>
        </w:rPr>
        <w:t>2</w:t>
      </w:r>
      <w:r>
        <w:rPr>
          <w:color w:val="auto"/>
        </w:rPr>
        <w:t>、CO、H</w:t>
      </w:r>
      <w:r>
        <w:rPr>
          <w:color w:val="auto"/>
          <w:vertAlign w:val="subscript"/>
        </w:rPr>
        <w:t>2</w:t>
      </w:r>
      <w:r>
        <w:rPr>
          <w:color w:val="auto"/>
        </w:rPr>
        <w:t>S、NH</w:t>
      </w:r>
      <w:r>
        <w:rPr>
          <w:color w:val="auto"/>
          <w:vertAlign w:val="subscript"/>
        </w:rPr>
        <w:t>3</w:t>
      </w:r>
      <w:r>
        <w:rPr>
          <w:color w:val="auto"/>
        </w:rPr>
        <w:t>等。填埋气体环境的影响危害表现在：1) 填埋库区是完全封闭的，随着年限增加，填埋气越聚越多，导致场内压力升高，可引起气体迁移，引起填埋场外爆炸；2) 硫化氢等对周围环境产生恶臭污染；3) 二氧化碳在水中溶解形成碳酸，增加地下水硬度；4) 致使植物根部缺氧，抑制植物生长。</w:t>
      </w:r>
    </w:p>
    <w:p>
      <w:pPr>
        <w:rPr>
          <w:color w:val="auto"/>
        </w:rPr>
      </w:pPr>
      <w:r>
        <w:rPr>
          <w:color w:val="auto"/>
        </w:rPr>
        <w:t>本工程填埋气体利用竖直导气石笼井和水平层间盲沟进行收集，环评要求在各导气石笼井排放口设置井上式填埋气体燃烧装置和甲烷报警器，该装置通过自动感应收集管内的可燃气体，达到一定浓度时</w:t>
      </w:r>
      <w:r>
        <w:rPr>
          <w:rFonts w:hint="eastAsia"/>
          <w:color w:val="auto"/>
          <w:lang w:eastAsia="zh-CN"/>
        </w:rPr>
        <w:t>电子</w:t>
      </w:r>
      <w:r>
        <w:rPr>
          <w:color w:val="auto"/>
        </w:rPr>
        <w:t>点火，及时排除填埋气体并燃烧处置，以脱除废气中的恶臭，降低大气污染影响，并保证填埋作业的安全。气体收集后，经净化燃烧可基本分解完全。降低了H</w:t>
      </w:r>
      <w:r>
        <w:rPr>
          <w:color w:val="auto"/>
          <w:vertAlign w:val="subscript"/>
        </w:rPr>
        <w:t>2</w:t>
      </w:r>
      <w:r>
        <w:rPr>
          <w:color w:val="auto"/>
        </w:rPr>
        <w:t>S、NH</w:t>
      </w:r>
      <w:r>
        <w:rPr>
          <w:color w:val="auto"/>
          <w:vertAlign w:val="subscript"/>
        </w:rPr>
        <w:t>3</w:t>
      </w:r>
      <w:r>
        <w:rPr>
          <w:color w:val="auto"/>
        </w:rPr>
        <w:t>等恶臭气体的排放，减少了对周边大气及生态的影响。且NH</w:t>
      </w:r>
      <w:r>
        <w:rPr>
          <w:color w:val="auto"/>
          <w:vertAlign w:val="subscript"/>
        </w:rPr>
        <w:t>3</w:t>
      </w:r>
      <w:r>
        <w:rPr>
          <w:color w:val="auto"/>
        </w:rPr>
        <w:t>在一定程度上可通过降雨，于土壤，为周边作物提供盐分。</w:t>
      </w:r>
    </w:p>
    <w:p>
      <w:pPr>
        <w:rPr>
          <w:color w:val="auto"/>
        </w:rPr>
      </w:pPr>
      <w:r>
        <w:rPr>
          <w:color w:val="auto"/>
        </w:rPr>
        <w:t>(2) 扬尘和作业噪声的生态影响</w:t>
      </w:r>
    </w:p>
    <w:p>
      <w:pPr>
        <w:rPr>
          <w:color w:val="auto"/>
        </w:rPr>
      </w:pPr>
      <w:r>
        <w:rPr>
          <w:color w:val="auto"/>
        </w:rPr>
        <w:t>填埋作业机具噪声对填埋区人员、周边活动生物具有不良刺激；作业区填埋引起的二次扬尘，主要为污泥干化的扬尘、附图尘粒等，落于周边地表植被将影响植被正常生长。由于场地</w:t>
      </w:r>
      <w:r>
        <w:rPr>
          <w:rFonts w:hint="eastAsia"/>
          <w:color w:val="auto"/>
          <w:lang w:eastAsia="zh-CN"/>
        </w:rPr>
        <w:t>两</w:t>
      </w:r>
      <w:r>
        <w:rPr>
          <w:color w:val="auto"/>
        </w:rPr>
        <w:t>面环山，且山体植被的地势较场地高，通过洒水降尘可有效减少对周边山体植被的影响。</w:t>
      </w:r>
    </w:p>
    <w:p>
      <w:pPr>
        <w:rPr>
          <w:color w:val="auto"/>
        </w:rPr>
      </w:pPr>
      <w:r>
        <w:rPr>
          <w:color w:val="auto"/>
        </w:rPr>
        <w:t>(3) 渗滤液的生态影响</w:t>
      </w:r>
    </w:p>
    <w:p>
      <w:pPr>
        <w:rPr>
          <w:color w:val="auto"/>
        </w:rPr>
      </w:pPr>
      <w:r>
        <w:rPr>
          <w:color w:val="auto"/>
        </w:rPr>
        <w:t>渗滤液、场地周边初期雨水</w:t>
      </w:r>
      <w:r>
        <w:rPr>
          <w:rFonts w:hint="eastAsia"/>
          <w:color w:val="auto"/>
          <w:lang w:eastAsia="zh-CN"/>
        </w:rPr>
        <w:t>经渗滤液污水处理站</w:t>
      </w:r>
      <w:r>
        <w:rPr>
          <w:color w:val="auto"/>
        </w:rPr>
        <w:t>处理达《生活垃圾填埋场污染物控制标准》(GB16889-2008)标准后排</w:t>
      </w:r>
      <w:r>
        <w:rPr>
          <w:rFonts w:hint="eastAsia"/>
          <w:color w:val="auto"/>
          <w:lang w:eastAsia="zh-CN"/>
        </w:rPr>
        <w:t>芭蕉湖</w:t>
      </w:r>
      <w:r>
        <w:rPr>
          <w:color w:val="auto"/>
        </w:rPr>
        <w:t>。为进一步减小对纳污水体的水质、生态影响，要求加强排水口的</w:t>
      </w:r>
      <w:r>
        <w:rPr>
          <w:rFonts w:hint="eastAsia"/>
          <w:color w:val="auto"/>
          <w:lang w:eastAsia="zh-CN"/>
        </w:rPr>
        <w:t>实时监测</w:t>
      </w:r>
      <w:r>
        <w:rPr>
          <w:color w:val="auto"/>
        </w:rPr>
        <w:t>和纳污水体的地表水质定期检测，实时监控水质的达标排放，避免对纳污水体产生污染影响。</w:t>
      </w:r>
    </w:p>
    <w:p>
      <w:pPr>
        <w:rPr>
          <w:color w:val="auto"/>
        </w:rPr>
      </w:pPr>
      <w:r>
        <w:rPr>
          <w:color w:val="auto"/>
        </w:rPr>
        <w:t>垃圾渗滤液通过支盲沟、主盲沟收集，填埋作业区、调节池、渗滤液处理构筑物设置防腐防渗材料，可有效阻隔渗滤液垂直、水平渗透，防止污染周边及地下的土壤、地下水。</w:t>
      </w:r>
    </w:p>
    <w:p>
      <w:pPr>
        <w:rPr>
          <w:color w:val="auto"/>
        </w:rPr>
      </w:pPr>
      <w:r>
        <w:rPr>
          <w:color w:val="auto"/>
        </w:rPr>
        <w:t>(4) 填埋区生态综合影响</w:t>
      </w:r>
    </w:p>
    <w:p>
      <w:pPr>
        <w:rPr>
          <w:color w:val="auto"/>
        </w:rPr>
      </w:pPr>
      <w:r>
        <w:rPr>
          <w:color w:val="auto"/>
        </w:rPr>
        <w:t>填埋区周边根据设计规范要求，设置植被覆盖，有效减少填埋气、扬尘的扩散，同时削减噪声。通过运输道路及时硬化，垃圾覆土后雨天加膜盖可有效减少水土流失。本项目位于山谷，为一相对独立的水文单元，地表水、地下水的分水岭基本一致，一般不会对其他沟谷的水系产生影响。</w:t>
      </w:r>
    </w:p>
    <w:p>
      <w:pPr>
        <w:rPr>
          <w:rFonts w:hint="eastAsia"/>
          <w:color w:val="auto"/>
          <w:lang w:eastAsia="zh-CN"/>
        </w:rPr>
      </w:pPr>
      <w:r>
        <w:rPr>
          <w:rFonts w:hint="eastAsia"/>
          <w:color w:val="auto"/>
          <w:lang w:eastAsia="zh-CN"/>
        </w:rPr>
        <w:t>垃圾填埋区是</w:t>
      </w:r>
      <w:r>
        <w:rPr>
          <w:color w:val="auto"/>
        </w:rPr>
        <w:t>蚊、虫、苍蝇、老鼠等滋生场所。建设单位应采取垃圾及时覆土、加膜盖防止散发，喷洒除臭剂、杀虫剂、除臭剂等方式，减少蚊虫蝇鼠的滋生。</w:t>
      </w:r>
      <w:r>
        <w:rPr>
          <w:rFonts w:hint="eastAsia"/>
          <w:color w:val="auto"/>
          <w:lang w:eastAsia="zh-CN"/>
        </w:rPr>
        <w:t>从而减少对周边生态环境的影响。</w:t>
      </w:r>
    </w:p>
    <w:p>
      <w:pPr>
        <w:pStyle w:val="4"/>
        <w:rPr>
          <w:rFonts w:hint="eastAsia"/>
          <w:color w:val="auto"/>
          <w:lang w:val="en-US" w:eastAsia="zh-CN"/>
        </w:rPr>
      </w:pPr>
      <w:r>
        <w:rPr>
          <w:rFonts w:hint="eastAsia"/>
          <w:color w:val="auto"/>
          <w:lang w:val="en-US" w:eastAsia="zh-CN"/>
        </w:rPr>
        <w:t>7.2.7封场生态恢复</w:t>
      </w:r>
    </w:p>
    <w:p>
      <w:r>
        <w:t>从</w:t>
      </w:r>
      <w:r>
        <w:rPr>
          <w:lang w:eastAsia="zh-CN"/>
        </w:rPr>
        <w:t>本填埋工程填埋规模和服务范围的</w:t>
      </w:r>
      <w:r>
        <w:t>实际情况出发，本封场工程按照绿地的要求对堆体进行封场，如有其他利用方式需结合城市规划功能定位等因素考虑。前期的绿化主要可以减少水土流失，后期绿化主要目的恢复填埋场地的土地使用功能。</w:t>
      </w:r>
    </w:p>
    <w:p>
      <w:pPr>
        <w:rPr>
          <w:rFonts w:hint="eastAsia"/>
          <w:lang w:val="en-US" w:eastAsia="zh-CN"/>
        </w:rPr>
        <w:sectPr>
          <w:pgSz w:w="11906" w:h="16838"/>
          <w:pgMar w:top="1440" w:right="1800" w:bottom="1440" w:left="1800" w:header="851" w:footer="992" w:gutter="0"/>
          <w:pgNumType w:fmt="decimal"/>
          <w:cols w:space="425" w:num="1"/>
          <w:docGrid w:type="lines" w:linePitch="312" w:charSpace="0"/>
        </w:sectPr>
      </w:pPr>
    </w:p>
    <w:p>
      <w:pPr>
        <w:pStyle w:val="2"/>
        <w:numPr>
          <w:ilvl w:val="0"/>
          <w:numId w:val="17"/>
        </w:numPr>
        <w:rPr>
          <w:rFonts w:hint="eastAsia"/>
          <w:color w:val="auto"/>
          <w:lang w:val="en-US" w:eastAsia="zh-CN"/>
        </w:rPr>
      </w:pPr>
      <w:bookmarkStart w:id="75" w:name="_Toc30345"/>
      <w:r>
        <w:rPr>
          <w:rFonts w:hint="eastAsia"/>
          <w:color w:val="auto"/>
          <w:lang w:val="en-US" w:eastAsia="zh-CN"/>
        </w:rPr>
        <w:t>环境风险影响分析</w:t>
      </w:r>
      <w:bookmarkEnd w:id="75"/>
    </w:p>
    <w:p>
      <w:pPr>
        <w:pStyle w:val="3"/>
        <w:rPr>
          <w:rFonts w:hint="eastAsia" w:eastAsia="宋体"/>
          <w:lang w:val="en-US" w:eastAsia="zh-CN"/>
        </w:rPr>
      </w:pPr>
      <w:bookmarkStart w:id="76" w:name="_Toc4131"/>
      <w:r>
        <w:rPr>
          <w:rFonts w:hint="eastAsia"/>
          <w:lang w:val="en-US" w:eastAsia="zh-CN"/>
        </w:rPr>
        <w:t>8.1目的和意义</w:t>
      </w:r>
      <w:bookmarkEnd w:id="76"/>
    </w:p>
    <w:p>
      <w:r>
        <w:t>风险防范意识是垃圾填埋场安全运行的前提和保障，本章节将对本工程在运行过程中可能发生的潜在风险事故进行分析，以找出主要的危险环节，认识危险程度，从 而针对性地采取预防和应急措施，尽可能将风险可能性和危害程度降至最低。</w:t>
      </w:r>
    </w:p>
    <w:p>
      <w:pPr>
        <w:pStyle w:val="4"/>
        <w:rPr>
          <w:rFonts w:hint="eastAsia"/>
          <w:lang w:val="en-US" w:eastAsia="zh-CN"/>
        </w:rPr>
      </w:pPr>
      <w:r>
        <w:rPr>
          <w:rFonts w:hint="eastAsia"/>
          <w:lang w:val="en-US" w:eastAsia="zh-CN"/>
        </w:rPr>
        <w:t>8.1.1风险评价等级</w:t>
      </w:r>
    </w:p>
    <w:p>
      <w:r>
        <w:t>《建设项目环境风险评价技术导则》（HJ/T169-2004）中将环境风险评价分为两个 等级，根据其物质危险性类别、是够构成重大危险源、是否处于环境敏感区这三项条 件来确定风险评价等级。</w:t>
      </w:r>
    </w:p>
    <w:p>
      <w:r>
        <w:t>物质危险性类别：</w:t>
      </w:r>
      <w:r>
        <w:rPr>
          <w:rFonts w:hint="eastAsia"/>
          <w:lang w:eastAsia="zh-CN"/>
        </w:rPr>
        <w:t>无危险物质</w:t>
      </w:r>
      <w:r>
        <w:t xml:space="preserve">。 </w:t>
      </w:r>
    </w:p>
    <w:p>
      <w:r>
        <w:t xml:space="preserve">环境敏感地区：本项目拟建位置不属于环境敏感地区。 </w:t>
      </w:r>
    </w:p>
    <w:p>
      <w:r>
        <w:t>根据风险评价技术导则判定表（表</w:t>
      </w:r>
      <w:r>
        <w:rPr>
          <w:rFonts w:hint="eastAsia"/>
          <w:lang w:val="en-US" w:eastAsia="zh-CN"/>
        </w:rPr>
        <w:t>8</w:t>
      </w:r>
      <w:r>
        <w:t>-1），确定本项目风险评价等级为二级。</w:t>
      </w:r>
    </w:p>
    <w:p>
      <w:pPr>
        <w:pStyle w:val="23"/>
        <w:rPr>
          <w:b/>
          <w:bCs/>
        </w:rPr>
      </w:pPr>
      <w:r>
        <w:rPr>
          <w:b/>
          <w:bCs/>
        </w:rPr>
        <w:t>表</w:t>
      </w:r>
      <w:r>
        <w:rPr>
          <w:rFonts w:hint="eastAsia"/>
          <w:b/>
          <w:bCs/>
          <w:lang w:val="en-US" w:eastAsia="zh-CN"/>
        </w:rPr>
        <w:t>8</w:t>
      </w:r>
      <w:r>
        <w:rPr>
          <w:b/>
          <w:bCs/>
        </w:rPr>
        <w:t>-1</w:t>
      </w:r>
      <w:r>
        <w:rPr>
          <w:b/>
          <w:bCs/>
        </w:rPr>
        <w:tab/>
      </w:r>
      <w:r>
        <w:rPr>
          <w:b/>
          <w:bCs/>
        </w:rPr>
        <w:t>风险评价工作等级判定表</w:t>
      </w:r>
    </w:p>
    <w:tbl>
      <w:tblPr>
        <w:tblStyle w:val="19"/>
        <w:tblW w:w="8539" w:type="dxa"/>
        <w:tblInd w:w="293" w:type="dxa"/>
        <w:tblLayout w:type="fixed"/>
        <w:tblCellMar>
          <w:top w:w="0" w:type="dxa"/>
          <w:left w:w="0" w:type="dxa"/>
          <w:bottom w:w="0" w:type="dxa"/>
          <w:right w:w="0" w:type="dxa"/>
        </w:tblCellMar>
      </w:tblPr>
      <w:tblGrid>
        <w:gridCol w:w="1716"/>
        <w:gridCol w:w="1522"/>
        <w:gridCol w:w="1560"/>
        <w:gridCol w:w="2035"/>
        <w:gridCol w:w="1706"/>
      </w:tblGrid>
      <w:tr>
        <w:tblPrEx>
          <w:tblLayout w:type="fixed"/>
          <w:tblCellMar>
            <w:top w:w="0" w:type="dxa"/>
            <w:left w:w="0" w:type="dxa"/>
            <w:bottom w:w="0" w:type="dxa"/>
            <w:right w:w="0" w:type="dxa"/>
          </w:tblCellMar>
        </w:tblPrEx>
        <w:trPr>
          <w:trHeight w:val="382" w:hRule="exact"/>
        </w:trPr>
        <w:tc>
          <w:tcPr>
            <w:tcW w:w="1716" w:type="dxa"/>
            <w:tcBorders>
              <w:top w:val="single" w:color="000000" w:sz="12" w:space="0"/>
              <w:left w:val="nil"/>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p>
        </w:tc>
        <w:tc>
          <w:tcPr>
            <w:tcW w:w="1522" w:type="dxa"/>
            <w:tcBorders>
              <w:top w:val="single" w:color="000000" w:sz="12"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剧毒危险性物质</w:t>
            </w:r>
          </w:p>
        </w:tc>
        <w:tc>
          <w:tcPr>
            <w:tcW w:w="1560" w:type="dxa"/>
            <w:tcBorders>
              <w:top w:val="single" w:color="000000" w:sz="12"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一般危险性物质</w:t>
            </w:r>
          </w:p>
        </w:tc>
        <w:tc>
          <w:tcPr>
            <w:tcW w:w="2035" w:type="dxa"/>
            <w:tcBorders>
              <w:top w:val="single" w:color="000000" w:sz="12"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可燃、易燃危险性物质</w:t>
            </w:r>
          </w:p>
        </w:tc>
        <w:tc>
          <w:tcPr>
            <w:tcW w:w="1706" w:type="dxa"/>
            <w:tcBorders>
              <w:top w:val="single" w:color="000000" w:sz="12" w:space="0"/>
              <w:left w:val="single" w:color="000000" w:sz="6" w:space="0"/>
              <w:bottom w:val="single" w:color="000000" w:sz="6" w:space="0"/>
              <w:right w:val="nil"/>
            </w:tcBorders>
          </w:tcPr>
          <w:p>
            <w:pPr>
              <w:pStyle w:val="23"/>
              <w:keepNext w:val="0"/>
              <w:keepLines w:val="0"/>
              <w:suppressLineNumbers w:val="0"/>
              <w:spacing w:before="0" w:beforeAutospacing="0" w:after="0" w:afterAutospacing="0"/>
              <w:ind w:left="0" w:right="0"/>
              <w:rPr>
                <w:rFonts w:hint="default"/>
              </w:rPr>
            </w:pPr>
            <w:r>
              <w:rPr>
                <w:rFonts w:hint="default"/>
              </w:rPr>
              <w:t>爆炸毒危险性物质</w:t>
            </w:r>
          </w:p>
        </w:tc>
      </w:tr>
      <w:tr>
        <w:tblPrEx>
          <w:tblLayout w:type="fixed"/>
          <w:tblCellMar>
            <w:top w:w="0" w:type="dxa"/>
            <w:left w:w="0" w:type="dxa"/>
            <w:bottom w:w="0" w:type="dxa"/>
            <w:right w:w="0" w:type="dxa"/>
          </w:tblCellMar>
        </w:tblPrEx>
        <w:trPr>
          <w:trHeight w:val="374" w:hRule="exact"/>
        </w:trPr>
        <w:tc>
          <w:tcPr>
            <w:tcW w:w="1716"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重大危险源</w:t>
            </w:r>
          </w:p>
        </w:tc>
        <w:tc>
          <w:tcPr>
            <w:tcW w:w="1522"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一</w:t>
            </w:r>
          </w:p>
        </w:tc>
        <w:tc>
          <w:tcPr>
            <w:tcW w:w="156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二</w:t>
            </w:r>
          </w:p>
        </w:tc>
        <w:tc>
          <w:tcPr>
            <w:tcW w:w="2035"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一</w:t>
            </w:r>
          </w:p>
        </w:tc>
        <w:tc>
          <w:tcPr>
            <w:tcW w:w="1706"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ind w:left="0" w:right="0"/>
              <w:rPr>
                <w:rFonts w:hint="default"/>
              </w:rPr>
            </w:pPr>
            <w:r>
              <w:rPr>
                <w:rFonts w:hint="default"/>
              </w:rPr>
              <w:t>一</w:t>
            </w:r>
          </w:p>
        </w:tc>
      </w:tr>
      <w:tr>
        <w:tblPrEx>
          <w:tblLayout w:type="fixed"/>
          <w:tblCellMar>
            <w:top w:w="0" w:type="dxa"/>
            <w:left w:w="0" w:type="dxa"/>
            <w:bottom w:w="0" w:type="dxa"/>
            <w:right w:w="0" w:type="dxa"/>
          </w:tblCellMar>
        </w:tblPrEx>
        <w:trPr>
          <w:trHeight w:val="374" w:hRule="exact"/>
        </w:trPr>
        <w:tc>
          <w:tcPr>
            <w:tcW w:w="1716"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非重大危险源</w:t>
            </w:r>
          </w:p>
        </w:tc>
        <w:tc>
          <w:tcPr>
            <w:tcW w:w="1522"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二</w:t>
            </w:r>
          </w:p>
        </w:tc>
        <w:tc>
          <w:tcPr>
            <w:tcW w:w="156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二</w:t>
            </w:r>
          </w:p>
        </w:tc>
        <w:tc>
          <w:tcPr>
            <w:tcW w:w="2035"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二</w:t>
            </w:r>
          </w:p>
        </w:tc>
        <w:tc>
          <w:tcPr>
            <w:tcW w:w="1706"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ind w:left="0" w:right="0"/>
              <w:rPr>
                <w:rFonts w:hint="default"/>
              </w:rPr>
            </w:pPr>
            <w:r>
              <w:rPr>
                <w:rFonts w:hint="default"/>
              </w:rPr>
              <w:t>二</w:t>
            </w:r>
          </w:p>
        </w:tc>
      </w:tr>
      <w:tr>
        <w:tblPrEx>
          <w:tblLayout w:type="fixed"/>
          <w:tblCellMar>
            <w:top w:w="0" w:type="dxa"/>
            <w:left w:w="0" w:type="dxa"/>
            <w:bottom w:w="0" w:type="dxa"/>
            <w:right w:w="0" w:type="dxa"/>
          </w:tblCellMar>
        </w:tblPrEx>
        <w:trPr>
          <w:trHeight w:val="386" w:hRule="exact"/>
        </w:trPr>
        <w:tc>
          <w:tcPr>
            <w:tcW w:w="1716" w:type="dxa"/>
            <w:tcBorders>
              <w:top w:val="single" w:color="000000" w:sz="6" w:space="0"/>
              <w:left w:val="nil"/>
              <w:bottom w:val="single" w:color="000000" w:sz="12"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环境敏感地区</w:t>
            </w:r>
          </w:p>
        </w:tc>
        <w:tc>
          <w:tcPr>
            <w:tcW w:w="1522" w:type="dxa"/>
            <w:tcBorders>
              <w:top w:val="single" w:color="000000" w:sz="6" w:space="0"/>
              <w:left w:val="single" w:color="000000" w:sz="6" w:space="0"/>
              <w:bottom w:val="single" w:color="000000" w:sz="12"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一</w:t>
            </w:r>
          </w:p>
        </w:tc>
        <w:tc>
          <w:tcPr>
            <w:tcW w:w="1560" w:type="dxa"/>
            <w:tcBorders>
              <w:top w:val="single" w:color="000000" w:sz="6" w:space="0"/>
              <w:left w:val="single" w:color="000000" w:sz="6" w:space="0"/>
              <w:bottom w:val="single" w:color="000000" w:sz="12"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一</w:t>
            </w:r>
          </w:p>
        </w:tc>
        <w:tc>
          <w:tcPr>
            <w:tcW w:w="2035" w:type="dxa"/>
            <w:tcBorders>
              <w:top w:val="single" w:color="000000" w:sz="6" w:space="0"/>
              <w:left w:val="single" w:color="000000" w:sz="6" w:space="0"/>
              <w:bottom w:val="single" w:color="000000" w:sz="12" w:space="0"/>
              <w:right w:val="single" w:color="000000" w:sz="6" w:space="0"/>
            </w:tcBorders>
          </w:tcPr>
          <w:p>
            <w:pPr>
              <w:pStyle w:val="23"/>
              <w:keepNext w:val="0"/>
              <w:keepLines w:val="0"/>
              <w:suppressLineNumbers w:val="0"/>
              <w:spacing w:before="0" w:beforeAutospacing="0" w:after="0" w:afterAutospacing="0"/>
              <w:ind w:left="0" w:right="0"/>
              <w:rPr>
                <w:rFonts w:hint="default"/>
              </w:rPr>
            </w:pPr>
            <w:r>
              <w:rPr>
                <w:rFonts w:hint="default"/>
              </w:rPr>
              <w:t>一</w:t>
            </w:r>
          </w:p>
        </w:tc>
        <w:tc>
          <w:tcPr>
            <w:tcW w:w="1706" w:type="dxa"/>
            <w:tcBorders>
              <w:top w:val="single" w:color="000000" w:sz="6" w:space="0"/>
              <w:left w:val="single" w:color="000000" w:sz="6" w:space="0"/>
              <w:bottom w:val="single" w:color="000000" w:sz="12" w:space="0"/>
              <w:right w:val="nil"/>
            </w:tcBorders>
          </w:tcPr>
          <w:p>
            <w:pPr>
              <w:pStyle w:val="23"/>
              <w:keepNext w:val="0"/>
              <w:keepLines w:val="0"/>
              <w:suppressLineNumbers w:val="0"/>
              <w:spacing w:before="0" w:beforeAutospacing="0" w:after="0" w:afterAutospacing="0"/>
              <w:ind w:left="0" w:right="0"/>
              <w:rPr>
                <w:rFonts w:hint="default"/>
              </w:rPr>
            </w:pPr>
            <w:r>
              <w:rPr>
                <w:rFonts w:hint="default"/>
              </w:rPr>
              <w:t>一</w:t>
            </w:r>
          </w:p>
        </w:tc>
      </w:tr>
    </w:tbl>
    <w:p>
      <w:pPr>
        <w:pStyle w:val="4"/>
        <w:rPr>
          <w:rFonts w:hint="eastAsia"/>
          <w:lang w:val="en-US" w:eastAsia="zh-CN"/>
        </w:rPr>
      </w:pPr>
      <w:r>
        <w:rPr>
          <w:rFonts w:hint="eastAsia"/>
          <w:lang w:val="en-US" w:eastAsia="zh-CN"/>
        </w:rPr>
        <w:t>8.1.2评价内容</w:t>
      </w:r>
    </w:p>
    <w:p>
      <w:r>
        <w:t>根据风险评价技术导则要求，二级评价仅进行风险识别、源项分析和对事故影响 进行简要分析，提出防范、减缓和应急措施。</w:t>
      </w:r>
    </w:p>
    <w:p>
      <w:pPr>
        <w:pStyle w:val="3"/>
        <w:rPr>
          <w:rFonts w:hint="eastAsia"/>
          <w:lang w:val="en-US" w:eastAsia="zh-CN"/>
        </w:rPr>
      </w:pPr>
      <w:bookmarkStart w:id="77" w:name="_Toc19552"/>
      <w:r>
        <w:rPr>
          <w:rFonts w:hint="eastAsia"/>
          <w:lang w:val="en-US" w:eastAsia="zh-CN"/>
        </w:rPr>
        <w:t>8.2环境风险类型与识别</w:t>
      </w:r>
      <w:bookmarkEnd w:id="77"/>
    </w:p>
    <w:p>
      <w:r>
        <w:t>收集、运输、处置全过程可能发生的风险概括起来有3类：①收集运输风险②设施风险：包括主体处置装置、公用工程设施及废水、废气、废渣处理、噪声控制设施等；③物质风险，包括废物、中间产物、最终产物及处置过程中排放的“三废”污染物。</w:t>
      </w:r>
    </w:p>
    <w:p>
      <w:r>
        <w:t>根据项目的特点并结合工程分析，本项目在运营过程中存在的主要潜在环境风险有：</w:t>
      </w:r>
    </w:p>
    <w:p>
      <w:r>
        <w:t>1.</w:t>
      </w:r>
      <w:r>
        <w:tab/>
      </w:r>
      <w:r>
        <w:rPr>
          <w:rFonts w:hint="eastAsia"/>
          <w:lang w:eastAsia="zh-CN"/>
        </w:rPr>
        <w:t>生活垃圾</w:t>
      </w:r>
      <w:r>
        <w:t>运输过程中发生泄漏；</w:t>
      </w:r>
    </w:p>
    <w:p>
      <w:r>
        <w:t>2.</w:t>
      </w:r>
      <w:r>
        <w:tab/>
      </w:r>
      <w:r>
        <w:t>渗滤液防渗层破损造成地下水的污染；</w:t>
      </w:r>
    </w:p>
    <w:p>
      <w:pPr>
        <w:rPr>
          <w:rFonts w:hint="eastAsia"/>
          <w:lang w:eastAsia="zh-CN"/>
        </w:rPr>
      </w:pPr>
      <w:r>
        <w:t>3.</w:t>
      </w:r>
      <w:r>
        <w:tab/>
      </w:r>
      <w:r>
        <w:t>渗滤液事故排放对地表水的影响</w:t>
      </w:r>
      <w:r>
        <w:rPr>
          <w:rFonts w:hint="eastAsia"/>
          <w:lang w:eastAsia="zh-CN"/>
        </w:rPr>
        <w:t>；</w:t>
      </w:r>
    </w:p>
    <w:p>
      <w:pPr>
        <w:rPr>
          <w:rFonts w:hint="eastAsia"/>
          <w:lang w:val="en-US" w:eastAsia="zh-CN"/>
        </w:rPr>
      </w:pPr>
      <w:r>
        <w:rPr>
          <w:rFonts w:hint="eastAsia"/>
          <w:lang w:val="en-US" w:eastAsia="zh-CN"/>
        </w:rPr>
        <w:t>4、填埋废气污染风险；</w:t>
      </w:r>
    </w:p>
    <w:p>
      <w:r>
        <w:rPr>
          <w:rFonts w:hint="eastAsia"/>
          <w:lang w:val="en-US" w:eastAsia="zh-CN"/>
        </w:rPr>
        <w:t>5、垃圾堆体沉降或滑动风险</w:t>
      </w:r>
      <w:r>
        <w:rPr>
          <w:rFonts w:hint="eastAsia"/>
          <w:lang w:eastAsia="zh-CN"/>
        </w:rPr>
        <w:t>。</w:t>
      </w:r>
    </w:p>
    <w:p>
      <w:pPr>
        <w:pStyle w:val="3"/>
        <w:rPr>
          <w:rFonts w:hint="eastAsia"/>
          <w:color w:val="auto"/>
          <w:lang w:val="en-US" w:eastAsia="zh-CN"/>
        </w:rPr>
      </w:pPr>
      <w:bookmarkStart w:id="78" w:name="_Toc695"/>
      <w:bookmarkStart w:id="79" w:name="_Toc453856793"/>
      <w:bookmarkStart w:id="80" w:name="_Toc255977829"/>
      <w:r>
        <w:rPr>
          <w:rFonts w:hint="eastAsia"/>
          <w:color w:val="auto"/>
          <w:lang w:val="en-US" w:eastAsia="zh-CN"/>
        </w:rPr>
        <w:t>8.3事故影响分析</w:t>
      </w:r>
      <w:bookmarkEnd w:id="78"/>
    </w:p>
    <w:p>
      <w:pPr>
        <w:pStyle w:val="4"/>
        <w:rPr>
          <w:rFonts w:hint="eastAsia"/>
          <w:lang w:val="en-US" w:eastAsia="zh-CN"/>
        </w:rPr>
      </w:pPr>
      <w:r>
        <w:rPr>
          <w:rFonts w:hint="eastAsia"/>
          <w:lang w:val="en-US" w:eastAsia="zh-CN"/>
        </w:rPr>
        <w:t>8.3.1运输过程发生的事故影响分析</w:t>
      </w:r>
    </w:p>
    <w:p>
      <w:r>
        <w:t>废物的运输过程中，不适当的操作或意外的事故均可能导致运输途中的环境污染。若车辆运输过程中发生抛洒或者发生交通事故造成废物倾倒、流失，</w:t>
      </w:r>
      <w:r>
        <w:rPr>
          <w:rFonts w:hint="eastAsia"/>
          <w:lang w:eastAsia="zh-CN"/>
        </w:rPr>
        <w:t>及时清扫立即转运，则</w:t>
      </w:r>
      <w:r>
        <w:t>对环境的影响是小范围的。</w:t>
      </w:r>
      <w:r>
        <w:rPr>
          <w:rFonts w:hint="eastAsia"/>
          <w:lang w:eastAsia="zh-CN"/>
        </w:rPr>
        <w:t>并且</w:t>
      </w:r>
      <w:r>
        <w:t>当清理工作完成后，影响便可消除。</w:t>
      </w:r>
    </w:p>
    <w:p>
      <w:pPr>
        <w:pStyle w:val="4"/>
        <w:rPr>
          <w:rFonts w:hint="eastAsia"/>
          <w:lang w:val="en-US" w:eastAsia="zh-CN"/>
        </w:rPr>
      </w:pPr>
      <w:r>
        <w:rPr>
          <w:rFonts w:hint="eastAsia"/>
          <w:lang w:val="en-US" w:eastAsia="zh-CN"/>
        </w:rPr>
        <w:t>8.3.2渗滤液事故排放对地表水的影响分析</w:t>
      </w:r>
    </w:p>
    <w:p>
      <w:pPr>
        <w:pStyle w:val="7"/>
        <w:spacing w:line="360" w:lineRule="auto"/>
        <w:ind w:firstLine="480"/>
        <w:rPr>
          <w:color w:val="auto"/>
          <w:sz w:val="24"/>
        </w:rPr>
      </w:pPr>
      <w:r>
        <w:rPr>
          <w:rFonts w:hint="eastAsia"/>
          <w:lang w:val="en-US" w:eastAsia="zh-CN"/>
        </w:rPr>
        <w:t>根据地表水环境影响预测分析中的预测结果可知，发生事故排放时，按照最大污染（即处理能为为0时）进行预测，</w:t>
      </w:r>
      <w:r>
        <w:rPr>
          <w:rFonts w:hint="eastAsia"/>
          <w:sz w:val="24"/>
          <w:szCs w:val="24"/>
        </w:rPr>
        <w:t>排污口周围水体中</w:t>
      </w:r>
      <w:r>
        <w:rPr>
          <w:rFonts w:hint="eastAsia"/>
          <w:sz w:val="24"/>
        </w:rPr>
        <w:t>COD、NH</w:t>
      </w:r>
      <w:r>
        <w:rPr>
          <w:rFonts w:hint="eastAsia"/>
          <w:sz w:val="24"/>
          <w:vertAlign w:val="subscript"/>
        </w:rPr>
        <w:t>3</w:t>
      </w:r>
      <w:r>
        <w:rPr>
          <w:rFonts w:hint="eastAsia"/>
          <w:sz w:val="24"/>
        </w:rPr>
        <w:t>-N都有局部超标现象，距排污口的距离</w:t>
      </w:r>
      <w:r>
        <w:rPr>
          <w:rFonts w:hint="eastAsia"/>
          <w:sz w:val="24"/>
          <w:lang w:val="en-US" w:eastAsia="zh-CN"/>
        </w:rPr>
        <w:t>40m之后</w:t>
      </w:r>
      <w:r>
        <w:rPr>
          <w:sz w:val="24"/>
          <w:szCs w:val="24"/>
        </w:rPr>
        <w:t>，</w:t>
      </w:r>
      <w:r>
        <w:rPr>
          <w:rFonts w:hint="eastAsia"/>
          <w:sz w:val="24"/>
          <w:szCs w:val="24"/>
          <w:lang w:eastAsia="zh-CN"/>
        </w:rPr>
        <w:t>均可达到</w:t>
      </w:r>
      <w:r>
        <w:rPr>
          <w:spacing w:val="4"/>
          <w:sz w:val="24"/>
          <w:szCs w:val="24"/>
        </w:rPr>
        <w:t>《地表水环境质量标准》（GB3838-2002）</w:t>
      </w:r>
      <w:r>
        <w:rPr>
          <w:rFonts w:hint="eastAsia"/>
          <w:sz w:val="24"/>
          <w:lang w:val="en-US" w:eastAsia="zh-CN"/>
        </w:rPr>
        <w:t>III</w:t>
      </w:r>
      <w:r>
        <w:rPr>
          <w:spacing w:val="4"/>
          <w:sz w:val="24"/>
          <w:szCs w:val="24"/>
        </w:rPr>
        <w:t>类标准。</w:t>
      </w:r>
      <w:r>
        <w:rPr>
          <w:rFonts w:hint="eastAsia"/>
          <w:spacing w:val="4"/>
          <w:sz w:val="24"/>
          <w:szCs w:val="24"/>
          <w:lang w:eastAsia="zh-CN"/>
        </w:rPr>
        <w:t>但位列更好的保证地表水质量，</w:t>
      </w:r>
      <w:r>
        <w:rPr>
          <w:rFonts w:ascii="Arial Unicode MS" w:hAnsi="Arial Unicode MS" w:eastAsia="Arial Unicode MS" w:cs="Arial Unicode MS"/>
          <w:spacing w:val="0"/>
          <w:w w:val="100"/>
          <w:sz w:val="24"/>
          <w:szCs w:val="24"/>
        </w:rPr>
        <w:t>严禁渗滤液废水未经处理直接排入水体</w:t>
      </w:r>
      <w:r>
        <w:rPr>
          <w:rFonts w:ascii="Arial Unicode MS" w:hAnsi="Arial Unicode MS" w:eastAsia="Arial Unicode MS" w:cs="Arial Unicode MS"/>
          <w:spacing w:val="-10"/>
          <w:w w:val="100"/>
          <w:sz w:val="24"/>
          <w:szCs w:val="24"/>
        </w:rPr>
        <w:t>。</w:t>
      </w:r>
      <w:r>
        <w:rPr>
          <w:rFonts w:ascii="Arial Unicode MS" w:hAnsi="Arial Unicode MS" w:eastAsia="Arial Unicode MS" w:cs="Arial Unicode MS"/>
          <w:spacing w:val="0"/>
          <w:w w:val="100"/>
          <w:sz w:val="24"/>
          <w:szCs w:val="24"/>
        </w:rPr>
        <w:t>如发生事故，应将渗滤液暂存于调节池中，待污水处理设施正常运行后再排放</w:t>
      </w:r>
      <w:r>
        <w:rPr>
          <w:rFonts w:hint="eastAsia" w:ascii="Arial Unicode MS" w:hAnsi="Arial Unicode MS" w:eastAsia="Arial Unicode MS" w:cs="Arial Unicode MS"/>
          <w:spacing w:val="0"/>
          <w:w w:val="100"/>
          <w:sz w:val="24"/>
          <w:szCs w:val="24"/>
          <w:lang w:eastAsia="zh-CN"/>
        </w:rPr>
        <w:t>；同时，</w:t>
      </w:r>
      <w:r>
        <w:rPr>
          <w:rFonts w:hint="eastAsia"/>
          <w:snapToGrid w:val="0"/>
          <w:color w:val="auto"/>
          <w:kern w:val="0"/>
          <w:sz w:val="24"/>
          <w:lang w:eastAsia="zh-CN"/>
        </w:rPr>
        <w:t>本环评建议</w:t>
      </w:r>
      <w:r>
        <w:rPr>
          <w:snapToGrid w:val="0"/>
          <w:color w:val="auto"/>
          <w:kern w:val="0"/>
          <w:sz w:val="24"/>
          <w:lang w:eastAsia="zh-CN"/>
        </w:rPr>
        <w:t>在排水口设置在线监测、截止阀及自控警报装置，水量、水质实时监控，若水质超标，截止阀自动启动，防治超标废水继续排放。通过警报响应，管理人员及时停止、检修渗滤液处理各个工艺环节。从而有效防治废水超标不正常排放，造成</w:t>
      </w:r>
      <w:r>
        <w:rPr>
          <w:rFonts w:hint="eastAsia"/>
          <w:snapToGrid w:val="0"/>
          <w:color w:val="auto"/>
          <w:kern w:val="0"/>
          <w:sz w:val="24"/>
          <w:lang w:eastAsia="zh-CN"/>
        </w:rPr>
        <w:t>芭蕉湖</w:t>
      </w:r>
      <w:r>
        <w:rPr>
          <w:snapToGrid w:val="0"/>
          <w:color w:val="auto"/>
          <w:kern w:val="0"/>
          <w:sz w:val="24"/>
          <w:lang w:eastAsia="zh-CN"/>
        </w:rPr>
        <w:t>水体污染的风险</w:t>
      </w:r>
      <w:bookmarkEnd w:id="79"/>
      <w:bookmarkEnd w:id="80"/>
      <w:r>
        <w:rPr>
          <w:rFonts w:hint="eastAsia"/>
          <w:snapToGrid w:val="0"/>
          <w:color w:val="auto"/>
          <w:kern w:val="0"/>
          <w:sz w:val="24"/>
          <w:lang w:eastAsia="zh-CN"/>
        </w:rPr>
        <w:t>；本环评建议</w:t>
      </w:r>
      <w:r>
        <w:rPr>
          <w:snapToGrid w:val="0"/>
          <w:color w:val="auto"/>
          <w:kern w:val="0"/>
          <w:sz w:val="24"/>
          <w:lang w:eastAsia="zh-CN"/>
        </w:rPr>
        <w:t>调节池设置水位警报装置，场地内雨污分流，初期雨水纳入调节池经后续处理，后期较大的雨水量通过雨水管网收集排放。</w:t>
      </w:r>
      <w:r>
        <w:rPr>
          <w:snapToGrid w:val="0"/>
          <w:color w:val="auto"/>
          <w:kern w:val="0"/>
          <w:sz w:val="24"/>
          <w:lang w:val="en-US" w:eastAsia="zh-CN"/>
        </w:rPr>
        <w:t>采用膜覆盖替代粘土覆盖，由于膜覆盖的防渗性能优良，因此，相比粘土覆盖其可大大减少渗入垃圾堆体的雨水量，应急情况下使用可有效减少由于雨水渗入带来的渗滤液增加量。</w:t>
      </w:r>
      <w:r>
        <w:rPr>
          <w:color w:val="auto"/>
          <w:sz w:val="24"/>
        </w:rPr>
        <w:t>污水输送管道也按最大渗滤液产生量设置，并留有余地，以便一旦发生事故，及时输送污水，避免对周边地表水的污染。</w:t>
      </w:r>
    </w:p>
    <w:p>
      <w:pPr>
        <w:pStyle w:val="4"/>
        <w:rPr>
          <w:rFonts w:hint="eastAsia"/>
          <w:lang w:val="en-US" w:eastAsia="zh-CN"/>
        </w:rPr>
      </w:pPr>
      <w:r>
        <w:rPr>
          <w:rFonts w:hint="eastAsia"/>
          <w:lang w:val="en-US" w:eastAsia="zh-CN"/>
        </w:rPr>
        <w:t>8.</w:t>
      </w:r>
      <w:r>
        <w:rPr>
          <w:rStyle w:val="25"/>
          <w:rFonts w:hint="eastAsia"/>
          <w:b/>
          <w:lang w:val="en-US" w:eastAsia="zh-CN"/>
        </w:rPr>
        <w:t>3.3</w:t>
      </w:r>
      <w:r>
        <w:rPr>
          <w:rFonts w:hint="eastAsia"/>
          <w:lang w:val="en-US" w:eastAsia="zh-CN"/>
        </w:rPr>
        <w:t>渗滤液收集系统失效的可能性分析</w:t>
      </w:r>
    </w:p>
    <w:p>
      <w:r>
        <w:t>渗滤液收集系统可因管道堵塞、破裂或设计有缺陷而失效，设计渗滤液收集系统 时每个部分都必须认真地进行。</w:t>
      </w:r>
    </w:p>
    <w:p>
      <w:r>
        <w:t>1、管道堵塞的原因</w:t>
      </w:r>
    </w:p>
    <w:p>
      <w:r>
        <w:t>①细颗粒的结垢——渗滤液中的细颗粒或由收集沟中带出的粘土的沉积会引起 管道结垢。为了降低土壤结垢的可能性，在渗滤液沟中最好使用地用织物或过滤布。</w:t>
      </w:r>
    </w:p>
    <w:p>
      <w:r>
        <w:t>②微生物增长——生物堵塞是因为渗滤液中存在微生物。与生物堵塞有关的因素 有渗滤液中的碳氮比、营养供给和土壤温度等。</w:t>
      </w:r>
    </w:p>
    <w:p>
      <w:r>
        <w:t>③化学物质沉淀——化学沉淀导致的堵塞，可能是由化学或生物化学过程引起 的。控制化学沉淀过程的因素有 pH 值的变化、CO2 分压的改变以及蒸发作用。定期清洗管道，可以有效地减少生物或化学过程引起的堵塞。</w:t>
      </w:r>
    </w:p>
    <w:p>
      <w:r>
        <w:t xml:space="preserve">2、管道破裂 </w:t>
      </w:r>
    </w:p>
    <w:p>
      <w:r>
        <w:t>在填埋场的建造过程和启用期内，如所选管道强度不够，可能发生管道的破裂。渗滤液收集管应选用高强度的 HDPE 管，为了防止破裂，渗滤液管应该小心施工，只有当渗滤液沟准备就绪后，才能将渗滤液管搬到现场安装，并应避免重型设备自其上方压过。</w:t>
      </w:r>
    </w:p>
    <w:p>
      <w:r>
        <w:t>3、设计缺陷</w:t>
      </w:r>
    </w:p>
    <w:p>
      <w:r>
        <w:t>一般来说，渗滤液流量非常小，但是在某些填埋场，由于分流结构失效，事故性的流量能使渗滤液流量显著增大。尽管这类情况对于大多数填埋场不常见，但一旦出现，收集管的尺寸就可能不足以有效地应付。收集管还可能由于不均衡的沉降而失效，特别是在填埋场的出口附近和检修孔的入口处。</w:t>
      </w:r>
    </w:p>
    <w:p>
      <w:pPr>
        <w:rPr>
          <w:rFonts w:hint="eastAsia"/>
          <w:lang w:val="en-US" w:eastAsia="zh-CN"/>
        </w:rPr>
      </w:pPr>
      <w:r>
        <w:t>针对上述设计缺陷，评价提出建议：渗滤液管的弯头应该平缓，因为清洗设备不 能通过急弯。十字形渗滤液管应避免使用。集管与二级管的联结不应使用 T 型接头，而应采用平整45度或更小的弯头，以便于清理工作的顺利进行。</w:t>
      </w:r>
    </w:p>
    <w:p>
      <w:pPr>
        <w:pStyle w:val="4"/>
        <w:rPr>
          <w:lang w:eastAsia="zh-CN"/>
        </w:rPr>
      </w:pPr>
      <w:bookmarkStart w:id="81" w:name="_Toc453856794"/>
      <w:r>
        <w:rPr>
          <w:rFonts w:hint="eastAsia"/>
          <w:lang w:val="en-US" w:eastAsia="zh-CN"/>
        </w:rPr>
        <w:t>8.3.4</w:t>
      </w:r>
      <w:r>
        <w:rPr>
          <w:lang w:val="en-US" w:eastAsia="zh-CN"/>
        </w:rPr>
        <w:t>土壤及地下水污染风险分析</w:t>
      </w:r>
      <w:bookmarkEnd w:id="81"/>
    </w:p>
    <w:p>
      <w:pPr>
        <w:rPr>
          <w:rFonts w:hint="eastAsia"/>
          <w:color w:val="auto"/>
          <w:lang w:eastAsia="zh-CN"/>
        </w:rPr>
      </w:pPr>
      <w:r>
        <w:rPr>
          <w:color w:val="auto"/>
        </w:rPr>
        <w:t>垃圾渗滤液通过支盲沟、主盲沟收集，填埋作业区、调节池、渗滤液处理构筑物设置防腐防渗材料，可有效阻隔渗滤液垂直、水平渗透，防止污染周边及地下的土壤、地下水。</w:t>
      </w:r>
    </w:p>
    <w:p>
      <w:pPr>
        <w:rPr>
          <w:color w:val="auto"/>
        </w:rPr>
      </w:pPr>
      <w:r>
        <w:rPr>
          <w:color w:val="auto"/>
        </w:rPr>
        <w:t>在非正常工况下，防渗措施不到位或者防渗层因地质原因发生破裂，防渗措施失效时，渗滤液穿透含水层上覆地层时渗透系数为天然状况下的渗透系数，渗滤液中污染物排入地下水环境中，从而对</w:t>
      </w:r>
      <w:r>
        <w:rPr>
          <w:rFonts w:hint="eastAsia"/>
          <w:color w:val="auto"/>
          <w:lang w:eastAsia="zh-CN"/>
        </w:rPr>
        <w:t>土壤、</w:t>
      </w:r>
      <w:r>
        <w:rPr>
          <w:color w:val="auto"/>
        </w:rPr>
        <w:t xml:space="preserve">地下水造成污染。 </w:t>
      </w:r>
    </w:p>
    <w:p>
      <w:pPr>
        <w:rPr>
          <w:rFonts w:hint="eastAsia"/>
          <w:color w:val="auto"/>
        </w:rPr>
      </w:pPr>
      <w:r>
        <w:rPr>
          <w:rFonts w:hint="eastAsia"/>
          <w:color w:val="auto"/>
        </w:rPr>
        <w:t>建立地下水污染监控制度和环境管理系统，制订详细的监测方案，实时监测，以便及时发现问题，及时采取处置措施。当出现污染事故时，应采取事故报告制度。在第一时间通过无线通讯、网络等向本区环境保护主管部门汇报，并立即采用编制事故报告，报告内容应包括：项目地点、地下水环境监测数据、污染物种类、数量、浓度等。</w:t>
      </w:r>
    </w:p>
    <w:p>
      <w:pPr>
        <w:pStyle w:val="4"/>
        <w:rPr>
          <w:u w:val="single"/>
          <w:lang w:val="en-US" w:eastAsia="zh-CN"/>
        </w:rPr>
      </w:pPr>
      <w:bookmarkStart w:id="82" w:name="_Toc255977831"/>
      <w:bookmarkStart w:id="83" w:name="_Toc453856795"/>
      <w:r>
        <w:rPr>
          <w:rFonts w:hint="eastAsia"/>
          <w:u w:val="single"/>
          <w:lang w:val="en-US" w:eastAsia="zh-CN"/>
        </w:rPr>
        <w:t>8.3.5</w:t>
      </w:r>
      <w:r>
        <w:rPr>
          <w:u w:val="single"/>
          <w:lang w:val="en-US" w:eastAsia="zh-CN"/>
        </w:rPr>
        <w:t>填埋废气污染风险分析</w:t>
      </w:r>
      <w:bookmarkEnd w:id="82"/>
      <w:bookmarkEnd w:id="83"/>
    </w:p>
    <w:p>
      <w:pPr>
        <w:spacing w:line="360" w:lineRule="auto"/>
        <w:ind w:firstLine="539"/>
        <w:rPr>
          <w:color w:val="auto"/>
          <w:sz w:val="24"/>
          <w:u w:val="single"/>
        </w:rPr>
      </w:pPr>
      <w:r>
        <w:rPr>
          <w:color w:val="auto"/>
          <w:sz w:val="24"/>
          <w:u w:val="single"/>
        </w:rPr>
        <w:t>填埋气体是生活垃圾在填埋处置过程中其有机废气经厌氧降解产生的混合性气体。填埋气体主要成份为CH</w:t>
      </w:r>
      <w:r>
        <w:rPr>
          <w:color w:val="auto"/>
          <w:sz w:val="24"/>
          <w:u w:val="single"/>
          <w:vertAlign w:val="subscript"/>
        </w:rPr>
        <w:t>4</w:t>
      </w:r>
      <w:r>
        <w:rPr>
          <w:color w:val="auto"/>
          <w:sz w:val="24"/>
          <w:u w:val="single"/>
        </w:rPr>
        <w:t>、CO</w:t>
      </w:r>
      <w:r>
        <w:rPr>
          <w:color w:val="auto"/>
          <w:sz w:val="24"/>
          <w:u w:val="single"/>
          <w:vertAlign w:val="subscript"/>
        </w:rPr>
        <w:t>2</w:t>
      </w:r>
      <w:r>
        <w:rPr>
          <w:color w:val="auto"/>
          <w:sz w:val="24"/>
          <w:u w:val="single"/>
        </w:rPr>
        <w:t>、H</w:t>
      </w:r>
      <w:r>
        <w:rPr>
          <w:color w:val="auto"/>
          <w:sz w:val="24"/>
          <w:u w:val="single"/>
          <w:vertAlign w:val="subscript"/>
        </w:rPr>
        <w:t>2</w:t>
      </w:r>
      <w:r>
        <w:rPr>
          <w:color w:val="auto"/>
          <w:sz w:val="24"/>
          <w:u w:val="single"/>
        </w:rPr>
        <w:t>、N</w:t>
      </w:r>
      <w:r>
        <w:rPr>
          <w:color w:val="auto"/>
          <w:sz w:val="24"/>
          <w:u w:val="single"/>
          <w:vertAlign w:val="subscript"/>
        </w:rPr>
        <w:t>2</w:t>
      </w:r>
      <w:r>
        <w:rPr>
          <w:color w:val="auto"/>
          <w:sz w:val="24"/>
          <w:u w:val="single"/>
        </w:rPr>
        <w:t>和O</w:t>
      </w:r>
      <w:r>
        <w:rPr>
          <w:color w:val="auto"/>
          <w:sz w:val="24"/>
          <w:u w:val="single"/>
          <w:vertAlign w:val="subscript"/>
        </w:rPr>
        <w:t>2</w:t>
      </w:r>
      <w:r>
        <w:rPr>
          <w:color w:val="auto"/>
          <w:sz w:val="24"/>
          <w:u w:val="single"/>
        </w:rPr>
        <w:t>，还有一些微量气体，如H</w:t>
      </w:r>
      <w:r>
        <w:rPr>
          <w:color w:val="auto"/>
          <w:sz w:val="24"/>
          <w:u w:val="single"/>
          <w:vertAlign w:val="subscript"/>
        </w:rPr>
        <w:t>2</w:t>
      </w:r>
      <w:r>
        <w:rPr>
          <w:color w:val="auto"/>
          <w:sz w:val="24"/>
          <w:u w:val="single"/>
        </w:rPr>
        <w:t>S、NH</w:t>
      </w:r>
      <w:r>
        <w:rPr>
          <w:color w:val="auto"/>
          <w:sz w:val="24"/>
          <w:u w:val="single"/>
          <w:vertAlign w:val="subscript"/>
        </w:rPr>
        <w:t>3</w:t>
      </w:r>
      <w:r>
        <w:rPr>
          <w:color w:val="auto"/>
          <w:sz w:val="24"/>
          <w:u w:val="single"/>
        </w:rPr>
        <w:t>、庚烷、辛烷、氯乙烯等。填埋气体的无序排放将会引发不少环境问题，如其中含较高浓度的CH</w:t>
      </w:r>
      <w:r>
        <w:rPr>
          <w:color w:val="auto"/>
          <w:sz w:val="24"/>
          <w:u w:val="single"/>
          <w:vertAlign w:val="subscript"/>
        </w:rPr>
        <w:t>4</w:t>
      </w:r>
      <w:r>
        <w:rPr>
          <w:color w:val="auto"/>
          <w:sz w:val="24"/>
          <w:u w:val="single"/>
        </w:rPr>
        <w:t>(加CO</w:t>
      </w:r>
      <w:r>
        <w:rPr>
          <w:color w:val="auto"/>
          <w:sz w:val="24"/>
          <w:u w:val="single"/>
          <w:vertAlign w:val="subscript"/>
        </w:rPr>
        <w:t>2</w:t>
      </w:r>
      <w:r>
        <w:rPr>
          <w:color w:val="auto"/>
          <w:sz w:val="24"/>
          <w:u w:val="single"/>
        </w:rPr>
        <w:t>占总量的99%以上)，既是潜在的爆炸源，又是重要的温室气体；其中的H</w:t>
      </w:r>
      <w:r>
        <w:rPr>
          <w:color w:val="auto"/>
          <w:sz w:val="24"/>
          <w:u w:val="single"/>
          <w:vertAlign w:val="subscript"/>
        </w:rPr>
        <w:t>2</w:t>
      </w:r>
      <w:r>
        <w:rPr>
          <w:color w:val="auto"/>
          <w:sz w:val="24"/>
          <w:u w:val="single"/>
        </w:rPr>
        <w:t>S、NH</w:t>
      </w:r>
      <w:r>
        <w:rPr>
          <w:color w:val="auto"/>
          <w:sz w:val="24"/>
          <w:u w:val="single"/>
          <w:vertAlign w:val="subscript"/>
        </w:rPr>
        <w:t>3</w:t>
      </w:r>
      <w:r>
        <w:rPr>
          <w:color w:val="auto"/>
          <w:sz w:val="24"/>
          <w:u w:val="single"/>
        </w:rPr>
        <w:t>等恶臭气体对人体的潜在危害也是不可忽视的。</w:t>
      </w:r>
    </w:p>
    <w:p>
      <w:pPr>
        <w:spacing w:line="360" w:lineRule="auto"/>
        <w:ind w:firstLine="540"/>
        <w:rPr>
          <w:color w:val="auto"/>
          <w:sz w:val="24"/>
          <w:u w:val="single"/>
        </w:rPr>
      </w:pPr>
      <w:r>
        <w:rPr>
          <w:color w:val="auto"/>
          <w:sz w:val="24"/>
          <w:u w:val="single"/>
        </w:rPr>
        <w:t>根据</w:t>
      </w:r>
      <w:r>
        <w:rPr>
          <w:snapToGrid w:val="0"/>
          <w:color w:val="auto"/>
          <w:kern w:val="0"/>
          <w:sz w:val="24"/>
          <w:u w:val="single"/>
        </w:rPr>
        <w:t>《生活垃圾填埋场污染控制标准》(GB16889-2008)，</w:t>
      </w:r>
      <w:r>
        <w:rPr>
          <w:color w:val="auto"/>
          <w:sz w:val="24"/>
          <w:u w:val="single"/>
        </w:rPr>
        <w:t>甲烷排放控制要求：</w:t>
      </w:r>
      <w:r>
        <w:rPr>
          <w:rFonts w:hint="eastAsia"/>
          <w:color w:val="auto"/>
          <w:sz w:val="24"/>
          <w:u w:val="single"/>
          <w:lang w:eastAsia="zh-CN"/>
        </w:rPr>
        <w:t>大于</w:t>
      </w:r>
      <w:r>
        <w:rPr>
          <w:color w:val="auto"/>
          <w:sz w:val="24"/>
          <w:u w:val="single"/>
        </w:rPr>
        <w:t>250万吨且垃圾填埋厚度</w:t>
      </w:r>
      <w:r>
        <w:rPr>
          <w:rFonts w:hint="eastAsia"/>
          <w:color w:val="auto"/>
          <w:sz w:val="24"/>
          <w:u w:val="single"/>
          <w:lang w:eastAsia="zh-CN"/>
        </w:rPr>
        <w:t>且</w:t>
      </w:r>
      <w:r>
        <w:rPr>
          <w:color w:val="auto"/>
          <w:sz w:val="24"/>
          <w:u w:val="single"/>
        </w:rPr>
        <w:t>超过20m的生活垃圾填埋场，应</w:t>
      </w:r>
      <w:r>
        <w:rPr>
          <w:rFonts w:hint="eastAsia"/>
          <w:color w:val="auto"/>
          <w:sz w:val="24"/>
          <w:u w:val="single"/>
          <w:lang w:eastAsia="zh-CN"/>
        </w:rPr>
        <w:t>建设甲烷利用设施</w:t>
      </w:r>
      <w:r>
        <w:rPr>
          <w:color w:val="auto"/>
          <w:sz w:val="24"/>
          <w:u w:val="single"/>
        </w:rPr>
        <w:t>或采用火炬燃烧设施处理含甲烷填埋气体。</w:t>
      </w:r>
      <w:r>
        <w:rPr>
          <w:color w:val="auto"/>
          <w:kern w:val="0"/>
          <w:sz w:val="24"/>
          <w:u w:val="single"/>
        </w:rPr>
        <w:t>填埋工作面上2m以下高度范围内甲烷的体积百分比应不大于0.1%；生活垃圾填埋场应采取甲烷减排措施，当通过导气管道直接排放填埋气体时，导气管排放口的甲烷的体积百分比不大于5%。</w:t>
      </w:r>
    </w:p>
    <w:p>
      <w:pPr>
        <w:spacing w:line="360" w:lineRule="auto"/>
        <w:ind w:firstLine="540"/>
        <w:rPr>
          <w:color w:val="auto"/>
          <w:sz w:val="24"/>
          <w:u w:val="single"/>
        </w:rPr>
      </w:pPr>
      <w:r>
        <w:rPr>
          <w:color w:val="auto"/>
          <w:sz w:val="24"/>
          <w:u w:val="single"/>
        </w:rPr>
        <w:t>本工程填埋气体利用竖直导气石笼井和水平层间盲沟进行收集，</w:t>
      </w:r>
      <w:r>
        <w:rPr>
          <w:rFonts w:hint="eastAsia"/>
          <w:color w:val="auto"/>
          <w:sz w:val="24"/>
          <w:u w:val="single"/>
          <w:lang w:eastAsia="zh-CN"/>
        </w:rPr>
        <w:t>送至填埋废气处理系统进行精制成天然气综合利用</w:t>
      </w:r>
      <w:r>
        <w:rPr>
          <w:color w:val="auto"/>
          <w:sz w:val="24"/>
          <w:u w:val="single"/>
        </w:rPr>
        <w:t>，降低大气污染影响，并保证填埋作业的安全。</w:t>
      </w:r>
    </w:p>
    <w:p>
      <w:pPr>
        <w:spacing w:line="360" w:lineRule="auto"/>
        <w:ind w:firstLine="540"/>
        <w:rPr>
          <w:color w:val="auto"/>
          <w:sz w:val="24"/>
          <w:u w:val="single"/>
        </w:rPr>
      </w:pPr>
      <w:r>
        <w:rPr>
          <w:color w:val="auto"/>
          <w:sz w:val="24"/>
          <w:u w:val="single"/>
        </w:rPr>
        <w:t>本环评进一步预测甲烷气体发生爆炸的风险影响。</w:t>
      </w:r>
    </w:p>
    <w:p>
      <w:pPr>
        <w:spacing w:line="360" w:lineRule="auto"/>
        <w:ind w:firstLine="540"/>
        <w:rPr>
          <w:color w:val="auto"/>
          <w:sz w:val="24"/>
          <w:u w:val="single"/>
        </w:rPr>
      </w:pPr>
      <w:r>
        <w:rPr>
          <w:color w:val="auto"/>
          <w:sz w:val="24"/>
          <w:u w:val="single"/>
        </w:rPr>
        <w:t>(1) 预测模式</w:t>
      </w:r>
    </w:p>
    <w:p>
      <w:pPr>
        <w:spacing w:line="360" w:lineRule="auto"/>
        <w:ind w:firstLine="540"/>
        <w:rPr>
          <w:color w:val="auto"/>
          <w:sz w:val="24"/>
          <w:u w:val="single"/>
        </w:rPr>
      </w:pPr>
      <w:r>
        <w:rPr>
          <w:color w:val="auto"/>
          <w:sz w:val="24"/>
          <w:u w:val="single"/>
        </w:rPr>
        <w:t>爆炸风险预测模式如下：</w:t>
      </w:r>
    </w:p>
    <w:p>
      <w:pPr>
        <w:spacing w:line="360" w:lineRule="auto"/>
        <w:ind w:firstLine="540"/>
        <w:jc w:val="center"/>
        <w:rPr>
          <w:color w:val="auto"/>
          <w:sz w:val="24"/>
          <w:u w:val="single"/>
        </w:rPr>
      </w:pPr>
      <w:r>
        <w:rPr>
          <w:color w:val="auto"/>
          <w:position w:val="-12"/>
          <w:sz w:val="24"/>
          <w:u w:val="single"/>
        </w:rPr>
        <w:object>
          <v:shape id="_x0000_i1033" o:spt="75" type="#_x0000_t75" style="height:21pt;width:96.95pt;" o:ole="t" filled="f" o:preferrelative="t" stroked="f" coordsize="21600,21600">
            <v:path/>
            <v:fill on="f" alignshape="1" focussize="0,0"/>
            <v:stroke on="f"/>
            <v:imagedata r:id="rId33" grayscale="f" bilevel="f" o:title=""/>
            <o:lock v:ext="edit" aspectratio="t"/>
            <w10:wrap type="none"/>
            <w10:anchorlock/>
          </v:shape>
          <o:OLEObject Type="Embed" ProgID="Equation.3" ShapeID="_x0000_i1033" DrawAspect="Content" ObjectID="_1468075733" r:id="rId32">
            <o:LockedField>false</o:LockedField>
          </o:OLEObject>
        </w:object>
      </w:r>
    </w:p>
    <w:p>
      <w:pPr>
        <w:spacing w:line="360" w:lineRule="auto"/>
        <w:ind w:firstLine="540"/>
        <w:rPr>
          <w:color w:val="auto"/>
          <w:sz w:val="24"/>
          <w:u w:val="single"/>
        </w:rPr>
      </w:pPr>
      <w:r>
        <w:rPr>
          <w:color w:val="auto"/>
          <w:sz w:val="24"/>
          <w:u w:val="single"/>
        </w:rPr>
        <w:t>式中：</w:t>
      </w:r>
      <w:r>
        <w:rPr>
          <w:color w:val="auto"/>
          <w:position w:val="-12"/>
          <w:sz w:val="24"/>
          <w:u w:val="single"/>
        </w:rPr>
        <w:object>
          <v:shape id="_x0000_i1034" o:spt="75" type="#_x0000_t75" style="height:19pt;width:21pt;" o:ole="t" filled="f" o:preferrelative="t" stroked="f" coordsize="21600,21600">
            <v:path/>
            <v:fill on="f" alignshape="1" focussize="0,0"/>
            <v:stroke on="f"/>
            <v:imagedata r:id="rId35" grayscale="f" bilevel="f" o:title=""/>
            <o:lock v:ext="edit" aspectratio="t"/>
            <w10:wrap type="none"/>
            <w10:anchorlock/>
          </v:shape>
          <o:OLEObject Type="Embed" ProgID="Equation.3" ShapeID="_x0000_i1034" DrawAspect="Content" ObjectID="_1468075734" r:id="rId34">
            <o:LockedField>false</o:LockedField>
          </o:OLEObject>
        </w:object>
      </w:r>
      <w:r>
        <w:rPr>
          <w:color w:val="auto"/>
          <w:sz w:val="24"/>
          <w:u w:val="single"/>
        </w:rPr>
        <w:t>-爆炸伤害半径，m；</w:t>
      </w:r>
    </w:p>
    <w:p>
      <w:pPr>
        <w:spacing w:line="360" w:lineRule="auto"/>
        <w:ind w:firstLine="540"/>
        <w:rPr>
          <w:color w:val="auto"/>
          <w:sz w:val="24"/>
          <w:u w:val="single"/>
        </w:rPr>
      </w:pPr>
      <w:r>
        <w:rPr>
          <w:color w:val="auto"/>
          <w:sz w:val="24"/>
          <w:u w:val="single"/>
        </w:rPr>
        <w:t xml:space="preserve">      </w:t>
      </w:r>
      <w:r>
        <w:rPr>
          <w:color w:val="auto"/>
          <w:position w:val="-12"/>
          <w:sz w:val="24"/>
          <w:u w:val="single"/>
        </w:rPr>
        <w:object>
          <v:shape id="_x0000_i1035" o:spt="75" type="#_x0000_t75" style="height:19pt;width:20pt;" o:ole="t" filled="f" o:preferrelative="t" stroked="f" coordsize="21600,21600">
            <v:path/>
            <v:fill on="f" alignshape="1" focussize="0,0"/>
            <v:stroke on="f"/>
            <v:imagedata r:id="rId37" grayscale="f" bilevel="f" o:title=""/>
            <o:lock v:ext="edit" aspectratio="t"/>
            <w10:wrap type="none"/>
            <w10:anchorlock/>
          </v:shape>
          <o:OLEObject Type="Embed" ProgID="Equation.3" ShapeID="_x0000_i1035" DrawAspect="Content" ObjectID="_1468075735" r:id="rId36">
            <o:LockedField>false</o:LockedField>
          </o:OLEObject>
        </w:object>
      </w:r>
      <w:r>
        <w:rPr>
          <w:color w:val="auto"/>
          <w:sz w:val="24"/>
          <w:u w:val="single"/>
        </w:rPr>
        <w:t>-伤害程度系数，mJ</w:t>
      </w:r>
      <w:r>
        <w:rPr>
          <w:color w:val="auto"/>
          <w:sz w:val="24"/>
          <w:u w:val="single"/>
          <w:vertAlign w:val="superscript"/>
        </w:rPr>
        <w:t>-1/3</w:t>
      </w:r>
      <w:r>
        <w:rPr>
          <w:color w:val="auto"/>
          <w:sz w:val="24"/>
          <w:u w:val="single"/>
        </w:rPr>
        <w:t>；</w:t>
      </w:r>
    </w:p>
    <w:p>
      <w:pPr>
        <w:spacing w:line="360" w:lineRule="auto"/>
        <w:ind w:firstLine="540"/>
        <w:rPr>
          <w:color w:val="auto"/>
          <w:sz w:val="24"/>
          <w:u w:val="single"/>
        </w:rPr>
      </w:pPr>
      <w:r>
        <w:rPr>
          <w:color w:val="auto"/>
          <w:sz w:val="24"/>
          <w:u w:val="single"/>
        </w:rPr>
        <w:t xml:space="preserve">      N-发生系数，取100%；</w:t>
      </w:r>
    </w:p>
    <w:p>
      <w:pPr>
        <w:spacing w:line="360" w:lineRule="auto"/>
        <w:ind w:firstLine="540"/>
        <w:rPr>
          <w:color w:val="auto"/>
          <w:sz w:val="24"/>
          <w:u w:val="single"/>
        </w:rPr>
      </w:pPr>
      <w:r>
        <w:rPr>
          <w:color w:val="auto"/>
          <w:sz w:val="24"/>
          <w:u w:val="single"/>
        </w:rPr>
        <w:t xml:space="preserve">      </w:t>
      </w:r>
      <w:r>
        <w:rPr>
          <w:color w:val="auto"/>
          <w:position w:val="-10"/>
          <w:sz w:val="24"/>
          <w:u w:val="single"/>
        </w:rPr>
        <w:object>
          <v:shape id="_x0000_i1036" o:spt="75" type="#_x0000_t75" style="height:18pt;width:15pt;" o:ole="t" filled="f" stroked="f" coordsize="21600,21600">
            <v:path/>
            <v:fill on="f" focussize="0,0"/>
            <v:stroke on="f"/>
            <v:imagedata r:id="rId39" o:title=""/>
            <o:lock v:ext="edit" aspectratio="t"/>
            <w10:wrap type="none"/>
            <w10:anchorlock/>
          </v:shape>
          <o:OLEObject Type="Embed" ProgID="Equation.3" ShapeID="_x0000_i1036" DrawAspect="Content" ObjectID="_1468075736" r:id="rId38">
            <o:LockedField>false</o:LockedField>
          </o:OLEObject>
        </w:object>
      </w:r>
      <w:r>
        <w:rPr>
          <w:color w:val="auto"/>
          <w:sz w:val="24"/>
          <w:u w:val="single"/>
        </w:rPr>
        <w:t>-爆炸总能量，kJ，可按下式取值：</w:t>
      </w:r>
    </w:p>
    <w:p>
      <w:pPr>
        <w:spacing w:line="360" w:lineRule="auto"/>
        <w:ind w:firstLine="540"/>
        <w:jc w:val="center"/>
        <w:rPr>
          <w:color w:val="auto"/>
          <w:sz w:val="24"/>
          <w:u w:val="single"/>
        </w:rPr>
      </w:pPr>
      <w:r>
        <w:rPr>
          <w:color w:val="auto"/>
          <w:position w:val="-10"/>
          <w:sz w:val="24"/>
          <w:u w:val="single"/>
        </w:rPr>
        <w:object>
          <v:shape id="_x0000_i1037" o:spt="75" type="#_x0000_t75" style="height:18pt;width:51pt;" o:ole="t" filled="f" o:preferrelative="t" stroked="f" coordsize="21600,21600">
            <v:path/>
            <v:fill on="f" alignshape="1" focussize="0,0"/>
            <v:stroke on="f"/>
            <v:imagedata r:id="rId41" grayscale="f" bilevel="f" o:title=""/>
            <o:lock v:ext="edit" aspectratio="t"/>
            <w10:wrap type="none"/>
            <w10:anchorlock/>
          </v:shape>
          <o:OLEObject Type="Embed" ProgID="Equation.3" ShapeID="_x0000_i1037" DrawAspect="Content" ObjectID="_1468075737" r:id="rId40">
            <o:LockedField>false</o:LockedField>
          </o:OLEObject>
        </w:object>
      </w:r>
    </w:p>
    <w:p>
      <w:pPr>
        <w:spacing w:line="360" w:lineRule="auto"/>
        <w:ind w:firstLine="540"/>
        <w:jc w:val="center"/>
        <w:rPr>
          <w:color w:val="auto"/>
          <w:sz w:val="24"/>
          <w:u w:val="single"/>
        </w:rPr>
      </w:pPr>
      <w:r>
        <w:rPr>
          <w:color w:val="auto"/>
          <w:sz w:val="24"/>
          <w:u w:val="single"/>
        </w:rPr>
        <w:t>式中：V-参与反应的可燃气体的体积，m³；取值为2万m³；</w:t>
      </w:r>
    </w:p>
    <w:p>
      <w:pPr>
        <w:spacing w:line="360" w:lineRule="auto"/>
        <w:ind w:firstLine="540"/>
        <w:jc w:val="center"/>
        <w:rPr>
          <w:color w:val="auto"/>
          <w:sz w:val="24"/>
          <w:u w:val="single"/>
        </w:rPr>
      </w:pPr>
      <w:r>
        <w:rPr>
          <w:color w:val="auto"/>
          <w:position w:val="-4"/>
          <w:sz w:val="24"/>
          <w:u w:val="single"/>
        </w:rPr>
        <w:object>
          <v:shape id="_x0000_i1038" o:spt="75" type="#_x0000_t75" style="height:13pt;width:16pt;" o:ole="t" filled="f" o:preferrelative="t" stroked="f" coordsize="21600,21600">
            <v:path/>
            <v:fill on="f" alignshape="1" focussize="0,0"/>
            <v:stroke on="f"/>
            <v:imagedata r:id="rId43" grayscale="f" bilevel="f" o:title=""/>
            <o:lock v:ext="edit" aspectratio="t"/>
            <w10:wrap type="none"/>
            <w10:anchorlock/>
          </v:shape>
          <o:OLEObject Type="Embed" ProgID="Equation.3" ShapeID="_x0000_i1038" DrawAspect="Content" ObjectID="_1468075738" r:id="rId42">
            <o:LockedField>false</o:LockedField>
          </o:OLEObject>
        </w:object>
      </w:r>
      <w:r>
        <w:rPr>
          <w:color w:val="auto"/>
          <w:sz w:val="24"/>
          <w:u w:val="single"/>
        </w:rPr>
        <w:t>-可燃气体的高燃烧热值，取</w:t>
      </w:r>
      <w:r>
        <w:rPr>
          <w:color w:val="auto"/>
          <w:position w:val="-14"/>
          <w:sz w:val="24"/>
          <w:u w:val="single"/>
        </w:rPr>
        <w:object>
          <v:shape id="_x0000_i1039" o:spt="75" type="#_x0000_t75" style="height:20pt;width:23pt;" o:ole="t" filled="f" o:preferrelative="t" stroked="f" coordsize="21600,21600">
            <v:path/>
            <v:fill on="f" alignshape="1" focussize="0,0"/>
            <v:stroke on="f"/>
            <v:imagedata r:id="rId45" grayscale="f" bilevel="f" o:title=""/>
            <o:lock v:ext="edit" aspectratio="t"/>
            <w10:wrap type="none"/>
            <w10:anchorlock/>
          </v:shape>
          <o:OLEObject Type="Embed" ProgID="Equation.3" ShapeID="_x0000_i1039" DrawAspect="Content" ObjectID="_1468075739" r:id="rId44">
            <o:LockedField>false</o:LockedField>
          </o:OLEObject>
        </w:object>
      </w:r>
      <w:r>
        <w:rPr>
          <w:color w:val="auto"/>
          <w:sz w:val="24"/>
          <w:u w:val="single"/>
        </w:rPr>
        <w:t>=39680kJ/m</w:t>
      </w:r>
      <w:r>
        <w:rPr>
          <w:color w:val="auto"/>
          <w:sz w:val="24"/>
          <w:u w:val="single"/>
          <w:vertAlign w:val="superscript"/>
        </w:rPr>
        <w:t>3</w:t>
      </w:r>
      <w:r>
        <w:rPr>
          <w:color w:val="auto"/>
          <w:sz w:val="24"/>
          <w:u w:val="single"/>
        </w:rPr>
        <w:t>。</w:t>
      </w:r>
    </w:p>
    <w:p>
      <w:pPr>
        <w:spacing w:line="360" w:lineRule="auto"/>
        <w:ind w:firstLine="540"/>
        <w:rPr>
          <w:color w:val="auto"/>
          <w:sz w:val="24"/>
          <w:u w:val="single"/>
        </w:rPr>
      </w:pPr>
      <w:r>
        <w:rPr>
          <w:color w:val="auto"/>
          <w:sz w:val="24"/>
          <w:u w:val="single"/>
        </w:rPr>
        <w:t>(2) 预测结果分析</w:t>
      </w:r>
    </w:p>
    <w:p>
      <w:pPr>
        <w:spacing w:line="360" w:lineRule="auto"/>
        <w:ind w:firstLine="540"/>
        <w:jc w:val="left"/>
        <w:rPr>
          <w:color w:val="auto"/>
          <w:sz w:val="24"/>
          <w:u w:val="single"/>
        </w:rPr>
      </w:pPr>
      <w:r>
        <w:rPr>
          <w:color w:val="auto"/>
          <w:sz w:val="24"/>
          <w:u w:val="single"/>
        </w:rPr>
        <w:t>预测结果见表8-1。</w:t>
      </w:r>
    </w:p>
    <w:p>
      <w:pPr>
        <w:pStyle w:val="23"/>
        <w:rPr>
          <w:b/>
          <w:bCs/>
          <w:color w:val="auto"/>
          <w:u w:val="single"/>
        </w:rPr>
      </w:pPr>
      <w:r>
        <w:rPr>
          <w:b/>
          <w:bCs/>
          <w:color w:val="auto"/>
          <w:u w:val="single"/>
        </w:rPr>
        <w:t>表8-1 垃圾填埋场废气爆炸风险预测分析结果</w:t>
      </w:r>
    </w:p>
    <w:tbl>
      <w:tblPr>
        <w:tblStyle w:val="19"/>
        <w:tblW w:w="8534" w:type="dxa"/>
        <w:jc w:val="center"/>
        <w:tblInd w:w="-15"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
      <w:tblGrid>
        <w:gridCol w:w="1434"/>
        <w:gridCol w:w="1558"/>
        <w:gridCol w:w="2268"/>
        <w:gridCol w:w="3274"/>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275" w:hRule="atLeast"/>
          <w:jc w:val="center"/>
        </w:trPr>
        <w:tc>
          <w:tcPr>
            <w:tcW w:w="1434" w:type="dxa"/>
            <w:vMerge w:val="restart"/>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爆炸伤害半径(m)</w:t>
            </w:r>
          </w:p>
        </w:tc>
        <w:tc>
          <w:tcPr>
            <w:tcW w:w="1558" w:type="dxa"/>
            <w:vMerge w:val="restart"/>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伤害程度系数</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(mJ-1/3)</w:t>
            </w:r>
          </w:p>
        </w:tc>
        <w:tc>
          <w:tcPr>
            <w:tcW w:w="5542" w:type="dxa"/>
            <w:gridSpan w:val="2"/>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伤害程度</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313" w:hRule="atLeast"/>
          <w:jc w:val="center"/>
        </w:trPr>
        <w:tc>
          <w:tcPr>
            <w:tcW w:w="1434"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558" w:type="dxa"/>
            <w:vMerge w:val="continue"/>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2268"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对设备</w:t>
            </w:r>
          </w:p>
        </w:tc>
        <w:tc>
          <w:tcPr>
            <w:tcW w:w="327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对人体</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271" w:hRule="atLeast"/>
          <w:jc w:val="center"/>
        </w:trPr>
        <w:tc>
          <w:tcPr>
            <w:tcW w:w="143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12.91</w:t>
            </w:r>
          </w:p>
        </w:tc>
        <w:tc>
          <w:tcPr>
            <w:tcW w:w="1558"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0.03</w:t>
            </w:r>
          </w:p>
        </w:tc>
        <w:tc>
          <w:tcPr>
            <w:tcW w:w="2268"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对建筑物及设备产生重大危害</w:t>
            </w:r>
          </w:p>
        </w:tc>
        <w:tc>
          <w:tcPr>
            <w:tcW w:w="327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1%人死于肺的伤害，&gt;50%人耳膜破裂，&gt;50%人受到爆炸飞片严重伤害。</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271" w:hRule="atLeast"/>
          <w:jc w:val="center"/>
        </w:trPr>
        <w:tc>
          <w:tcPr>
            <w:tcW w:w="143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25.82</w:t>
            </w:r>
          </w:p>
        </w:tc>
        <w:tc>
          <w:tcPr>
            <w:tcW w:w="1558"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0.06</w:t>
            </w:r>
          </w:p>
        </w:tc>
        <w:tc>
          <w:tcPr>
            <w:tcW w:w="2268"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对建筑物造成可修改损害，损害建筑物外表</w:t>
            </w:r>
          </w:p>
        </w:tc>
        <w:tc>
          <w:tcPr>
            <w:tcW w:w="327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1%人耳膜破裂，1%人受到爆炸飞片严重伤害。</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271" w:hRule="atLeast"/>
          <w:jc w:val="center"/>
        </w:trPr>
        <w:tc>
          <w:tcPr>
            <w:tcW w:w="143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64.56</w:t>
            </w:r>
          </w:p>
        </w:tc>
        <w:tc>
          <w:tcPr>
            <w:tcW w:w="1558"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0.15</w:t>
            </w:r>
          </w:p>
        </w:tc>
        <w:tc>
          <w:tcPr>
            <w:tcW w:w="2268"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玻璃破裂</w:t>
            </w:r>
          </w:p>
        </w:tc>
        <w:tc>
          <w:tcPr>
            <w:tcW w:w="327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受到爆炸飞片轻微伤害</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28" w:type="dxa"/>
            <w:left w:w="0" w:type="dxa"/>
            <w:bottom w:w="28" w:type="dxa"/>
            <w:right w:w="0" w:type="dxa"/>
          </w:tblCellMar>
        </w:tblPrEx>
        <w:trPr>
          <w:trHeight w:val="271" w:hRule="atLeast"/>
          <w:jc w:val="center"/>
        </w:trPr>
        <w:tc>
          <w:tcPr>
            <w:tcW w:w="143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172.15</w:t>
            </w:r>
          </w:p>
        </w:tc>
        <w:tc>
          <w:tcPr>
            <w:tcW w:w="1558"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0.4</w:t>
            </w:r>
          </w:p>
        </w:tc>
        <w:tc>
          <w:tcPr>
            <w:tcW w:w="2268"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10%玻璃受损</w:t>
            </w:r>
          </w:p>
        </w:tc>
        <w:tc>
          <w:tcPr>
            <w:tcW w:w="3274" w:type="dxa"/>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w:t>
            </w:r>
          </w:p>
        </w:tc>
      </w:tr>
    </w:tbl>
    <w:p>
      <w:pPr>
        <w:spacing w:before="120" w:beforeLines="50" w:line="360" w:lineRule="auto"/>
        <w:ind w:firstLine="539"/>
        <w:jc w:val="left"/>
        <w:rPr>
          <w:color w:val="auto"/>
          <w:sz w:val="24"/>
          <w:u w:val="single"/>
        </w:rPr>
      </w:pPr>
      <w:r>
        <w:rPr>
          <w:color w:val="auto"/>
          <w:sz w:val="24"/>
          <w:u w:val="single"/>
        </w:rPr>
        <w:t>由上预测结果可知，若填埋场填埋气体发生爆炸，对人造成伤害的范围在爆炸半径12.91m范围内；对建筑物造成危害的范围在25.82m范围内，该较大伤害影响区域主要位于场地范围内，无其他单位及居民。</w:t>
      </w:r>
    </w:p>
    <w:p>
      <w:pPr>
        <w:spacing w:line="360" w:lineRule="auto"/>
        <w:ind w:firstLine="540"/>
        <w:rPr>
          <w:color w:val="auto"/>
          <w:spacing w:val="-2"/>
          <w:sz w:val="24"/>
          <w:u w:val="single"/>
        </w:rPr>
      </w:pPr>
      <w:r>
        <w:rPr>
          <w:color w:val="auto"/>
          <w:spacing w:val="-2"/>
          <w:sz w:val="24"/>
          <w:u w:val="single"/>
        </w:rPr>
        <w:t>为避免场区无组织释放的填埋气体潜在危害，填埋场管理部门应在填埋场区设置醒目的消防、禁火标志，并做好员工和外来人员的安全教育，定期举行消防演练。填埋场应按设计要求，设置专用消防管网、构筑消防水池、防火隔离带和灭火器。</w:t>
      </w:r>
    </w:p>
    <w:p>
      <w:pPr>
        <w:spacing w:line="360" w:lineRule="auto"/>
        <w:ind w:firstLine="540"/>
        <w:rPr>
          <w:color w:val="auto"/>
          <w:sz w:val="24"/>
          <w:u w:val="single"/>
        </w:rPr>
      </w:pPr>
      <w:r>
        <w:rPr>
          <w:color w:val="auto"/>
          <w:sz w:val="24"/>
          <w:u w:val="single"/>
        </w:rPr>
        <w:t>日常管理中应经常检查消火栓能否正常运行，如出现损坏应及时维修。同时注意培养工作人员的消防意识和基本的消防技能。出现垃圾场局部失火的突发事件时，应及时拨打119消防紧急电话，同时组织厂区工作人员，利用填埋场的消防设施进行灭火。</w:t>
      </w:r>
    </w:p>
    <w:p>
      <w:pPr>
        <w:pStyle w:val="4"/>
      </w:pPr>
      <w:bookmarkStart w:id="84" w:name="_Toc453856796"/>
      <w:bookmarkStart w:id="85" w:name="_Toc255977832"/>
      <w:r>
        <w:rPr>
          <w:rFonts w:hint="eastAsia"/>
          <w:lang w:val="en-US" w:eastAsia="zh-CN"/>
        </w:rPr>
        <w:t>8.3.6</w:t>
      </w:r>
      <w:r>
        <w:t>垃圾堆体沉降或滑动的风险分析</w:t>
      </w:r>
      <w:bookmarkEnd w:id="84"/>
      <w:bookmarkEnd w:id="85"/>
    </w:p>
    <w:p>
      <w:pPr>
        <w:spacing w:line="360" w:lineRule="auto"/>
        <w:ind w:firstLine="539"/>
        <w:rPr>
          <w:color w:val="auto"/>
          <w:sz w:val="24"/>
        </w:rPr>
      </w:pPr>
      <w:r>
        <w:rPr>
          <w:color w:val="auto"/>
          <w:sz w:val="24"/>
        </w:rPr>
        <w:t>垃圾进场填埋作业程序是在指定地点卸车后，按当天垃圾量为一填埋单元，用推土机推平，垃圾厚度为0.5m，底面长度和宽度视垃圾入库量不同而改变，然后用推土机碾压，每层碾压4～6遍并坚持每日一覆盖。随着垃圾堆体高度的增大，及存在垃圾中的有机组分将持续较长时间的降解过程，将导致垃圾堆体的自压缩与沉降。由此带来堆场的不稳定风险是必须予以重视的。在严格做好垃圾体内排水、导气工作和保证堆填工艺质量的情况下，垃圾堆体产生滑坡地质灾害的危险性小，其安全性是有保障的。</w:t>
      </w:r>
    </w:p>
    <w:p>
      <w:pPr>
        <w:spacing w:line="360" w:lineRule="auto"/>
        <w:ind w:firstLine="539"/>
        <w:rPr>
          <w:color w:val="auto"/>
          <w:sz w:val="24"/>
        </w:rPr>
      </w:pPr>
      <w:r>
        <w:rPr>
          <w:color w:val="auto"/>
          <w:sz w:val="24"/>
        </w:rPr>
        <w:t>为提高垃圾堆体的稳定性，在堆填过程中尽量做到：</w:t>
      </w:r>
    </w:p>
    <w:p>
      <w:pPr>
        <w:spacing w:line="360" w:lineRule="auto"/>
        <w:ind w:firstLine="539"/>
        <w:rPr>
          <w:color w:val="auto"/>
          <w:sz w:val="24"/>
        </w:rPr>
      </w:pPr>
      <w:r>
        <w:rPr>
          <w:color w:val="auto"/>
          <w:sz w:val="24"/>
        </w:rPr>
        <w:t>(1) 尽量避免垃圾堆体向下游弯曲折线堆积；</w:t>
      </w:r>
    </w:p>
    <w:p>
      <w:pPr>
        <w:spacing w:line="360" w:lineRule="auto"/>
        <w:ind w:firstLine="539"/>
        <w:rPr>
          <w:color w:val="auto"/>
          <w:sz w:val="24"/>
        </w:rPr>
      </w:pPr>
      <w:r>
        <w:rPr>
          <w:color w:val="auto"/>
          <w:sz w:val="24"/>
        </w:rPr>
        <w:t>(3) 及时膜覆盖，尽量减少暴雨期间的雨水进入垃圾堆体；</w:t>
      </w:r>
    </w:p>
    <w:p>
      <w:pPr>
        <w:spacing w:line="360" w:lineRule="auto"/>
        <w:ind w:firstLine="539"/>
        <w:rPr>
          <w:color w:val="auto"/>
          <w:sz w:val="24"/>
        </w:rPr>
      </w:pPr>
      <w:r>
        <w:rPr>
          <w:color w:val="auto"/>
          <w:sz w:val="24"/>
        </w:rPr>
        <w:t>(4) 使用性能良好的压实设备，保证填埋工艺质量。</w:t>
      </w:r>
    </w:p>
    <w:p>
      <w:pPr>
        <w:pStyle w:val="7"/>
        <w:spacing w:line="360" w:lineRule="auto"/>
        <w:ind w:firstLine="496"/>
        <w:rPr>
          <w:color w:val="auto"/>
          <w:sz w:val="24"/>
        </w:rPr>
      </w:pPr>
      <w:r>
        <w:rPr>
          <w:color w:val="auto"/>
          <w:spacing w:val="4"/>
          <w:sz w:val="24"/>
        </w:rPr>
        <w:t>在严格做好垃圾体内排水、导气工作的情况下，垃圾堆体产生滑坡地质灾害的危险性小，其安全性是有保障</w:t>
      </w:r>
      <w:r>
        <w:rPr>
          <w:color w:val="auto"/>
          <w:sz w:val="24"/>
        </w:rPr>
        <w:t>的。</w:t>
      </w:r>
    </w:p>
    <w:p>
      <w:pPr>
        <w:pStyle w:val="4"/>
        <w:rPr>
          <w:rFonts w:hint="eastAsia"/>
          <w:color w:val="auto"/>
          <w:sz w:val="24"/>
          <w:u w:val="single"/>
          <w:lang w:val="en-US" w:eastAsia="zh-CN"/>
        </w:rPr>
      </w:pPr>
      <w:r>
        <w:rPr>
          <w:rFonts w:hint="eastAsia"/>
          <w:color w:val="auto"/>
          <w:sz w:val="24"/>
          <w:u w:val="single"/>
          <w:lang w:val="en-US" w:eastAsia="zh-CN"/>
        </w:rPr>
        <w:t>8.3.7溃坝风险分析</w:t>
      </w:r>
    </w:p>
    <w:p>
      <w:pPr>
        <w:spacing w:line="360" w:lineRule="auto"/>
        <w:rPr>
          <w:rFonts w:hint="eastAsia" w:eastAsia="宋体"/>
          <w:sz w:val="24"/>
          <w:u w:val="single"/>
          <w:lang w:eastAsia="zh-CN"/>
        </w:rPr>
      </w:pPr>
      <w:r>
        <w:rPr>
          <w:rFonts w:hint="eastAsia"/>
          <w:sz w:val="24"/>
          <w:u w:val="single"/>
          <w:lang w:eastAsia="zh-CN"/>
        </w:rPr>
        <w:t>（</w:t>
      </w:r>
      <w:r>
        <w:rPr>
          <w:rFonts w:hint="eastAsia"/>
          <w:sz w:val="24"/>
          <w:u w:val="single"/>
          <w:lang w:val="en-US" w:eastAsia="zh-CN"/>
        </w:rPr>
        <w:t>1</w:t>
      </w:r>
      <w:r>
        <w:rPr>
          <w:rFonts w:hint="eastAsia"/>
          <w:sz w:val="24"/>
          <w:u w:val="single"/>
          <w:lang w:eastAsia="zh-CN"/>
        </w:rPr>
        <w:t>）垃圾坝溃坝分析</w:t>
      </w:r>
    </w:p>
    <w:p>
      <w:pPr>
        <w:spacing w:line="360" w:lineRule="auto"/>
        <w:rPr>
          <w:sz w:val="24"/>
          <w:u w:val="single"/>
        </w:rPr>
      </w:pPr>
      <w:r>
        <w:rPr>
          <w:sz w:val="24"/>
          <w:u w:val="single"/>
        </w:rPr>
        <w:t>造成垮坝的原因有几种，但最主要的因素是地理位置和地质构造。</w:t>
      </w:r>
    </w:p>
    <w:p>
      <w:pPr>
        <w:spacing w:line="360" w:lineRule="auto"/>
        <w:ind w:firstLine="480" w:firstLineChars="200"/>
        <w:rPr>
          <w:sz w:val="24"/>
          <w:u w:val="single"/>
        </w:rPr>
      </w:pPr>
      <w:r>
        <w:rPr>
          <w:sz w:val="24"/>
          <w:u w:val="single"/>
        </w:rPr>
        <w:t>根据区域地勘资料，其地理位置和地质构造情况如下：区域位于祁零盆地的西南部，未发现断裂、褶皱等地质构造，构造不发育。该区自第四系以来，地质构造运动进入相对稳定期，其特征变现剥蚀、侵蚀构造低山和丘陵地貌，属相对稳定地块。</w:t>
      </w:r>
    </w:p>
    <w:p>
      <w:pPr>
        <w:spacing w:line="360" w:lineRule="auto"/>
        <w:ind w:firstLine="480" w:firstLineChars="200"/>
        <w:rPr>
          <w:sz w:val="24"/>
          <w:u w:val="single"/>
        </w:rPr>
      </w:pPr>
      <w:r>
        <w:rPr>
          <w:sz w:val="24"/>
          <w:u w:val="single"/>
        </w:rPr>
        <w:t>由于项目周围主要为山地，</w:t>
      </w:r>
      <w:r>
        <w:rPr>
          <w:rFonts w:hint="eastAsia"/>
          <w:sz w:val="24"/>
          <w:u w:val="single"/>
          <w:lang w:val="en-US" w:eastAsia="zh-CN"/>
        </w:rPr>
        <w:t>2</w:t>
      </w:r>
      <w:r>
        <w:rPr>
          <w:sz w:val="24"/>
          <w:u w:val="single"/>
        </w:rPr>
        <w:t>00m范围内无集中村庄、集镇和重要建筑物，填埋场周边环境简单。溃坝后主要影响体现在废渣泄流覆盖园地，影响农业生产，覆盖山地，破坏区域生态环境，但由于环境简单，无特殊敏感点对下游影响有限。</w:t>
      </w:r>
    </w:p>
    <w:p>
      <w:pPr>
        <w:spacing w:line="360" w:lineRule="auto"/>
        <w:ind w:firstLine="480" w:firstLineChars="200"/>
        <w:rPr>
          <w:sz w:val="24"/>
          <w:u w:val="single"/>
        </w:rPr>
      </w:pPr>
      <w:r>
        <w:rPr>
          <w:sz w:val="24"/>
          <w:u w:val="single"/>
        </w:rPr>
        <w:t>任何事故既有危害程度上的差异，又有爆发可能性大小的区别。因此，在分析事故印发的风险程度时，就应该考虑危害程度和发生概率这两个因素，即风险分析的双因素法。在对本项目进行环境风险分析的过程中，既应充分认识项目本身存在的危害程度，又要充分考虑这种危害发生的可能性，即发生的概率。目前，填埋场已经停用多年，尚未发生滑坡、泥石流等风险事故，通过对本项目所在区域的实地考察，并调研分析国内外相同类型贮存设施的运行状况，可以认为，只要严格按照规章操作，本项目发生各种风险事故的可能性极小，即发生风险的概率极小。本项目的环境风险性是可以控制在安全的范围之内，可以达到最低限度，能够安全运行。</w:t>
      </w:r>
    </w:p>
    <w:p>
      <w:pPr>
        <w:spacing w:line="360" w:lineRule="auto"/>
        <w:ind w:firstLine="480" w:firstLineChars="200"/>
        <w:rPr>
          <w:rFonts w:hint="eastAsia"/>
          <w:sz w:val="24"/>
          <w:u w:val="single"/>
          <w:lang w:eastAsia="zh-CN"/>
        </w:rPr>
      </w:pPr>
      <w:r>
        <w:rPr>
          <w:rFonts w:hint="eastAsia"/>
          <w:sz w:val="24"/>
          <w:u w:val="single"/>
          <w:lang w:eastAsia="zh-CN"/>
        </w:rPr>
        <w:t>（</w:t>
      </w:r>
      <w:r>
        <w:rPr>
          <w:rFonts w:hint="eastAsia"/>
          <w:sz w:val="24"/>
          <w:u w:val="single"/>
          <w:lang w:val="en-US" w:eastAsia="zh-CN"/>
        </w:rPr>
        <w:t>2</w:t>
      </w:r>
      <w:r>
        <w:rPr>
          <w:rFonts w:hint="eastAsia"/>
          <w:sz w:val="24"/>
          <w:u w:val="single"/>
          <w:lang w:eastAsia="zh-CN"/>
        </w:rPr>
        <w:t>）现有垃圾坝稳定性分析</w:t>
      </w:r>
    </w:p>
    <w:p>
      <w:pPr>
        <w:spacing w:line="360" w:lineRule="auto"/>
        <w:ind w:firstLine="480" w:firstLineChars="200"/>
        <w:rPr>
          <w:rFonts w:hint="eastAsia"/>
          <w:sz w:val="24"/>
          <w:u w:val="single"/>
          <w:lang w:eastAsia="zh-CN"/>
        </w:rPr>
      </w:pPr>
      <w:r>
        <w:rPr>
          <w:rFonts w:hint="eastAsia"/>
          <w:sz w:val="24"/>
          <w:u w:val="single"/>
          <w:lang w:eastAsia="zh-CN"/>
        </w:rPr>
        <w:t>根据中国市政工程华北设计研究总院有限公司编制的《花果畈垃圾处理场防渗提质改造工程初步设计》，分别对北侧垃圾坝、南侧垃圾坝进行了稳定性分析计算。</w:t>
      </w:r>
    </w:p>
    <w:p>
      <w:pPr>
        <w:spacing w:line="360" w:lineRule="auto"/>
        <w:ind w:firstLine="480" w:firstLineChars="200"/>
        <w:rPr>
          <w:rFonts w:hint="eastAsia"/>
          <w:sz w:val="24"/>
          <w:u w:val="single"/>
          <w:lang w:eastAsia="zh-CN"/>
        </w:rPr>
      </w:pPr>
      <w:r>
        <w:rPr>
          <w:rFonts w:hint="eastAsia"/>
          <w:sz w:val="24"/>
          <w:u w:val="single"/>
          <w:lang w:eastAsia="zh-CN"/>
        </w:rPr>
        <w:t>①北侧垃圾坝</w:t>
      </w:r>
    </w:p>
    <w:p>
      <w:pPr>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按照《生活垃圾卫生填埋场岩土工程技术规范》CJJ 176-2012中规定，对垃圾堆体在以下三种工况下的稳定性进行分析：（1）正常使用工况;填埋正常运行，垃圾渗沥液位于警戒水位以下；（2）非常情况I：强降雨条件下渗沥液水位显著上升，达到警戒水位；（3）非常情况II：地震工况，本工程抗震设防烈度为7度，地震加速度为0.10g。</w:t>
      </w:r>
    </w:p>
    <w:p>
      <w:pPr>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北侧垃圾坝作为垃圾堆体整体的一部分，应满足在三种工况下自身的稳定要求。北侧坝总高度4m。</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eastAsia" w:ascii="Times New Roman" w:hAnsi="Times New Roman" w:cs="Times New Roman"/>
          <w:color w:val="000000"/>
          <w:sz w:val="24"/>
          <w:szCs w:val="24"/>
          <w:u w:val="single"/>
          <w:lang w:val="en-US" w:eastAsia="zh-CN"/>
        </w:rPr>
        <w:t>a、</w:t>
      </w:r>
      <w:r>
        <w:rPr>
          <w:rFonts w:hint="default" w:ascii="Times New Roman" w:hAnsi="Times New Roman" w:cs="Times New Roman"/>
          <w:color w:val="000000"/>
          <w:sz w:val="24"/>
          <w:szCs w:val="24"/>
          <w:u w:val="single"/>
          <w:lang w:val="zh-CN"/>
        </w:rPr>
        <w:t>桩基水平承载力验算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根据《建筑桩基技术规范》（JGJ94-2008）第5.7.2条，单桩水平承载力应由试验确定。由于未提供桩的单桩水平承载力资料，故暂采用规范方法进行估算。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采用理正软件重力式挡土墙模块进行验算，正常工况时，可得垃圾坝在1m长范围内水平剪力为48.573kN。</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垃圾坝在1m长范围内可换算为具有2根桩。根据桩基规范式5.7.2-2有：当地基土水平抗力系数的比例系数m取值为12，桩顶按约束情况为铰接、自由计算时，直径325mm的桩的水平单桩承载力为32.189kN，2根桩水平承载力为64.378kN，这时水平承载力满足。抗滑移系数为1.33。因抗滑移系数已很接近抗滑移系数最小限值，故取非常工况Ⅰ的警戒水位标高为60m，这时抗滑移安全系数也为1.33。非常工况Ⅱ的抗震烈度为7度，地震加速度0.10g。此时可得垃圾坝在1m长范围内水平剪力仍为52.370kN。这时抗滑移安全系数为1.23，大于1.1，满足《建筑边坡工程技术规范》（GB50330-2013）第11.2.5条的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eastAsia" w:ascii="Times New Roman" w:hAnsi="Times New Roman" w:cs="Times New Roman"/>
          <w:color w:val="000000"/>
          <w:sz w:val="24"/>
          <w:szCs w:val="24"/>
          <w:u w:val="single"/>
          <w:lang w:val="en-US" w:eastAsia="zh-CN"/>
        </w:rPr>
        <w:t>b、</w:t>
      </w:r>
      <w:r>
        <w:rPr>
          <w:rFonts w:hint="default" w:ascii="Times New Roman" w:hAnsi="Times New Roman" w:cs="Times New Roman"/>
          <w:color w:val="000000"/>
          <w:sz w:val="24"/>
          <w:szCs w:val="24"/>
          <w:u w:val="single"/>
          <w:lang w:val="zh-CN"/>
        </w:rPr>
        <w:t>挡墙倾覆稳定性验算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验算挡土墙绕墙趾的倾覆稳定性</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正常工况时，可得垃圾坝在1m长范围内倾覆力矩= 64.764（kN-m），抗倾覆力矩= 717.740（kN-m），倾覆验算满足：K</w:t>
      </w:r>
      <w:r>
        <w:rPr>
          <w:rFonts w:hint="default" w:ascii="Times New Roman" w:hAnsi="Times New Roman" w:cs="Times New Roman"/>
          <w:color w:val="000000"/>
          <w:sz w:val="24"/>
          <w:szCs w:val="24"/>
          <w:u w:val="single"/>
          <w:vertAlign w:val="subscript"/>
          <w:lang w:val="zh-CN"/>
        </w:rPr>
        <w:t>0</w:t>
      </w:r>
      <w:r>
        <w:rPr>
          <w:rFonts w:hint="default" w:ascii="Times New Roman" w:hAnsi="Times New Roman" w:cs="Times New Roman"/>
          <w:color w:val="000000"/>
          <w:sz w:val="24"/>
          <w:szCs w:val="24"/>
          <w:u w:val="single"/>
          <w:lang w:val="zh-CN"/>
        </w:rPr>
        <w:t>=11.082&gt;1.600，取非常工况Ⅰ的警戒水位标高为60m，这时抗倾覆稳定系数也为11.082，也满足。非常工况Ⅱ的抗震烈度为7度，地震加速度0.10g。此时可得垃圾坝在1m长范围内倾覆力矩= 69.826 kN-m，抗倾覆力矩= 726.896（kN-m），抗倾覆稳定系数也为10.410&gt;1.600，满足要求。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eastAsia" w:ascii="Times New Roman" w:hAnsi="Times New Roman" w:cs="Times New Roman"/>
          <w:color w:val="000000"/>
          <w:sz w:val="24"/>
          <w:szCs w:val="24"/>
          <w:u w:val="single"/>
          <w:lang w:val="en-US" w:eastAsia="zh-CN"/>
        </w:rPr>
        <w:t>c、</w:t>
      </w:r>
      <w:r>
        <w:rPr>
          <w:rFonts w:hint="default" w:ascii="Times New Roman" w:hAnsi="Times New Roman" w:cs="Times New Roman"/>
          <w:color w:val="000000"/>
          <w:sz w:val="24"/>
          <w:szCs w:val="24"/>
          <w:u w:val="single"/>
          <w:lang w:val="zh-CN"/>
        </w:rPr>
        <w:t>桩基竖向承载力验算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根据理正软件挡土墙模块进行上部挡土墙的计算，可得到传到挡墙基础的作用力如下：正常工况与非常工况Ⅰ时，有</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作用于基础底的总竖向力 = 286.768 kN，偏心距e=0.277m</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基础底面宽度 B=4.000m</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轴心竖向力作用下N</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）/n=143.384&lt;356kN</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N</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&lt;=R</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，轴心竖向力作用下满足要求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轴心力和弯矩共同作用下，</w:t>
      </w:r>
      <w:r>
        <w:rPr>
          <w:rFonts w:hint="default" w:ascii="Times New Roman" w:hAnsi="Times New Roman" w:cs="Times New Roman"/>
          <w:color w:val="000000"/>
          <w:sz w:val="24"/>
          <w:szCs w:val="24"/>
          <w:u w:val="single"/>
          <w:vertAlign w:val="subscript"/>
          <w:lang w:val="zh-CN"/>
        </w:rPr>
        <w:t>ik1</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）/n+（M×x）/（m×x×x）=183.101&lt;1.2×356kN</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N</w:t>
      </w:r>
      <w:r>
        <w:rPr>
          <w:rFonts w:hint="default" w:ascii="Times New Roman" w:hAnsi="Times New Roman" w:cs="Times New Roman"/>
          <w:color w:val="000000"/>
          <w:sz w:val="24"/>
          <w:szCs w:val="24"/>
          <w:u w:val="single"/>
          <w:vertAlign w:val="subscript"/>
          <w:lang w:val="zh-CN"/>
        </w:rPr>
        <w:t>ik</w:t>
      </w:r>
      <w:r>
        <w:rPr>
          <w:rFonts w:hint="default" w:ascii="Times New Roman" w:hAnsi="Times New Roman" w:cs="Times New Roman"/>
          <w:color w:val="000000"/>
          <w:sz w:val="24"/>
          <w:szCs w:val="24"/>
          <w:u w:val="single"/>
          <w:lang w:val="zh-CN"/>
        </w:rPr>
        <w:t>&lt;=1.2×R</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，轴心力和弯矩共同作用下满足要求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轴心力和弯矩共同作用N</w:t>
      </w:r>
      <w:r>
        <w:rPr>
          <w:rFonts w:hint="default" w:ascii="Times New Roman" w:hAnsi="Times New Roman" w:cs="Times New Roman"/>
          <w:color w:val="000000"/>
          <w:sz w:val="24"/>
          <w:szCs w:val="24"/>
          <w:u w:val="single"/>
          <w:vertAlign w:val="subscript"/>
          <w:lang w:val="zh-CN"/>
        </w:rPr>
        <w:t>ik2</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）/n-（M×x）/（m×x×x）=103.667kN，桩基未出现拉应力。满足要求。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非常工况Ⅱ时，</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作用于基础底的总竖向力 =289.057kN，偏心距e=0.273m</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基础底面宽度 B=4.000m</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轴心竖向力作用下N</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）/n=144.529&lt;356kN</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N</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&lt;=R</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，轴心竖向力作用下满足要求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轴心力和弯矩共同作用下，</w:t>
      </w:r>
      <w:r>
        <w:rPr>
          <w:rFonts w:hint="default" w:ascii="Times New Roman" w:hAnsi="Times New Roman" w:cs="Times New Roman"/>
          <w:color w:val="000000"/>
          <w:sz w:val="24"/>
          <w:szCs w:val="24"/>
          <w:u w:val="single"/>
          <w:vertAlign w:val="subscript"/>
          <w:lang w:val="zh-CN"/>
        </w:rPr>
        <w:t>ik1</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）/n+（M×x）/（m×x×x）=183.985&lt;1.2×356kN</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N</w:t>
      </w:r>
      <w:r>
        <w:rPr>
          <w:rFonts w:hint="default" w:ascii="Times New Roman" w:hAnsi="Times New Roman" w:cs="Times New Roman"/>
          <w:color w:val="000000"/>
          <w:sz w:val="24"/>
          <w:szCs w:val="24"/>
          <w:u w:val="single"/>
          <w:vertAlign w:val="subscript"/>
          <w:lang w:val="zh-CN"/>
        </w:rPr>
        <w:t>ik</w:t>
      </w:r>
      <w:r>
        <w:rPr>
          <w:rFonts w:hint="default" w:ascii="Times New Roman" w:hAnsi="Times New Roman" w:cs="Times New Roman"/>
          <w:color w:val="000000"/>
          <w:sz w:val="24"/>
          <w:szCs w:val="24"/>
          <w:u w:val="single"/>
          <w:lang w:val="zh-CN"/>
        </w:rPr>
        <w:t>&lt;=1.2×R</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，轴心力和弯矩共同作用下满足要求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轴心力和弯矩共同作用N</w:t>
      </w:r>
      <w:r>
        <w:rPr>
          <w:rFonts w:hint="default" w:ascii="Times New Roman" w:hAnsi="Times New Roman" w:cs="Times New Roman"/>
          <w:color w:val="000000"/>
          <w:sz w:val="24"/>
          <w:szCs w:val="24"/>
          <w:u w:val="single"/>
          <w:vertAlign w:val="subscript"/>
          <w:lang w:val="zh-CN"/>
        </w:rPr>
        <w:t>ik2</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）/n-（M×x）/（m×x×x）=105.072kN，桩基未出现拉应力。满足要求。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eastAsia" w:ascii="Times New Roman" w:hAnsi="Times New Roman" w:cs="Times New Roman"/>
          <w:color w:val="000000"/>
          <w:sz w:val="24"/>
          <w:szCs w:val="24"/>
          <w:u w:val="single"/>
          <w:lang w:val="en-US" w:eastAsia="zh-CN"/>
        </w:rPr>
        <w:t>d、</w:t>
      </w:r>
      <w:r>
        <w:rPr>
          <w:rFonts w:hint="default" w:ascii="Times New Roman" w:hAnsi="Times New Roman" w:cs="Times New Roman"/>
          <w:color w:val="000000"/>
          <w:sz w:val="24"/>
          <w:szCs w:val="24"/>
          <w:u w:val="single"/>
          <w:lang w:val="zh-CN"/>
        </w:rPr>
        <w:t>堆体稳定性验算</w:t>
      </w:r>
    </w:p>
    <w:p>
      <w:pPr>
        <w:adjustRightInd w:val="0"/>
        <w:snapToGrid w:val="0"/>
        <w:spacing w:line="520" w:lineRule="atLeast"/>
        <w:ind w:left="0" w:firstLine="560" w:firstLineChars="200"/>
        <w:rPr>
          <w:rFonts w:hint="default" w:ascii="Times New Roman" w:hAnsi="Times New Roman" w:cs="Times New Roman"/>
          <w:color w:val="000000"/>
          <w:sz w:val="24"/>
          <w:szCs w:val="24"/>
          <w:u w:val="single"/>
        </w:rPr>
      </w:pPr>
      <w:r>
        <w:rPr>
          <w:rFonts w:hint="default" w:ascii="Times New Roman" w:hAnsi="Times New Roman" w:cs="Times New Roman"/>
          <w:color w:val="000000"/>
          <w:sz w:val="24"/>
          <w:szCs w:val="24"/>
          <w:u w:val="single"/>
        </w:rPr>
        <w:t>填埋堆体的稳定性分析中应考虑不同工况下不同破坏模式的稳定性，提出安全运行的警戒水位；不同的破坏模式应选用不同的滑弧形态。按照《生活垃圾卫生填埋场岩土工程技术规范》CJJ 176-2012中规定，垃圾堆体同样需在三种工况下验算边坡稳定性。堆体高约110-64=46m。</w:t>
      </w:r>
    </w:p>
    <w:p>
      <w:pPr>
        <w:adjustRightInd w:val="0"/>
        <w:snapToGrid w:val="0"/>
        <w:spacing w:line="520" w:lineRule="atLeast"/>
        <w:ind w:left="0" w:firstLine="560" w:firstLineChars="200"/>
        <w:rPr>
          <w:rFonts w:hint="default" w:ascii="Times New Roman" w:hAnsi="Times New Roman" w:cs="Times New Roman"/>
          <w:color w:val="000000"/>
          <w:sz w:val="24"/>
          <w:szCs w:val="24"/>
          <w:u w:val="single"/>
        </w:rPr>
      </w:pPr>
      <w:r>
        <w:rPr>
          <w:rFonts w:hint="default" w:ascii="Times New Roman" w:hAnsi="Times New Roman" w:cs="Times New Roman"/>
          <w:color w:val="000000"/>
          <w:sz w:val="24"/>
          <w:szCs w:val="24"/>
          <w:u w:val="single"/>
        </w:rPr>
        <w:t>在正常工况下，采用规范所要求的计算方法验算：正常运行工况下本工程堆体的安全系数K=1.420满足规范要求的最小安全系数1.30的要求。</w:t>
      </w:r>
    </w:p>
    <w:p>
      <w:pPr>
        <w:adjustRightInd w:val="0"/>
        <w:snapToGrid w:val="0"/>
        <w:spacing w:line="520" w:lineRule="atLeast"/>
        <w:ind w:left="0" w:firstLine="560" w:firstLineChars="200"/>
        <w:rPr>
          <w:rFonts w:hint="default" w:ascii="Times New Roman" w:hAnsi="Times New Roman" w:cs="Times New Roman"/>
          <w:color w:val="000000"/>
          <w:sz w:val="24"/>
          <w:szCs w:val="24"/>
          <w:u w:val="single"/>
        </w:rPr>
      </w:pPr>
      <w:r>
        <w:rPr>
          <w:rFonts w:hint="default" w:ascii="Times New Roman" w:hAnsi="Times New Roman" w:cs="Times New Roman"/>
          <w:color w:val="000000"/>
          <w:sz w:val="24"/>
          <w:szCs w:val="24"/>
          <w:u w:val="single"/>
        </w:rPr>
        <w:t>非常工况Ⅰ时，取警戒水位为64m时,稳定系数为K=1.420，由前述可知，由堆体稳定确定的警戒水位高于由垃圾坝确定的警戒水位，两者取低值，故警戒水位取60m。</w:t>
      </w:r>
    </w:p>
    <w:p>
      <w:pPr>
        <w:adjustRightInd w:val="0"/>
        <w:snapToGrid w:val="0"/>
        <w:spacing w:line="520" w:lineRule="atLeast"/>
        <w:ind w:left="0" w:firstLine="560" w:firstLineChars="200"/>
        <w:rPr>
          <w:rFonts w:hint="default" w:ascii="Times New Roman" w:hAnsi="Times New Roman" w:cs="Times New Roman"/>
          <w:color w:val="000000"/>
          <w:sz w:val="24"/>
          <w:szCs w:val="24"/>
          <w:u w:val="single"/>
        </w:rPr>
      </w:pPr>
      <w:r>
        <w:rPr>
          <w:rFonts w:hint="default" w:ascii="Times New Roman" w:hAnsi="Times New Roman" w:cs="Times New Roman"/>
          <w:color w:val="000000"/>
          <w:sz w:val="24"/>
          <w:szCs w:val="24"/>
          <w:u w:val="single"/>
          <w:lang w:val="zh-CN"/>
        </w:rPr>
        <w:t>非常工况Ⅱ时，抗震烈度为7度，地震加速度0.10g。边坡抗滑稳定系数为1.310，满足规范要求。</w:t>
      </w:r>
    </w:p>
    <w:p>
      <w:pPr>
        <w:spacing w:line="360" w:lineRule="auto"/>
        <w:ind w:firstLine="480" w:firstLineChars="200"/>
        <w:rPr>
          <w:rFonts w:hint="eastAsia"/>
          <w:sz w:val="24"/>
          <w:u w:val="single"/>
          <w:lang w:eastAsia="zh-CN"/>
        </w:rPr>
      </w:pPr>
      <w:r>
        <w:rPr>
          <w:rFonts w:hint="eastAsia"/>
          <w:sz w:val="24"/>
          <w:u w:val="single"/>
          <w:lang w:eastAsia="zh-CN"/>
        </w:rPr>
        <w:t>②南侧垃圾坝</w:t>
      </w:r>
    </w:p>
    <w:p>
      <w:pPr>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本次验算按坝高20m进行计算。计算时坝内侧填料按生活垃圾考虑。按照《生活垃圾卫生填埋场岩土工程技术规范》CJJ 176-2012中规定，对垃圾堆体在以下三种工况下的稳定性进行分析：（1）正常使用工况;填埋正常运行，垃圾渗沥液位于警戒水位以下；（2）非常情况I：强降雨条件下渗沥液水位显著上升，达到警戒水位；（3）非常情况II：地震工况，本工程抗震设防烈度为7度，地震加速度为0.10g。</w:t>
      </w:r>
    </w:p>
    <w:p>
      <w:pPr>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南侧垃圾坝作为垃圾堆体整体的一部分，应满足在三种工况下自身的稳定要求。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eastAsia" w:ascii="Times New Roman" w:hAnsi="Times New Roman" w:cs="Times New Roman"/>
          <w:color w:val="000000"/>
          <w:sz w:val="24"/>
          <w:szCs w:val="24"/>
          <w:u w:val="single"/>
          <w:lang w:val="en-US" w:eastAsia="zh-CN"/>
        </w:rPr>
        <w:t>a、</w:t>
      </w:r>
      <w:r>
        <w:rPr>
          <w:rFonts w:hint="default" w:ascii="Times New Roman" w:hAnsi="Times New Roman" w:cs="Times New Roman"/>
          <w:color w:val="000000"/>
          <w:sz w:val="24"/>
          <w:szCs w:val="24"/>
          <w:u w:val="single"/>
          <w:lang w:val="zh-CN"/>
        </w:rPr>
        <w:t>挡墙抗滑移验算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根据理正挡土墙软件可得到：正常工况时，可得垃圾坝在1m长范围内计算高度为20.000m处的库仑主动土压力按实际墙背计算得到：第1破裂角：44.280度，E</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=1189.499kN，E</w:t>
      </w:r>
      <w:r>
        <w:rPr>
          <w:rFonts w:hint="default" w:ascii="Times New Roman" w:hAnsi="Times New Roman" w:cs="Times New Roman"/>
          <w:color w:val="000000"/>
          <w:sz w:val="24"/>
          <w:szCs w:val="24"/>
          <w:u w:val="single"/>
          <w:vertAlign w:val="subscript"/>
          <w:lang w:val="zh-CN"/>
        </w:rPr>
        <w:t>x</w:t>
      </w:r>
      <w:r>
        <w:rPr>
          <w:rFonts w:hint="default" w:ascii="Times New Roman" w:hAnsi="Times New Roman" w:cs="Times New Roman"/>
          <w:color w:val="000000"/>
          <w:sz w:val="24"/>
          <w:szCs w:val="24"/>
          <w:u w:val="single"/>
          <w:lang w:val="zh-CN"/>
        </w:rPr>
        <w:t>=1161.303kN，E</w:t>
      </w:r>
      <w:r>
        <w:rPr>
          <w:rFonts w:hint="default" w:ascii="Times New Roman" w:hAnsi="Times New Roman" w:cs="Times New Roman"/>
          <w:color w:val="000000"/>
          <w:sz w:val="24"/>
          <w:szCs w:val="24"/>
          <w:u w:val="single"/>
          <w:vertAlign w:val="subscript"/>
          <w:lang w:val="zh-CN"/>
        </w:rPr>
        <w:t>y</w:t>
      </w:r>
      <w:r>
        <w:rPr>
          <w:rFonts w:hint="default" w:ascii="Times New Roman" w:hAnsi="Times New Roman" w:cs="Times New Roman"/>
          <w:color w:val="000000"/>
          <w:sz w:val="24"/>
          <w:szCs w:val="24"/>
          <w:u w:val="single"/>
          <w:lang w:val="zh-CN"/>
        </w:rPr>
        <w:t>=257.455kN，作用点高度Z</w:t>
      </w:r>
      <w:r>
        <w:rPr>
          <w:rFonts w:hint="default" w:ascii="Times New Roman" w:hAnsi="Times New Roman" w:cs="Times New Roman"/>
          <w:color w:val="000000"/>
          <w:sz w:val="24"/>
          <w:szCs w:val="24"/>
          <w:u w:val="single"/>
          <w:vertAlign w:val="subscript"/>
          <w:lang w:val="zh-CN"/>
        </w:rPr>
        <w:t>y</w:t>
      </w:r>
      <w:r>
        <w:rPr>
          <w:rFonts w:hint="default" w:ascii="Times New Roman" w:hAnsi="Times New Roman" w:cs="Times New Roman"/>
          <w:color w:val="000000"/>
          <w:sz w:val="24"/>
          <w:szCs w:val="24"/>
          <w:u w:val="single"/>
          <w:lang w:val="zh-CN"/>
        </w:rPr>
        <w:t>=6.775m。手算计算可得墙身截面积=142.625m</w:t>
      </w:r>
      <w:r>
        <w:rPr>
          <w:rFonts w:hint="default" w:ascii="Times New Roman" w:hAnsi="Times New Roman" w:cs="Times New Roman"/>
          <w:color w:val="000000"/>
          <w:sz w:val="24"/>
          <w:szCs w:val="24"/>
          <w:u w:val="single"/>
          <w:vertAlign w:val="superscript"/>
          <w:lang w:val="zh-CN"/>
        </w:rPr>
        <w:t>2</w:t>
      </w:r>
      <w:r>
        <w:rPr>
          <w:rFonts w:hint="default" w:ascii="Times New Roman" w:hAnsi="Times New Roman" w:cs="Times New Roman"/>
          <w:color w:val="000000"/>
          <w:sz w:val="24"/>
          <w:szCs w:val="24"/>
          <w:u w:val="single"/>
          <w:lang w:val="zh-CN"/>
        </w:rPr>
        <w:t>，重量=3280.375kN。</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因存在被动土压力的区域有15m高，占得比重较大，故需考虑土的被动土压力计算。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近似采用朗肯土压力理论计算垃圾坝面坡前被动土压力：</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object>
          <v:shape id="_x0000_i1040" o:spt="75" type="#_x0000_t75" style="height:33.05pt;width:125pt;" o:ole="t" filled="f" o:preferrelative="t" stroked="f" coordsize="21600,21600">
            <v:path/>
            <v:fill on="f" alignshape="1" focussize="0,0"/>
            <v:stroke on="f"/>
            <v:imagedata r:id="rId47" grayscale="f" bilevel="f" o:title=""/>
            <o:lock v:ext="edit" aspectratio="t"/>
            <w10:wrap type="none"/>
            <w10:anchorlock/>
          </v:shape>
          <o:OLEObject Type="Embed" ProgID="Equation.DSMT4" ShapeID="_x0000_i1040" DrawAspect="Content" ObjectID="_1468075740" r:id="rId46">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近似取坝面坡前填土为φ=25度，c=0 kPa，故：</w:t>
      </w:r>
    </w:p>
    <w:p>
      <w:pPr>
        <w:autoSpaceDE w:val="0"/>
        <w:autoSpaceDN w:val="0"/>
        <w:adjustRightInd w:val="0"/>
        <w:snapToGrid w:val="0"/>
        <w:spacing w:line="520" w:lineRule="atLeast"/>
        <w:ind w:left="0" w:firstLine="560" w:firstLineChars="200"/>
        <w:textAlignment w:val="center"/>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none"/>
          <w:lang w:val="zh-CN"/>
        </w:rPr>
        <w:object>
          <v:shape id="_x0000_i1041" o:spt="75" type="#_x0000_t75" style="height:90.45pt;width:128.4pt;" o:ole="t" filled="f" o:preferrelative="t" stroked="f" coordsize="21600,21600">
            <v:path/>
            <v:fill on="f" alignshape="1" focussize="0,0"/>
            <v:stroke on="f"/>
            <v:imagedata r:id="rId49" grayscale="f" bilevel="f" o:title=""/>
            <o:lock v:ext="edit" aspectratio="t"/>
            <w10:wrap type="none"/>
            <w10:anchorlock/>
          </v:shape>
          <o:OLEObject Type="Embed" ProgID="Equation.DSMT4" ShapeID="_x0000_i1041" DrawAspect="Content" ObjectID="_1468075741" r:id="rId48">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被动土压力：</w:t>
      </w:r>
      <w:r>
        <w:rPr>
          <w:rFonts w:hint="default" w:ascii="Times New Roman" w:hAnsi="Times New Roman" w:cs="Times New Roman"/>
          <w:color w:val="000000"/>
          <w:sz w:val="24"/>
          <w:szCs w:val="24"/>
          <w:u w:val="none"/>
          <w:lang w:val="zh-CN"/>
        </w:rPr>
        <w:object>
          <v:shape id="_x0000_i1042" o:spt="75" type="#_x0000_t75" style="height:97.4pt;width:162.65pt;" o:ole="t" filled="f" o:preferrelative="t" stroked="f" coordsize="21600,21600">
            <v:path/>
            <v:fill on="f" alignshape="1" focussize="0,0"/>
            <v:stroke on="f"/>
            <v:imagedata r:id="rId51" grayscale="f" bilevel="f" o:title=""/>
            <o:lock v:ext="edit" aspectratio="t"/>
            <w10:wrap type="none"/>
            <w10:anchorlock/>
          </v:shape>
          <o:OLEObject Type="Embed" ProgID="Equation.DSMT4" ShapeID="_x0000_i1042" DrawAspect="Content" ObjectID="_1468075742" r:id="rId50">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none"/>
          <w:lang w:val="zh-CN"/>
        </w:rPr>
        <w:object>
          <v:shape id="_x0000_i1043" o:spt="75" type="#_x0000_t75" style="height:90.45pt;width:174.6pt;" o:ole="t" filled="f" o:preferrelative="t" stroked="f" coordsize="21600,21600">
            <v:path/>
            <v:fill on="f" alignshape="1" focussize="0,0"/>
            <v:stroke on="f"/>
            <v:imagedata r:id="rId53" grayscale="f" bilevel="f" o:title=""/>
            <o:lock v:ext="edit" aspectratio="t"/>
            <w10:wrap type="none"/>
            <w10:anchorlock/>
          </v:shape>
          <o:OLEObject Type="Embed" ProgID="Equation.DSMT4" ShapeID="_x0000_i1043" DrawAspect="Content" ObjectID="_1468075743" r:id="rId52">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none"/>
          <w:lang w:val="zh-CN"/>
        </w:rPr>
        <w:object>
          <v:shape id="_x0000_i1044" o:spt="75" type="#_x0000_t75" style="height:90.45pt;width:177.95pt;" o:ole="t" filled="f" o:preferrelative="t" stroked="f" coordsize="21600,21600">
            <v:path/>
            <v:fill on="f" alignshape="1" focussize="0,0"/>
            <v:stroke on="f"/>
            <v:imagedata r:id="rId55" grayscale="f" bilevel="f" o:title=""/>
            <o:lock v:ext="edit" aspectratio="t"/>
            <w10:wrap type="none"/>
            <w10:anchorlock/>
          </v:shape>
          <o:OLEObject Type="Embed" ProgID="Equation.DSMT4" ShapeID="_x0000_i1044" DrawAspect="Content" ObjectID="_1468075744" r:id="rId54">
            <o:LockedField>false</o:LockedField>
          </o:OLEObject>
        </w:object>
      </w:r>
    </w:p>
    <w:p>
      <w:pPr>
        <w:autoSpaceDE w:val="0"/>
        <w:autoSpaceDN w:val="0"/>
        <w:adjustRightInd w:val="0"/>
        <w:snapToGrid w:val="0"/>
        <w:spacing w:line="520" w:lineRule="atLeast"/>
        <w:ind w:left="0" w:firstLine="560" w:firstLineChars="200"/>
        <w:textAlignment w:val="center"/>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none"/>
          <w:lang w:val="zh-CN"/>
        </w:rPr>
        <w:object>
          <v:shape id="_x0000_i1045" o:spt="75" type="#_x0000_t75" style="height:33.05pt;width:186.6pt;" o:ole="t" filled="f" o:preferrelative="t" stroked="f" coordsize="21600,21600">
            <v:path/>
            <v:fill on="f" alignshape="1" focussize="0,0"/>
            <v:stroke on="f"/>
            <v:imagedata r:id="rId57" grayscale="f" bilevel="f" o:title=""/>
            <o:lock v:ext="edit" aspectratio="t"/>
            <w10:wrap type="none"/>
            <w10:anchorlock/>
          </v:shape>
          <o:OLEObject Type="Embed" ProgID="Equation.DSMT4" ShapeID="_x0000_i1045" DrawAspect="Content" ObjectID="_1468075745" r:id="rId56">
            <o:LockedField>false</o:LockedField>
          </o:OLEObject>
        </w:object>
      </w:r>
      <w:r>
        <w:rPr>
          <w:rFonts w:hint="default" w:ascii="Times New Roman" w:hAnsi="Times New Roman" w:cs="Times New Roman"/>
          <w:color w:val="000000"/>
          <w:sz w:val="24"/>
          <w:szCs w:val="24"/>
          <w:u w:val="single"/>
          <w:lang w:val="zh-CN"/>
        </w:rPr>
        <w:t>，故取</w:t>
      </w:r>
      <w:r>
        <w:rPr>
          <w:rFonts w:hint="default" w:ascii="Times New Roman" w:hAnsi="Times New Roman" w:cs="Times New Roman"/>
          <w:color w:val="000000"/>
          <w:sz w:val="24"/>
          <w:szCs w:val="24"/>
          <w:u w:val="none"/>
          <w:lang w:val="zh-CN"/>
        </w:rPr>
        <w:object>
          <v:shape id="_x0000_i1046" o:spt="75" type="#_x0000_t75" style="height:33.05pt;width:82.2pt;" o:ole="t" filled="f" o:preferrelative="t" stroked="f" coordsize="21600,21600">
            <v:path/>
            <v:fill on="f" alignshape="1" focussize="0,0"/>
            <v:stroke on="f"/>
            <v:imagedata r:id="rId59" grayscale="f" bilevel="f" o:title=""/>
            <o:lock v:ext="edit" aspectratio="t"/>
            <w10:wrap type="none"/>
            <w10:anchorlock/>
          </v:shape>
          <o:OLEObject Type="Embed" ProgID="Equation.DSMT4" ShapeID="_x0000_i1046" DrawAspect="Content" ObjectID="_1468075746" r:id="rId58">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position w:val="-80"/>
          <w:sz w:val="24"/>
          <w:szCs w:val="24"/>
          <w:u w:val="none"/>
          <w:lang w:val="zh-CN"/>
        </w:rPr>
        <w:object>
          <v:shape id="_x0000_i1047" o:spt="75" type="#_x0000_t75" style="height:149.55pt;width:196.8pt;" o:ole="t" filled="f" o:preferrelative="t" stroked="f" coordsize="21600,21600">
            <v:path/>
            <v:fill on="f" alignshape="1" focussize="0,0"/>
            <v:stroke on="f"/>
            <v:imagedata r:id="rId61" grayscale="f" bilevel="f" o:title=""/>
            <o:lock v:ext="edit" aspectratio="t"/>
            <w10:wrap type="none"/>
            <w10:anchorlock/>
          </v:shape>
          <o:OLEObject Type="Embed" ProgID="Equation.DSMT4" ShapeID="_x0000_i1047" DrawAspect="Content" ObjectID="_1468075747" r:id="rId60">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故抗滑移验算满足。</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非常情况I时，取警戒水位为80m。</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可得垃圾坝在1m长范围内计算高度为20.000m处的库仑主动土压力按实际墙背计算得到：滑移力共2525.342kN。手算计算可得墙身截面积=142.625m</w:t>
      </w:r>
      <w:r>
        <w:rPr>
          <w:rFonts w:hint="default" w:ascii="Times New Roman" w:hAnsi="Times New Roman" w:cs="Times New Roman"/>
          <w:color w:val="000000"/>
          <w:sz w:val="24"/>
          <w:szCs w:val="24"/>
          <w:u w:val="single"/>
          <w:vertAlign w:val="superscript"/>
          <w:lang w:val="zh-CN"/>
        </w:rPr>
        <w:t>2</w:t>
      </w:r>
      <w:r>
        <w:rPr>
          <w:rFonts w:hint="default" w:ascii="Times New Roman" w:hAnsi="Times New Roman" w:cs="Times New Roman"/>
          <w:color w:val="000000"/>
          <w:sz w:val="24"/>
          <w:szCs w:val="24"/>
          <w:u w:val="single"/>
          <w:lang w:val="zh-CN"/>
        </w:rPr>
        <w:t>，重量=3280.375kN。这时有：</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position w:val="-14"/>
          <w:sz w:val="24"/>
          <w:szCs w:val="24"/>
          <w:u w:val="none"/>
          <w:lang w:val="zh-CN"/>
        </w:rPr>
        <w:object>
          <v:shape id="_x0000_i1048" o:spt="75" type="#_x0000_t75" style="height:33.05pt;width:220.85pt;" o:ole="t" filled="f" o:preferrelative="t" stroked="f" coordsize="21600,21600">
            <v:path/>
            <v:fill on="f" alignshape="1" focussize="0,0"/>
            <v:stroke on="f"/>
            <v:imagedata r:id="rId63" grayscale="f" bilevel="f" o:title=""/>
            <o:lock v:ext="edit" aspectratio="t"/>
            <w10:wrap type="none"/>
            <w10:anchorlock/>
          </v:shape>
          <o:OLEObject Type="Embed" ProgID="Equation.DSMT4" ShapeID="_x0000_i1048" DrawAspect="Content" ObjectID="_1468075748" r:id="rId62">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position w:val="-80"/>
          <w:sz w:val="24"/>
          <w:szCs w:val="24"/>
          <w:u w:val="none"/>
          <w:lang w:val="zh-CN"/>
        </w:rPr>
        <w:object>
          <v:shape id="_x0000_i1049" o:spt="75" type="#_x0000_t75" style="height:149.55pt;width:196.8pt;" o:ole="t" filled="f" o:preferrelative="t" stroked="f" coordsize="21600,21600">
            <v:path/>
            <v:fill on="f" alignshape="1" focussize="0,0"/>
            <v:stroke on="f"/>
            <v:imagedata r:id="rId65" grayscale="f" bilevel="f" o:title=""/>
            <o:lock v:ext="edit" aspectratio="t"/>
            <w10:wrap type="none"/>
            <w10:anchorlock/>
          </v:shape>
          <o:OLEObject Type="Embed" ProgID="Equation.DSMT4" ShapeID="_x0000_i1049" DrawAspect="Content" ObjectID="_1468075749" r:id="rId64">
            <o:LockedField>false</o:LockedField>
          </o:OLEObject>
        </w:object>
      </w:r>
      <w:r>
        <w:rPr>
          <w:rFonts w:hint="default" w:ascii="Times New Roman" w:hAnsi="Times New Roman" w:cs="Times New Roman"/>
          <w:color w:val="000000"/>
          <w:sz w:val="24"/>
          <w:szCs w:val="24"/>
          <w:u w:val="single"/>
          <w:lang w:val="zh-CN"/>
        </w:rPr>
        <w:t>故抗滑移验算满足。</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非常工况Ⅱ的抗震烈度为7度，地震加速度0.10g。</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可得垃圾坝在1m长范围内计算高度为20.000m处的库仑主动土压力按实际墙背计算得到：滑移力共1240.92kN。手算计算可得墙身截面积=142.625m</w:t>
      </w:r>
      <w:r>
        <w:rPr>
          <w:rFonts w:hint="default" w:ascii="Times New Roman" w:hAnsi="Times New Roman" w:cs="Times New Roman"/>
          <w:color w:val="000000"/>
          <w:sz w:val="24"/>
          <w:szCs w:val="24"/>
          <w:u w:val="single"/>
          <w:vertAlign w:val="superscript"/>
          <w:lang w:val="zh-CN"/>
        </w:rPr>
        <w:t>2</w:t>
      </w:r>
      <w:r>
        <w:rPr>
          <w:rFonts w:hint="default" w:ascii="Times New Roman" w:hAnsi="Times New Roman" w:cs="Times New Roman"/>
          <w:color w:val="000000"/>
          <w:sz w:val="24"/>
          <w:szCs w:val="24"/>
          <w:u w:val="single"/>
          <w:lang w:val="zh-CN"/>
        </w:rPr>
        <w:t>，重量=3280.375kN。这时有：</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position w:val="-14"/>
          <w:sz w:val="24"/>
          <w:szCs w:val="24"/>
          <w:u w:val="none"/>
          <w:lang w:val="zh-CN"/>
        </w:rPr>
        <w:object>
          <v:shape id="_x0000_i1050" o:spt="75" type="#_x0000_t75" style="height:33.05pt;width:181.45pt;" o:ole="t" filled="f" o:preferrelative="t" stroked="f" coordsize="21600,21600">
            <v:path/>
            <v:fill on="f" alignshape="1" focussize="0,0"/>
            <v:stroke on="f"/>
            <v:imagedata r:id="rId67" grayscale="f" bilevel="f" o:title=""/>
            <o:lock v:ext="edit" aspectratio="t"/>
            <w10:wrap type="none"/>
            <w10:anchorlock/>
          </v:shape>
          <o:OLEObject Type="Embed" ProgID="Equation.DSMT4" ShapeID="_x0000_i1050" DrawAspect="Content" ObjectID="_1468075750" r:id="rId66">
            <o:LockedField>false</o:LockedField>
          </o:OLEObject>
        </w:object>
      </w:r>
      <w:r>
        <w:rPr>
          <w:rFonts w:hint="default" w:ascii="Times New Roman" w:hAnsi="Times New Roman" w:cs="Times New Roman"/>
          <w:color w:val="000000"/>
          <w:sz w:val="24"/>
          <w:szCs w:val="24"/>
          <w:u w:val="single"/>
          <w:lang w:val="zh-CN"/>
        </w:rPr>
        <w:t>，故取</w:t>
      </w:r>
      <w:r>
        <w:rPr>
          <w:rFonts w:hint="default" w:ascii="Times New Roman" w:hAnsi="Times New Roman" w:cs="Times New Roman"/>
          <w:color w:val="000000"/>
          <w:sz w:val="24"/>
          <w:szCs w:val="24"/>
          <w:u w:val="none"/>
          <w:lang w:val="zh-CN"/>
        </w:rPr>
        <w:object>
          <v:shape id="_x0000_i1051" o:spt="75" type="#_x0000_t75" style="height:33.05pt;width:82.2pt;" o:ole="t" filled="f" o:preferrelative="t" stroked="f" coordsize="21600,21600">
            <v:path/>
            <v:fill on="f" alignshape="1" focussize="0,0"/>
            <v:stroke on="f"/>
            <v:imagedata r:id="rId59" grayscale="f" bilevel="f" o:title=""/>
            <o:lock v:ext="edit" aspectratio="t"/>
            <w10:wrap type="none"/>
            <w10:anchorlock/>
          </v:shape>
          <o:OLEObject Type="Embed" ProgID="Equation.DSMT4" ShapeID="_x0000_i1051" DrawAspect="Content" ObjectID="_1468075751" r:id="rId68">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position w:val="-64"/>
          <w:sz w:val="24"/>
          <w:szCs w:val="24"/>
          <w:u w:val="none"/>
          <w:lang w:val="zh-CN"/>
        </w:rPr>
        <w:object>
          <v:shape id="_x0000_i1052" o:spt="75" type="#_x0000_t75" style="height:123.55pt;width:219.15pt;" o:ole="t" filled="f" o:preferrelative="t" stroked="f" coordsize="21600,21600">
            <v:path/>
            <v:fill on="f" alignshape="1" focussize="0,0"/>
            <v:stroke on="f"/>
            <v:imagedata r:id="rId70" grayscale="f" bilevel="f" o:title=""/>
            <o:lock v:ext="edit" aspectratio="t"/>
            <w10:wrap type="none"/>
            <w10:anchorlock/>
          </v:shape>
          <o:OLEObject Type="Embed" ProgID="Equation.DSMT4" ShapeID="_x0000_i1052" DrawAspect="Content" ObjectID="_1468075752" r:id="rId69">
            <o:LockedField>false</o:LockedField>
          </o:OLEObject>
        </w:object>
      </w:r>
      <w:r>
        <w:rPr>
          <w:rFonts w:hint="default" w:ascii="Times New Roman" w:hAnsi="Times New Roman" w:cs="Times New Roman"/>
          <w:color w:val="000000"/>
          <w:sz w:val="24"/>
          <w:szCs w:val="24"/>
          <w:u w:val="single"/>
          <w:lang w:val="zh-CN"/>
        </w:rPr>
        <w:t>故抗滑移验算满足。</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eastAsia" w:ascii="Times New Roman" w:hAnsi="Times New Roman" w:cs="Times New Roman"/>
          <w:color w:val="000000"/>
          <w:sz w:val="24"/>
          <w:szCs w:val="24"/>
          <w:u w:val="single"/>
          <w:lang w:val="en-US" w:eastAsia="zh-CN"/>
        </w:rPr>
        <w:t>b、</w:t>
      </w:r>
      <w:r>
        <w:rPr>
          <w:rFonts w:hint="default" w:ascii="Times New Roman" w:hAnsi="Times New Roman" w:cs="Times New Roman"/>
          <w:color w:val="000000"/>
          <w:sz w:val="24"/>
          <w:szCs w:val="24"/>
          <w:u w:val="single"/>
          <w:lang w:val="zh-CN"/>
        </w:rPr>
        <w:t>抗倾覆验算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正常工况时，有</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根据《建筑地基基础设计规范》式6.7.5-6，有：</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暂不考虑被动土压力：</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none"/>
          <w:lang w:val="zh-CN"/>
        </w:rPr>
        <w:object>
          <v:shape id="_x0000_i1053" o:spt="75" type="#_x0000_t75" style="height:104.4pt;width:177.95pt;" o:ole="t" filled="f" o:preferrelative="t" stroked="f" coordsize="21600,21600">
            <v:path/>
            <v:fill on="f" alignshape="1" focussize="0,0"/>
            <v:stroke on="f"/>
            <v:imagedata r:id="rId72" grayscale="f" bilevel="f" o:title=""/>
            <o:lock v:ext="edit" aspectratio="t"/>
            <w10:wrap type="none"/>
            <w10:anchorlock/>
          </v:shape>
          <o:OLEObject Type="Embed" ProgID="Equation.DSMT4" ShapeID="_x0000_i1053" DrawAspect="Content" ObjectID="_1468075753" r:id="rId71">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故抗倾覆验算满足。考虑被动土压力必定满足，不再验算。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非常情况I时，取警戒水位为80m。暂不考虑被动土压力：</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position w:val="-46"/>
          <w:sz w:val="24"/>
          <w:szCs w:val="24"/>
          <w:u w:val="none"/>
          <w:lang w:val="zh-CN"/>
        </w:rPr>
        <w:object>
          <v:shape id="_x0000_i1054" o:spt="75" type="#_x0000_t75" style="height:104.4pt;width:177.95pt;" o:ole="t" filled="f" o:preferrelative="t" stroked="f" coordsize="21600,21600">
            <v:path/>
            <v:fill on="f" alignshape="1" focussize="0,0"/>
            <v:stroke on="f"/>
            <v:imagedata r:id="rId74" grayscale="f" bilevel="f" o:title=""/>
            <o:lock v:ext="edit" aspectratio="t"/>
            <w10:wrap type="none"/>
            <w10:anchorlock/>
          </v:shape>
          <o:OLEObject Type="Embed" ProgID="Equation.DSMT4" ShapeID="_x0000_i1054" DrawAspect="Content" ObjectID="_1468075754" r:id="rId73">
            <o:LockedField>false</o:LockedField>
          </o:OLEObject>
        </w:object>
      </w:r>
      <w:r>
        <w:rPr>
          <w:rFonts w:hint="default" w:ascii="Times New Roman" w:hAnsi="Times New Roman" w:cs="Times New Roman"/>
          <w:color w:val="000000"/>
          <w:sz w:val="24"/>
          <w:szCs w:val="24"/>
          <w:u w:val="single"/>
          <w:lang w:val="zh-CN"/>
        </w:rPr>
        <w:t>故抗倾覆验算满足。考虑被动土压力必定满足，不再验算。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非常工况Ⅱ的抗震烈度为7度，地震加速度0.10g。暂不考虑被动土压力：</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position w:val="-46"/>
          <w:sz w:val="24"/>
          <w:szCs w:val="24"/>
          <w:u w:val="none"/>
          <w:lang w:val="zh-CN"/>
        </w:rPr>
        <w:object>
          <v:shape id="_x0000_i1055" o:spt="75" type="#_x0000_t75" style="height:104.4pt;width:177.95pt;" o:ole="t" filled="f" o:preferrelative="t" stroked="f" coordsize="21600,21600">
            <v:path/>
            <v:fill on="f" alignshape="1" focussize="0,0"/>
            <v:stroke on="f"/>
            <v:imagedata r:id="rId76" grayscale="f" bilevel="f" o:title=""/>
            <o:lock v:ext="edit" aspectratio="t"/>
            <w10:wrap type="none"/>
            <w10:anchorlock/>
          </v:shape>
          <o:OLEObject Type="Embed" ProgID="Equation.DSMT4" ShapeID="_x0000_i1055" DrawAspect="Content" ObjectID="_1468075755" r:id="rId75">
            <o:LockedField>false</o:LockedField>
          </o:OLEObject>
        </w:object>
      </w:r>
      <w:r>
        <w:rPr>
          <w:rFonts w:hint="default" w:ascii="Times New Roman" w:hAnsi="Times New Roman" w:cs="Times New Roman"/>
          <w:color w:val="000000"/>
          <w:sz w:val="24"/>
          <w:szCs w:val="24"/>
          <w:u w:val="single"/>
          <w:lang w:val="zh-CN"/>
        </w:rPr>
        <w:t>故抗倾覆验算满足。考虑被动土压力必定满足，不再验算。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eastAsia" w:ascii="Times New Roman" w:hAnsi="Times New Roman" w:cs="Times New Roman"/>
          <w:color w:val="000000"/>
          <w:sz w:val="24"/>
          <w:szCs w:val="24"/>
          <w:u w:val="single"/>
          <w:lang w:val="en-US" w:eastAsia="zh-CN"/>
        </w:rPr>
        <w:t>c、</w:t>
      </w:r>
      <w:r>
        <w:rPr>
          <w:rFonts w:hint="default" w:ascii="Times New Roman" w:hAnsi="Times New Roman" w:cs="Times New Roman"/>
          <w:color w:val="000000"/>
          <w:sz w:val="24"/>
          <w:szCs w:val="24"/>
          <w:u w:val="single"/>
          <w:lang w:val="zh-CN"/>
        </w:rPr>
        <w:t>地基承载力验算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正常工况时，有</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none"/>
          <w:lang w:val="zh-CN"/>
        </w:rPr>
        <w:object>
          <v:shape id="_x0000_i1056" o:spt="75" type="#_x0000_t75" style="height:97.45pt;width:273.9pt;" o:ole="t" filled="f" o:preferrelative="t" stroked="f" coordsize="21600,21600">
            <v:path/>
            <v:fill on="f" alignshape="1" focussize="0,0"/>
            <v:stroke on="f"/>
            <v:imagedata r:id="rId78" grayscale="f" bilevel="f" o:title=""/>
            <o:lock v:ext="edit" aspectratio="t"/>
            <w10:wrap type="none"/>
            <w10:anchorlock/>
          </v:shape>
          <o:OLEObject Type="Embed" ProgID="Equation.DSMT4" ShapeID="_x0000_i1056" DrawAspect="Content" ObjectID="_1468075756" r:id="rId77">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平均压力p</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+Gk）/A=260.1346</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轴心力和弯矩共同作用下，p</w:t>
      </w:r>
      <w:r>
        <w:rPr>
          <w:rFonts w:hint="default" w:ascii="Times New Roman" w:hAnsi="Times New Roman" w:cs="Times New Roman"/>
          <w:color w:val="000000"/>
          <w:sz w:val="24"/>
          <w:szCs w:val="24"/>
          <w:u w:val="single"/>
          <w:vertAlign w:val="subscript"/>
          <w:lang w:val="zh-CN"/>
        </w:rPr>
        <w:t>kmax</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）/A+M</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/W=339.6491</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p</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&lt;=R</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=300kN，轴心竖向力作用下满足要求。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p</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&lt;=1.2×R</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=360kN，轴心力和弯矩共同作用下满足要求。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非常情况I时，取警戒水位为80m。有</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position w:val="-40"/>
          <w:sz w:val="24"/>
          <w:szCs w:val="24"/>
          <w:u w:val="none"/>
          <w:lang w:val="zh-CN"/>
        </w:rPr>
        <w:object>
          <v:shape id="_x0000_i1057" o:spt="75" type="#_x0000_t75" style="height:95.7pt;width:361.25pt;" o:ole="t" filled="f" o:preferrelative="t" stroked="f" coordsize="21600,21600">
            <v:path/>
            <v:fill on="f" alignshape="1" focussize="0,0"/>
            <v:stroke on="f"/>
            <v:imagedata r:id="rId80" grayscale="f" bilevel="f" o:title=""/>
            <o:lock v:ext="edit" aspectratio="t"/>
            <w10:wrap type="none"/>
            <w10:anchorlock/>
          </v:shape>
          <o:OLEObject Type="Embed" ProgID="Equation.DSMT4" ShapeID="_x0000_i1057" DrawAspect="Content" ObjectID="_1468075757" r:id="rId79">
            <o:LockedField>false</o:LockedField>
          </o:OLEObject>
        </w:objec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平均压力p</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+Gk）/A=249.77</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轴心力和弯矩共同作用下，p</w:t>
      </w:r>
      <w:r>
        <w:rPr>
          <w:rFonts w:hint="default" w:ascii="Times New Roman" w:hAnsi="Times New Roman" w:cs="Times New Roman"/>
          <w:color w:val="000000"/>
          <w:sz w:val="24"/>
          <w:szCs w:val="24"/>
          <w:u w:val="single"/>
          <w:vertAlign w:val="subscript"/>
          <w:lang w:val="zh-CN"/>
        </w:rPr>
        <w:t>kmax</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）/A+M</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/W=512.85</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p</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&lt;=R</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=300kN，轴心竖向力作用下满足要求。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p</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&gt;1.2×R</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=360kN，轴心力和弯矩共同作用下不满足要求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考虑一些被动土压力，认为被动土压力作用于距挡墙底边2m处，这时有：</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position w:val="-40"/>
          <w:sz w:val="24"/>
          <w:szCs w:val="24"/>
          <w:u w:val="none"/>
          <w:lang w:val="zh-CN"/>
        </w:rPr>
        <w:object>
          <v:shape id="_x0000_i1058" o:spt="75" type="#_x0000_t75" style="height:95.7pt;width:436.55pt;" o:ole="t" filled="f" o:preferrelative="t" stroked="f" coordsize="21600,21600">
            <v:path/>
            <v:fill on="f" alignshape="1" focussize="0,0"/>
            <v:stroke on="f"/>
            <v:imagedata r:id="rId82" grayscale="f" bilevel="f" o:title=""/>
            <o:lock v:ext="edit" aspectratio="t"/>
            <w10:wrap type="none"/>
            <w10:anchorlock/>
          </v:shape>
          <o:OLEObject Type="Embed" ProgID="Equation.DSMT4" ShapeID="_x0000_i1058" DrawAspect="Content" ObjectID="_1468075758" r:id="rId81">
            <o:LockedField>false</o:LockedField>
          </o:OLEObject>
        </w:object>
      </w:r>
      <w:r>
        <w:rPr>
          <w:rFonts w:hint="eastAsia" w:ascii="Times New Roman" w:hAnsi="Times New Roman" w:cs="Times New Roman"/>
          <w:color w:val="000000"/>
          <w:sz w:val="24"/>
          <w:szCs w:val="24"/>
          <w:u w:val="none"/>
          <w:lang w:val="en-US" w:eastAsia="zh-CN"/>
        </w:rPr>
        <w:t xml:space="preserve">    </w:t>
      </w:r>
      <w:r>
        <w:rPr>
          <w:rFonts w:hint="default" w:ascii="Times New Roman" w:hAnsi="Times New Roman" w:cs="Times New Roman"/>
          <w:color w:val="000000"/>
          <w:sz w:val="24"/>
          <w:szCs w:val="24"/>
          <w:u w:val="single"/>
          <w:lang w:val="zh-CN"/>
        </w:rPr>
        <w:t>平均压力p</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+Gk）/A=249.77</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轴心力和弯矩共同作用下，p</w:t>
      </w:r>
      <w:r>
        <w:rPr>
          <w:rFonts w:hint="default" w:ascii="Times New Roman" w:hAnsi="Times New Roman" w:cs="Times New Roman"/>
          <w:color w:val="000000"/>
          <w:sz w:val="24"/>
          <w:szCs w:val="24"/>
          <w:u w:val="single"/>
          <w:vertAlign w:val="subscript"/>
          <w:lang w:val="zh-CN"/>
        </w:rPr>
        <w:t>kmax</w:t>
      </w:r>
      <w:r>
        <w:rPr>
          <w:rFonts w:hint="default" w:ascii="Times New Roman" w:hAnsi="Times New Roman" w:cs="Times New Roman"/>
          <w:color w:val="000000"/>
          <w:sz w:val="24"/>
          <w:szCs w:val="24"/>
          <w:u w:val="single"/>
          <w:lang w:val="zh-CN"/>
        </w:rPr>
        <w:t>=（F</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+G</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）/A+M</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/W=297.04</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p</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&lt;=R</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=300kN，轴心竖向力作用下满足要求。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p</w:t>
      </w:r>
      <w:r>
        <w:rPr>
          <w:rFonts w:hint="default" w:ascii="Times New Roman" w:hAnsi="Times New Roman" w:cs="Times New Roman"/>
          <w:color w:val="000000"/>
          <w:sz w:val="24"/>
          <w:szCs w:val="24"/>
          <w:u w:val="single"/>
          <w:vertAlign w:val="subscript"/>
          <w:lang w:val="zh-CN"/>
        </w:rPr>
        <w:t>k</w:t>
      </w:r>
      <w:r>
        <w:rPr>
          <w:rFonts w:hint="default" w:ascii="Times New Roman" w:hAnsi="Times New Roman" w:cs="Times New Roman"/>
          <w:color w:val="000000"/>
          <w:sz w:val="24"/>
          <w:szCs w:val="24"/>
          <w:u w:val="single"/>
          <w:lang w:val="zh-CN"/>
        </w:rPr>
        <w:t>&lt;1.2×R</w:t>
      </w:r>
      <w:r>
        <w:rPr>
          <w:rFonts w:hint="default" w:ascii="Times New Roman" w:hAnsi="Times New Roman" w:cs="Times New Roman"/>
          <w:color w:val="000000"/>
          <w:sz w:val="24"/>
          <w:szCs w:val="24"/>
          <w:u w:val="single"/>
          <w:vertAlign w:val="subscript"/>
          <w:lang w:val="zh-CN"/>
        </w:rPr>
        <w:t>a</w:t>
      </w:r>
      <w:r>
        <w:rPr>
          <w:rFonts w:hint="default" w:ascii="Times New Roman" w:hAnsi="Times New Roman" w:cs="Times New Roman"/>
          <w:color w:val="000000"/>
          <w:sz w:val="24"/>
          <w:szCs w:val="24"/>
          <w:u w:val="single"/>
          <w:lang w:val="zh-CN"/>
        </w:rPr>
        <w:t>=360kN，轴心力和弯矩共同作用下满足要求</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eastAsia" w:ascii="Times New Roman" w:hAnsi="Times New Roman" w:cs="Times New Roman"/>
          <w:color w:val="000000"/>
          <w:sz w:val="24"/>
          <w:szCs w:val="24"/>
          <w:u w:val="single"/>
          <w:lang w:val="en-US" w:eastAsia="zh-CN"/>
        </w:rPr>
        <w:t>d、</w:t>
      </w:r>
      <w:r>
        <w:rPr>
          <w:rFonts w:hint="default" w:ascii="Times New Roman" w:hAnsi="Times New Roman" w:cs="Times New Roman"/>
          <w:color w:val="000000"/>
          <w:sz w:val="24"/>
          <w:szCs w:val="24"/>
          <w:u w:val="single"/>
          <w:lang w:val="zh-CN"/>
        </w:rPr>
        <w:t>堆体稳定性验算</w:t>
      </w:r>
    </w:p>
    <w:p>
      <w:pPr>
        <w:autoSpaceDE w:val="0"/>
        <w:autoSpaceDN w:val="0"/>
        <w:adjustRightInd w:val="0"/>
        <w:snapToGrid w:val="0"/>
        <w:spacing w:line="520" w:lineRule="atLeast"/>
        <w:ind w:left="0" w:firstLine="560" w:firstLineChars="200"/>
        <w:rPr>
          <w:rFonts w:hint="default" w:ascii="Times New Roman" w:hAnsi="Times New Roman" w:cs="Times New Roman"/>
          <w:color w:val="000000"/>
          <w:sz w:val="24"/>
          <w:szCs w:val="24"/>
          <w:u w:val="single"/>
          <w:lang w:val="zh-CN"/>
        </w:rPr>
      </w:pPr>
      <w:r>
        <w:rPr>
          <w:rFonts w:hint="default" w:ascii="Times New Roman" w:hAnsi="Times New Roman" w:cs="Times New Roman"/>
          <w:color w:val="000000"/>
          <w:sz w:val="24"/>
          <w:szCs w:val="24"/>
          <w:u w:val="single"/>
          <w:lang w:val="zh-CN"/>
        </w:rPr>
        <w:t>此处垃圾堆体高110-80=30m，较北侧坝来说情况较为有利，一定满足，不再验算。警戒水位取为80m。</w:t>
      </w:r>
    </w:p>
    <w:p>
      <w:pPr>
        <w:spacing w:line="360" w:lineRule="auto"/>
        <w:ind w:firstLine="480" w:firstLineChars="200"/>
        <w:rPr>
          <w:rFonts w:hint="eastAsia"/>
          <w:sz w:val="24"/>
          <w:u w:val="single"/>
          <w:lang w:eastAsia="zh-CN"/>
        </w:rPr>
      </w:pPr>
      <w:r>
        <w:rPr>
          <w:rFonts w:hint="eastAsia"/>
          <w:sz w:val="24"/>
          <w:u w:val="single"/>
          <w:lang w:eastAsia="zh-CN"/>
        </w:rPr>
        <w:t>综上对现有垃圾坝稳定性计算可知，南、北垃圾坝的稳定性均满足相应设计技术规范要求。</w:t>
      </w:r>
    </w:p>
    <w:p>
      <w:pPr>
        <w:pStyle w:val="3"/>
        <w:rPr>
          <w:rFonts w:hint="eastAsia"/>
          <w:color w:val="auto"/>
          <w:lang w:val="en-US" w:eastAsia="zh-CN"/>
        </w:rPr>
      </w:pPr>
      <w:bookmarkStart w:id="86" w:name="_Toc19454"/>
      <w:r>
        <w:rPr>
          <w:rFonts w:hint="eastAsia"/>
          <w:color w:val="auto"/>
          <w:lang w:val="en-US" w:eastAsia="zh-CN"/>
        </w:rPr>
        <w:t>8.9风险事故防范措施及管理措施</w:t>
      </w:r>
      <w:bookmarkEnd w:id="86"/>
    </w:p>
    <w:p>
      <w:pPr>
        <w:pStyle w:val="4"/>
        <w:rPr>
          <w:rFonts w:hint="eastAsia"/>
          <w:lang w:val="en-US" w:eastAsia="zh-CN"/>
        </w:rPr>
      </w:pPr>
      <w:r>
        <w:rPr>
          <w:rFonts w:hint="eastAsia"/>
          <w:color w:val="auto"/>
          <w:lang w:val="en-US" w:eastAsia="zh-CN"/>
        </w:rPr>
        <w:t>8.9.1风险防范措施</w:t>
      </w:r>
    </w:p>
    <w:p>
      <w:pPr>
        <w:rPr>
          <w:u w:val="single"/>
        </w:rPr>
      </w:pPr>
      <w:r>
        <w:rPr>
          <w:u w:val="single"/>
        </w:rPr>
        <w:t>A．暴雨造成渗滤液水量冲击风险防范措施</w:t>
      </w:r>
    </w:p>
    <w:p>
      <w:pPr>
        <w:rPr>
          <w:u w:val="single"/>
        </w:rPr>
      </w:pPr>
      <w:r>
        <w:rPr>
          <w:rFonts w:hint="eastAsia"/>
          <w:u w:val="single"/>
          <w:lang w:eastAsia="zh-CN"/>
        </w:rPr>
        <w:t>岳阳市</w:t>
      </w:r>
      <w:r>
        <w:rPr>
          <w:u w:val="single"/>
        </w:rPr>
        <w:t>降雨量较大，雨季和特大降雨时渗滤液产生量将剧增。若不采取措施，可能会导致渗滤液直排污染地表水体。项目针对这一情况，工程设计采取了以下措施：</w:t>
      </w:r>
    </w:p>
    <w:p>
      <w:pPr>
        <w:rPr>
          <w:u w:val="single"/>
        </w:rPr>
      </w:pPr>
      <w:r>
        <w:rPr>
          <w:u w:val="single"/>
        </w:rPr>
        <w:t>1）垃圾填埋作业采取分区填埋，场内设临时排水沟和分水坝，将未填埋区域和已封场区域产生的地表径流引走，避免进入渗滤液收集系统，从而有效降低渗滤液的产生量。</w:t>
      </w:r>
    </w:p>
    <w:p>
      <w:pPr>
        <w:rPr>
          <w:u w:val="single"/>
        </w:rPr>
      </w:pPr>
      <w:r>
        <w:rPr>
          <w:u w:val="single"/>
        </w:rPr>
        <w:t>2）在填埋区外围设置排洪沟，截流雨水至填埋区调节池之外。</w:t>
      </w:r>
    </w:p>
    <w:p>
      <w:pPr>
        <w:rPr>
          <w:u w:val="single"/>
        </w:rPr>
      </w:pPr>
      <w:r>
        <w:rPr>
          <w:u w:val="single"/>
        </w:rPr>
        <w:t>3）加强雨水外排能力，每年雨季前完成截洪沟的清理和整修，确保雨污分流。</w:t>
      </w:r>
    </w:p>
    <w:p>
      <w:pPr>
        <w:rPr>
          <w:u w:val="single"/>
        </w:rPr>
      </w:pPr>
      <w:r>
        <w:rPr>
          <w:u w:val="single"/>
        </w:rPr>
        <w:t>4）</w:t>
      </w:r>
      <w:r>
        <w:rPr>
          <w:rFonts w:hint="eastAsia"/>
          <w:u w:val="single"/>
          <w:lang w:eastAsia="zh-CN"/>
        </w:rPr>
        <w:t>改造</w:t>
      </w:r>
      <w:r>
        <w:rPr>
          <w:u w:val="single"/>
        </w:rPr>
        <w:t>渗滤液调节池</w:t>
      </w:r>
      <w:r>
        <w:rPr>
          <w:rFonts w:hint="eastAsia"/>
          <w:u w:val="single"/>
          <w:lang w:eastAsia="zh-CN"/>
        </w:rPr>
        <w:t>，并对</w:t>
      </w:r>
      <w:r>
        <w:rPr>
          <w:u w:val="single"/>
        </w:rPr>
        <w:t>该调节池</w:t>
      </w:r>
      <w:r>
        <w:rPr>
          <w:rFonts w:hint="eastAsia"/>
          <w:u w:val="single"/>
          <w:lang w:eastAsia="zh-CN"/>
        </w:rPr>
        <w:t>进行</w:t>
      </w:r>
      <w:r>
        <w:rPr>
          <w:u w:val="single"/>
        </w:rPr>
        <w:t>加盖处理。</w:t>
      </w:r>
    </w:p>
    <w:p>
      <w:pPr>
        <w:rPr>
          <w:u w:val="single"/>
        </w:rPr>
      </w:pPr>
      <w:r>
        <w:rPr>
          <w:u w:val="single"/>
        </w:rPr>
        <w:t>5）指定包括监测、报警等措施在内的应急预案。</w:t>
      </w:r>
    </w:p>
    <w:p>
      <w:r>
        <w:rPr>
          <w:u w:val="single"/>
        </w:rPr>
        <w:t>6）加强管理，定期巡护。</w:t>
      </w:r>
    </w:p>
    <w:p>
      <w:pPr>
        <w:rPr>
          <w:u w:val="single"/>
        </w:rPr>
      </w:pPr>
      <w:r>
        <w:rPr>
          <w:u w:val="single"/>
        </w:rPr>
        <w:t xml:space="preserve">B．渗滤液处理站未正常运行的风险防范措施 </w:t>
      </w:r>
    </w:p>
    <w:p>
      <w:pPr>
        <w:rPr>
          <w:u w:val="single"/>
        </w:rPr>
      </w:pPr>
      <w:r>
        <w:rPr>
          <w:u w:val="single"/>
        </w:rPr>
        <w:t>首先应确保废水处理设施正常运行。当废水处理设施不能正常运行时，所有渗滤液全部进入调节池，不外运。垃圾渗滤液处理比一般生活污水处理难度要大得多，除了工程技术人员在设计时正确选择处理工艺外，还要求操作人员具有一定的经验和技术水平。因此，操作工人 在上岗前要经过培训、持证上岗。</w:t>
      </w:r>
    </w:p>
    <w:p>
      <w:pPr>
        <w:rPr>
          <w:u w:val="single"/>
        </w:rPr>
      </w:pPr>
      <w:r>
        <w:rPr>
          <w:u w:val="single"/>
        </w:rPr>
        <w:t>处理站要配备足够的分析监测仪器设备，并配置专职的分析技术人员以及水处理 技术人员。处理装置在运行过程中要按时对水质各类指标及微生物、水生生物生长状 况进行监控，以保证处理站正常运行。当分析人员发现出水水质异常时应及时与水处理技术人员配合，分析产生原因及采取应对措施，恢复处理站的正常运行。</w:t>
      </w:r>
    </w:p>
    <w:p>
      <w:pPr>
        <w:rPr>
          <w:u w:val="single"/>
        </w:rPr>
      </w:pPr>
      <w:r>
        <w:rPr>
          <w:u w:val="single"/>
        </w:rPr>
        <w:t xml:space="preserve">C．渗滤液防渗层破损防范措施 </w:t>
      </w:r>
    </w:p>
    <w:p>
      <w:pPr>
        <w:rPr>
          <w:u w:val="single"/>
        </w:rPr>
      </w:pPr>
      <w:r>
        <w:rPr>
          <w:u w:val="single"/>
        </w:rPr>
        <w:t>在运行期应加强对渗滤液收集系统、地下监测井的监测。 生活垃圾填埋场运行期内，定期检测防渗衬层系统的完整性。当发现防渗衬层系统发生渗漏时，及时采取补救措施；定期检测渗滤液导排系统的有效性，保证正常运行；当衬层上的渗滤液深度大于30cm 时，及时采取有效疏导措施排除积存在填埋场内的渗滤液；定期检测地下水水质。当发现地下水水质有被污染的迹象时，应及时查找原因，发现渗漏位置并采取补救措施，防止污染进一步扩散。垃圾场防渗层在破损后，难以检测，堵漏、灌注等方式修补难度大，对防渗层的破损的防范措施应加强对施工期施工质量的监管，选择满足设计规范要求的防渗材料，选择施工水平高的施工队伍，制定严格的防渗层施工方案，严格按设计要求进行 施工，保证防渗层在铺设时的质量。</w:t>
      </w:r>
    </w:p>
    <w:p>
      <w:pPr>
        <w:rPr>
          <w:u w:val="single"/>
        </w:rPr>
      </w:pPr>
      <w:r>
        <w:rPr>
          <w:u w:val="single"/>
        </w:rPr>
        <w:t>在施工过程中应进行现场施工检验，以确保可以达到设计要求。检验内容与频率 应包括在施工设计书中。在进行人工合成材料防渗衬层施工前，应对人工合成材料的 各项性能指标进行质量测试；在需要进行焊接之前，应进行试验焊接。在人工合成材 料防渗衬层和渗滤液导排系统的铺设过程中与完成之后，应通过连续性和完整性检测检验施工效果，以确定人工合成材料防渗衬层没有破损、漏洞等。填埋场人工合成材料防渗衬层铺设完成后，未填埋的部分应采取有效的工程措施防止人工合成材料防渗衬层在日光下直接暴露。通过对防渗层施工的监管，提高铺设质量，防止在后期出现破损情况。</w:t>
      </w:r>
    </w:p>
    <w:p>
      <w:pPr>
        <w:rPr>
          <w:u w:val="single"/>
        </w:rPr>
      </w:pPr>
      <w:r>
        <w:rPr>
          <w:u w:val="single"/>
        </w:rPr>
        <w:t>D．渗滤液输送管道破损防范措施</w:t>
      </w:r>
    </w:p>
    <w:p>
      <w:pPr>
        <w:rPr>
          <w:u w:val="single"/>
        </w:rPr>
      </w:pPr>
      <w:r>
        <w:rPr>
          <w:u w:val="single"/>
        </w:rPr>
        <w:t>1）建设单位应加强施工期间的管理、检查，确保施工质量。</w:t>
      </w:r>
    </w:p>
    <w:p>
      <w:pPr>
        <w:rPr>
          <w:u w:val="single"/>
        </w:rPr>
      </w:pPr>
      <w:r>
        <w:rPr>
          <w:u w:val="single"/>
        </w:rPr>
        <w:t>2）严格管理，加强沿线管道的检查。</w:t>
      </w:r>
    </w:p>
    <w:p>
      <w:pPr>
        <w:rPr>
          <w:u w:val="single"/>
        </w:rPr>
      </w:pPr>
      <w:r>
        <w:rPr>
          <w:u w:val="single"/>
        </w:rPr>
        <w:t>3）一旦发生事故，及时向有关部门反映，采取有效处理措施，最大限度降低对 周围环境和人民生命及财产造成的危害。</w:t>
      </w:r>
    </w:p>
    <w:p>
      <w:pPr>
        <w:rPr>
          <w:u w:val="single"/>
        </w:rPr>
      </w:pPr>
      <w:r>
        <w:rPr>
          <w:rFonts w:hint="eastAsia"/>
          <w:u w:val="single"/>
          <w:lang w:val="en-US" w:eastAsia="zh-CN"/>
        </w:rPr>
        <w:t xml:space="preserve">E. </w:t>
      </w:r>
      <w:r>
        <w:rPr>
          <w:u w:val="single"/>
        </w:rPr>
        <w:t>避免覆盖层破坏的工程措施</w:t>
      </w:r>
    </w:p>
    <w:p>
      <w:pPr>
        <w:rPr>
          <w:u w:val="single"/>
        </w:rPr>
      </w:pPr>
      <w:r>
        <w:rPr>
          <w:u w:val="single"/>
        </w:rPr>
        <w:t>根据《生活垃圾卫生填埋处理技术规范》（GB50869-2013）将堆体的边坡值严格 控制在 1:3 以内。堆体外边坡每升高10m设置一条3m宽平台。</w:t>
      </w:r>
    </w:p>
    <w:p>
      <w:pPr>
        <w:rPr>
          <w:u w:val="single"/>
        </w:rPr>
      </w:pPr>
      <w:r>
        <w:rPr>
          <w:u w:val="single"/>
        </w:rPr>
        <w:t>本工程在采取上述措施后，垃圾坝不存在跨塌隐患。</w:t>
      </w:r>
    </w:p>
    <w:p>
      <w:pPr>
        <w:rPr>
          <w:u w:val="single"/>
        </w:rPr>
      </w:pPr>
      <w:r>
        <w:rPr>
          <w:u w:val="single"/>
        </w:rPr>
        <w:t>F．防火防爆措施</w:t>
      </w:r>
    </w:p>
    <w:p>
      <w:pPr>
        <w:rPr>
          <w:u w:val="single"/>
        </w:rPr>
      </w:pPr>
      <w:r>
        <w:rPr>
          <w:u w:val="single"/>
        </w:rPr>
        <w:t>规范施工和加强施工监理 加强管理：建设指挥部至少应由一名熟悉环保政策和法规的专业技术人员负责落实环保措施，应组成一个由指挥长为组长的环境管理小组，协调施工单位的环保工作。监理公司至少应有 1～2 名的环保专业人员，负责施工过程中的环保工程监理，并检查“三同时”的落实情况。施工单位至少配备一名环保技术人员从事环保工程施工的技术负责。施工中环境监理人员可根据情况，对重要地段或敏感点提出环境监测计划，掌握施工期的环境状况，确保不发生重大的环境事故。</w:t>
      </w:r>
    </w:p>
    <w:p>
      <w:pPr>
        <w:rPr>
          <w:u w:val="single"/>
        </w:rPr>
      </w:pPr>
      <w:r>
        <w:rPr>
          <w:u w:val="single"/>
        </w:rPr>
        <w:t>按规范[2001]190 号，填埋作业区为生产的火灾危险分类的戊类防火区，易燃、易 爆部位为区丙类防火区。在填埋区应配备灭火沙土等灭火设施。在填埋区设防火隔离带，宽度大于</w:t>
      </w:r>
      <w:r>
        <w:rPr>
          <w:rFonts w:hint="eastAsia"/>
          <w:u w:val="single"/>
          <w:lang w:val="en-US" w:eastAsia="zh-CN"/>
        </w:rPr>
        <w:t>15</w:t>
      </w:r>
      <w:r>
        <w:rPr>
          <w:u w:val="single"/>
        </w:rPr>
        <w:t>m。</w:t>
      </w:r>
    </w:p>
    <w:p>
      <w:pPr>
        <w:rPr>
          <w:u w:val="single"/>
        </w:rPr>
      </w:pPr>
      <w:r>
        <w:rPr>
          <w:u w:val="single"/>
        </w:rPr>
        <w:t>在填埋场四周设气体监测装置，监控填埋气体中甲烷含量，填埋场区中甲烷气体 不得大于 5%；建（构）筑物内甲烷气体不得大于 1.25%。</w:t>
      </w:r>
    </w:p>
    <w:p>
      <w:pPr>
        <w:rPr>
          <w:u w:val="single"/>
        </w:rPr>
      </w:pPr>
      <w:r>
        <w:rPr>
          <w:u w:val="single"/>
        </w:rPr>
        <w:t>G.  地下水污染风险防范措施</w:t>
      </w:r>
    </w:p>
    <w:p>
      <w:pPr>
        <w:rPr>
          <w:u w:val="single"/>
        </w:rPr>
      </w:pPr>
      <w:r>
        <w:rPr>
          <w:u w:val="single"/>
        </w:rPr>
        <w:t>1）切实做好库区防渗措施，选择、购买、铺设防渗系统应严格按照相关规范进行；</w:t>
      </w:r>
    </w:p>
    <w:p>
      <w:pPr>
        <w:rPr>
          <w:u w:val="single"/>
        </w:rPr>
      </w:pPr>
      <w:r>
        <w:rPr>
          <w:u w:val="single"/>
        </w:rPr>
        <w:t>2）做好渗滤液收集、处理工作，防止渗滤液外排；</w:t>
      </w:r>
    </w:p>
    <w:p>
      <w:pPr>
        <w:rPr>
          <w:u w:val="single"/>
        </w:rPr>
      </w:pPr>
      <w:r>
        <w:rPr>
          <w:u w:val="single"/>
        </w:rPr>
        <w:t xml:space="preserve">3）设置地下水环境监测系统，本项目的地下水监测井主要由 </w:t>
      </w:r>
      <w:r>
        <w:rPr>
          <w:rFonts w:hint="eastAsia"/>
          <w:u w:val="single"/>
          <w:lang w:val="en-US" w:eastAsia="zh-CN"/>
        </w:rPr>
        <w:t>5</w:t>
      </w:r>
      <w:r>
        <w:rPr>
          <w:u w:val="single"/>
        </w:rPr>
        <w:t>口井组成</w:t>
      </w:r>
      <w:r>
        <w:rPr>
          <w:rFonts w:hint="eastAsia"/>
          <w:u w:val="single"/>
          <w:lang w:eastAsia="zh-CN"/>
        </w:rPr>
        <w:t>。</w:t>
      </w:r>
      <w:r>
        <w:rPr>
          <w:u w:val="single"/>
        </w:rPr>
        <w:t>通过监测，能及时发现问题，避免污染影响。同时环评要求定期监测项目区域土壤环境质量，以便及时发现异常，杜绝渗滤液泄漏对地下水造成污染。</w:t>
      </w:r>
    </w:p>
    <w:p>
      <w:pPr>
        <w:rPr>
          <w:u w:val="single"/>
        </w:rPr>
      </w:pPr>
      <w:r>
        <w:rPr>
          <w:u w:val="single"/>
        </w:rPr>
        <w:t>4）一旦发现异常情况，应立即成立应急小组，制定应急方案，采取相应措施，减小污染物对地下水的污染，常用的方法有物理处理法、水动力控制法、抽出处理法、原位处理法等。</w:t>
      </w:r>
    </w:p>
    <w:p>
      <w:pPr>
        <w:rPr>
          <w:u w:val="single"/>
        </w:rPr>
      </w:pPr>
      <w:r>
        <w:rPr>
          <w:u w:val="single"/>
        </w:rPr>
        <w:t>环评要求：加强施工监理，将施工监理纳入环境管理范畴，施工监理报告、录像一并作为项目环保验收时必须提交的技术材料之一。</w:t>
      </w:r>
    </w:p>
    <w:p>
      <w:pPr>
        <w:rPr>
          <w:u w:val="single"/>
        </w:rPr>
      </w:pPr>
      <w:r>
        <w:rPr>
          <w:u w:val="single"/>
        </w:rPr>
        <w:t>采取以上导排和防爆和地下水风险防范措施，可将风险降到最低。</w:t>
      </w:r>
    </w:p>
    <w:p>
      <w:pPr>
        <w:pStyle w:val="4"/>
        <w:rPr>
          <w:u w:val="single"/>
        </w:rPr>
      </w:pPr>
      <w:r>
        <w:rPr>
          <w:rFonts w:hint="eastAsia"/>
          <w:u w:val="single"/>
          <w:lang w:val="en-US" w:eastAsia="zh-CN"/>
        </w:rPr>
        <w:t>8.9.2</w:t>
      </w:r>
      <w:r>
        <w:rPr>
          <w:u w:val="single"/>
        </w:rPr>
        <w:t xml:space="preserve">风险事故应急预案 </w:t>
      </w:r>
    </w:p>
    <w:p>
      <w:pPr>
        <w:rPr>
          <w:u w:val="single"/>
        </w:rPr>
      </w:pPr>
      <w:r>
        <w:rPr>
          <w:u w:val="single"/>
        </w:rPr>
        <w:t>无论预防工作如何周密，风险事故总是难以根本杜绝，制定风险事故应急预案的目的是要迅速而有效地将事故损失减至最小，业主应按下表设置应急预案：</w:t>
      </w:r>
    </w:p>
    <w:p>
      <w:pPr>
        <w:pStyle w:val="23"/>
        <w:rPr>
          <w:b/>
          <w:bCs/>
          <w:u w:val="single"/>
        </w:rPr>
      </w:pPr>
      <w:r>
        <w:rPr>
          <w:b/>
          <w:bCs/>
          <w:u w:val="single"/>
        </w:rPr>
        <w:t xml:space="preserve">表 </w:t>
      </w:r>
      <w:r>
        <w:rPr>
          <w:rFonts w:hint="eastAsia"/>
          <w:b/>
          <w:bCs/>
          <w:u w:val="single"/>
          <w:lang w:val="en-US" w:eastAsia="zh-CN"/>
        </w:rPr>
        <w:t>8</w:t>
      </w:r>
      <w:r>
        <w:rPr>
          <w:b/>
          <w:bCs/>
          <w:u w:val="single"/>
        </w:rPr>
        <w:t>-</w:t>
      </w:r>
      <w:r>
        <w:rPr>
          <w:rFonts w:hint="eastAsia"/>
          <w:b/>
          <w:bCs/>
          <w:u w:val="single"/>
          <w:lang w:val="en-US" w:eastAsia="zh-CN"/>
        </w:rPr>
        <w:t>1</w:t>
      </w:r>
      <w:r>
        <w:rPr>
          <w:b/>
          <w:bCs/>
          <w:u w:val="single"/>
        </w:rPr>
        <w:tab/>
      </w:r>
      <w:r>
        <w:rPr>
          <w:b/>
          <w:bCs/>
          <w:u w:val="single"/>
        </w:rPr>
        <w:t>环境风险的突发性事故应急预案</w:t>
      </w:r>
    </w:p>
    <w:tbl>
      <w:tblPr>
        <w:tblStyle w:val="19"/>
        <w:tblW w:w="9346" w:type="dxa"/>
        <w:tblInd w:w="90" w:type="dxa"/>
        <w:tblLayout w:type="fixed"/>
        <w:tblCellMar>
          <w:top w:w="0" w:type="dxa"/>
          <w:left w:w="0" w:type="dxa"/>
          <w:bottom w:w="0" w:type="dxa"/>
          <w:right w:w="0" w:type="dxa"/>
        </w:tblCellMar>
      </w:tblPr>
      <w:tblGrid>
        <w:gridCol w:w="881"/>
        <w:gridCol w:w="2050"/>
        <w:gridCol w:w="6415"/>
      </w:tblGrid>
      <w:tr>
        <w:tblPrEx>
          <w:tblLayout w:type="fixed"/>
          <w:tblCellMar>
            <w:top w:w="0" w:type="dxa"/>
            <w:left w:w="0" w:type="dxa"/>
            <w:bottom w:w="0" w:type="dxa"/>
            <w:right w:w="0" w:type="dxa"/>
          </w:tblCellMar>
        </w:tblPrEx>
        <w:trPr>
          <w:trHeight w:val="343" w:hRule="exact"/>
        </w:trPr>
        <w:tc>
          <w:tcPr>
            <w:tcW w:w="881" w:type="dxa"/>
            <w:tcBorders>
              <w:top w:val="single" w:color="000000" w:sz="12"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序号</w:t>
            </w:r>
          </w:p>
        </w:tc>
        <w:tc>
          <w:tcPr>
            <w:tcW w:w="2050" w:type="dxa"/>
            <w:tcBorders>
              <w:top w:val="single" w:color="000000" w:sz="12"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项目</w:t>
            </w:r>
          </w:p>
        </w:tc>
        <w:tc>
          <w:tcPr>
            <w:tcW w:w="6415" w:type="dxa"/>
            <w:tcBorders>
              <w:top w:val="single" w:color="000000" w:sz="12"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内容及要求</w:t>
            </w:r>
          </w:p>
        </w:tc>
      </w:tr>
      <w:tr>
        <w:tblPrEx>
          <w:tblLayout w:type="fixed"/>
          <w:tblCellMar>
            <w:top w:w="0" w:type="dxa"/>
            <w:left w:w="0" w:type="dxa"/>
            <w:bottom w:w="0" w:type="dxa"/>
            <w:right w:w="0" w:type="dxa"/>
          </w:tblCellMar>
        </w:tblPrEx>
        <w:trPr>
          <w:trHeight w:val="336"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应急计划区</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危险目标：填埋场区、渗滤液调节池、环境保护目标</w:t>
            </w:r>
          </w:p>
        </w:tc>
      </w:tr>
      <w:tr>
        <w:tblPrEx>
          <w:tblLayout w:type="fixed"/>
          <w:tblCellMar>
            <w:top w:w="0" w:type="dxa"/>
            <w:left w:w="0" w:type="dxa"/>
            <w:bottom w:w="0" w:type="dxa"/>
            <w:right w:w="0" w:type="dxa"/>
          </w:tblCellMar>
        </w:tblPrEx>
        <w:trPr>
          <w:trHeight w:val="336"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2</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应急组织机构、人员</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填埋场应急组织机构、人员</w:t>
            </w:r>
          </w:p>
        </w:tc>
      </w:tr>
      <w:tr>
        <w:tblPrEx>
          <w:tblLayout w:type="fixed"/>
          <w:tblCellMar>
            <w:top w:w="0" w:type="dxa"/>
            <w:left w:w="0" w:type="dxa"/>
            <w:bottom w:w="0" w:type="dxa"/>
            <w:right w:w="0" w:type="dxa"/>
          </w:tblCellMar>
        </w:tblPrEx>
        <w:trPr>
          <w:trHeight w:val="336"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3</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预案分级响应条件</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规定预案的级别及分级响应程序</w:t>
            </w:r>
          </w:p>
        </w:tc>
      </w:tr>
      <w:tr>
        <w:tblPrEx>
          <w:tblLayout w:type="fixed"/>
          <w:tblCellMar>
            <w:top w:w="0" w:type="dxa"/>
            <w:left w:w="0" w:type="dxa"/>
            <w:bottom w:w="0" w:type="dxa"/>
            <w:right w:w="0" w:type="dxa"/>
          </w:tblCellMar>
        </w:tblPrEx>
        <w:trPr>
          <w:trHeight w:val="653"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4</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应急救援保障</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填埋区：防火灾、爆炸的应急设施、设备与材料，主要为消防器材、消防服、 毒气防护设施等；</w:t>
            </w:r>
          </w:p>
        </w:tc>
      </w:tr>
      <w:tr>
        <w:tblPrEx>
          <w:tblLayout w:type="fixed"/>
          <w:tblCellMar>
            <w:top w:w="0" w:type="dxa"/>
            <w:left w:w="0" w:type="dxa"/>
            <w:bottom w:w="0" w:type="dxa"/>
            <w:right w:w="0" w:type="dxa"/>
          </w:tblCellMar>
        </w:tblPrEx>
        <w:trPr>
          <w:trHeight w:val="336"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5</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报警、通讯联络方式</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规定应急状态下的报警通讯方式、通告方式和交通保障、管制等事项</w:t>
            </w:r>
          </w:p>
        </w:tc>
      </w:tr>
      <w:tr>
        <w:tblPrEx>
          <w:tblLayout w:type="fixed"/>
          <w:tblCellMar>
            <w:top w:w="0" w:type="dxa"/>
            <w:left w:w="0" w:type="dxa"/>
            <w:bottom w:w="0" w:type="dxa"/>
            <w:right w:w="0" w:type="dxa"/>
          </w:tblCellMar>
        </w:tblPrEx>
        <w:trPr>
          <w:trHeight w:val="653"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6</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应急环境监测、抢险、</w:t>
            </w: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救援及控制措施</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由专业人员对环境风险事故现场进行应急监测，对事故性质、严重程度等所造</w:t>
            </w: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成的环境危害后果进行评估，为指挥部门提供决策依据</w:t>
            </w:r>
          </w:p>
        </w:tc>
      </w:tr>
      <w:tr>
        <w:tblPrEx>
          <w:tblLayout w:type="fixed"/>
          <w:tblCellMar>
            <w:top w:w="0" w:type="dxa"/>
            <w:left w:w="0" w:type="dxa"/>
            <w:bottom w:w="0" w:type="dxa"/>
            <w:right w:w="0" w:type="dxa"/>
          </w:tblCellMar>
        </w:tblPrEx>
        <w:trPr>
          <w:trHeight w:val="658"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7</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应急检测、防护措施、</w:t>
            </w: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清除泄漏措施和器材</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事故现场、邻近地区、控制防火区，控制和消除环境污染的措施，配备相应的</w:t>
            </w: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设备</w:t>
            </w:r>
          </w:p>
        </w:tc>
      </w:tr>
      <w:tr>
        <w:tblPrEx>
          <w:tblLayout w:type="fixed"/>
          <w:tblCellMar>
            <w:top w:w="0" w:type="dxa"/>
            <w:left w:w="0" w:type="dxa"/>
            <w:bottom w:w="0" w:type="dxa"/>
            <w:right w:w="0" w:type="dxa"/>
          </w:tblCellMar>
        </w:tblPrEx>
        <w:trPr>
          <w:trHeight w:val="653"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8</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事故应急救援关闭程序</w:t>
            </w: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与恢复措施</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规定应急状态终止秩序；事故现场善后处理，恢复运行措施；邻近地区解除事</w:t>
            </w: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故警戒和善后恢复措施</w:t>
            </w:r>
          </w:p>
        </w:tc>
      </w:tr>
      <w:tr>
        <w:tblPrEx>
          <w:tblLayout w:type="fixed"/>
          <w:tblCellMar>
            <w:top w:w="0" w:type="dxa"/>
            <w:left w:w="0" w:type="dxa"/>
            <w:bottom w:w="0" w:type="dxa"/>
            <w:right w:w="0" w:type="dxa"/>
          </w:tblCellMar>
        </w:tblPrEx>
        <w:trPr>
          <w:trHeight w:val="658"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9</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应急培训计划</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应急计划制定后，平时安排事故处理人员进行相关知识培训进行事故应急处理</w:t>
            </w: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演习；对工人进行安全教育</w:t>
            </w:r>
          </w:p>
        </w:tc>
      </w:tr>
      <w:tr>
        <w:tblPrEx>
          <w:tblLayout w:type="fixed"/>
          <w:tblCellMar>
            <w:top w:w="0" w:type="dxa"/>
            <w:left w:w="0" w:type="dxa"/>
            <w:bottom w:w="0" w:type="dxa"/>
            <w:right w:w="0" w:type="dxa"/>
          </w:tblCellMar>
        </w:tblPrEx>
        <w:trPr>
          <w:trHeight w:val="653"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10</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p>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公众教育和信息发布</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对邻近地区公众开展环境风险事故预防教育、应急知识培训并定期发布相关信 息</w:t>
            </w:r>
          </w:p>
        </w:tc>
      </w:tr>
      <w:tr>
        <w:tblPrEx>
          <w:tblLayout w:type="fixed"/>
          <w:tblCellMar>
            <w:top w:w="0" w:type="dxa"/>
            <w:left w:w="0" w:type="dxa"/>
            <w:bottom w:w="0" w:type="dxa"/>
            <w:right w:w="0" w:type="dxa"/>
          </w:tblCellMar>
        </w:tblPrEx>
        <w:trPr>
          <w:trHeight w:val="336" w:hRule="exact"/>
        </w:trPr>
        <w:tc>
          <w:tcPr>
            <w:tcW w:w="881" w:type="dxa"/>
            <w:tcBorders>
              <w:top w:val="single" w:color="000000" w:sz="6" w:space="0"/>
              <w:left w:val="nil"/>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11</w:t>
            </w:r>
          </w:p>
        </w:tc>
        <w:tc>
          <w:tcPr>
            <w:tcW w:w="2050" w:type="dxa"/>
            <w:tcBorders>
              <w:top w:val="single" w:color="000000" w:sz="6" w:space="0"/>
              <w:left w:val="single" w:color="000000" w:sz="6" w:space="0"/>
              <w:bottom w:val="single" w:color="000000" w:sz="6"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记录和报告</w:t>
            </w:r>
          </w:p>
        </w:tc>
        <w:tc>
          <w:tcPr>
            <w:tcW w:w="6415" w:type="dxa"/>
            <w:tcBorders>
              <w:top w:val="single" w:color="000000" w:sz="6" w:space="0"/>
              <w:left w:val="single" w:color="000000" w:sz="6" w:space="0"/>
              <w:bottom w:val="single" w:color="000000" w:sz="6"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设应急事故专门记录，建立档案和报告制度，设专门部门负责管理</w:t>
            </w:r>
          </w:p>
        </w:tc>
      </w:tr>
      <w:tr>
        <w:tblPrEx>
          <w:tblLayout w:type="fixed"/>
          <w:tblCellMar>
            <w:top w:w="0" w:type="dxa"/>
            <w:left w:w="0" w:type="dxa"/>
            <w:bottom w:w="0" w:type="dxa"/>
            <w:right w:w="0" w:type="dxa"/>
          </w:tblCellMar>
        </w:tblPrEx>
        <w:trPr>
          <w:trHeight w:val="343" w:hRule="exact"/>
        </w:trPr>
        <w:tc>
          <w:tcPr>
            <w:tcW w:w="881" w:type="dxa"/>
            <w:tcBorders>
              <w:top w:val="single" w:color="000000" w:sz="6" w:space="0"/>
              <w:left w:val="nil"/>
              <w:bottom w:val="single" w:color="000000" w:sz="12"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12</w:t>
            </w:r>
          </w:p>
        </w:tc>
        <w:tc>
          <w:tcPr>
            <w:tcW w:w="2050" w:type="dxa"/>
            <w:tcBorders>
              <w:top w:val="single" w:color="000000" w:sz="6" w:space="0"/>
              <w:left w:val="single" w:color="000000" w:sz="6" w:space="0"/>
              <w:bottom w:val="single" w:color="000000" w:sz="12" w:space="0"/>
              <w:right w:val="single" w:color="000000" w:sz="6" w:space="0"/>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附件</w:t>
            </w:r>
          </w:p>
        </w:tc>
        <w:tc>
          <w:tcPr>
            <w:tcW w:w="6415" w:type="dxa"/>
            <w:tcBorders>
              <w:top w:val="single" w:color="000000" w:sz="6" w:space="0"/>
              <w:left w:val="single" w:color="000000" w:sz="6" w:space="0"/>
              <w:bottom w:val="single" w:color="000000" w:sz="12" w:space="0"/>
              <w:right w:val="nil"/>
            </w:tcBorders>
          </w:tcPr>
          <w:p>
            <w:pPr>
              <w:pStyle w:val="23"/>
              <w:keepNext w:val="0"/>
              <w:keepLines w:val="0"/>
              <w:suppressLineNumbers w:val="0"/>
              <w:spacing w:before="0" w:beforeAutospacing="0" w:after="0" w:afterAutospacing="0" w:line="240" w:lineRule="auto"/>
              <w:ind w:left="0" w:right="0"/>
              <w:rPr>
                <w:rFonts w:hint="default"/>
                <w:u w:val="single"/>
              </w:rPr>
            </w:pPr>
            <w:r>
              <w:rPr>
                <w:rFonts w:hint="default"/>
                <w:u w:val="single"/>
              </w:rPr>
              <w:t>准备并形成环境风险事故应急处理有关的附件材料</w:t>
            </w:r>
          </w:p>
        </w:tc>
      </w:tr>
    </w:tbl>
    <w:p>
      <w:pPr>
        <w:pStyle w:val="4"/>
        <w:rPr>
          <w:rFonts w:hint="eastAsia"/>
          <w:u w:val="single"/>
          <w:lang w:val="en-US" w:eastAsia="zh-CN"/>
        </w:rPr>
      </w:pPr>
      <w:r>
        <w:rPr>
          <w:rFonts w:hint="eastAsia"/>
          <w:u w:val="single"/>
          <w:lang w:val="en-US" w:eastAsia="zh-CN"/>
        </w:rPr>
        <w:t>8.9.3风险防范措施一览表</w:t>
      </w:r>
    </w:p>
    <w:p>
      <w:pPr>
        <w:pStyle w:val="23"/>
        <w:rPr>
          <w:rFonts w:hint="eastAsia"/>
          <w:b/>
          <w:bCs/>
          <w:u w:val="single"/>
          <w:lang w:val="en-US" w:eastAsia="zh-CN"/>
        </w:rPr>
      </w:pPr>
      <w:r>
        <w:rPr>
          <w:rFonts w:hint="eastAsia"/>
          <w:b/>
          <w:bCs/>
          <w:u w:val="single"/>
          <w:lang w:val="en-US" w:eastAsia="zh-CN"/>
        </w:rPr>
        <w:t>表8-2  风险防范措施一览表</w:t>
      </w:r>
    </w:p>
    <w:tbl>
      <w:tblPr>
        <w:tblStyle w:val="19"/>
        <w:tblW w:w="9096" w:type="dxa"/>
        <w:tblInd w:w="95" w:type="dxa"/>
        <w:tblLayout w:type="fixed"/>
        <w:tblCellMar>
          <w:top w:w="0" w:type="dxa"/>
          <w:left w:w="0" w:type="dxa"/>
          <w:bottom w:w="0" w:type="dxa"/>
          <w:right w:w="0" w:type="dxa"/>
        </w:tblCellMar>
      </w:tblPr>
      <w:tblGrid>
        <w:gridCol w:w="1150"/>
        <w:gridCol w:w="7946"/>
      </w:tblGrid>
      <w:tr>
        <w:tblPrEx>
          <w:tblLayout w:type="fixed"/>
          <w:tblCellMar>
            <w:top w:w="0" w:type="dxa"/>
            <w:left w:w="0" w:type="dxa"/>
            <w:bottom w:w="0" w:type="dxa"/>
            <w:right w:w="0" w:type="dxa"/>
          </w:tblCellMar>
        </w:tblPrEx>
        <w:trPr>
          <w:trHeight w:val="472" w:hRule="exact"/>
        </w:trPr>
        <w:tc>
          <w:tcPr>
            <w:tcW w:w="1150" w:type="dxa"/>
            <w:tcBorders>
              <w:top w:val="single" w:color="000000" w:sz="12" w:space="0"/>
              <w:left w:val="nil"/>
              <w:bottom w:val="single" w:color="000000" w:sz="6" w:space="0"/>
              <w:right w:val="single" w:color="000000" w:sz="6" w:space="0"/>
            </w:tcBorders>
            <w:vAlign w:val="center"/>
          </w:tcPr>
          <w:p>
            <w:pPr>
              <w:pStyle w:val="23"/>
              <w:keepNext w:val="0"/>
              <w:keepLines w:val="0"/>
              <w:suppressLineNumbers w:val="0"/>
              <w:spacing w:before="0" w:beforeAutospacing="0" w:after="0" w:afterAutospacing="0"/>
              <w:ind w:left="0" w:right="0"/>
              <w:jc w:val="center"/>
              <w:rPr>
                <w:rFonts w:hint="default"/>
                <w:u w:val="single"/>
              </w:rPr>
            </w:pPr>
            <w:r>
              <w:rPr>
                <w:rFonts w:hint="default"/>
                <w:u w:val="single"/>
              </w:rPr>
              <w:t>验收 项目</w:t>
            </w:r>
          </w:p>
        </w:tc>
        <w:tc>
          <w:tcPr>
            <w:tcW w:w="7946" w:type="dxa"/>
            <w:tcBorders>
              <w:top w:val="single" w:color="000000" w:sz="12" w:space="0"/>
              <w:left w:val="single" w:color="000000" w:sz="6" w:space="0"/>
              <w:bottom w:val="single" w:color="000000" w:sz="6" w:space="0"/>
              <w:right w:val="nil"/>
            </w:tcBorders>
            <w:vAlign w:val="center"/>
          </w:tcPr>
          <w:p>
            <w:pPr>
              <w:pStyle w:val="23"/>
              <w:keepNext w:val="0"/>
              <w:keepLines w:val="0"/>
              <w:suppressLineNumbers w:val="0"/>
              <w:spacing w:before="0" w:beforeAutospacing="0" w:after="0" w:afterAutospacing="0"/>
              <w:ind w:left="0" w:right="0"/>
              <w:jc w:val="center"/>
              <w:rPr>
                <w:rFonts w:hint="default"/>
                <w:u w:val="single"/>
              </w:rPr>
            </w:pPr>
            <w:r>
              <w:rPr>
                <w:rFonts w:hint="default"/>
                <w:u w:val="single"/>
              </w:rPr>
              <w:t>具体验收内容及要求</w:t>
            </w:r>
          </w:p>
        </w:tc>
      </w:tr>
      <w:tr>
        <w:tblPrEx>
          <w:tblLayout w:type="fixed"/>
          <w:tblCellMar>
            <w:top w:w="0" w:type="dxa"/>
            <w:left w:w="0" w:type="dxa"/>
            <w:bottom w:w="0" w:type="dxa"/>
            <w:right w:w="0" w:type="dxa"/>
          </w:tblCellMar>
        </w:tblPrEx>
        <w:trPr>
          <w:trHeight w:val="2894" w:hRule="exact"/>
        </w:trPr>
        <w:tc>
          <w:tcPr>
            <w:tcW w:w="1150" w:type="dxa"/>
            <w:tcBorders>
              <w:top w:val="single" w:color="000000" w:sz="6" w:space="0"/>
              <w:left w:val="nil"/>
              <w:bottom w:val="single" w:color="000000" w:sz="6" w:space="0"/>
              <w:right w:val="single" w:color="000000" w:sz="6" w:space="0"/>
            </w:tcBorders>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渗滤液 泄漏防 范措施</w:t>
            </w:r>
          </w:p>
        </w:tc>
        <w:tc>
          <w:tcPr>
            <w:tcW w:w="7946" w:type="dxa"/>
            <w:tcBorders>
              <w:top w:val="single" w:color="000000" w:sz="6" w:space="0"/>
              <w:left w:val="single" w:color="000000" w:sz="6" w:space="0"/>
              <w:bottom w:val="single" w:color="000000" w:sz="6" w:space="0"/>
              <w:right w:val="nil"/>
            </w:tcBorders>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①选择合适的防渗衬里，设计规范，施工要保证质量；</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②要让渗滤液排出系统通常，以减少对衬层的压力；</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③在垃圾填埋过程中要防止由于基础沉降或撞击或撕破，穿透人工防渗衬层，防渗层要均匀压实；</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④设置导流渠、泄洪沟等，减少地表径流进入场地；</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⑤渗滤液集水系统应有适当的余量，承担起多雨、暴雨季节的导排；</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⑥选择合适的覆土材料，防止雨水渗入；</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⑦设立渗滤液监测系统，及时掌握防渗层的完整性；</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⑧设立观测井，定期监测，发现问题及时处理。</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⑨垃圾坝处设置复合衬垫层防渗。</w:t>
            </w:r>
          </w:p>
        </w:tc>
      </w:tr>
      <w:tr>
        <w:tblPrEx>
          <w:tblLayout w:type="fixed"/>
          <w:tblCellMar>
            <w:top w:w="0" w:type="dxa"/>
            <w:left w:w="0" w:type="dxa"/>
            <w:bottom w:w="0" w:type="dxa"/>
            <w:right w:w="0" w:type="dxa"/>
          </w:tblCellMar>
        </w:tblPrEx>
        <w:trPr>
          <w:trHeight w:val="1296" w:hRule="exact"/>
        </w:trPr>
        <w:tc>
          <w:tcPr>
            <w:tcW w:w="1150" w:type="dxa"/>
            <w:tcBorders>
              <w:top w:val="single" w:color="000000" w:sz="6" w:space="0"/>
              <w:left w:val="nil"/>
              <w:bottom w:val="single" w:color="000000" w:sz="6" w:space="0"/>
              <w:right w:val="single" w:color="000000" w:sz="6" w:space="0"/>
            </w:tcBorders>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p>
          <w:p>
            <w:pPr>
              <w:pStyle w:val="23"/>
              <w:keepNext w:val="0"/>
              <w:keepLines w:val="0"/>
              <w:suppressLineNumbers w:val="0"/>
              <w:spacing w:before="0" w:beforeAutospacing="0" w:after="0" w:afterAutospacing="0" w:line="240" w:lineRule="auto"/>
              <w:ind w:left="0" w:right="0"/>
              <w:jc w:val="center"/>
              <w:rPr>
                <w:rFonts w:hint="default"/>
                <w:u w:val="single"/>
              </w:rPr>
            </w:pP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防洪 措施</w:t>
            </w:r>
          </w:p>
        </w:tc>
        <w:tc>
          <w:tcPr>
            <w:tcW w:w="7946" w:type="dxa"/>
            <w:tcBorders>
              <w:top w:val="single" w:color="000000" w:sz="6" w:space="0"/>
              <w:left w:val="single" w:color="000000" w:sz="6" w:space="0"/>
              <w:bottom w:val="single" w:color="000000" w:sz="6" w:space="0"/>
              <w:right w:val="nil"/>
            </w:tcBorders>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①防洪系统，防洪标准按 50 年一遇洪水设计，按 100 年一遇洪水校核。</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②场区外截洪沟应按设计要求先行构筑，确保场址外地表强降水直导入场外下游排水沟，避免暴雨对 填埋场的冲击。</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③经常检查疏通，防止截洪沟堵塞。</w:t>
            </w:r>
          </w:p>
        </w:tc>
      </w:tr>
      <w:tr>
        <w:tblPrEx>
          <w:tblLayout w:type="fixed"/>
          <w:tblCellMar>
            <w:top w:w="0" w:type="dxa"/>
            <w:left w:w="0" w:type="dxa"/>
            <w:bottom w:w="0" w:type="dxa"/>
            <w:right w:w="0" w:type="dxa"/>
          </w:tblCellMar>
        </w:tblPrEx>
        <w:trPr>
          <w:trHeight w:val="653" w:hRule="exact"/>
        </w:trPr>
        <w:tc>
          <w:tcPr>
            <w:tcW w:w="1150" w:type="dxa"/>
            <w:tcBorders>
              <w:top w:val="single" w:color="000000" w:sz="6" w:space="0"/>
              <w:left w:val="nil"/>
              <w:bottom w:val="single" w:color="000000" w:sz="6" w:space="0"/>
              <w:right w:val="single" w:color="000000" w:sz="6" w:space="0"/>
            </w:tcBorders>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应急</w:t>
            </w: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预案</w:t>
            </w:r>
          </w:p>
        </w:tc>
        <w:tc>
          <w:tcPr>
            <w:tcW w:w="7946" w:type="dxa"/>
            <w:tcBorders>
              <w:top w:val="single" w:color="000000" w:sz="6" w:space="0"/>
              <w:left w:val="single" w:color="000000" w:sz="6" w:space="0"/>
              <w:bottom w:val="single" w:color="000000" w:sz="6" w:space="0"/>
              <w:right w:val="nil"/>
            </w:tcBorders>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①应急救援组织；②火灾处理、渗滤液事故排放应急措施、防洪应急；③紧急应对措施。</w:t>
            </w:r>
          </w:p>
        </w:tc>
      </w:tr>
      <w:tr>
        <w:tblPrEx>
          <w:tblLayout w:type="fixed"/>
          <w:tblCellMar>
            <w:top w:w="0" w:type="dxa"/>
            <w:left w:w="0" w:type="dxa"/>
            <w:bottom w:w="0" w:type="dxa"/>
            <w:right w:w="0" w:type="dxa"/>
          </w:tblCellMar>
        </w:tblPrEx>
        <w:trPr>
          <w:trHeight w:val="665" w:hRule="exact"/>
        </w:trPr>
        <w:tc>
          <w:tcPr>
            <w:tcW w:w="1150" w:type="dxa"/>
            <w:tcBorders>
              <w:top w:val="single" w:color="000000" w:sz="6" w:space="0"/>
              <w:left w:val="nil"/>
              <w:bottom w:val="single" w:color="000000" w:sz="12" w:space="0"/>
              <w:right w:val="single" w:color="000000" w:sz="6" w:space="0"/>
            </w:tcBorders>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p>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其他</w:t>
            </w:r>
          </w:p>
        </w:tc>
        <w:tc>
          <w:tcPr>
            <w:tcW w:w="7946" w:type="dxa"/>
            <w:tcBorders>
              <w:top w:val="single" w:color="000000" w:sz="6" w:space="0"/>
              <w:left w:val="single" w:color="000000" w:sz="6" w:space="0"/>
              <w:bottom w:val="single" w:color="000000" w:sz="12" w:space="0"/>
              <w:right w:val="nil"/>
            </w:tcBorders>
            <w:vAlign w:val="center"/>
          </w:tcPr>
          <w:p>
            <w:pPr>
              <w:pStyle w:val="23"/>
              <w:keepNext w:val="0"/>
              <w:keepLines w:val="0"/>
              <w:suppressLineNumbers w:val="0"/>
              <w:spacing w:before="0" w:beforeAutospacing="0" w:after="0" w:afterAutospacing="0" w:line="240" w:lineRule="auto"/>
              <w:ind w:left="0" w:right="0"/>
              <w:jc w:val="center"/>
              <w:rPr>
                <w:rFonts w:hint="default"/>
                <w:u w:val="single"/>
              </w:rPr>
            </w:pPr>
            <w:r>
              <w:rPr>
                <w:rFonts w:hint="default"/>
                <w:u w:val="single"/>
              </w:rPr>
              <w:t xml:space="preserve">渗滤液调节池容积为 </w:t>
            </w:r>
            <w:r>
              <w:rPr>
                <w:rFonts w:hint="eastAsia"/>
                <w:u w:val="single"/>
                <w:lang w:val="en-US" w:eastAsia="zh-CN"/>
              </w:rPr>
              <w:t>8680</w:t>
            </w:r>
            <w:r>
              <w:rPr>
                <w:rFonts w:hint="default"/>
                <w:u w:val="single"/>
              </w:rPr>
              <w:t xml:space="preserve"> m3</w:t>
            </w:r>
          </w:p>
        </w:tc>
      </w:tr>
    </w:tbl>
    <w:p>
      <w:pPr>
        <w:pStyle w:val="3"/>
      </w:pPr>
      <w:bookmarkStart w:id="87" w:name="_Toc25338"/>
      <w:r>
        <w:rPr>
          <w:rFonts w:hint="eastAsia"/>
          <w:lang w:val="en-US" w:eastAsia="zh-CN"/>
        </w:rPr>
        <w:t>8.10</w:t>
      </w:r>
      <w:r>
        <w:t>风险评价结论</w:t>
      </w:r>
      <w:bookmarkEnd w:id="87"/>
    </w:p>
    <w:p>
      <w:pPr>
        <w:rPr>
          <w:rFonts w:hint="eastAsia"/>
          <w:lang w:val="en-US" w:eastAsia="zh-CN"/>
        </w:rPr>
        <w:sectPr>
          <w:pgSz w:w="11906" w:h="16838"/>
          <w:pgMar w:top="1440" w:right="1800" w:bottom="1440" w:left="1800" w:header="851" w:footer="992" w:gutter="0"/>
          <w:pgNumType w:fmt="decimal"/>
          <w:cols w:space="425" w:num="1"/>
          <w:docGrid w:type="lines" w:linePitch="312" w:charSpace="0"/>
        </w:sectPr>
      </w:pPr>
      <w:r>
        <w:t>报告书提出的的风险管理措施合理可行，可将风险事故发生的可能性和危害性降低到可接受的程度，因此本项目环境风险程度可接受。</w:t>
      </w:r>
    </w:p>
    <w:p>
      <w:pPr>
        <w:pStyle w:val="2"/>
        <w:numPr>
          <w:ilvl w:val="0"/>
          <w:numId w:val="17"/>
        </w:numPr>
        <w:ind w:firstLine="0" w:firstLineChars="0"/>
        <w:rPr>
          <w:rFonts w:hint="eastAsia"/>
          <w:color w:val="auto"/>
          <w:lang w:val="en-US" w:eastAsia="zh-CN"/>
        </w:rPr>
      </w:pPr>
      <w:bookmarkStart w:id="88" w:name="_Toc24193"/>
      <w:r>
        <w:rPr>
          <w:rFonts w:hint="eastAsia"/>
          <w:color w:val="auto"/>
          <w:lang w:val="en-US" w:eastAsia="zh-CN"/>
        </w:rPr>
        <w:t>环境保护措施可行性分析</w:t>
      </w:r>
      <w:bookmarkEnd w:id="88"/>
    </w:p>
    <w:p>
      <w:pPr>
        <w:pStyle w:val="3"/>
        <w:rPr>
          <w:rFonts w:hint="eastAsia"/>
          <w:color w:val="auto"/>
          <w:lang w:val="en-US" w:eastAsia="zh-CN"/>
        </w:rPr>
      </w:pPr>
      <w:bookmarkStart w:id="89" w:name="_Toc8104"/>
      <w:r>
        <w:rPr>
          <w:rFonts w:hint="eastAsia"/>
          <w:color w:val="auto"/>
          <w:lang w:val="en-US" w:eastAsia="zh-CN"/>
        </w:rPr>
        <w:t>9.1施工期环境保护措施可行性分析</w:t>
      </w:r>
      <w:bookmarkEnd w:id="89"/>
    </w:p>
    <w:p>
      <w:pPr>
        <w:pStyle w:val="4"/>
        <w:rPr>
          <w:rFonts w:hint="eastAsia"/>
          <w:color w:val="auto"/>
          <w:lang w:val="en-US" w:eastAsia="zh-CN"/>
        </w:rPr>
      </w:pPr>
      <w:r>
        <w:rPr>
          <w:rFonts w:hint="eastAsia"/>
          <w:color w:val="auto"/>
          <w:lang w:val="en-US" w:eastAsia="zh-CN"/>
        </w:rPr>
        <w:t>9.1.1大气污染防治措施及可行性分析</w:t>
      </w:r>
    </w:p>
    <w:p>
      <w:pPr>
        <w:rPr>
          <w:rFonts w:hint="eastAsia"/>
          <w:color w:val="auto"/>
          <w:lang w:val="en-US" w:eastAsia="zh-CN"/>
        </w:rPr>
      </w:pPr>
      <w:r>
        <w:rPr>
          <w:rFonts w:hint="eastAsia"/>
          <w:color w:val="auto"/>
          <w:lang w:val="en-US" w:eastAsia="zh-CN"/>
        </w:rPr>
        <w:t>施工期对环境空气的影响主要为库区边坡修整、导流沟与截洪沟等开挖、垂直防渗施工等产生的扬尘，物料及废渣运输过程产生的交通扬尘。为了减少施工扬尘对周围环境的影响，必须采取如下防治措施：</w:t>
      </w:r>
    </w:p>
    <w:p>
      <w:pPr>
        <w:numPr>
          <w:ilvl w:val="0"/>
          <w:numId w:val="18"/>
        </w:numPr>
        <w:rPr>
          <w:rFonts w:hint="eastAsia"/>
          <w:color w:val="auto"/>
          <w:lang w:val="en-US" w:eastAsia="zh-CN"/>
        </w:rPr>
      </w:pPr>
      <w:r>
        <w:rPr>
          <w:rFonts w:hint="eastAsia"/>
          <w:color w:val="auto"/>
          <w:lang w:val="en-US" w:eastAsia="zh-CN"/>
        </w:rPr>
        <w:t>加强管理、文明施工，建筑材料轻装轻卸；装运物料、土方等车辆要遮盖密封；</w:t>
      </w:r>
    </w:p>
    <w:p>
      <w:pPr>
        <w:numPr>
          <w:ilvl w:val="0"/>
          <w:numId w:val="18"/>
        </w:numPr>
        <w:rPr>
          <w:color w:val="auto"/>
          <w:lang w:val="en-US"/>
        </w:rPr>
      </w:pPr>
      <w:r>
        <w:rPr>
          <w:rFonts w:hint="eastAsia"/>
          <w:color w:val="auto"/>
          <w:lang w:val="en-US" w:eastAsia="zh-CN"/>
        </w:rPr>
        <w:t>在施工现场必须采取防风遮盖措施及洒水降尘，防止和减少施工中物料、建筑垃圾和渣土等外逸，避免粉尘、废弃物和杂物飘散；垃圾、渣土等易产生扬尘的物料采取密闭化运输，避免沿路泄漏、遗撒。</w:t>
      </w:r>
    </w:p>
    <w:p>
      <w:pPr>
        <w:numPr>
          <w:ilvl w:val="0"/>
          <w:numId w:val="18"/>
        </w:numPr>
        <w:rPr>
          <w:color w:val="auto"/>
          <w:lang w:val="en-US"/>
        </w:rPr>
      </w:pPr>
      <w:r>
        <w:rPr>
          <w:rFonts w:hint="eastAsia"/>
          <w:color w:val="auto"/>
          <w:lang w:val="en-US" w:eastAsia="zh-CN"/>
        </w:rPr>
        <w:t>施工中产生的物料堆采取遮盖、洒水、喷洒覆盖剂等扬尘防治措施。</w:t>
      </w:r>
    </w:p>
    <w:p>
      <w:pPr>
        <w:numPr>
          <w:ilvl w:val="0"/>
          <w:numId w:val="18"/>
        </w:numPr>
        <w:rPr>
          <w:rFonts w:hint="eastAsia"/>
          <w:color w:val="auto"/>
          <w:lang w:val="en-US" w:eastAsia="zh-CN"/>
        </w:rPr>
      </w:pPr>
      <w:r>
        <w:rPr>
          <w:rFonts w:hint="eastAsia"/>
          <w:color w:val="auto"/>
          <w:lang w:val="en-US" w:eastAsia="zh-CN"/>
        </w:rPr>
        <w:t>及时清运施工中产生的建筑垃圾、渣土等，不能及时清运的，应在工地内设置临时性密闭堆放设施存放或采取其它有效防尘措施。</w:t>
      </w:r>
    </w:p>
    <w:p>
      <w:pPr>
        <w:numPr>
          <w:ilvl w:val="0"/>
          <w:numId w:val="18"/>
        </w:numPr>
        <w:rPr>
          <w:rFonts w:hint="eastAsia"/>
          <w:color w:val="auto"/>
          <w:lang w:val="en-US" w:eastAsia="zh-CN"/>
        </w:rPr>
      </w:pPr>
      <w:r>
        <w:rPr>
          <w:rFonts w:hint="eastAsia"/>
          <w:color w:val="auto"/>
          <w:lang w:val="en-US" w:eastAsia="zh-CN"/>
        </w:rPr>
        <w:t>施工过程中进行场地开挖、清运建筑垃圾和渣土时产生扬尘较大的作业时，采取边施工边洒水等防止扬尘的作业方式。</w:t>
      </w:r>
    </w:p>
    <w:p>
      <w:pPr>
        <w:numPr>
          <w:ilvl w:val="0"/>
          <w:numId w:val="18"/>
        </w:numPr>
        <w:rPr>
          <w:rFonts w:hint="eastAsia"/>
          <w:color w:val="auto"/>
          <w:lang w:val="en-US" w:eastAsia="zh-CN"/>
        </w:rPr>
      </w:pPr>
      <w:r>
        <w:rPr>
          <w:rFonts w:hint="eastAsia"/>
          <w:color w:val="auto"/>
          <w:lang w:val="en-US" w:eastAsia="zh-CN"/>
        </w:rPr>
        <w:t>在工地内设置相应的车辆冲洗设施和排水、泥浆沉淀措施，运输车辆冲洗干净后出场，并保持出入通道整洁和控制车辆在施工便道、出入口的行使时速。</w:t>
      </w:r>
    </w:p>
    <w:p>
      <w:pPr>
        <w:numPr>
          <w:ilvl w:val="0"/>
          <w:numId w:val="18"/>
        </w:numPr>
        <w:rPr>
          <w:rFonts w:hint="eastAsia"/>
          <w:color w:val="auto"/>
          <w:lang w:val="en-US" w:eastAsia="zh-CN"/>
        </w:rPr>
      </w:pPr>
      <w:r>
        <w:rPr>
          <w:rFonts w:hint="eastAsia"/>
          <w:color w:val="auto"/>
          <w:lang w:val="en-US" w:eastAsia="zh-CN"/>
        </w:rPr>
        <w:t>必须使用污染物排放符合国家标准的施工机械、运输车辆，加强施工机械、车辆的维护保养，使车辆处于良好的工作状态。</w:t>
      </w:r>
    </w:p>
    <w:p>
      <w:pPr>
        <w:pStyle w:val="4"/>
        <w:rPr>
          <w:rFonts w:hint="eastAsia"/>
          <w:color w:val="auto"/>
          <w:lang w:val="en-US" w:eastAsia="zh-CN"/>
        </w:rPr>
      </w:pPr>
      <w:r>
        <w:rPr>
          <w:rFonts w:hint="eastAsia"/>
          <w:color w:val="auto"/>
          <w:lang w:val="en-US" w:eastAsia="zh-CN"/>
        </w:rPr>
        <w:t>9.1.2废水污染防治措施及可行性分析</w:t>
      </w:r>
    </w:p>
    <w:p>
      <w:pPr>
        <w:rPr>
          <w:rFonts w:hint="eastAsia"/>
          <w:color w:val="auto"/>
          <w:lang w:val="en-US" w:eastAsia="zh-CN"/>
        </w:rPr>
      </w:pPr>
      <w:r>
        <w:rPr>
          <w:rFonts w:hint="eastAsia"/>
          <w:color w:val="auto"/>
          <w:lang w:val="en-US" w:eastAsia="zh-CN"/>
        </w:rPr>
        <w:t>施工期废水来源于两部分：一是施工产生的生产废水，二是施工人员产生的生活污水。由于本项目为改扩建项目，因此，施工期废水依托现有工程污水处理设施进行处理。</w:t>
      </w:r>
    </w:p>
    <w:p>
      <w:pPr>
        <w:rPr>
          <w:rFonts w:hint="eastAsia"/>
          <w:color w:val="auto"/>
          <w:lang w:val="en-US" w:eastAsia="zh-CN"/>
        </w:rPr>
      </w:pPr>
      <w:r>
        <w:rPr>
          <w:rFonts w:hint="eastAsia"/>
          <w:color w:val="auto"/>
          <w:lang w:val="en-US" w:eastAsia="zh-CN"/>
        </w:rPr>
        <w:t>施工人员如厕、洗手等均依托现有工程的设施，其产生的生活污水经现有工程管道排入场区内污水处理站，施工过程产生的生产废水通过设置导流沟或直接排入附近的现有工程的污水管道进入污水处理站，因此，施工期污水排入污水处理站可行。</w:t>
      </w:r>
    </w:p>
    <w:p>
      <w:pPr>
        <w:rPr>
          <w:rFonts w:hint="eastAsia"/>
          <w:color w:val="auto"/>
          <w:lang w:val="en-US" w:eastAsia="zh-CN"/>
        </w:rPr>
      </w:pPr>
      <w:r>
        <w:rPr>
          <w:rFonts w:hint="eastAsia"/>
          <w:color w:val="auto"/>
          <w:lang w:val="en-US" w:eastAsia="zh-CN"/>
        </w:rPr>
        <w:t>根据对现有污水处理站进出口水质进行现状检测可知，废水经污水处理站处理后能达到《生活垃圾填埋场污染物控制标准》（GB16889-2008）中表2标准限值。</w:t>
      </w:r>
    </w:p>
    <w:p>
      <w:pPr>
        <w:rPr>
          <w:rFonts w:hint="eastAsia"/>
          <w:color w:val="auto"/>
          <w:lang w:val="en-US" w:eastAsia="zh-CN"/>
        </w:rPr>
      </w:pPr>
      <w:r>
        <w:rPr>
          <w:rFonts w:hint="eastAsia"/>
          <w:color w:val="auto"/>
          <w:lang w:val="en-US" w:eastAsia="zh-CN"/>
        </w:rPr>
        <w:t>综上所述，采取上述措施能有效控制施工废水对地表水的影响，该措施可行。</w:t>
      </w:r>
    </w:p>
    <w:p>
      <w:pPr>
        <w:pStyle w:val="4"/>
        <w:rPr>
          <w:rFonts w:hint="eastAsia"/>
          <w:color w:val="auto"/>
          <w:lang w:val="en-US" w:eastAsia="zh-CN"/>
        </w:rPr>
      </w:pPr>
      <w:r>
        <w:rPr>
          <w:rFonts w:hint="eastAsia"/>
          <w:color w:val="auto"/>
          <w:lang w:val="en-US" w:eastAsia="zh-CN"/>
        </w:rPr>
        <w:t>9.1.3施工期噪声污染防治措施及可行性分析</w:t>
      </w:r>
    </w:p>
    <w:p>
      <w:pPr>
        <w:pStyle w:val="32"/>
        <w:adjustRightInd w:val="0"/>
        <w:snapToGrid w:val="0"/>
        <w:spacing w:line="360" w:lineRule="auto"/>
        <w:ind w:firstLine="480"/>
        <w:rPr>
          <w:rFonts w:eastAsia="宋体"/>
          <w:color w:val="auto"/>
          <w:sz w:val="24"/>
          <w:szCs w:val="24"/>
        </w:rPr>
      </w:pPr>
      <w:r>
        <w:rPr>
          <w:rFonts w:eastAsia="宋体"/>
          <w:color w:val="auto"/>
          <w:sz w:val="24"/>
          <w:szCs w:val="24"/>
        </w:rPr>
        <w:t>根据本项目建设活动必须严格执行《建筑施工场界环境噪声排放标准》(GB12523-2011)中的标准和规定。根据《中华人民共和国环境噪声污染防治法》有关规定“工业生产中因使用固定的设备造成环境噪声污染的工业企业、单位和在建筑施工过程中使用机械设备可能产生环境噪声污染的施工单位，应及时向环境保护部门申报；在噪声敏感建筑物集中区域内，禁止在夜间进行产生噪声污染的施工作业；因工艺要求确需在夜间进行施工作业的，施工单位应当持所在地建设行政主管部门的施工意见书，向所在地环境保护部门申领夜间作业证明。</w:t>
      </w:r>
    </w:p>
    <w:p>
      <w:pPr>
        <w:pStyle w:val="32"/>
        <w:adjustRightInd w:val="0"/>
        <w:snapToGrid w:val="0"/>
        <w:spacing w:line="360" w:lineRule="auto"/>
        <w:ind w:firstLine="480"/>
        <w:rPr>
          <w:rFonts w:hint="eastAsia"/>
          <w:color w:val="auto"/>
          <w:lang w:val="en-US" w:eastAsia="zh-CN"/>
        </w:rPr>
      </w:pPr>
      <w:r>
        <w:rPr>
          <w:rFonts w:eastAsia="宋体"/>
          <w:color w:val="auto"/>
          <w:sz w:val="24"/>
          <w:szCs w:val="24"/>
        </w:rPr>
        <w:t>为降低施工建设所带来的不利影响，除应严格执行上述规定要求外，还应做到：施工场地周围建设围墙，设置单独出入口，选用低噪声施工设备动。</w:t>
      </w:r>
    </w:p>
    <w:p>
      <w:pPr>
        <w:pStyle w:val="4"/>
        <w:rPr>
          <w:rFonts w:hint="eastAsia"/>
          <w:color w:val="auto"/>
          <w:lang w:val="en-US" w:eastAsia="zh-CN"/>
        </w:rPr>
      </w:pPr>
      <w:r>
        <w:rPr>
          <w:rFonts w:hint="eastAsia"/>
          <w:color w:val="auto"/>
          <w:lang w:val="en-US" w:eastAsia="zh-CN"/>
        </w:rPr>
        <w:t>9.1.4施工期固体废物污染防治措施及可行性分析</w:t>
      </w:r>
    </w:p>
    <w:p>
      <w:pPr>
        <w:rPr>
          <w:color w:val="auto"/>
        </w:rPr>
      </w:pPr>
      <w:r>
        <w:rPr>
          <w:color w:val="auto"/>
        </w:rPr>
        <w:t>施工期固废主要为库区</w:t>
      </w:r>
      <w:r>
        <w:rPr>
          <w:rFonts w:hint="eastAsia"/>
          <w:color w:val="auto"/>
          <w:lang w:eastAsia="zh-CN"/>
        </w:rPr>
        <w:t>边界修整</w:t>
      </w:r>
      <w:r>
        <w:rPr>
          <w:color w:val="auto"/>
        </w:rPr>
        <w:t>、</w:t>
      </w:r>
      <w:r>
        <w:rPr>
          <w:rFonts w:hint="eastAsia"/>
          <w:color w:val="auto"/>
          <w:lang w:eastAsia="zh-CN"/>
        </w:rPr>
        <w:t>截流沟、导流管铺设</w:t>
      </w:r>
      <w:r>
        <w:rPr>
          <w:color w:val="auto"/>
        </w:rPr>
        <w:t>开挖产生的废弃渣土、泥浆；</w:t>
      </w:r>
      <w:r>
        <w:rPr>
          <w:rFonts w:hint="eastAsia"/>
          <w:color w:val="auto"/>
          <w:lang w:eastAsia="zh-CN"/>
        </w:rPr>
        <w:t>施工过程产生的</w:t>
      </w:r>
      <w:r>
        <w:rPr>
          <w:color w:val="auto"/>
        </w:rPr>
        <w:t>建筑垃圾；以及少量施工人员生活垃圾。</w:t>
      </w:r>
    </w:p>
    <w:p>
      <w:pPr>
        <w:rPr>
          <w:color w:val="auto"/>
        </w:rPr>
      </w:pPr>
      <w:r>
        <w:rPr>
          <w:color w:val="auto"/>
        </w:rPr>
        <w:t>工程开挖的土石方主要利用于</w:t>
      </w:r>
      <w:r>
        <w:rPr>
          <w:rFonts w:hint="eastAsia"/>
          <w:color w:val="auto"/>
          <w:lang w:eastAsia="zh-CN"/>
        </w:rPr>
        <w:t>现有工程</w:t>
      </w:r>
      <w:r>
        <w:rPr>
          <w:color w:val="auto"/>
        </w:rPr>
        <w:t>垃圾填埋时覆土，</w:t>
      </w:r>
      <w:r>
        <w:rPr>
          <w:rFonts w:hint="eastAsia"/>
          <w:color w:val="auto"/>
          <w:lang w:eastAsia="zh-CN"/>
        </w:rPr>
        <w:t>由于其土石方产生量不大，可以在场区内实现综合利用</w:t>
      </w:r>
      <w:r>
        <w:rPr>
          <w:color w:val="auto"/>
        </w:rPr>
        <w:t>。</w:t>
      </w:r>
    </w:p>
    <w:p>
      <w:pPr>
        <w:rPr>
          <w:color w:val="auto"/>
        </w:rPr>
      </w:pPr>
      <w:r>
        <w:rPr>
          <w:rFonts w:hint="eastAsia"/>
          <w:color w:val="auto"/>
          <w:lang w:eastAsia="zh-CN"/>
        </w:rPr>
        <w:t>库区边界修整、垂直防渗施工</w:t>
      </w:r>
      <w:r>
        <w:rPr>
          <w:color w:val="auto"/>
        </w:rPr>
        <w:t>等产生的建筑垃圾，为一般固体废物。建筑垃圾</w:t>
      </w:r>
      <w:r>
        <w:rPr>
          <w:rFonts w:hint="eastAsia"/>
          <w:color w:val="auto"/>
          <w:lang w:eastAsia="zh-CN"/>
        </w:rPr>
        <w:t>对可利用的</w:t>
      </w:r>
      <w:r>
        <w:rPr>
          <w:color w:val="auto"/>
        </w:rPr>
        <w:t>进行综合利用，</w:t>
      </w:r>
      <w:r>
        <w:rPr>
          <w:rFonts w:hint="eastAsia"/>
          <w:color w:val="auto"/>
          <w:lang w:eastAsia="zh-CN"/>
        </w:rPr>
        <w:t>不可利用的托运至现有工程填埋场区进行卫生填埋</w:t>
      </w:r>
      <w:r>
        <w:rPr>
          <w:color w:val="auto"/>
        </w:rPr>
        <w:t>。</w:t>
      </w:r>
    </w:p>
    <w:p>
      <w:pPr>
        <w:rPr>
          <w:color w:val="auto"/>
        </w:rPr>
      </w:pPr>
      <w:r>
        <w:rPr>
          <w:color w:val="auto"/>
        </w:rPr>
        <w:t>施工营地产生的少量生活垃圾，</w:t>
      </w:r>
      <w:r>
        <w:rPr>
          <w:rFonts w:hint="eastAsia"/>
          <w:color w:val="auto"/>
          <w:lang w:eastAsia="zh-CN"/>
        </w:rPr>
        <w:t>可与场区内现有工程产生的生活垃圾一起运至垃圾填埋场内现有工程进行卫生填埋，对周围环境无影响</w:t>
      </w:r>
      <w:r>
        <w:rPr>
          <w:color w:val="auto"/>
        </w:rPr>
        <w:t>。</w:t>
      </w:r>
    </w:p>
    <w:p>
      <w:pPr>
        <w:rPr>
          <w:color w:val="auto"/>
        </w:rPr>
      </w:pPr>
      <w:r>
        <w:rPr>
          <w:color w:val="auto"/>
        </w:rPr>
        <w:t>综上，项目各施工期固废均合理收集，处理处置，</w:t>
      </w:r>
      <w:r>
        <w:rPr>
          <w:rFonts w:hint="eastAsia"/>
          <w:color w:val="auto"/>
          <w:lang w:eastAsia="zh-CN"/>
        </w:rPr>
        <w:t>固体废物防治措施可行</w:t>
      </w:r>
      <w:r>
        <w:rPr>
          <w:color w:val="auto"/>
        </w:rPr>
        <w:t>。</w:t>
      </w:r>
    </w:p>
    <w:p>
      <w:pPr>
        <w:pStyle w:val="3"/>
        <w:rPr>
          <w:rFonts w:hint="eastAsia"/>
          <w:color w:val="auto"/>
          <w:lang w:val="en-US" w:eastAsia="zh-CN"/>
        </w:rPr>
      </w:pPr>
      <w:bookmarkStart w:id="90" w:name="_Toc8557"/>
      <w:r>
        <w:rPr>
          <w:rFonts w:hint="eastAsia"/>
          <w:color w:val="auto"/>
          <w:lang w:val="en-US" w:eastAsia="zh-CN"/>
        </w:rPr>
        <w:t>9.2营运期污染防治措施可行性分析</w:t>
      </w:r>
      <w:bookmarkEnd w:id="90"/>
    </w:p>
    <w:p>
      <w:pPr>
        <w:pStyle w:val="4"/>
        <w:rPr>
          <w:rFonts w:hint="eastAsia"/>
          <w:color w:val="auto"/>
          <w:lang w:val="en-US" w:eastAsia="zh-CN"/>
        </w:rPr>
      </w:pPr>
      <w:r>
        <w:rPr>
          <w:rFonts w:hint="eastAsia"/>
          <w:color w:val="auto"/>
          <w:lang w:val="en-US" w:eastAsia="zh-CN"/>
        </w:rPr>
        <w:t>9.2.1废气污染防治措施可行性分析</w:t>
      </w:r>
    </w:p>
    <w:p>
      <w:pPr>
        <w:rPr>
          <w:rFonts w:hint="eastAsia"/>
          <w:color w:val="auto"/>
          <w:lang w:val="en-US" w:eastAsia="zh-CN"/>
        </w:rPr>
      </w:pPr>
      <w:r>
        <w:rPr>
          <w:rFonts w:hint="eastAsia"/>
          <w:color w:val="auto"/>
          <w:lang w:val="en-US" w:eastAsia="zh-CN"/>
        </w:rPr>
        <w:t>1、填埋气体污染防治措施</w:t>
      </w:r>
    </w:p>
    <w:p>
      <w:pPr>
        <w:rPr>
          <w:rFonts w:hint="eastAsia"/>
          <w:color w:val="auto"/>
          <w:lang w:val="en-US" w:eastAsia="zh-CN"/>
        </w:rPr>
      </w:pPr>
      <w:r>
        <w:rPr>
          <w:rFonts w:hint="eastAsia"/>
          <w:color w:val="auto"/>
          <w:lang w:val="en-US" w:eastAsia="zh-CN"/>
        </w:rPr>
        <w:t>对于填埋区产生的废气经导气管道收集后送至岳阳诚进环保能源有限公司填埋气体处理装置进行脱硫、脱碳及深度脱水等工艺精制生产天然气作为城镇燃气或车用燃气。该工程于2013年6月进行环评审批，属于在建中，待本次技改后，采用中间覆膜后，即可进行收集系统安装并进行运营。</w:t>
      </w:r>
    </w:p>
    <w:p>
      <w:pPr>
        <w:rPr>
          <w:rFonts w:hint="eastAsia"/>
          <w:color w:val="auto"/>
          <w:u w:val="single"/>
          <w:lang w:val="en-US" w:eastAsia="zh-CN"/>
        </w:rPr>
      </w:pPr>
      <w:r>
        <w:rPr>
          <w:rFonts w:hint="eastAsia"/>
          <w:color w:val="auto"/>
          <w:u w:val="single"/>
          <w:lang w:val="en-US" w:eastAsia="zh-CN"/>
        </w:rPr>
        <w:t>2、恶臭污染控制</w:t>
      </w:r>
    </w:p>
    <w:p>
      <w:pPr>
        <w:rPr>
          <w:color w:val="auto"/>
          <w:sz w:val="24"/>
          <w:u w:val="single"/>
        </w:rPr>
      </w:pPr>
      <w:r>
        <w:rPr>
          <w:rFonts w:hint="eastAsia"/>
          <w:color w:val="auto"/>
          <w:sz w:val="24"/>
          <w:u w:val="single"/>
          <w:lang w:eastAsia="zh-CN"/>
        </w:rPr>
        <w:t>①</w:t>
      </w:r>
      <w:r>
        <w:rPr>
          <w:color w:val="auto"/>
          <w:sz w:val="24"/>
          <w:u w:val="single"/>
        </w:rPr>
        <w:t>填埋气体中含有少量恶臭气体，经气体导排系统收集</w:t>
      </w:r>
      <w:r>
        <w:rPr>
          <w:rFonts w:hint="eastAsia"/>
          <w:color w:val="auto"/>
          <w:sz w:val="24"/>
          <w:u w:val="single"/>
          <w:lang w:eastAsia="zh-CN"/>
        </w:rPr>
        <w:t>后送至</w:t>
      </w:r>
      <w:r>
        <w:rPr>
          <w:rFonts w:hint="eastAsia"/>
          <w:color w:val="auto"/>
          <w:u w:val="single"/>
          <w:lang w:val="en-US" w:eastAsia="zh-CN"/>
        </w:rPr>
        <w:t>岳阳诚进环保能源有限公司填埋气体处理装置进行脱硫、脱碳及深度脱水等工艺精制生产天然气作为城镇燃气或车用燃气</w:t>
      </w:r>
      <w:r>
        <w:rPr>
          <w:color w:val="auto"/>
          <w:sz w:val="24"/>
          <w:u w:val="single"/>
        </w:rPr>
        <w:t>，从而减轻了恶臭对周围环境影响。同时</w:t>
      </w:r>
      <w:r>
        <w:rPr>
          <w:rFonts w:hint="eastAsia"/>
          <w:color w:val="auto"/>
          <w:sz w:val="24"/>
          <w:u w:val="single"/>
          <w:lang w:eastAsia="zh-CN"/>
        </w:rPr>
        <w:t>对场区进行</w:t>
      </w:r>
      <w:r>
        <w:rPr>
          <w:color w:val="auto"/>
          <w:sz w:val="24"/>
          <w:u w:val="single"/>
        </w:rPr>
        <w:t>定期喷洒除臭喷剂，进一步减少恶臭影响。</w:t>
      </w:r>
    </w:p>
    <w:p>
      <w:pPr>
        <w:rPr>
          <w:rFonts w:hint="eastAsia"/>
          <w:color w:val="auto"/>
          <w:sz w:val="24"/>
          <w:u w:val="single"/>
          <w:lang w:val="en-US" w:eastAsia="zh-CN"/>
        </w:rPr>
      </w:pPr>
      <w:r>
        <w:rPr>
          <w:rFonts w:hint="eastAsia"/>
          <w:color w:val="auto"/>
          <w:sz w:val="24"/>
          <w:u w:val="single"/>
          <w:lang w:val="en-US" w:eastAsia="zh-CN"/>
        </w:rPr>
        <w:t>②对调节池采取加防臭膜盖进行密封措施，</w:t>
      </w:r>
      <w:r>
        <w:rPr>
          <w:snapToGrid w:val="0"/>
          <w:color w:val="auto"/>
          <w:kern w:val="0"/>
          <w:sz w:val="24"/>
          <w:u w:val="single"/>
        </w:rPr>
        <w:t>环评要求调节池内部设置氨气、甲烷浓度检测报警装置</w:t>
      </w:r>
      <w:r>
        <w:rPr>
          <w:rFonts w:hint="eastAsia"/>
          <w:snapToGrid w:val="0"/>
          <w:color w:val="auto"/>
          <w:kern w:val="0"/>
          <w:sz w:val="24"/>
          <w:u w:val="single"/>
          <w:lang w:eastAsia="zh-CN"/>
        </w:rPr>
        <w:t>，并将废气送至</w:t>
      </w:r>
      <w:r>
        <w:rPr>
          <w:rFonts w:hint="eastAsia"/>
          <w:color w:val="auto"/>
          <w:u w:val="single"/>
          <w:lang w:val="en-US" w:eastAsia="zh-CN"/>
        </w:rPr>
        <w:t>岳阳诚进环保能源有限公司填埋气体处理装置进行脱硫、脱碳及深度脱水等工艺精制生产天然气作为城镇燃气或车用燃气。</w:t>
      </w:r>
    </w:p>
    <w:p>
      <w:pPr>
        <w:rPr>
          <w:snapToGrid w:val="0"/>
          <w:color w:val="auto"/>
          <w:kern w:val="0"/>
          <w:sz w:val="24"/>
          <w:u w:val="single"/>
        </w:rPr>
      </w:pPr>
      <w:r>
        <w:rPr>
          <w:rFonts w:hint="eastAsia"/>
          <w:color w:val="auto"/>
          <w:sz w:val="24"/>
          <w:u w:val="single"/>
          <w:lang w:val="en-US" w:eastAsia="zh-CN"/>
        </w:rPr>
        <w:t>③此外垃圾填埋后必须及时进行覆盖，尽量减少裸露面积和裸露时间。采用渐进修复填埋作业工艺，及时种植绿化，以控制臭气扩散</w:t>
      </w:r>
      <w:r>
        <w:rPr>
          <w:snapToGrid w:val="0"/>
          <w:color w:val="auto"/>
          <w:kern w:val="0"/>
          <w:sz w:val="24"/>
          <w:u w:val="single"/>
        </w:rPr>
        <w:t>。</w:t>
      </w:r>
    </w:p>
    <w:p>
      <w:pPr>
        <w:numPr>
          <w:ilvl w:val="0"/>
          <w:numId w:val="19"/>
        </w:numPr>
        <w:rPr>
          <w:rFonts w:hint="eastAsia"/>
          <w:snapToGrid w:val="0"/>
          <w:color w:val="auto"/>
          <w:kern w:val="0"/>
          <w:sz w:val="24"/>
          <w:lang w:val="en-US" w:eastAsia="zh-CN"/>
        </w:rPr>
      </w:pPr>
      <w:r>
        <w:rPr>
          <w:rFonts w:hint="eastAsia"/>
          <w:snapToGrid w:val="0"/>
          <w:color w:val="auto"/>
          <w:kern w:val="0"/>
          <w:sz w:val="24"/>
          <w:lang w:val="en-US" w:eastAsia="zh-CN"/>
        </w:rPr>
        <w:t>扬尘控制措施</w:t>
      </w:r>
    </w:p>
    <w:p>
      <w:pPr>
        <w:rPr>
          <w:rFonts w:hint="eastAsia"/>
          <w:color w:val="auto"/>
          <w:lang w:val="en-US" w:eastAsia="zh-CN"/>
        </w:rPr>
      </w:pPr>
      <w:r>
        <w:rPr>
          <w:rFonts w:hint="eastAsia"/>
          <w:color w:val="auto"/>
          <w:lang w:val="en-US" w:eastAsia="zh-CN"/>
        </w:rPr>
        <w:t>①填埋场内作业表面及时覆盖。填埋压实后，为防止扬尘及雨水进入堆体，应对作业表面进行及时覆盖。</w:t>
      </w:r>
    </w:p>
    <w:p>
      <w:pPr>
        <w:rPr>
          <w:rFonts w:hint="eastAsia"/>
          <w:color w:val="auto"/>
          <w:lang w:val="en-US" w:eastAsia="zh-CN"/>
        </w:rPr>
      </w:pPr>
      <w:r>
        <w:rPr>
          <w:rFonts w:hint="eastAsia"/>
          <w:color w:val="auto"/>
          <w:lang w:val="en-US" w:eastAsia="zh-CN"/>
        </w:rPr>
        <w:t>②填埋作业过程中按需要进行洒水降尘。</w:t>
      </w:r>
    </w:p>
    <w:p>
      <w:pPr>
        <w:rPr>
          <w:rFonts w:hint="eastAsia"/>
          <w:color w:val="auto"/>
          <w:lang w:val="en-US" w:eastAsia="zh-CN"/>
        </w:rPr>
      </w:pPr>
      <w:r>
        <w:rPr>
          <w:rFonts w:hint="eastAsia"/>
          <w:color w:val="auto"/>
          <w:lang w:val="en-US" w:eastAsia="zh-CN"/>
        </w:rPr>
        <w:t>③填埋区设置15m的绿化隔离带，控制扬尘扩散。</w:t>
      </w:r>
    </w:p>
    <w:p>
      <w:pPr>
        <w:rPr>
          <w:rFonts w:hint="eastAsia"/>
          <w:color w:val="auto"/>
          <w:lang w:val="en-US" w:eastAsia="zh-CN"/>
        </w:rPr>
      </w:pPr>
      <w:r>
        <w:rPr>
          <w:rFonts w:hint="eastAsia"/>
          <w:color w:val="auto"/>
          <w:lang w:val="en-US" w:eastAsia="zh-CN"/>
        </w:rPr>
        <w:t>综上措施，本工程大气防治措施可行。</w:t>
      </w:r>
    </w:p>
    <w:p>
      <w:pPr>
        <w:pStyle w:val="4"/>
        <w:rPr>
          <w:rFonts w:hint="eastAsia"/>
          <w:color w:val="auto"/>
          <w:lang w:val="en-US" w:eastAsia="zh-CN"/>
        </w:rPr>
      </w:pPr>
      <w:r>
        <w:rPr>
          <w:rFonts w:hint="eastAsia"/>
          <w:color w:val="auto"/>
          <w:lang w:val="en-US" w:eastAsia="zh-CN"/>
        </w:rPr>
        <w:t>9.2.2废水污染防治措施可行性分析</w:t>
      </w:r>
    </w:p>
    <w:p>
      <w:pPr>
        <w:rPr>
          <w:rFonts w:hint="eastAsia"/>
          <w:color w:val="auto"/>
          <w:u w:val="single"/>
          <w:lang w:val="en-US" w:eastAsia="zh-CN"/>
        </w:rPr>
      </w:pPr>
      <w:r>
        <w:rPr>
          <w:rFonts w:hint="eastAsia"/>
          <w:color w:val="auto"/>
          <w:u w:val="single"/>
          <w:lang w:val="en-US" w:eastAsia="zh-CN"/>
        </w:rPr>
        <w:t>本项目废水依托现有工程污水处理站进行处理。</w:t>
      </w:r>
    </w:p>
    <w:p>
      <w:pPr>
        <w:rPr>
          <w:rFonts w:hint="eastAsia"/>
          <w:color w:val="auto"/>
          <w:u w:val="single"/>
          <w:lang w:val="en-US" w:eastAsia="zh-CN"/>
        </w:rPr>
      </w:pPr>
      <w:r>
        <w:rPr>
          <w:rFonts w:hint="eastAsia"/>
          <w:color w:val="auto"/>
          <w:u w:val="single"/>
          <w:lang w:val="en-US" w:eastAsia="zh-CN"/>
        </w:rPr>
        <w:t>通过本改造工程后，库区做好雨污分流工作，对现有库区未设置截洪沟的南侧和东侧建截洪沟，避免雨水进入填埋堆体转化成渗滤液；填埋作业采用HDPE膜进行日覆盖和中间覆盖，减少进入填埋堆体的雨水量；对调节池进行加盖密封处理，减少雨水直接进入渗滤液调节池内。</w:t>
      </w:r>
    </w:p>
    <w:p>
      <w:pPr>
        <w:rPr>
          <w:rFonts w:hint="eastAsia"/>
          <w:color w:val="auto"/>
          <w:u w:val="single"/>
          <w:lang w:val="en-US" w:eastAsia="zh-CN"/>
        </w:rPr>
      </w:pPr>
      <w:r>
        <w:rPr>
          <w:rFonts w:hint="eastAsia"/>
          <w:color w:val="auto"/>
          <w:u w:val="single"/>
          <w:lang w:val="en-US" w:eastAsia="zh-CN"/>
        </w:rPr>
        <w:t>根据建设单位提供信息，现有工程渗滤液产生量约为320m</w:t>
      </w:r>
      <w:r>
        <w:rPr>
          <w:rFonts w:hint="eastAsia"/>
          <w:color w:val="auto"/>
          <w:u w:val="single"/>
          <w:vertAlign w:val="superscript"/>
          <w:lang w:val="en-US" w:eastAsia="zh-CN"/>
        </w:rPr>
        <w:t>3</w:t>
      </w:r>
      <w:r>
        <w:rPr>
          <w:rFonts w:hint="eastAsia"/>
          <w:color w:val="auto"/>
          <w:u w:val="single"/>
          <w:lang w:val="en-US" w:eastAsia="zh-CN"/>
        </w:rPr>
        <w:t>/d，污水处理站处理能力为400m</w:t>
      </w:r>
      <w:r>
        <w:rPr>
          <w:rFonts w:hint="eastAsia"/>
          <w:color w:val="auto"/>
          <w:u w:val="single"/>
          <w:vertAlign w:val="superscript"/>
          <w:lang w:val="en-US" w:eastAsia="zh-CN"/>
        </w:rPr>
        <w:t>3</w:t>
      </w:r>
      <w:r>
        <w:rPr>
          <w:rFonts w:hint="eastAsia"/>
          <w:color w:val="auto"/>
          <w:u w:val="single"/>
          <w:lang w:val="en-US" w:eastAsia="zh-CN"/>
        </w:rPr>
        <w:t>/d；根据工程分析，技改后，本项目渗滤液产生量为90.75m</w:t>
      </w:r>
      <w:r>
        <w:rPr>
          <w:rFonts w:hint="eastAsia"/>
          <w:color w:val="auto"/>
          <w:u w:val="single"/>
          <w:vertAlign w:val="superscript"/>
          <w:lang w:val="en-US" w:eastAsia="zh-CN"/>
        </w:rPr>
        <w:t>3</w:t>
      </w:r>
      <w:r>
        <w:rPr>
          <w:rFonts w:hint="eastAsia"/>
          <w:color w:val="auto"/>
          <w:u w:val="single"/>
          <w:lang w:val="en-US" w:eastAsia="zh-CN"/>
        </w:rPr>
        <w:t>/d，削减了渗滤液产生量约229.25m</w:t>
      </w:r>
      <w:r>
        <w:rPr>
          <w:rFonts w:hint="eastAsia"/>
          <w:color w:val="auto"/>
          <w:u w:val="single"/>
          <w:vertAlign w:val="superscript"/>
          <w:lang w:val="en-US" w:eastAsia="zh-CN"/>
        </w:rPr>
        <w:t>3</w:t>
      </w:r>
      <w:r>
        <w:rPr>
          <w:rFonts w:hint="eastAsia"/>
          <w:color w:val="auto"/>
          <w:u w:val="single"/>
          <w:lang w:val="en-US" w:eastAsia="zh-CN"/>
        </w:rPr>
        <w:t>/d。因此，现有工程渗滤液污水处理设施处理规模能满足技改后渗滤液处理规模。</w:t>
      </w:r>
    </w:p>
    <w:p>
      <w:pPr>
        <w:rPr>
          <w:rFonts w:hint="eastAsia"/>
          <w:color w:val="auto"/>
          <w:u w:val="single"/>
          <w:lang w:val="en-US" w:eastAsia="zh-CN"/>
        </w:rPr>
      </w:pPr>
      <w:r>
        <w:rPr>
          <w:rFonts w:hint="eastAsia"/>
          <w:color w:val="auto"/>
          <w:u w:val="single"/>
          <w:lang w:val="en-US" w:eastAsia="zh-CN"/>
        </w:rPr>
        <w:t>现有工程污水处理站采用的工艺为生化+膜处理工艺，根据本次环评期间对该污水处理站进出口水质进行检测结果可知，场内污水经污水处理站处理后，出水水质能达到《生活垃圾填埋场污染控制标准》（GB16889-2008）中表2水污染物限值排放。</w:t>
      </w:r>
    </w:p>
    <w:p>
      <w:pPr>
        <w:rPr>
          <w:rFonts w:hint="eastAsia"/>
          <w:color w:val="auto"/>
          <w:u w:val="single"/>
          <w:lang w:val="en-US" w:eastAsia="zh-CN"/>
        </w:rPr>
      </w:pPr>
      <w:r>
        <w:rPr>
          <w:rFonts w:hint="eastAsia"/>
          <w:color w:val="auto"/>
          <w:u w:val="single"/>
          <w:lang w:val="en-US" w:eastAsia="zh-CN"/>
        </w:rPr>
        <w:t>综上所述，本项目废水污染防治措施可行。</w:t>
      </w:r>
    </w:p>
    <w:p>
      <w:pPr>
        <w:pStyle w:val="4"/>
        <w:rPr>
          <w:rFonts w:hint="eastAsia"/>
          <w:lang w:val="en-US" w:eastAsia="zh-CN"/>
        </w:rPr>
      </w:pPr>
      <w:r>
        <w:rPr>
          <w:rFonts w:hint="eastAsia"/>
          <w:lang w:val="en-US" w:eastAsia="zh-CN"/>
        </w:rPr>
        <w:t>9.2.3噪声防治措施可行性分析</w:t>
      </w:r>
    </w:p>
    <w:p>
      <w:pPr>
        <w:adjustRightInd w:val="0"/>
        <w:snapToGrid w:val="0"/>
        <w:spacing w:line="360" w:lineRule="auto"/>
        <w:ind w:firstLine="480" w:firstLineChars="200"/>
        <w:rPr>
          <w:color w:val="auto"/>
          <w:sz w:val="24"/>
        </w:rPr>
      </w:pPr>
      <w:r>
        <w:rPr>
          <w:rFonts w:hint="eastAsia"/>
          <w:color w:val="auto"/>
          <w:sz w:val="24"/>
          <w:lang w:eastAsia="zh-CN"/>
        </w:rPr>
        <w:t>根据对现有工程进行现状检测可知，只要</w:t>
      </w:r>
      <w:r>
        <w:rPr>
          <w:color w:val="auto"/>
          <w:sz w:val="24"/>
        </w:rPr>
        <w:t>落实好噪声污染防治措施，其场界噪声一般都能够达标。常用的措施：优先选用低噪声的机械设备，特别是泵、风机等。</w:t>
      </w:r>
    </w:p>
    <w:p>
      <w:pPr>
        <w:adjustRightInd w:val="0"/>
        <w:snapToGrid w:val="0"/>
        <w:spacing w:line="360" w:lineRule="auto"/>
        <w:ind w:firstLine="480" w:firstLineChars="200"/>
        <w:rPr>
          <w:color w:val="auto"/>
          <w:sz w:val="24"/>
        </w:rPr>
      </w:pPr>
      <w:r>
        <w:rPr>
          <w:color w:val="auto"/>
          <w:sz w:val="24"/>
        </w:rPr>
        <w:t>风机类运转时主要有空气动力性噪声、电机噪声和机械噪声，其中空气动力性噪声强度最高，因此应在进气口装一个阻抗复合消声器，同时对排气管道和基础作减振。此外还可采用整机隔声罩或设隔声间，并对风机基础减振。这样可使引风机整体降噪15dB(A)。</w:t>
      </w:r>
    </w:p>
    <w:p>
      <w:pPr>
        <w:adjustRightInd w:val="0"/>
        <w:snapToGrid w:val="0"/>
        <w:spacing w:line="360" w:lineRule="auto"/>
        <w:ind w:firstLine="480" w:firstLineChars="200"/>
        <w:rPr>
          <w:color w:val="auto"/>
          <w:sz w:val="24"/>
        </w:rPr>
      </w:pPr>
      <w:r>
        <w:rPr>
          <w:color w:val="auto"/>
          <w:sz w:val="24"/>
        </w:rPr>
        <w:t>泵类噪声主要来源于水泵的电机冷却风扇噪声、泵体辐射噪声、脉冲噪声和机械噪声。采用内衬有吸声材料的电机隔声罩和泵基础减振垫，并在电机隔声罩进风口处装消声器，这样可使泵体降噪15dB(A)。</w:t>
      </w:r>
    </w:p>
    <w:p>
      <w:pPr>
        <w:adjustRightInd w:val="0"/>
        <w:snapToGrid w:val="0"/>
        <w:spacing w:line="360" w:lineRule="auto"/>
        <w:ind w:firstLine="480" w:firstLineChars="200"/>
        <w:rPr>
          <w:color w:val="auto"/>
          <w:sz w:val="24"/>
        </w:rPr>
      </w:pPr>
      <w:r>
        <w:rPr>
          <w:color w:val="auto"/>
          <w:sz w:val="24"/>
        </w:rPr>
        <w:t>挖掘机、压实机等施工机械只在白天工作，经距离衰减和绿化降噪后，可保持场界噪声不超标。</w:t>
      </w:r>
    </w:p>
    <w:p>
      <w:pPr>
        <w:adjustRightInd w:val="0"/>
        <w:snapToGrid w:val="0"/>
        <w:spacing w:line="360" w:lineRule="auto"/>
        <w:ind w:firstLine="480" w:firstLineChars="200"/>
        <w:rPr>
          <w:color w:val="auto"/>
          <w:sz w:val="24"/>
        </w:rPr>
      </w:pPr>
      <w:r>
        <w:rPr>
          <w:color w:val="auto"/>
          <w:sz w:val="24"/>
        </w:rPr>
        <w:t>合理规划运输路线，进场道路避免人群集中点，加强车辆养护。</w:t>
      </w:r>
    </w:p>
    <w:p>
      <w:pPr>
        <w:pStyle w:val="4"/>
        <w:rPr>
          <w:rFonts w:hint="eastAsia"/>
          <w:color w:val="auto"/>
          <w:sz w:val="24"/>
          <w:u w:val="single"/>
          <w:lang w:val="en-US" w:eastAsia="zh-CN"/>
        </w:rPr>
      </w:pPr>
      <w:r>
        <w:rPr>
          <w:rFonts w:hint="eastAsia"/>
          <w:color w:val="auto"/>
          <w:sz w:val="24"/>
          <w:u w:val="single"/>
          <w:lang w:val="en-US" w:eastAsia="zh-CN"/>
        </w:rPr>
        <w:t>9.2.4垂直防渗措施可行性分析</w:t>
      </w:r>
    </w:p>
    <w:p>
      <w:pPr>
        <w:rPr>
          <w:rFonts w:hint="eastAsia"/>
          <w:color w:val="auto"/>
          <w:sz w:val="24"/>
          <w:u w:val="single"/>
          <w:lang w:val="en-US" w:eastAsia="zh-CN"/>
        </w:rPr>
      </w:pPr>
      <w:r>
        <w:rPr>
          <w:rFonts w:hint="eastAsia"/>
          <w:color w:val="auto"/>
          <w:sz w:val="24"/>
          <w:u w:val="single"/>
          <w:lang w:val="en-US" w:eastAsia="zh-CN"/>
        </w:rPr>
        <w:t>（1）防渗方式选择</w:t>
      </w:r>
    </w:p>
    <w:p>
      <w:pPr>
        <w:adjustRightInd w:val="0"/>
        <w:snapToGrid w:val="0"/>
        <w:spacing w:line="360" w:lineRule="auto"/>
        <w:ind w:firstLine="482"/>
        <w:rPr>
          <w:rFonts w:hint="eastAsia"/>
          <w:color w:val="auto"/>
          <w:sz w:val="24"/>
          <w:u w:val="single"/>
          <w:lang w:val="en-US" w:eastAsia="zh-CN"/>
        </w:rPr>
      </w:pPr>
      <w:r>
        <w:rPr>
          <w:rFonts w:hint="eastAsia"/>
          <w:color w:val="auto"/>
          <w:sz w:val="24"/>
          <w:u w:val="single"/>
          <w:lang w:val="en-US" w:eastAsia="zh-CN"/>
        </w:rPr>
        <w:t>常见的防渗方式有以下两种：</w:t>
      </w:r>
    </w:p>
    <w:p>
      <w:pPr>
        <w:adjustRightInd w:val="0"/>
        <w:snapToGrid w:val="0"/>
        <w:spacing w:line="360" w:lineRule="auto"/>
        <w:ind w:firstLine="482"/>
        <w:rPr>
          <w:rFonts w:hint="eastAsia"/>
          <w:color w:val="auto"/>
          <w:sz w:val="24"/>
          <w:u w:val="single"/>
          <w:lang w:val="en-US" w:eastAsia="zh-CN"/>
        </w:rPr>
      </w:pPr>
      <w:r>
        <w:rPr>
          <w:rFonts w:hint="eastAsia"/>
          <w:color w:val="auto"/>
          <w:sz w:val="24"/>
          <w:u w:val="single"/>
          <w:lang w:val="en-US" w:eastAsia="zh-CN"/>
        </w:rPr>
        <w:t>①水平防渗：防渗层向水平方向铺设，防止垃圾渗滤水向周围及垂直方向渗透而污染地下水。</w:t>
      </w:r>
    </w:p>
    <w:p>
      <w:pPr>
        <w:adjustRightInd w:val="0"/>
        <w:snapToGrid w:val="0"/>
        <w:spacing w:line="360" w:lineRule="auto"/>
        <w:ind w:firstLine="482"/>
        <w:rPr>
          <w:rFonts w:hint="eastAsia"/>
          <w:color w:val="auto"/>
          <w:sz w:val="24"/>
          <w:u w:val="single"/>
          <w:lang w:val="en-US" w:eastAsia="zh-CN"/>
        </w:rPr>
      </w:pPr>
      <w:r>
        <w:rPr>
          <w:rFonts w:hint="eastAsia"/>
          <w:color w:val="auto"/>
          <w:sz w:val="24"/>
          <w:u w:val="single"/>
          <w:lang w:val="en-US" w:eastAsia="zh-CN"/>
        </w:rPr>
        <w:t>②垂直防渗：防渗层竖向布置，防止垃圾渗滤水横向渗透迁移污染周围地下水。</w:t>
      </w:r>
    </w:p>
    <w:p>
      <w:pPr>
        <w:adjustRightInd w:val="0"/>
        <w:snapToGrid w:val="0"/>
        <w:spacing w:line="360" w:lineRule="auto"/>
        <w:ind w:firstLine="482"/>
        <w:rPr>
          <w:rFonts w:hint="eastAsia"/>
          <w:color w:val="auto"/>
          <w:sz w:val="24"/>
          <w:u w:val="single"/>
          <w:lang w:val="en-US" w:eastAsia="zh-CN"/>
        </w:rPr>
      </w:pPr>
      <w:r>
        <w:rPr>
          <w:rFonts w:hint="eastAsia"/>
          <w:color w:val="auto"/>
          <w:sz w:val="24"/>
          <w:u w:val="single"/>
          <w:lang w:val="en-US" w:eastAsia="zh-CN"/>
        </w:rPr>
        <w:t>通常垂直防渗方式比较适合属于独立的水文地质单元，且场底不透水层较浅的填埋场。根据现有工程地勘资料，场地内为前震旦系冷家溪群板岩，其弱风化与微风化板岩层厚度达到1872m，渗透系数小于10</w:t>
      </w:r>
      <w:r>
        <w:rPr>
          <w:rFonts w:hint="eastAsia"/>
          <w:color w:val="auto"/>
          <w:sz w:val="24"/>
          <w:u w:val="single"/>
          <w:vertAlign w:val="superscript"/>
          <w:lang w:val="en-US" w:eastAsia="zh-CN"/>
        </w:rPr>
        <w:t>-7</w:t>
      </w:r>
      <w:r>
        <w:rPr>
          <w:rFonts w:hint="eastAsia"/>
          <w:color w:val="auto"/>
          <w:sz w:val="24"/>
          <w:u w:val="single"/>
          <w:lang w:val="en-US" w:eastAsia="zh-CN"/>
        </w:rPr>
        <w:t>cm/s，属不透层，两侧山体不透水层巨厚，无侧漏现象，花果畈填埋场所处区域是一个相对独立的水文地质单元；且现有工程建设时，国内基本没有水平防渗的填埋场。因此，花果畈垃圾填埋场当时采用的是垂直防渗方式。</w:t>
      </w:r>
    </w:p>
    <w:p>
      <w:pPr>
        <w:adjustRightInd w:val="0"/>
        <w:snapToGrid w:val="0"/>
        <w:spacing w:line="360" w:lineRule="auto"/>
        <w:ind w:firstLine="482"/>
        <w:rPr>
          <w:rFonts w:hint="eastAsia"/>
          <w:color w:val="auto"/>
          <w:sz w:val="24"/>
          <w:u w:val="single"/>
          <w:lang w:val="en-US" w:eastAsia="zh-CN"/>
        </w:rPr>
      </w:pPr>
      <w:r>
        <w:rPr>
          <w:rFonts w:hint="eastAsia"/>
          <w:color w:val="auto"/>
          <w:sz w:val="24"/>
          <w:u w:val="single"/>
          <w:lang w:val="en-US" w:eastAsia="zh-CN"/>
        </w:rPr>
        <w:t>（2）垂直防渗效果</w:t>
      </w:r>
    </w:p>
    <w:p>
      <w:pPr>
        <w:adjustRightInd w:val="0"/>
        <w:snapToGrid w:val="0"/>
        <w:spacing w:line="360" w:lineRule="auto"/>
        <w:ind w:firstLine="482"/>
        <w:rPr>
          <w:rFonts w:hint="eastAsia"/>
          <w:color w:val="auto"/>
          <w:sz w:val="24"/>
          <w:u w:val="single"/>
          <w:lang w:val="en-US" w:eastAsia="zh-CN"/>
        </w:rPr>
      </w:pPr>
      <w:r>
        <w:rPr>
          <w:rFonts w:hint="eastAsia"/>
          <w:color w:val="auto"/>
          <w:sz w:val="24"/>
          <w:u w:val="single"/>
          <w:lang w:val="en-US" w:eastAsia="zh-CN"/>
        </w:rPr>
        <w:t>根据现有工程情况，垃圾堆体填埋高度未超出原垂直防渗高度时，未发生过渗漏情况，因此，可以证明原设计采取垂直帷幕灌浆防渗的方式在花果畈垃圾填埋场是合适的。</w:t>
      </w:r>
    </w:p>
    <w:p>
      <w:pPr>
        <w:adjustRightInd w:val="0"/>
        <w:snapToGrid w:val="0"/>
        <w:spacing w:line="360" w:lineRule="auto"/>
        <w:ind w:firstLine="482"/>
        <w:rPr>
          <w:rFonts w:hint="eastAsia"/>
          <w:color w:val="auto"/>
          <w:sz w:val="24"/>
          <w:u w:val="single"/>
          <w:lang w:val="en-US" w:eastAsia="zh-CN"/>
        </w:rPr>
      </w:pPr>
      <w:r>
        <w:rPr>
          <w:rFonts w:hint="eastAsia"/>
          <w:color w:val="auto"/>
          <w:sz w:val="24"/>
          <w:u w:val="single"/>
          <w:lang w:val="en-US" w:eastAsia="zh-CN"/>
        </w:rPr>
        <w:t>随着垃圾堆体的增高，超出原天然防渗层高度，两侧山体的强风化和中风化透水性好，造成渗滤液侧漏情况发生。因此，本次技改在填埋场东西两侧山脊设置两条垂直帷幕灌浆防渗，并与现状垃圾场南坝、北坝原垂直灌浆线链接，形成一个闭合垂直防渗。</w:t>
      </w:r>
    </w:p>
    <w:p>
      <w:pPr>
        <w:adjustRightInd w:val="0"/>
        <w:snapToGrid w:val="0"/>
        <w:spacing w:line="360" w:lineRule="auto"/>
        <w:ind w:firstLine="482"/>
        <w:rPr>
          <w:rFonts w:hint="eastAsia"/>
          <w:color w:val="auto"/>
          <w:sz w:val="24"/>
          <w:u w:val="single"/>
          <w:lang w:val="en-US" w:eastAsia="zh-CN"/>
        </w:rPr>
      </w:pPr>
      <w:r>
        <w:rPr>
          <w:rFonts w:hint="eastAsia"/>
          <w:color w:val="auto"/>
          <w:sz w:val="24"/>
          <w:u w:val="single"/>
          <w:lang w:val="en-US" w:eastAsia="zh-CN"/>
        </w:rPr>
        <w:t>因此，本次技改项目库区进行垂直帷幕灌浆防渗方式可行。</w:t>
      </w:r>
    </w:p>
    <w:p>
      <w:pPr>
        <w:rPr>
          <w:rFonts w:hint="eastAsia"/>
          <w:u w:val="single"/>
          <w:lang w:val="en-US" w:eastAsia="zh-CN"/>
        </w:rPr>
      </w:pPr>
    </w:p>
    <w:p>
      <w:pPr>
        <w:rPr>
          <w:rFonts w:hint="eastAsia"/>
          <w:color w:val="auto"/>
          <w:lang w:val="en-US" w:eastAsia="zh-CN"/>
        </w:rPr>
      </w:pPr>
    </w:p>
    <w:p>
      <w:pPr>
        <w:rPr>
          <w:rFonts w:hint="eastAsia"/>
          <w:color w:val="auto"/>
          <w:lang w:val="en-US" w:eastAsia="zh-CN"/>
        </w:rPr>
        <w:sectPr>
          <w:pgSz w:w="11906" w:h="16838"/>
          <w:pgMar w:top="1440" w:right="1800" w:bottom="1440" w:left="1800" w:header="851" w:footer="992" w:gutter="0"/>
          <w:pgNumType w:fmt="decimal"/>
          <w:cols w:space="425" w:num="1"/>
          <w:docGrid w:type="lines" w:linePitch="312" w:charSpace="0"/>
        </w:sectPr>
      </w:pPr>
    </w:p>
    <w:p>
      <w:pPr>
        <w:pStyle w:val="2"/>
        <w:numPr>
          <w:ilvl w:val="0"/>
          <w:numId w:val="20"/>
        </w:numPr>
        <w:rPr>
          <w:rFonts w:hint="eastAsia"/>
          <w:color w:val="auto"/>
          <w:lang w:val="en-US" w:eastAsia="zh-CN"/>
        </w:rPr>
      </w:pPr>
      <w:bookmarkStart w:id="91" w:name="_Toc27429"/>
      <w:r>
        <w:rPr>
          <w:rFonts w:hint="eastAsia"/>
          <w:color w:val="auto"/>
          <w:lang w:val="en-US" w:eastAsia="zh-CN"/>
        </w:rPr>
        <w:t>清洁生产和总量控制</w:t>
      </w:r>
      <w:bookmarkEnd w:id="91"/>
    </w:p>
    <w:p>
      <w:pPr>
        <w:pStyle w:val="3"/>
        <w:rPr>
          <w:color w:val="auto"/>
        </w:rPr>
      </w:pPr>
      <w:bookmarkStart w:id="92" w:name="_Toc255977799"/>
      <w:bookmarkStart w:id="93" w:name="_Toc453856825"/>
      <w:bookmarkStart w:id="94" w:name="_Toc1236"/>
      <w:r>
        <w:rPr>
          <w:rFonts w:hint="eastAsia"/>
          <w:color w:val="auto"/>
          <w:lang w:val="en-US" w:eastAsia="zh-CN"/>
        </w:rPr>
        <w:t>10.1</w:t>
      </w:r>
      <w:r>
        <w:rPr>
          <w:color w:val="auto"/>
        </w:rPr>
        <w:t>清洁生产分析</w:t>
      </w:r>
      <w:bookmarkEnd w:id="92"/>
      <w:bookmarkEnd w:id="93"/>
      <w:bookmarkEnd w:id="94"/>
    </w:p>
    <w:p>
      <w:pPr>
        <w:pStyle w:val="4"/>
        <w:rPr>
          <w:color w:val="auto"/>
        </w:rPr>
      </w:pPr>
      <w:bookmarkStart w:id="95" w:name="_Toc453856826"/>
      <w:r>
        <w:rPr>
          <w:rFonts w:hint="eastAsia"/>
          <w:color w:val="auto"/>
          <w:lang w:val="en-US" w:eastAsia="zh-CN"/>
        </w:rPr>
        <w:t>10.1.1</w:t>
      </w:r>
      <w:r>
        <w:rPr>
          <w:color w:val="auto"/>
          <w:lang w:eastAsia="zh-CN"/>
        </w:rPr>
        <w:t>项目清洁生产水平分析</w:t>
      </w:r>
      <w:bookmarkEnd w:id="95"/>
    </w:p>
    <w:p>
      <w:pPr>
        <w:rPr>
          <w:color w:val="auto"/>
        </w:rPr>
      </w:pPr>
      <w:r>
        <w:rPr>
          <w:rFonts w:hint="eastAsia" w:ascii="Times New Roman" w:hAnsi="Times New Roman" w:eastAsia="宋体" w:cstheme="minorBidi"/>
          <w:color w:val="auto"/>
          <w:spacing w:val="4"/>
          <w:kern w:val="2"/>
          <w:sz w:val="24"/>
          <w:szCs w:val="24"/>
          <w:lang w:val="en-US" w:eastAsia="zh-CN" w:bidi="ar-SA"/>
        </w:rPr>
        <w:t>花果贩</w:t>
      </w:r>
      <w:r>
        <w:rPr>
          <w:rFonts w:ascii="Times New Roman" w:hAnsi="Times New Roman" w:eastAsia="宋体" w:cstheme="minorBidi"/>
          <w:color w:val="auto"/>
          <w:spacing w:val="4"/>
          <w:kern w:val="2"/>
          <w:sz w:val="24"/>
          <w:szCs w:val="24"/>
          <w:lang w:val="en-US" w:eastAsia="zh-CN" w:bidi="ar-SA"/>
        </w:rPr>
        <w:t>垃圾填埋场工</w:t>
      </w:r>
      <w:r>
        <w:rPr>
          <w:rFonts w:hint="eastAsia" w:ascii="Times New Roman" w:hAnsi="Times New Roman" w:eastAsia="宋体" w:cstheme="minorBidi"/>
          <w:color w:val="auto"/>
          <w:spacing w:val="4"/>
          <w:kern w:val="2"/>
          <w:sz w:val="24"/>
          <w:szCs w:val="24"/>
          <w:lang w:val="en-US" w:eastAsia="zh-CN" w:bidi="ar-SA"/>
        </w:rPr>
        <w:t>改造</w:t>
      </w:r>
      <w:r>
        <w:rPr>
          <w:rFonts w:ascii="Times New Roman" w:hAnsi="Times New Roman" w:eastAsia="宋体" w:cstheme="minorBidi"/>
          <w:color w:val="auto"/>
          <w:spacing w:val="4"/>
          <w:kern w:val="2"/>
          <w:sz w:val="24"/>
          <w:szCs w:val="24"/>
          <w:lang w:val="en-US" w:eastAsia="zh-CN" w:bidi="ar-SA"/>
        </w:rPr>
        <w:t>程作为城市基础设施建设项目，是</w:t>
      </w:r>
      <w:r>
        <w:rPr>
          <w:rFonts w:hint="eastAsia" w:ascii="Times New Roman" w:hAnsi="Times New Roman" w:eastAsia="宋体" w:cstheme="minorBidi"/>
          <w:color w:val="auto"/>
          <w:spacing w:val="4"/>
          <w:kern w:val="2"/>
          <w:sz w:val="24"/>
          <w:szCs w:val="24"/>
          <w:lang w:val="en-US" w:eastAsia="zh-CN" w:bidi="ar-SA"/>
        </w:rPr>
        <w:t>城区</w:t>
      </w:r>
      <w:r>
        <w:rPr>
          <w:rFonts w:ascii="Times New Roman" w:hAnsi="Times New Roman" w:eastAsia="宋体" w:cstheme="minorBidi"/>
          <w:color w:val="auto"/>
          <w:spacing w:val="4"/>
          <w:kern w:val="2"/>
          <w:sz w:val="24"/>
          <w:szCs w:val="24"/>
          <w:lang w:val="en-US" w:eastAsia="zh-CN" w:bidi="ar-SA"/>
        </w:rPr>
        <w:t>生活垃圾填埋场所</w:t>
      </w:r>
      <w:r>
        <w:rPr>
          <w:rFonts w:hint="eastAsia" w:ascii="Times New Roman" w:hAnsi="Times New Roman" w:eastAsia="宋体" w:cstheme="minorBidi"/>
          <w:color w:val="auto"/>
          <w:spacing w:val="4"/>
          <w:kern w:val="2"/>
          <w:sz w:val="24"/>
          <w:szCs w:val="24"/>
          <w:lang w:val="en-US" w:eastAsia="zh-CN" w:bidi="ar-SA"/>
        </w:rPr>
        <w:t>，</w:t>
      </w:r>
      <w:r>
        <w:rPr>
          <w:rFonts w:ascii="Times New Roman" w:hAnsi="Times New Roman" w:eastAsia="宋体" w:cstheme="minorBidi"/>
          <w:color w:val="auto"/>
          <w:spacing w:val="4"/>
          <w:kern w:val="2"/>
          <w:sz w:val="24"/>
          <w:szCs w:val="24"/>
          <w:lang w:val="en-US" w:eastAsia="zh-CN" w:bidi="ar-SA"/>
        </w:rPr>
        <w:t>实现垃圾最终生命周期阶段的无害化处理处置。项目填埋常用国内成熟的生活垃圾卫生填埋处理工艺，填埋过程中采取了相应的环境保护措施，有效减少污染物的产生和排放，降低能源、资源的消耗，减轻运营过程中污染物对周边环境及敏感点的影响，基本符合清洁生产要求，达到国内清洁生产</w:t>
      </w:r>
      <w:r>
        <w:rPr>
          <w:rFonts w:hint="eastAsia" w:cstheme="minorBidi"/>
          <w:color w:val="auto"/>
          <w:spacing w:val="4"/>
          <w:kern w:val="2"/>
          <w:sz w:val="24"/>
          <w:szCs w:val="24"/>
          <w:lang w:val="en-US" w:eastAsia="zh-CN" w:bidi="ar-SA"/>
        </w:rPr>
        <w:t>先进</w:t>
      </w:r>
      <w:r>
        <w:rPr>
          <w:rFonts w:ascii="Times New Roman" w:hAnsi="Times New Roman" w:eastAsia="宋体" w:cstheme="minorBidi"/>
          <w:color w:val="auto"/>
          <w:spacing w:val="4"/>
          <w:kern w:val="2"/>
          <w:sz w:val="24"/>
          <w:szCs w:val="24"/>
          <w:lang w:val="en-US" w:eastAsia="zh-CN" w:bidi="ar-SA"/>
        </w:rPr>
        <w:t>水平。具体的体现如表10.1。</w:t>
      </w:r>
    </w:p>
    <w:p>
      <w:pPr>
        <w:pStyle w:val="23"/>
        <w:rPr>
          <w:b/>
          <w:bCs/>
          <w:color w:val="auto"/>
        </w:rPr>
      </w:pPr>
      <w:r>
        <w:rPr>
          <w:b/>
          <w:bCs/>
          <w:color w:val="auto"/>
        </w:rPr>
        <w:t>表10.1 清洁生产方案一览表</w:t>
      </w:r>
    </w:p>
    <w:tbl>
      <w:tblPr>
        <w:tblStyle w:val="19"/>
        <w:tblW w:w="9214"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348"/>
        <w:gridCol w:w="1669"/>
        <w:gridCol w:w="619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工段</w:t>
            </w: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方案名称</w:t>
            </w:r>
          </w:p>
        </w:tc>
        <w:tc>
          <w:tcPr>
            <w:tcW w:w="619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工艺先进性及其作用和处理效果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垃圾运输</w:t>
            </w: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封闭运输</w:t>
            </w:r>
          </w:p>
        </w:tc>
        <w:tc>
          <w:tcPr>
            <w:tcW w:w="6197"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减轻和防止垃圾入场前粉尘、纸屑、塑料袋等轻质垃圾的飞扬。</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restart"/>
            <w:vAlign w:val="center"/>
          </w:tcPr>
          <w:p>
            <w:pPr>
              <w:pStyle w:val="23"/>
              <w:keepNext w:val="0"/>
              <w:keepLines w:val="0"/>
              <w:suppressLineNumbers w:val="0"/>
              <w:spacing w:before="0" w:beforeAutospacing="0" w:after="0" w:afterAutospacing="0"/>
              <w:ind w:left="0" w:right="0"/>
              <w:rPr>
                <w:rFonts w:hint="default"/>
                <w:color w:val="auto"/>
              </w:rPr>
            </w:pPr>
          </w:p>
          <w:p>
            <w:pPr>
              <w:pStyle w:val="23"/>
              <w:keepNext w:val="0"/>
              <w:keepLines w:val="0"/>
              <w:suppressLineNumbers w:val="0"/>
              <w:spacing w:before="0" w:beforeAutospacing="0" w:after="0" w:afterAutospacing="0"/>
              <w:ind w:left="0" w:right="0"/>
              <w:rPr>
                <w:rFonts w:hint="default"/>
                <w:color w:val="auto"/>
              </w:rPr>
            </w:pPr>
            <w:r>
              <w:rPr>
                <w:rFonts w:hint="default"/>
                <w:color w:val="auto"/>
              </w:rPr>
              <w:t>垃圾填埋</w:t>
            </w: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压实、覆土、覆膜洒药</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可有效减少垃圾空隙，提高空间利用效率，利于垃圾臭气及渗滤液的导出；有效减少扬尘、纸屑、塑料袋轻质物的飞散；防止蚊蝇、鼠类、鸟类以及其他动物在垃圾中觅食，控制其滋长；一定程度上防止恶臭。</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防渗措施</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eastAsia"/>
                <w:color w:val="auto"/>
                <w:lang w:eastAsia="zh-CN"/>
              </w:rPr>
              <w:t>垂直帷幕灌浆</w:t>
            </w:r>
            <w:r>
              <w:rPr>
                <w:rFonts w:hint="default"/>
                <w:color w:val="auto"/>
              </w:rPr>
              <w:t>防渗；防治地下水及土壤污染，同时节约资源能源。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渗滤液收集措施</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填埋区底部集水采用盲沟中埋设穿孔管方式，竖向采用石笼井和导管导排，最后从垃圾坝底部排入</w:t>
            </w:r>
            <w:r>
              <w:rPr>
                <w:rFonts w:hint="eastAsia"/>
                <w:color w:val="auto"/>
                <w:lang w:eastAsia="zh-CN"/>
              </w:rPr>
              <w:t>调节池</w:t>
            </w:r>
            <w:r>
              <w:rPr>
                <w:rFonts w:hint="default"/>
                <w:color w:val="auto"/>
              </w:rPr>
              <w:t>，防治污染地表水、地下水。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截洪措施</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截洪沟可防治洪水对垃圾填埋场的冲刷和破坏垃圾填埋层，并可截排山体表面的径流水，减少浸入垃圾中的地表径流水量，实现清污分流，降低污水处理量。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气体导排措施</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底部盲沟在收集渗滤液的同时可兼作导气系统，竖向石笼井中面色HDPE管用作排气管，各填埋层之间采用石笼收集；采用开放排气方式，排气管末端配</w:t>
            </w:r>
            <w:r>
              <w:rPr>
                <w:rFonts w:hint="eastAsia"/>
                <w:color w:val="auto"/>
                <w:lang w:eastAsia="zh-CN"/>
              </w:rPr>
              <w:t>电子</w:t>
            </w:r>
            <w:r>
              <w:rPr>
                <w:rFonts w:hint="default"/>
                <w:color w:val="auto"/>
              </w:rPr>
              <w:t>点火燃烧装置，随时可将导出的气体燃烧掉，减少大气污染。</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渗滤液处理系统</w:t>
            </w:r>
          </w:p>
        </w:tc>
        <w:tc>
          <w:tcPr>
            <w:tcW w:w="1669" w:type="dxa"/>
            <w:vAlign w:val="center"/>
          </w:tcPr>
          <w:p>
            <w:pPr>
              <w:pStyle w:val="23"/>
              <w:keepNext w:val="0"/>
              <w:keepLines w:val="0"/>
              <w:suppressLineNumbers w:val="0"/>
              <w:spacing w:before="0" w:beforeAutospacing="0" w:after="0" w:afterAutospacing="0"/>
              <w:ind w:left="0" w:right="0"/>
              <w:rPr>
                <w:rFonts w:hint="eastAsia" w:eastAsia="宋体"/>
                <w:color w:val="auto"/>
                <w:lang w:eastAsia="zh-CN"/>
              </w:rPr>
            </w:pPr>
            <w:r>
              <w:rPr>
                <w:rFonts w:hint="eastAsia"/>
                <w:color w:val="auto"/>
                <w:lang w:eastAsia="zh-CN"/>
              </w:rPr>
              <w:t>生化</w:t>
            </w:r>
            <w:r>
              <w:rPr>
                <w:rFonts w:hint="eastAsia"/>
                <w:color w:val="auto"/>
                <w:lang w:val="en-US" w:eastAsia="zh-CN"/>
              </w:rPr>
              <w:t>+膜处理工艺</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渗滤液处理为污染终端治理，可有效防止水体环境受到污染。调节池调蓄水质、水量，防止渗滤液直排；同时利于后续处理设施稳定运行。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废气及恶臭处理</w:t>
            </w: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填埋气的处置</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eastAsia"/>
                <w:color w:val="auto"/>
                <w:lang w:eastAsia="zh-CN"/>
              </w:rPr>
              <w:t>电子</w:t>
            </w:r>
            <w:r>
              <w:rPr>
                <w:rFonts w:hint="default"/>
                <w:color w:val="auto"/>
              </w:rPr>
              <w:t>点火燃烧装置，燃烧排放，影响较小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恶臭气体</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绿化美化、防臭膜盖；</w:t>
            </w:r>
            <w:r>
              <w:rPr>
                <w:rFonts w:hint="eastAsia"/>
                <w:color w:val="auto"/>
                <w:lang w:eastAsia="zh-CN"/>
              </w:rPr>
              <w:t>电子</w:t>
            </w:r>
            <w:r>
              <w:rPr>
                <w:rFonts w:hint="default"/>
                <w:color w:val="auto"/>
              </w:rPr>
              <w:t>点火燃烧装置，燃烧排放，影响较小</w:t>
            </w:r>
            <w:r>
              <w:rPr>
                <w:rFonts w:hint="eastAsia"/>
                <w:color w:val="auto"/>
                <w:lang w:eastAsia="zh-CN"/>
              </w:rPr>
              <w:t>；</w:t>
            </w:r>
          </w:p>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不发生扰民现象，对周围空气影响较小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防止飞扬物</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及时</w:t>
            </w:r>
            <w:r>
              <w:rPr>
                <w:rFonts w:hint="eastAsia"/>
                <w:color w:val="auto"/>
                <w:lang w:eastAsia="zh-CN"/>
              </w:rPr>
              <w:t>覆盖</w:t>
            </w:r>
            <w:r>
              <w:rPr>
                <w:rFonts w:hint="default"/>
                <w:color w:val="auto"/>
              </w:rPr>
              <w:t>压实，设置防飞散网，严格管理</w:t>
            </w:r>
          </w:p>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不致造成白色污染</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其他</w:t>
            </w: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节能措施</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选用先进设备，采用新材料</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管理措施</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加强日常环境管理，建立清洁生产组织，加强员工教育，树立清洁生产意识，加强操作责任心，发现问题及时解决，做好持续改进工作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restart"/>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总平图设计</w:t>
            </w: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合理布局</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垃圾填埋库区，与渗滤液收集处理区、管理办公区，分工明确，布局合理。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合理工艺布置</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尽量使工艺流程上下衔接，布置短捷、高效，减少内部输送距离，避免在操作、工艺环节衔接中的泄漏。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0" w:hRule="atLeast"/>
          <w:jc w:val="center"/>
        </w:trPr>
        <w:tc>
          <w:tcPr>
            <w:tcW w:w="1348" w:type="dxa"/>
            <w:vMerge w:val="continue"/>
            <w:vAlign w:val="center"/>
          </w:tcPr>
          <w:p>
            <w:pPr>
              <w:pStyle w:val="23"/>
              <w:keepNext w:val="0"/>
              <w:keepLines w:val="0"/>
              <w:suppressLineNumbers w:val="0"/>
              <w:spacing w:before="0" w:beforeAutospacing="0" w:after="0" w:afterAutospacing="0"/>
              <w:ind w:left="0" w:right="0"/>
              <w:rPr>
                <w:rFonts w:hint="default"/>
                <w:color w:val="auto"/>
              </w:rPr>
            </w:pPr>
          </w:p>
        </w:tc>
        <w:tc>
          <w:tcPr>
            <w:tcW w:w="1669" w:type="dxa"/>
            <w:vAlign w:val="center"/>
          </w:tcPr>
          <w:p>
            <w:pPr>
              <w:pStyle w:val="23"/>
              <w:keepNext w:val="0"/>
              <w:keepLines w:val="0"/>
              <w:suppressLineNumbers w:val="0"/>
              <w:spacing w:before="0" w:beforeAutospacing="0" w:after="0" w:afterAutospacing="0"/>
              <w:ind w:left="0" w:right="0"/>
              <w:rPr>
                <w:rFonts w:hint="default"/>
                <w:color w:val="auto"/>
              </w:rPr>
            </w:pPr>
            <w:r>
              <w:rPr>
                <w:rFonts w:hint="default"/>
                <w:color w:val="auto"/>
              </w:rPr>
              <w:t>优化绿化设计</w:t>
            </w:r>
          </w:p>
        </w:tc>
        <w:tc>
          <w:tcPr>
            <w:tcW w:w="619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设置绿化隔音带，根据当地习惯合理选择、布置绿化带；改善景观；同时隔声、截尘、阻挡蚊蝇等。</w:t>
            </w:r>
          </w:p>
        </w:tc>
      </w:tr>
    </w:tbl>
    <w:p>
      <w:pPr>
        <w:pStyle w:val="4"/>
        <w:rPr>
          <w:color w:val="auto"/>
        </w:rPr>
      </w:pPr>
      <w:bookmarkStart w:id="96" w:name="_Toc453856827"/>
      <w:r>
        <w:rPr>
          <w:rFonts w:hint="eastAsia"/>
          <w:color w:val="auto"/>
          <w:lang w:val="en-US" w:eastAsia="zh-CN"/>
        </w:rPr>
        <w:t>10.1.2</w:t>
      </w:r>
      <w:r>
        <w:rPr>
          <w:color w:val="auto"/>
          <w:lang w:eastAsia="zh-CN"/>
        </w:rPr>
        <w:t>项目清洁生产潜力及措施分析</w:t>
      </w:r>
      <w:bookmarkEnd w:id="96"/>
    </w:p>
    <w:p>
      <w:pPr>
        <w:adjustRightInd w:val="0"/>
        <w:snapToGrid w:val="0"/>
        <w:spacing w:line="360" w:lineRule="auto"/>
        <w:ind w:left="18" w:firstLine="482" w:firstLineChars="201"/>
        <w:rPr>
          <w:color w:val="auto"/>
          <w:sz w:val="24"/>
        </w:rPr>
      </w:pPr>
      <w:r>
        <w:rPr>
          <w:color w:val="auto"/>
          <w:sz w:val="24"/>
        </w:rPr>
        <w:t>随着技术进步，项目营运具有进一步提高清洁水平水平的潜力，具体如下：</w:t>
      </w:r>
    </w:p>
    <w:p>
      <w:pPr>
        <w:adjustRightInd w:val="0"/>
        <w:snapToGrid w:val="0"/>
        <w:spacing w:line="360" w:lineRule="auto"/>
        <w:ind w:left="18" w:firstLine="482" w:firstLineChars="201"/>
        <w:rPr>
          <w:color w:val="auto"/>
          <w:sz w:val="24"/>
        </w:rPr>
      </w:pPr>
      <w:r>
        <w:rPr>
          <w:color w:val="auto"/>
          <w:sz w:val="24"/>
        </w:rPr>
        <w:t>(1) 全面推行垃圾分类收集</w:t>
      </w:r>
    </w:p>
    <w:p>
      <w:pPr>
        <w:adjustRightInd w:val="0"/>
        <w:snapToGrid w:val="0"/>
        <w:spacing w:line="360" w:lineRule="auto"/>
        <w:ind w:left="18" w:firstLine="482" w:firstLineChars="201"/>
        <w:rPr>
          <w:color w:val="auto"/>
          <w:sz w:val="24"/>
        </w:rPr>
      </w:pPr>
      <w:r>
        <w:rPr>
          <w:color w:val="auto"/>
          <w:sz w:val="24"/>
        </w:rPr>
        <w:t>国内目前公众的垃圾分类意识较低，对环境、卫生的意识水平亦较低，因此必须根据当地具体情况，逐步实现垃圾分类。从而有效减少垃圾处理量，减少垃圾处理设备设施的损耗，降低处理成本，减少土地资源的消耗，具有社会、经济、生态三方面的效益。</w:t>
      </w:r>
    </w:p>
    <w:p>
      <w:pPr>
        <w:adjustRightInd w:val="0"/>
        <w:snapToGrid w:val="0"/>
        <w:spacing w:line="360" w:lineRule="auto"/>
        <w:ind w:left="18" w:firstLine="482" w:firstLineChars="201"/>
        <w:rPr>
          <w:color w:val="auto"/>
          <w:sz w:val="24"/>
        </w:rPr>
      </w:pPr>
      <w:r>
        <w:rPr>
          <w:color w:val="auto"/>
          <w:sz w:val="24"/>
        </w:rPr>
        <w:t>(2) 生态填埋</w:t>
      </w:r>
    </w:p>
    <w:p>
      <w:pPr>
        <w:adjustRightInd w:val="0"/>
        <w:snapToGrid w:val="0"/>
        <w:spacing w:line="360" w:lineRule="auto"/>
        <w:ind w:left="18" w:firstLine="482" w:firstLineChars="201"/>
        <w:rPr>
          <w:color w:val="auto"/>
          <w:sz w:val="24"/>
        </w:rPr>
      </w:pPr>
      <w:r>
        <w:rPr>
          <w:color w:val="auto"/>
          <w:sz w:val="24"/>
        </w:rPr>
        <w:t>生物反应器填埋场是通过有目的的控制手段，强化微生物过程，从而加速垃圾中易降解和中等易降解有机组分转化和稳定化的一种垃圾卫生填埋运行方式，其控制手段包括垃圾渗滤液回灌、pH值调节、营养物质添加、温度调节和供氧等，对一般有机物、重金属和有毒有机物有良好的净化阻滞作用。</w:t>
      </w:r>
    </w:p>
    <w:p>
      <w:pPr>
        <w:adjustRightInd w:val="0"/>
        <w:snapToGrid w:val="0"/>
        <w:spacing w:line="360" w:lineRule="auto"/>
        <w:ind w:left="18" w:firstLine="482" w:firstLineChars="201"/>
        <w:rPr>
          <w:color w:val="auto"/>
          <w:sz w:val="24"/>
        </w:rPr>
      </w:pPr>
      <w:r>
        <w:rPr>
          <w:color w:val="auto"/>
          <w:sz w:val="24"/>
        </w:rPr>
        <w:t>其优势包括：a. 降低外排渗滤液污染物强度；b. 增加填埋场有效容积，一方面垃圾快速分解从而体积减小，沉降加快，另一方面使日覆土-垃圾比例小于1:4，提高填埋场的空间利用率；c. 提高气体产量和产气速率，由于优化了微生物生长环境、生物反应器填埋场快速进入甲烷化阶段，使产气时间提前，产气期更集中，单位垃圾产气量更大，因而废气具有回收利用价值；d. 加速填埋场稳定，研究表明生物反应器填埋场在封场后较短一段时间内实现稳定，可缩短封场后监管时间，减少控制系统后期可能失效的潜在风险，还可提前复用填埋场地；e. 减少渗滤液水量、水质波动对处理系统的冲击；f. 减小渗滤液处理系统的设计风险。</w:t>
      </w:r>
    </w:p>
    <w:p>
      <w:pPr>
        <w:adjustRightInd w:val="0"/>
        <w:snapToGrid w:val="0"/>
        <w:spacing w:line="360" w:lineRule="auto"/>
        <w:ind w:left="18" w:firstLine="482" w:firstLineChars="201"/>
        <w:rPr>
          <w:color w:val="auto"/>
          <w:sz w:val="24"/>
        </w:rPr>
      </w:pPr>
      <w:r>
        <w:rPr>
          <w:color w:val="auto"/>
          <w:sz w:val="24"/>
        </w:rPr>
        <w:t>(3) 填埋气的主动收集和综合利用</w:t>
      </w:r>
    </w:p>
    <w:p>
      <w:pPr>
        <w:adjustRightInd w:val="0"/>
        <w:snapToGrid w:val="0"/>
        <w:spacing w:line="360" w:lineRule="auto"/>
        <w:ind w:left="18" w:firstLine="482" w:firstLineChars="201"/>
        <w:rPr>
          <w:color w:val="auto"/>
          <w:sz w:val="24"/>
        </w:rPr>
      </w:pPr>
      <w:r>
        <w:rPr>
          <w:color w:val="auto"/>
          <w:sz w:val="24"/>
        </w:rPr>
        <w:t>填埋气存在爆炸隐患及生态安全影响隐患；建议在填埋初期通过被动控制方式对气体进行导排燃烧，减少爆炸风险，防止气体无组织释放二损坏防渗层等，在填埋气体产量较高时，采用主动收集、焚烧处理，同时回收利用热量。</w:t>
      </w:r>
    </w:p>
    <w:p>
      <w:pPr>
        <w:pStyle w:val="3"/>
        <w:rPr>
          <w:color w:val="auto"/>
        </w:rPr>
      </w:pPr>
      <w:r>
        <w:rPr>
          <w:color w:val="auto"/>
        </w:rPr>
        <w:t xml:space="preserve"> </w:t>
      </w:r>
      <w:bookmarkStart w:id="97" w:name="_Toc453856828"/>
      <w:bookmarkStart w:id="98" w:name="_Toc255977802"/>
      <w:bookmarkStart w:id="99" w:name="_Toc26483"/>
      <w:r>
        <w:rPr>
          <w:rFonts w:hint="eastAsia"/>
          <w:color w:val="auto"/>
          <w:lang w:val="en-US" w:eastAsia="zh-CN"/>
        </w:rPr>
        <w:t>10.2</w:t>
      </w:r>
      <w:r>
        <w:rPr>
          <w:color w:val="auto"/>
        </w:rPr>
        <w:t>总量控制</w:t>
      </w:r>
      <w:bookmarkEnd w:id="97"/>
      <w:bookmarkEnd w:id="98"/>
      <w:bookmarkEnd w:id="99"/>
    </w:p>
    <w:p>
      <w:pPr>
        <w:spacing w:line="360" w:lineRule="auto"/>
        <w:ind w:firstLine="480" w:firstLineChars="200"/>
        <w:rPr>
          <w:color w:val="auto"/>
          <w:sz w:val="24"/>
          <w:u w:val="single"/>
        </w:rPr>
      </w:pPr>
      <w:r>
        <w:rPr>
          <w:color w:val="auto"/>
          <w:sz w:val="24"/>
          <w:u w:val="single"/>
        </w:rPr>
        <w:t>根据《建设项目环境保护管理条例》中规定：“建设产生污染的建设项目，必须遵守污染物排放的国家标准和地方标准，在实施重点污染物排放总量控制的区域内，还必须符合重点污染物的排放总量控制的要求。”</w:t>
      </w:r>
    </w:p>
    <w:p>
      <w:pPr>
        <w:spacing w:line="360" w:lineRule="auto"/>
        <w:ind w:firstLine="480" w:firstLineChars="200"/>
        <w:rPr>
          <w:rFonts w:hint="eastAsia" w:eastAsia="宋体"/>
          <w:color w:val="auto"/>
          <w:u w:val="single"/>
          <w:lang w:eastAsia="zh-CN"/>
        </w:rPr>
        <w:sectPr>
          <w:pgSz w:w="11906" w:h="16838"/>
          <w:pgMar w:top="1985" w:right="1701" w:bottom="1701" w:left="1701" w:header="1418" w:footer="1134" w:gutter="0"/>
          <w:pgNumType w:fmt="decimal"/>
          <w:cols w:space="425" w:num="1"/>
          <w:docGrid w:linePitch="312" w:charSpace="0"/>
        </w:sectPr>
      </w:pPr>
      <w:r>
        <w:rPr>
          <w:color w:val="auto"/>
          <w:sz w:val="24"/>
          <w:u w:val="single"/>
        </w:rPr>
        <w:t>纳入约束性考核的4项污染物为化学需氧量、二氧化硫、氨氮及氮氧化物。本工程废水处理达标后排入</w:t>
      </w:r>
      <w:r>
        <w:rPr>
          <w:rFonts w:hint="eastAsia"/>
          <w:color w:val="auto"/>
          <w:sz w:val="24"/>
          <w:u w:val="single"/>
          <w:lang w:eastAsia="zh-CN"/>
        </w:rPr>
        <w:t>芭蕉湖</w:t>
      </w:r>
      <w:r>
        <w:rPr>
          <w:color w:val="auto"/>
          <w:sz w:val="24"/>
          <w:u w:val="single"/>
        </w:rPr>
        <w:t>，废水中化学需氧量、氨氮均纳入总量控制指标。</w:t>
      </w:r>
      <w:r>
        <w:rPr>
          <w:rFonts w:hint="eastAsia"/>
          <w:color w:val="auto"/>
          <w:u w:val="single"/>
          <w:lang w:eastAsia="zh-CN"/>
        </w:rPr>
        <w:t>根据计算，本改造项目污染物总量控制指标为</w:t>
      </w:r>
      <w:r>
        <w:rPr>
          <w:rFonts w:hint="eastAsia"/>
          <w:color w:val="auto"/>
          <w:u w:val="single"/>
          <w:lang w:val="en-US" w:eastAsia="zh-CN"/>
        </w:rPr>
        <w:t>COD</w:t>
      </w:r>
      <w:r>
        <w:rPr>
          <w:rFonts w:hint="eastAsia"/>
          <w:color w:val="auto"/>
          <w:u w:val="single"/>
          <w:vertAlign w:val="subscript"/>
          <w:lang w:val="en-US" w:eastAsia="zh-CN"/>
        </w:rPr>
        <w:t>Cr</w:t>
      </w:r>
      <w:r>
        <w:rPr>
          <w:rFonts w:hint="eastAsia"/>
          <w:color w:val="auto"/>
          <w:u w:val="single"/>
          <w:lang w:val="en-US" w:eastAsia="zh-CN"/>
        </w:rPr>
        <w:t xml:space="preserve"> 2.38t/a、氨氮 0.56t/a。</w:t>
      </w:r>
    </w:p>
    <w:p>
      <w:pPr>
        <w:pStyle w:val="2"/>
        <w:numPr>
          <w:ilvl w:val="0"/>
          <w:numId w:val="21"/>
        </w:numPr>
        <w:rPr>
          <w:rFonts w:hint="eastAsia"/>
          <w:color w:val="auto"/>
          <w:lang w:val="en-US" w:eastAsia="zh-CN"/>
        </w:rPr>
      </w:pPr>
      <w:bookmarkStart w:id="100" w:name="_Toc13319"/>
      <w:r>
        <w:rPr>
          <w:rFonts w:hint="eastAsia"/>
          <w:color w:val="auto"/>
          <w:lang w:val="en-US" w:eastAsia="zh-CN"/>
        </w:rPr>
        <w:t>环境经济损益分析</w:t>
      </w:r>
      <w:bookmarkEnd w:id="100"/>
    </w:p>
    <w:p>
      <w:pPr>
        <w:pStyle w:val="3"/>
        <w:rPr>
          <w:color w:val="auto"/>
        </w:rPr>
      </w:pPr>
      <w:bookmarkStart w:id="101" w:name="_Toc353952193"/>
      <w:bookmarkStart w:id="102" w:name="_Toc453856830"/>
      <w:bookmarkStart w:id="103" w:name="_Toc9894"/>
      <w:r>
        <w:rPr>
          <w:rFonts w:hint="eastAsia"/>
          <w:color w:val="auto"/>
          <w:lang w:val="en-US" w:eastAsia="zh-CN"/>
        </w:rPr>
        <w:t>11.1</w:t>
      </w:r>
      <w:r>
        <w:rPr>
          <w:color w:val="auto"/>
          <w:lang w:eastAsia="zh-CN"/>
        </w:rPr>
        <w:t>环境</w:t>
      </w:r>
      <w:r>
        <w:rPr>
          <w:color w:val="auto"/>
        </w:rPr>
        <w:t>经济</w:t>
      </w:r>
      <w:r>
        <w:rPr>
          <w:color w:val="auto"/>
          <w:lang w:eastAsia="zh-CN"/>
        </w:rPr>
        <w:t>损益</w:t>
      </w:r>
      <w:r>
        <w:rPr>
          <w:color w:val="auto"/>
        </w:rPr>
        <w:t>分析</w:t>
      </w:r>
      <w:bookmarkEnd w:id="101"/>
      <w:bookmarkEnd w:id="102"/>
      <w:bookmarkEnd w:id="103"/>
    </w:p>
    <w:p>
      <w:pPr>
        <w:pStyle w:val="4"/>
        <w:rPr>
          <w:color w:val="auto"/>
          <w:lang w:eastAsia="zh-CN"/>
        </w:rPr>
      </w:pPr>
      <w:bookmarkStart w:id="104" w:name="_Toc453856831"/>
      <w:bookmarkStart w:id="105" w:name="_Toc353952194"/>
      <w:r>
        <w:rPr>
          <w:rFonts w:hint="eastAsia"/>
          <w:color w:val="auto"/>
          <w:lang w:val="en-US" w:eastAsia="zh-CN"/>
        </w:rPr>
        <w:t>11.1.1</w:t>
      </w:r>
      <w:r>
        <w:rPr>
          <w:color w:val="auto"/>
          <w:lang w:eastAsia="zh-CN"/>
        </w:rPr>
        <w:t>项目投资分析</w:t>
      </w:r>
      <w:bookmarkEnd w:id="104"/>
      <w:bookmarkEnd w:id="105"/>
    </w:p>
    <w:p>
      <w:pPr>
        <w:snapToGrid w:val="0"/>
        <w:spacing w:line="360" w:lineRule="auto"/>
        <w:ind w:firstLine="567"/>
        <w:rPr>
          <w:snapToGrid w:val="0"/>
          <w:color w:val="auto"/>
          <w:kern w:val="0"/>
          <w:sz w:val="24"/>
        </w:rPr>
      </w:pPr>
      <w:r>
        <w:rPr>
          <w:snapToGrid w:val="0"/>
          <w:color w:val="auto"/>
          <w:kern w:val="0"/>
          <w:sz w:val="24"/>
        </w:rPr>
        <w:t>本工程估算总造价为</w:t>
      </w:r>
      <w:r>
        <w:rPr>
          <w:rFonts w:hint="eastAsia"/>
          <w:snapToGrid w:val="0"/>
          <w:color w:val="auto"/>
          <w:kern w:val="0"/>
          <w:sz w:val="24"/>
          <w:lang w:val="en-US" w:eastAsia="zh-CN"/>
        </w:rPr>
        <w:t>5677.6</w:t>
      </w:r>
      <w:r>
        <w:rPr>
          <w:snapToGrid w:val="0"/>
          <w:color w:val="auto"/>
          <w:kern w:val="0"/>
          <w:sz w:val="24"/>
        </w:rPr>
        <w:t>万元。</w:t>
      </w:r>
    </w:p>
    <w:p>
      <w:pPr>
        <w:pStyle w:val="4"/>
        <w:rPr>
          <w:color w:val="auto"/>
          <w:lang w:eastAsia="zh-CN"/>
        </w:rPr>
      </w:pPr>
      <w:bookmarkStart w:id="106" w:name="_Toc453856832"/>
      <w:bookmarkStart w:id="107" w:name="_Toc353952195"/>
      <w:r>
        <w:rPr>
          <w:rFonts w:hint="eastAsia"/>
          <w:color w:val="auto"/>
          <w:lang w:val="en-US" w:eastAsia="zh-CN"/>
        </w:rPr>
        <w:t>11.1.2</w:t>
      </w:r>
      <w:r>
        <w:rPr>
          <w:color w:val="auto"/>
          <w:lang w:eastAsia="zh-CN"/>
        </w:rPr>
        <w:t>环保投资估算</w:t>
      </w:r>
      <w:bookmarkEnd w:id="106"/>
      <w:bookmarkEnd w:id="107"/>
    </w:p>
    <w:p>
      <w:pPr>
        <w:snapToGrid w:val="0"/>
        <w:spacing w:line="360" w:lineRule="auto"/>
        <w:ind w:firstLine="567"/>
        <w:rPr>
          <w:snapToGrid w:val="0"/>
          <w:color w:val="auto"/>
          <w:kern w:val="0"/>
          <w:sz w:val="24"/>
        </w:rPr>
      </w:pPr>
      <w:r>
        <w:rPr>
          <w:snapToGrid w:val="0"/>
          <w:color w:val="auto"/>
          <w:kern w:val="0"/>
          <w:sz w:val="24"/>
        </w:rPr>
        <w:t>项目环保一次性总投资估算为</w:t>
      </w:r>
      <w:r>
        <w:rPr>
          <w:rFonts w:hint="eastAsia"/>
          <w:snapToGrid w:val="0"/>
          <w:color w:val="auto"/>
          <w:kern w:val="0"/>
          <w:sz w:val="24"/>
          <w:lang w:val="en-US" w:eastAsia="zh-CN"/>
        </w:rPr>
        <w:t>3039</w:t>
      </w:r>
      <w:r>
        <w:rPr>
          <w:snapToGrid w:val="0"/>
          <w:color w:val="auto"/>
          <w:kern w:val="0"/>
          <w:sz w:val="24"/>
        </w:rPr>
        <w:t>万元，参见表11</w:t>
      </w:r>
      <w:r>
        <w:rPr>
          <w:rFonts w:hint="eastAsia"/>
          <w:snapToGrid w:val="0"/>
          <w:color w:val="auto"/>
          <w:kern w:val="0"/>
          <w:sz w:val="24"/>
          <w:lang w:val="en-US" w:eastAsia="zh-CN"/>
        </w:rPr>
        <w:t>-</w:t>
      </w:r>
      <w:r>
        <w:rPr>
          <w:snapToGrid w:val="0"/>
          <w:color w:val="auto"/>
          <w:kern w:val="0"/>
          <w:sz w:val="24"/>
        </w:rPr>
        <w:t>1。</w:t>
      </w:r>
    </w:p>
    <w:p>
      <w:pPr>
        <w:pStyle w:val="23"/>
        <w:rPr>
          <w:color w:val="auto"/>
        </w:rPr>
      </w:pPr>
      <w:r>
        <w:rPr>
          <w:color w:val="auto"/>
        </w:rPr>
        <w:t>表1</w:t>
      </w:r>
      <w:r>
        <w:rPr>
          <w:rFonts w:hint="eastAsia"/>
          <w:color w:val="auto"/>
          <w:lang w:val="en-US" w:eastAsia="zh-CN"/>
        </w:rPr>
        <w:t>1-</w:t>
      </w:r>
      <w:r>
        <w:rPr>
          <w:color w:val="auto"/>
        </w:rPr>
        <w:t>1  环保投资估算</w:t>
      </w:r>
    </w:p>
    <w:tbl>
      <w:tblPr>
        <w:tblStyle w:val="19"/>
        <w:tblW w:w="8860"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607"/>
        <w:gridCol w:w="711"/>
        <w:gridCol w:w="2050"/>
        <w:gridCol w:w="4040"/>
        <w:gridCol w:w="145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607" w:type="dxa"/>
            <w:vAlign w:val="center"/>
          </w:tcPr>
          <w:p>
            <w:pPr>
              <w:pStyle w:val="23"/>
              <w:keepNext w:val="0"/>
              <w:keepLines w:val="0"/>
              <w:suppressLineNumbers w:val="0"/>
              <w:spacing w:before="0" w:beforeAutospacing="0" w:after="0" w:afterAutospacing="0" w:line="240" w:lineRule="auto"/>
              <w:ind w:left="0" w:right="0"/>
              <w:rPr>
                <w:rFonts w:hint="default"/>
                <w:color w:val="auto"/>
              </w:rPr>
            </w:pPr>
            <w:bookmarkStart w:id="108" w:name="_Toc353952196"/>
            <w:r>
              <w:rPr>
                <w:rFonts w:hint="default"/>
                <w:color w:val="auto"/>
              </w:rPr>
              <w:t>序号</w:t>
            </w:r>
          </w:p>
        </w:tc>
        <w:tc>
          <w:tcPr>
            <w:tcW w:w="2761" w:type="dxa"/>
            <w:gridSpan w:val="2"/>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类别</w:t>
            </w:r>
          </w:p>
        </w:tc>
        <w:tc>
          <w:tcPr>
            <w:tcW w:w="4040"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防治措施</w:t>
            </w:r>
          </w:p>
        </w:tc>
        <w:tc>
          <w:tcPr>
            <w:tcW w:w="1452"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投资(万元)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607" w:type="dxa"/>
            <w:vMerge w:val="restart"/>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1</w:t>
            </w:r>
          </w:p>
        </w:tc>
        <w:tc>
          <w:tcPr>
            <w:tcW w:w="711" w:type="dxa"/>
            <w:vMerge w:val="restart"/>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水污染防治</w:t>
            </w:r>
          </w:p>
        </w:tc>
        <w:tc>
          <w:tcPr>
            <w:tcW w:w="205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color w:val="auto"/>
              </w:rPr>
            </w:pPr>
            <w:r>
              <w:rPr>
                <w:rFonts w:hint="default"/>
                <w:color w:val="auto"/>
              </w:rPr>
              <w:t>填埋场防渗</w:t>
            </w:r>
          </w:p>
        </w:tc>
        <w:tc>
          <w:tcPr>
            <w:tcW w:w="4040"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color w:val="auto"/>
              </w:rPr>
            </w:pPr>
            <w:r>
              <w:rPr>
                <w:rFonts w:hint="eastAsia"/>
                <w:color w:val="auto"/>
                <w:lang w:eastAsia="zh-CN"/>
              </w:rPr>
              <w:t>垂直防渗、南坝渗漏治理</w:t>
            </w:r>
            <w:r>
              <w:rPr>
                <w:rFonts w:hint="default"/>
                <w:color w:val="auto"/>
              </w:rPr>
              <w:t>工程</w:t>
            </w:r>
          </w:p>
        </w:tc>
        <w:tc>
          <w:tcPr>
            <w:tcW w:w="1452" w:type="dxa"/>
            <w:textDirection w:val="lrTb"/>
            <w:vAlign w:val="center"/>
          </w:tcPr>
          <w:p>
            <w:pPr>
              <w:pStyle w:val="23"/>
              <w:keepNext w:val="0"/>
              <w:keepLines w:val="0"/>
              <w:suppressLineNumbers w:val="0"/>
              <w:spacing w:before="0" w:beforeAutospacing="0" w:after="0" w:afterAutospacing="0" w:line="240" w:lineRule="auto"/>
              <w:ind w:left="0" w:right="0" w:firstLine="0" w:firstLineChars="0"/>
              <w:rPr>
                <w:rFonts w:hint="default"/>
                <w:color w:val="auto"/>
              </w:rPr>
            </w:pPr>
            <w:r>
              <w:rPr>
                <w:rFonts w:hint="eastAsia"/>
                <w:color w:val="auto"/>
                <w:lang w:val="en-US" w:eastAsia="zh-CN"/>
              </w:rPr>
              <w:t>2548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607"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711"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2050" w:type="dxa"/>
            <w:vMerge w:val="restart"/>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废水处理方案</w:t>
            </w:r>
          </w:p>
        </w:tc>
        <w:tc>
          <w:tcPr>
            <w:tcW w:w="4040"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截洪沟，渗滤液导排</w:t>
            </w:r>
          </w:p>
        </w:tc>
        <w:tc>
          <w:tcPr>
            <w:tcW w:w="1452" w:type="dxa"/>
            <w:vAlign w:val="center"/>
          </w:tcPr>
          <w:p>
            <w:pPr>
              <w:pStyle w:val="23"/>
              <w:keepNext w:val="0"/>
              <w:keepLines w:val="0"/>
              <w:suppressLineNumbers w:val="0"/>
              <w:spacing w:before="0" w:beforeAutospacing="0" w:after="0" w:afterAutospacing="0" w:line="240" w:lineRule="auto"/>
              <w:ind w:left="0" w:right="0"/>
              <w:rPr>
                <w:rFonts w:hint="eastAsia" w:eastAsia="宋体"/>
                <w:color w:val="auto"/>
                <w:lang w:eastAsia="zh-CN"/>
              </w:rPr>
            </w:pPr>
            <w:r>
              <w:rPr>
                <w:rFonts w:hint="eastAsia"/>
                <w:color w:val="auto"/>
                <w:lang w:val="en-US" w:eastAsia="zh-CN"/>
              </w:rPr>
              <w:t>281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607"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711"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2050"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4040" w:type="dxa"/>
            <w:vAlign w:val="center"/>
          </w:tcPr>
          <w:p>
            <w:pPr>
              <w:pStyle w:val="23"/>
              <w:keepNext w:val="0"/>
              <w:keepLines w:val="0"/>
              <w:suppressLineNumbers w:val="0"/>
              <w:spacing w:before="0" w:beforeAutospacing="0" w:after="0" w:afterAutospacing="0" w:line="240" w:lineRule="auto"/>
              <w:ind w:left="0" w:right="0"/>
              <w:rPr>
                <w:rFonts w:hint="eastAsia" w:eastAsia="宋体"/>
                <w:color w:val="auto"/>
                <w:lang w:eastAsia="zh-CN"/>
              </w:rPr>
            </w:pPr>
            <w:r>
              <w:rPr>
                <w:rFonts w:hint="eastAsia"/>
                <w:color w:val="auto"/>
                <w:lang w:eastAsia="zh-CN"/>
              </w:rPr>
              <w:t>调节池改造</w:t>
            </w:r>
          </w:p>
        </w:tc>
        <w:tc>
          <w:tcPr>
            <w:tcW w:w="1452"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50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607" w:type="dxa"/>
            <w:vMerge w:val="restart"/>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2</w:t>
            </w:r>
          </w:p>
        </w:tc>
        <w:tc>
          <w:tcPr>
            <w:tcW w:w="711" w:type="dxa"/>
            <w:vMerge w:val="restart"/>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气污染防治</w:t>
            </w:r>
          </w:p>
        </w:tc>
        <w:tc>
          <w:tcPr>
            <w:tcW w:w="2050"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填埋气</w:t>
            </w:r>
          </w:p>
        </w:tc>
        <w:tc>
          <w:tcPr>
            <w:tcW w:w="4040"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设置导气石笼井和导气管</w:t>
            </w:r>
          </w:p>
        </w:tc>
        <w:tc>
          <w:tcPr>
            <w:tcW w:w="1452"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100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607"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711"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2050"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填埋气</w:t>
            </w:r>
            <w:r>
              <w:rPr>
                <w:rFonts w:hint="eastAsia"/>
                <w:color w:val="auto"/>
                <w:lang w:eastAsia="zh-CN"/>
              </w:rPr>
              <w:t>、</w:t>
            </w:r>
            <w:r>
              <w:rPr>
                <w:rFonts w:hint="default"/>
                <w:color w:val="auto"/>
              </w:rPr>
              <w:t>渗滤液处理恶臭的处置</w:t>
            </w:r>
          </w:p>
        </w:tc>
        <w:tc>
          <w:tcPr>
            <w:tcW w:w="4040" w:type="dxa"/>
            <w:vAlign w:val="center"/>
          </w:tcPr>
          <w:p>
            <w:pPr>
              <w:pStyle w:val="23"/>
              <w:keepNext w:val="0"/>
              <w:keepLines w:val="0"/>
              <w:suppressLineNumbers w:val="0"/>
              <w:spacing w:before="0" w:beforeAutospacing="0" w:after="0" w:afterAutospacing="0" w:line="240" w:lineRule="auto"/>
              <w:ind w:left="0" w:right="0"/>
              <w:rPr>
                <w:rFonts w:hint="eastAsia" w:eastAsia="宋体"/>
                <w:color w:val="auto"/>
                <w:lang w:eastAsia="zh-CN"/>
              </w:rPr>
            </w:pPr>
            <w:r>
              <w:rPr>
                <w:rFonts w:hint="eastAsia"/>
                <w:color w:val="auto"/>
                <w:lang w:eastAsia="zh-CN"/>
              </w:rPr>
              <w:t>填埋气收集管道、中间覆膜、渗滤液调节池浮盖等</w:t>
            </w:r>
          </w:p>
        </w:tc>
        <w:tc>
          <w:tcPr>
            <w:tcW w:w="1452"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50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607"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711" w:type="dxa"/>
            <w:vMerge w:val="continue"/>
            <w:vAlign w:val="center"/>
          </w:tcPr>
          <w:p>
            <w:pPr>
              <w:pStyle w:val="23"/>
              <w:keepNext w:val="0"/>
              <w:keepLines w:val="0"/>
              <w:suppressLineNumbers w:val="0"/>
              <w:spacing w:before="0" w:beforeAutospacing="0" w:after="0" w:afterAutospacing="0" w:line="240" w:lineRule="auto"/>
              <w:ind w:left="0" w:right="0"/>
              <w:rPr>
                <w:rFonts w:hint="default"/>
                <w:color w:val="auto"/>
              </w:rPr>
            </w:pPr>
          </w:p>
        </w:tc>
        <w:tc>
          <w:tcPr>
            <w:tcW w:w="2050"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卫生防治</w:t>
            </w:r>
          </w:p>
        </w:tc>
        <w:tc>
          <w:tcPr>
            <w:tcW w:w="4040"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加强管理，喷洒药物、除臭剂等</w:t>
            </w:r>
          </w:p>
        </w:tc>
        <w:tc>
          <w:tcPr>
            <w:tcW w:w="1452" w:type="dxa"/>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Ex>
        <w:trPr>
          <w:trHeight w:val="454" w:hRule="atLeast"/>
          <w:jc w:val="center"/>
        </w:trPr>
        <w:tc>
          <w:tcPr>
            <w:tcW w:w="607" w:type="dxa"/>
            <w:vAlign w:val="center"/>
          </w:tcPr>
          <w:p>
            <w:pPr>
              <w:pStyle w:val="23"/>
              <w:keepNext w:val="0"/>
              <w:keepLines w:val="0"/>
              <w:suppressLineNumbers w:val="0"/>
              <w:spacing w:before="0" w:beforeAutospacing="0" w:after="0" w:afterAutospacing="0" w:line="240" w:lineRule="auto"/>
              <w:ind w:left="0" w:right="0"/>
              <w:rPr>
                <w:rFonts w:hint="eastAsia" w:eastAsia="宋体"/>
                <w:color w:val="auto"/>
                <w:lang w:eastAsia="zh-CN"/>
              </w:rPr>
            </w:pPr>
            <w:r>
              <w:rPr>
                <w:rFonts w:hint="eastAsia"/>
                <w:color w:val="auto"/>
                <w:lang w:val="en-US" w:eastAsia="zh-CN"/>
              </w:rPr>
              <w:t>3</w:t>
            </w:r>
          </w:p>
        </w:tc>
        <w:tc>
          <w:tcPr>
            <w:tcW w:w="6801" w:type="dxa"/>
            <w:gridSpan w:val="3"/>
            <w:vAlign w:val="center"/>
          </w:tcPr>
          <w:p>
            <w:pPr>
              <w:pStyle w:val="23"/>
              <w:keepNext w:val="0"/>
              <w:keepLines w:val="0"/>
              <w:suppressLineNumbers w:val="0"/>
              <w:spacing w:before="0" w:beforeAutospacing="0" w:after="0" w:afterAutospacing="0" w:line="240" w:lineRule="auto"/>
              <w:ind w:left="0" w:right="0"/>
              <w:rPr>
                <w:rFonts w:hint="default"/>
                <w:color w:val="auto"/>
              </w:rPr>
            </w:pPr>
            <w:r>
              <w:rPr>
                <w:rFonts w:hint="default"/>
                <w:color w:val="auto"/>
              </w:rPr>
              <w:t>合计</w:t>
            </w:r>
          </w:p>
        </w:tc>
        <w:tc>
          <w:tcPr>
            <w:tcW w:w="1452" w:type="dxa"/>
            <w:vAlign w:val="center"/>
          </w:tcPr>
          <w:p>
            <w:pPr>
              <w:pStyle w:val="23"/>
              <w:keepNext w:val="0"/>
              <w:keepLines w:val="0"/>
              <w:suppressLineNumbers w:val="0"/>
              <w:spacing w:before="0" w:beforeAutospacing="0" w:after="0" w:afterAutospacing="0" w:line="240" w:lineRule="auto"/>
              <w:ind w:left="0" w:right="0"/>
              <w:rPr>
                <w:rFonts w:hint="eastAsia" w:eastAsia="宋体"/>
                <w:color w:val="auto"/>
                <w:lang w:eastAsia="zh-CN"/>
              </w:rPr>
            </w:pPr>
            <w:r>
              <w:rPr>
                <w:rFonts w:hint="eastAsia"/>
                <w:color w:val="auto"/>
                <w:lang w:val="en-US" w:eastAsia="zh-CN"/>
              </w:rPr>
              <w:t>3039</w:t>
            </w:r>
          </w:p>
        </w:tc>
      </w:tr>
      <w:bookmarkEnd w:id="108"/>
    </w:tbl>
    <w:p>
      <w:pPr>
        <w:pStyle w:val="4"/>
        <w:rPr>
          <w:color w:val="auto"/>
        </w:rPr>
      </w:pPr>
      <w:bookmarkStart w:id="109" w:name="_Toc255977852"/>
      <w:bookmarkStart w:id="110" w:name="_Toc453856833"/>
      <w:r>
        <w:rPr>
          <w:rFonts w:hint="eastAsia"/>
          <w:color w:val="auto"/>
          <w:lang w:val="en-US" w:eastAsia="zh-CN"/>
        </w:rPr>
        <w:t>11.1.3</w:t>
      </w:r>
      <w:r>
        <w:rPr>
          <w:color w:val="auto"/>
        </w:rPr>
        <w:t>运行费用估算</w:t>
      </w:r>
      <w:bookmarkEnd w:id="109"/>
      <w:bookmarkEnd w:id="110"/>
    </w:p>
    <w:p>
      <w:pPr>
        <w:rPr>
          <w:color w:val="auto"/>
        </w:rPr>
      </w:pPr>
      <w:r>
        <w:rPr>
          <w:color w:val="auto"/>
        </w:rPr>
        <w:t>环保设施日常检修及大修费：取环保工程费用2％，年均</w:t>
      </w:r>
      <w:r>
        <w:rPr>
          <w:rFonts w:hint="eastAsia"/>
          <w:color w:val="auto"/>
          <w:lang w:val="en-US" w:eastAsia="zh-CN"/>
        </w:rPr>
        <w:t>60.78</w:t>
      </w:r>
      <w:r>
        <w:rPr>
          <w:color w:val="auto"/>
        </w:rPr>
        <w:t>万元。</w:t>
      </w:r>
    </w:p>
    <w:p>
      <w:pPr>
        <w:rPr>
          <w:color w:val="auto"/>
        </w:rPr>
      </w:pPr>
      <w:r>
        <w:rPr>
          <w:color w:val="auto"/>
        </w:rPr>
        <w:t>环境监测及维护费用：年均10万元。</w:t>
      </w:r>
    </w:p>
    <w:p>
      <w:pPr>
        <w:pStyle w:val="4"/>
        <w:rPr>
          <w:color w:val="auto"/>
        </w:rPr>
      </w:pPr>
      <w:r>
        <w:rPr>
          <w:rFonts w:hint="eastAsia"/>
          <w:color w:val="auto"/>
          <w:lang w:val="en-US" w:eastAsia="zh-CN"/>
        </w:rPr>
        <w:t>11.1.4</w:t>
      </w:r>
      <w:r>
        <w:rPr>
          <w:color w:val="auto"/>
        </w:rPr>
        <w:t xml:space="preserve"> </w:t>
      </w:r>
      <w:bookmarkStart w:id="111" w:name="_Toc255977853"/>
      <w:bookmarkStart w:id="112" w:name="_Toc453856834"/>
      <w:r>
        <w:rPr>
          <w:color w:val="auto"/>
        </w:rPr>
        <w:t>费用效益分析</w:t>
      </w:r>
      <w:bookmarkEnd w:id="111"/>
      <w:bookmarkEnd w:id="112"/>
    </w:p>
    <w:p>
      <w:pPr>
        <w:snapToGrid w:val="0"/>
        <w:spacing w:line="360" w:lineRule="auto"/>
        <w:ind w:firstLine="567"/>
        <w:rPr>
          <w:color w:val="auto"/>
          <w:sz w:val="24"/>
        </w:rPr>
      </w:pPr>
      <w:r>
        <w:rPr>
          <w:color w:val="auto"/>
          <w:sz w:val="24"/>
        </w:rPr>
        <w:t>本项目总投资为</w:t>
      </w:r>
      <w:r>
        <w:rPr>
          <w:rFonts w:hint="eastAsia"/>
          <w:bCs/>
          <w:color w:val="auto"/>
          <w:sz w:val="24"/>
          <w:lang w:val="en-US" w:eastAsia="zh-CN"/>
        </w:rPr>
        <w:t>5677.6</w:t>
      </w:r>
      <w:r>
        <w:rPr>
          <w:bCs/>
          <w:color w:val="auto"/>
          <w:sz w:val="24"/>
        </w:rPr>
        <w:t>万元</w:t>
      </w:r>
      <w:r>
        <w:rPr>
          <w:color w:val="auto"/>
          <w:sz w:val="24"/>
        </w:rPr>
        <w:t>，一次性环保投资占其比例为</w:t>
      </w:r>
      <w:r>
        <w:rPr>
          <w:rFonts w:hint="eastAsia"/>
          <w:color w:val="auto"/>
          <w:sz w:val="24"/>
          <w:lang w:val="en-US" w:eastAsia="zh-CN"/>
        </w:rPr>
        <w:t>53.5</w:t>
      </w:r>
      <w:r>
        <w:rPr>
          <w:color w:val="auto"/>
          <w:sz w:val="24"/>
        </w:rPr>
        <w:t>％。</w:t>
      </w:r>
    </w:p>
    <w:p>
      <w:pPr>
        <w:pStyle w:val="3"/>
        <w:rPr>
          <w:color w:val="auto"/>
          <w:lang w:eastAsia="zh-CN"/>
        </w:rPr>
      </w:pPr>
      <w:bookmarkStart w:id="113" w:name="_Toc255977854"/>
      <w:bookmarkStart w:id="114" w:name="_Toc453856835"/>
      <w:bookmarkStart w:id="115" w:name="_Toc25768"/>
      <w:r>
        <w:rPr>
          <w:rFonts w:hint="eastAsia"/>
          <w:color w:val="auto"/>
          <w:lang w:val="en-US" w:eastAsia="zh-CN"/>
        </w:rPr>
        <w:t>11.2</w:t>
      </w:r>
      <w:r>
        <w:rPr>
          <w:color w:val="auto"/>
        </w:rPr>
        <w:t>社会环境效益分析</w:t>
      </w:r>
      <w:bookmarkEnd w:id="113"/>
      <w:bookmarkEnd w:id="114"/>
      <w:bookmarkEnd w:id="115"/>
    </w:p>
    <w:p>
      <w:pPr>
        <w:snapToGrid w:val="0"/>
        <w:spacing w:line="360" w:lineRule="auto"/>
        <w:ind w:firstLine="480"/>
        <w:rPr>
          <w:color w:val="auto"/>
          <w:kern w:val="0"/>
          <w:sz w:val="24"/>
        </w:rPr>
      </w:pPr>
      <w:r>
        <w:rPr>
          <w:color w:val="auto"/>
          <w:kern w:val="0"/>
          <w:sz w:val="24"/>
        </w:rPr>
        <w:t>本工程的建设将给</w:t>
      </w:r>
      <w:r>
        <w:rPr>
          <w:rFonts w:hint="eastAsia"/>
          <w:color w:val="auto"/>
          <w:kern w:val="0"/>
          <w:sz w:val="24"/>
          <w:lang w:eastAsia="zh-CN"/>
        </w:rPr>
        <w:t>岳阳市</w:t>
      </w:r>
      <w:r>
        <w:rPr>
          <w:color w:val="auto"/>
          <w:kern w:val="0"/>
          <w:sz w:val="24"/>
        </w:rPr>
        <w:t>的市政基础建设、健康安全、投资环境、社会公众就业等方面带来积极的影响。</w:t>
      </w:r>
    </w:p>
    <w:p>
      <w:pPr>
        <w:pStyle w:val="4"/>
        <w:rPr>
          <w:color w:val="auto"/>
        </w:rPr>
      </w:pPr>
      <w:bookmarkStart w:id="116" w:name="_Toc255977857"/>
      <w:bookmarkStart w:id="117" w:name="_Toc453856836"/>
      <w:bookmarkStart w:id="118" w:name="_Toc255977856"/>
      <w:r>
        <w:rPr>
          <w:rFonts w:hint="eastAsia"/>
          <w:color w:val="auto"/>
          <w:lang w:val="en-US" w:eastAsia="zh-CN"/>
        </w:rPr>
        <w:t>11.2.1</w:t>
      </w:r>
      <w:r>
        <w:rPr>
          <w:color w:val="auto"/>
        </w:rPr>
        <w:t>城市</w:t>
      </w:r>
      <w:bookmarkEnd w:id="116"/>
      <w:r>
        <w:rPr>
          <w:color w:val="auto"/>
          <w:lang w:eastAsia="zh-CN"/>
        </w:rPr>
        <w:t>基础建设</w:t>
      </w:r>
      <w:bookmarkEnd w:id="117"/>
    </w:p>
    <w:p>
      <w:pPr>
        <w:rPr>
          <w:color w:val="auto"/>
        </w:rPr>
      </w:pPr>
      <w:r>
        <w:rPr>
          <w:color w:val="auto"/>
        </w:rPr>
        <w:t>有效解决当前</w:t>
      </w:r>
      <w:r>
        <w:rPr>
          <w:rFonts w:hint="eastAsia"/>
          <w:color w:val="auto"/>
          <w:lang w:eastAsia="zh-CN"/>
        </w:rPr>
        <w:t>岳阳市生活垃圾</w:t>
      </w:r>
      <w:r>
        <w:rPr>
          <w:color w:val="auto"/>
        </w:rPr>
        <w:t>无害化处理难题，对于维护清洁的城市环境卫生面貌，防治环境污染，促进环境保护，实施可持续发展战略是非常有意义的。</w:t>
      </w:r>
    </w:p>
    <w:p>
      <w:pPr>
        <w:pStyle w:val="4"/>
        <w:rPr>
          <w:color w:val="auto"/>
        </w:rPr>
      </w:pPr>
      <w:bookmarkStart w:id="119" w:name="_Toc453856837"/>
      <w:r>
        <w:rPr>
          <w:rFonts w:hint="eastAsia"/>
          <w:color w:val="auto"/>
          <w:lang w:val="en-US" w:eastAsia="zh-CN"/>
        </w:rPr>
        <w:t>11.2.2</w:t>
      </w:r>
      <w:r>
        <w:rPr>
          <w:color w:val="auto"/>
        </w:rPr>
        <w:t>公众健康安全</w:t>
      </w:r>
      <w:bookmarkEnd w:id="118"/>
      <w:bookmarkEnd w:id="119"/>
      <w:r>
        <w:rPr>
          <w:color w:val="auto"/>
        </w:rPr>
        <w:t xml:space="preserve"> </w:t>
      </w:r>
    </w:p>
    <w:p>
      <w:pPr>
        <w:rPr>
          <w:color w:val="auto"/>
        </w:rPr>
      </w:pPr>
      <w:r>
        <w:rPr>
          <w:color w:val="auto"/>
        </w:rPr>
        <w:t>该工程的实施，将有利于改善城市环境卫生和增进居民的身体健康，可以有效地控制垃圾填埋对周边居民生活环境的影响，控制蚊蝇滋生和鼠害，消除疾病传染，减少恶臭气体的产生，从而保障人民群众的身体健康安全。填埋场应严格按规范建设，妥善解决防渗、导气、渗滤液处理等问题，对场区附近的居民健康不会造成污染威胁。</w:t>
      </w:r>
    </w:p>
    <w:p>
      <w:pPr>
        <w:pStyle w:val="4"/>
        <w:rPr>
          <w:color w:val="auto"/>
          <w:lang w:eastAsia="zh-CN"/>
        </w:rPr>
      </w:pPr>
      <w:bookmarkStart w:id="120" w:name="_Toc255977858"/>
      <w:bookmarkStart w:id="121" w:name="_Toc453856838"/>
      <w:r>
        <w:rPr>
          <w:rFonts w:hint="eastAsia"/>
          <w:color w:val="auto"/>
          <w:lang w:val="en-US" w:eastAsia="zh-CN"/>
        </w:rPr>
        <w:t>11.2.3</w:t>
      </w:r>
      <w:r>
        <w:rPr>
          <w:color w:val="auto"/>
          <w:lang w:eastAsia="zh-CN"/>
        </w:rPr>
        <w:t>投资环境</w:t>
      </w:r>
      <w:bookmarkEnd w:id="120"/>
      <w:bookmarkEnd w:id="121"/>
    </w:p>
    <w:p>
      <w:pPr>
        <w:rPr>
          <w:color w:val="auto"/>
        </w:rPr>
      </w:pPr>
      <w:r>
        <w:rPr>
          <w:color w:val="auto"/>
        </w:rPr>
        <w:t>本项目的实施，有利于提高环境质量，改善投资环境，促进经济的可持续发展。</w:t>
      </w:r>
    </w:p>
    <w:p>
      <w:pPr>
        <w:pStyle w:val="4"/>
        <w:rPr>
          <w:color w:val="auto"/>
          <w:lang w:eastAsia="zh-CN"/>
        </w:rPr>
      </w:pPr>
      <w:bookmarkStart w:id="122" w:name="_Toc453856839"/>
      <w:r>
        <w:rPr>
          <w:rFonts w:hint="eastAsia"/>
          <w:color w:val="auto"/>
          <w:lang w:val="en-US" w:eastAsia="zh-CN"/>
        </w:rPr>
        <w:t>11.2.4</w:t>
      </w:r>
      <w:r>
        <w:rPr>
          <w:color w:val="auto"/>
          <w:lang w:eastAsia="zh-CN"/>
        </w:rPr>
        <w:t>公众就业</w:t>
      </w:r>
      <w:bookmarkEnd w:id="122"/>
    </w:p>
    <w:p>
      <w:pPr>
        <w:rPr>
          <w:color w:val="auto"/>
        </w:rPr>
      </w:pPr>
      <w:r>
        <w:rPr>
          <w:color w:val="auto"/>
        </w:rPr>
        <w:t>项目的实施将为当地的劳务市场提供一定的就业机会。包括填埋场基础的施工期间，提供一些短暂的、零散的就业机会。其次，运行时期，可提供一定量的长期稳定的就业机会，包括直接参与垃圾填埋处理的工作人员，提供车辆维修、保养服务的辅助员工，垃圾处理管理人员等。应当指出，随着垃圾填埋手段的科学化与现代化水平提高，对人员技术水平、素质的提高亦提供了机会。</w:t>
      </w:r>
    </w:p>
    <w:p>
      <w:pPr>
        <w:rPr>
          <w:color w:val="auto"/>
        </w:rPr>
      </w:pPr>
      <w:r>
        <w:rPr>
          <w:color w:val="auto"/>
        </w:rPr>
        <w:t>总之，</w:t>
      </w:r>
      <w:r>
        <w:rPr>
          <w:rFonts w:hint="eastAsia"/>
          <w:color w:val="auto"/>
          <w:lang w:eastAsia="zh-CN"/>
        </w:rPr>
        <w:t>岳阳市花果贩生活</w:t>
      </w:r>
      <w:r>
        <w:rPr>
          <w:color w:val="auto"/>
        </w:rPr>
        <w:t>垃圾填埋场的建设，有利于</w:t>
      </w:r>
      <w:r>
        <w:rPr>
          <w:rFonts w:hint="eastAsia"/>
          <w:color w:val="auto"/>
          <w:lang w:eastAsia="zh-CN"/>
        </w:rPr>
        <w:t>岳阳市</w:t>
      </w:r>
      <w:r>
        <w:rPr>
          <w:color w:val="auto"/>
        </w:rPr>
        <w:t>的城市基础建设，有利于促进城市环境卫生和居民的生活环境的改善，增进居民的身体健康，有利于</w:t>
      </w:r>
      <w:r>
        <w:rPr>
          <w:rFonts w:hint="eastAsia"/>
          <w:color w:val="auto"/>
          <w:lang w:eastAsia="zh-CN"/>
        </w:rPr>
        <w:t>岳阳市</w:t>
      </w:r>
      <w:r>
        <w:rPr>
          <w:color w:val="auto"/>
        </w:rPr>
        <w:t>投资环境的进一步改善，同时也有利于社会公众的就业。从而有效提高城市品位，推动城市发展，提高人民的生活水平和生活质量。</w:t>
      </w:r>
    </w:p>
    <w:p>
      <w:pPr>
        <w:pStyle w:val="3"/>
        <w:rPr>
          <w:rFonts w:hint="eastAsia"/>
          <w:color w:val="auto"/>
          <w:lang w:val="en-US" w:eastAsia="zh-CN"/>
        </w:rPr>
        <w:sectPr>
          <w:headerReference r:id="rId4" w:type="default"/>
          <w:pgSz w:w="11906" w:h="16838"/>
          <w:pgMar w:top="1440" w:right="1800" w:bottom="1440" w:left="1800" w:header="851" w:footer="992" w:gutter="0"/>
          <w:pgNumType w:fmt="decimal"/>
          <w:cols w:space="425" w:num="1"/>
          <w:docGrid w:type="lines" w:linePitch="312" w:charSpace="0"/>
        </w:sectPr>
      </w:pPr>
      <w:bookmarkStart w:id="123" w:name="_Toc353952199"/>
      <w:bookmarkStart w:id="124" w:name="_Toc453856840"/>
    </w:p>
    <w:p>
      <w:pPr>
        <w:pStyle w:val="2"/>
      </w:pPr>
      <w:bookmarkStart w:id="125" w:name="_Toc19508"/>
      <w:r>
        <w:rPr>
          <w:rFonts w:hint="eastAsia"/>
          <w:lang w:val="en-US" w:eastAsia="zh-CN"/>
        </w:rPr>
        <w:t>12</w:t>
      </w:r>
      <w:r>
        <w:t>环境管理</w:t>
      </w:r>
      <w:bookmarkEnd w:id="123"/>
      <w:bookmarkEnd w:id="124"/>
      <w:r>
        <w:rPr>
          <w:rFonts w:hint="eastAsia"/>
          <w:lang w:eastAsia="zh-CN"/>
        </w:rPr>
        <w:t>与监测计划</w:t>
      </w:r>
      <w:bookmarkEnd w:id="125"/>
    </w:p>
    <w:p>
      <w:pPr>
        <w:pStyle w:val="3"/>
        <w:rPr>
          <w:rFonts w:hint="eastAsia" w:eastAsia="宋体"/>
          <w:lang w:val="en-US" w:eastAsia="zh-CN"/>
        </w:rPr>
      </w:pPr>
      <w:bookmarkStart w:id="126" w:name="_Toc18247"/>
      <w:r>
        <w:rPr>
          <w:rFonts w:hint="eastAsia"/>
          <w:lang w:val="en-US" w:eastAsia="zh-CN"/>
        </w:rPr>
        <w:t>12.1环境管理</w:t>
      </w:r>
      <w:bookmarkEnd w:id="126"/>
    </w:p>
    <w:p>
      <w:pPr>
        <w:rPr>
          <w:color w:val="auto"/>
        </w:rPr>
      </w:pPr>
      <w:r>
        <w:rPr>
          <w:color w:val="auto"/>
        </w:rPr>
        <w:t>环境管理是企业管理中一项重要的专业管理。加强环境监督、管理力度，是实现环境效益、社会效益和经济效益协调发展和走可持续发展道路的重要措施，是监督企业环保设施正常运行，确保污染物达标排放的重要工作，是了解和掌握企业排污特征，研究污染发展趋势，开展环保技术研究的有效途径。随着人民生活水平不断提高和环保意识的增强，对于其生活环境质量日益关注，对企业环保提出了更高要求。</w:t>
      </w:r>
    </w:p>
    <w:p>
      <w:pPr>
        <w:rPr>
          <w:color w:val="auto"/>
        </w:rPr>
      </w:pPr>
      <w:r>
        <w:rPr>
          <w:color w:val="auto"/>
        </w:rPr>
        <w:t>本工程应结合自身特点，设置专门环境管理机构，专人负责，对施工期和运行期的环保工作进行监督和管理，确保工程的安全运行和出水水质达到国家规定标准，充分发挥该工程的环境效益。</w:t>
      </w:r>
    </w:p>
    <w:p>
      <w:pPr>
        <w:pStyle w:val="4"/>
        <w:rPr>
          <w:color w:val="auto"/>
        </w:rPr>
      </w:pPr>
      <w:bookmarkStart w:id="127" w:name="_Toc45721543"/>
      <w:r>
        <w:rPr>
          <w:color w:val="auto"/>
        </w:rPr>
        <w:t xml:space="preserve"> </w:t>
      </w:r>
      <w:bookmarkStart w:id="128" w:name="_Toc255977864"/>
      <w:bookmarkStart w:id="129" w:name="_Toc453856841"/>
      <w:r>
        <w:rPr>
          <w:rFonts w:hint="eastAsia"/>
          <w:color w:val="auto"/>
          <w:lang w:val="en-US" w:eastAsia="zh-CN"/>
        </w:rPr>
        <w:t>12.1.1</w:t>
      </w:r>
      <w:r>
        <w:rPr>
          <w:color w:val="auto"/>
        </w:rPr>
        <w:t>施工期环境监理</w:t>
      </w:r>
      <w:bookmarkEnd w:id="127"/>
      <w:bookmarkEnd w:id="128"/>
      <w:bookmarkEnd w:id="129"/>
    </w:p>
    <w:p>
      <w:pPr>
        <w:rPr>
          <w:color w:val="auto"/>
        </w:rPr>
      </w:pPr>
      <w:r>
        <w:rPr>
          <w:color w:val="auto"/>
        </w:rPr>
        <w:t>本项目在施工期需引入环境监理，建设单位应委托有资质的单位进行监理。监理单位检查其落实生态环境保护措施和环境保护“三同时”制度的执行情况。监督</w:t>
      </w:r>
      <w:r>
        <w:rPr>
          <w:rFonts w:hint="eastAsia"/>
          <w:color w:val="auto"/>
          <w:lang w:eastAsia="zh-CN"/>
        </w:rPr>
        <w:t>垂直帷幕灌浆防渗系统</w:t>
      </w:r>
      <w:r>
        <w:rPr>
          <w:color w:val="auto"/>
        </w:rPr>
        <w:t>、集排水系统、导气系统、渗滤液</w:t>
      </w:r>
      <w:r>
        <w:rPr>
          <w:rFonts w:hint="eastAsia"/>
          <w:color w:val="auto"/>
          <w:lang w:eastAsia="zh-CN"/>
        </w:rPr>
        <w:t>调节池改造</w:t>
      </w:r>
      <w:r>
        <w:rPr>
          <w:color w:val="auto"/>
        </w:rPr>
        <w:t>工程、等符合规范要求。重要结构部位、隐蔽工程、地下管线，应按工程设计要求和验收规范由工程监理人员及时进行中间验收，并应由建设单位定期向环境保护行政主管部门提交工程环境监理总结报告，作为工程竣工环境保护验收的必备文件。未经中间验收，不得进行覆盖工程和后续工程。</w:t>
      </w:r>
    </w:p>
    <w:p>
      <w:pPr>
        <w:rPr>
          <w:color w:val="auto"/>
        </w:rPr>
      </w:pPr>
      <w:r>
        <w:rPr>
          <w:color w:val="auto"/>
        </w:rPr>
        <w:t>施工期除应加强工程质量管理外，还应加强环境管理，包括施工期的环境监测、废水治理、噪声控制、施工扬尘的控制措施、固体废弃物的保护等，具体概括如下：</w:t>
      </w:r>
    </w:p>
    <w:p>
      <w:pPr>
        <w:rPr>
          <w:color w:val="auto"/>
        </w:rPr>
      </w:pPr>
      <w:r>
        <w:rPr>
          <w:color w:val="auto"/>
        </w:rPr>
        <w:t>(1) 根据国家有关的施工管理条例和操作规范，按照环评报告书提出的施工期环境保护要求，制定各项目的施工环境保护管理办法，并负责实施；</w:t>
      </w:r>
    </w:p>
    <w:p>
      <w:pPr>
        <w:rPr>
          <w:color w:val="auto"/>
        </w:rPr>
      </w:pPr>
      <w:r>
        <w:rPr>
          <w:color w:val="auto"/>
        </w:rPr>
        <w:t>(2) 监督施工单位执行施工环境保护管理办法的情况，对违反管理办法的施工行为及时予以制止；</w:t>
      </w:r>
    </w:p>
    <w:p>
      <w:pPr>
        <w:rPr>
          <w:color w:val="auto"/>
        </w:rPr>
      </w:pPr>
      <w:r>
        <w:rPr>
          <w:color w:val="auto"/>
        </w:rPr>
        <w:t>(3) 调查、处理施工扰民或污染纠纷；</w:t>
      </w:r>
    </w:p>
    <w:p>
      <w:pPr>
        <w:rPr>
          <w:color w:val="auto"/>
        </w:rPr>
      </w:pPr>
      <w:r>
        <w:rPr>
          <w:color w:val="auto"/>
        </w:rPr>
        <w:t>(4) 向当地环保部门提交施工期的阶段报告。</w:t>
      </w:r>
    </w:p>
    <w:p>
      <w:pPr>
        <w:pStyle w:val="4"/>
        <w:rPr>
          <w:color w:val="auto"/>
        </w:rPr>
      </w:pPr>
      <w:bookmarkStart w:id="130" w:name="_Toc45721544"/>
      <w:r>
        <w:rPr>
          <w:rFonts w:hint="eastAsia"/>
          <w:color w:val="auto"/>
          <w:lang w:val="en-US" w:eastAsia="zh-CN"/>
        </w:rPr>
        <w:t>12.1.2</w:t>
      </w:r>
      <w:r>
        <w:rPr>
          <w:color w:val="auto"/>
        </w:rPr>
        <w:t xml:space="preserve"> </w:t>
      </w:r>
      <w:bookmarkStart w:id="131" w:name="_Toc453856842"/>
      <w:bookmarkStart w:id="132" w:name="_Toc255977865"/>
      <w:r>
        <w:rPr>
          <w:color w:val="auto"/>
        </w:rPr>
        <w:t>运行期的环境管理</w:t>
      </w:r>
      <w:bookmarkEnd w:id="130"/>
      <w:bookmarkEnd w:id="131"/>
      <w:bookmarkEnd w:id="132"/>
    </w:p>
    <w:p>
      <w:pPr>
        <w:rPr>
          <w:rFonts w:hint="eastAsia"/>
          <w:color w:val="auto"/>
        </w:rPr>
      </w:pPr>
      <w:r>
        <w:rPr>
          <w:rFonts w:hint="eastAsia"/>
          <w:color w:val="auto"/>
        </w:rPr>
        <w:t>填埋作业运行与管理</w:t>
      </w:r>
      <w:r>
        <w:rPr>
          <w:color w:val="auto"/>
        </w:rPr>
        <w:t>参考《生活垃圾填埋场污染控制标准》(GB16889-2008)</w:t>
      </w:r>
      <w:r>
        <w:rPr>
          <w:rFonts w:hint="eastAsia"/>
          <w:color w:val="auto"/>
        </w:rPr>
        <w:t>相关要求执行。</w:t>
      </w:r>
    </w:p>
    <w:p>
      <w:pPr>
        <w:rPr>
          <w:color w:val="auto"/>
        </w:rPr>
      </w:pPr>
      <w:r>
        <w:rPr>
          <w:color w:val="auto"/>
        </w:rPr>
        <w:t>运行期的环境管理应努力作好以下几个方面：</w:t>
      </w:r>
    </w:p>
    <w:p>
      <w:pPr>
        <w:rPr>
          <w:color w:val="auto"/>
        </w:rPr>
      </w:pPr>
      <w:r>
        <w:rPr>
          <w:rFonts w:hint="eastAsia"/>
          <w:color w:val="auto"/>
          <w:lang w:eastAsia="zh-CN"/>
        </w:rPr>
        <w:t>（</w:t>
      </w:r>
      <w:r>
        <w:rPr>
          <w:rFonts w:hint="eastAsia"/>
          <w:color w:val="auto"/>
          <w:lang w:val="en-US" w:eastAsia="zh-CN"/>
        </w:rPr>
        <w:t>1</w:t>
      </w:r>
      <w:r>
        <w:rPr>
          <w:rFonts w:hint="eastAsia"/>
          <w:color w:val="auto"/>
          <w:lang w:eastAsia="zh-CN"/>
        </w:rPr>
        <w:t>）</w:t>
      </w:r>
      <w:r>
        <w:rPr>
          <w:color w:val="auto"/>
        </w:rPr>
        <w:t>贯彻执行国家与地方的有关环境保护法律、法规，协调好工程建设和运营与环境保护的关系，及时处理运行中出现的</w:t>
      </w:r>
      <w:r>
        <w:rPr>
          <w:rFonts w:hint="eastAsia"/>
          <w:color w:val="auto"/>
        </w:rPr>
        <w:t>运作</w:t>
      </w:r>
      <w:r>
        <w:rPr>
          <w:color w:val="auto"/>
        </w:rPr>
        <w:t>问题和环境问题。</w:t>
      </w:r>
    </w:p>
    <w:p>
      <w:pPr>
        <w:rPr>
          <w:color w:val="auto"/>
        </w:rPr>
      </w:pPr>
      <w:r>
        <w:rPr>
          <w:rFonts w:hint="eastAsia"/>
          <w:color w:val="auto"/>
          <w:lang w:eastAsia="zh-CN"/>
        </w:rPr>
        <w:t>（</w:t>
      </w:r>
      <w:r>
        <w:rPr>
          <w:rFonts w:hint="eastAsia"/>
          <w:color w:val="auto"/>
          <w:lang w:val="en-US" w:eastAsia="zh-CN"/>
        </w:rPr>
        <w:t>2</w:t>
      </w:r>
      <w:r>
        <w:rPr>
          <w:rFonts w:hint="eastAsia"/>
          <w:color w:val="auto"/>
          <w:lang w:eastAsia="zh-CN"/>
        </w:rPr>
        <w:t>）</w:t>
      </w:r>
      <w:r>
        <w:rPr>
          <w:color w:val="auto"/>
        </w:rPr>
        <w:t>积极进行环境保护法规的宣传工作，加强环境教育和技术培训，提高各级作业人员的环保意识、责任性和技术水平，保证环保管理制度的实施。</w:t>
      </w:r>
    </w:p>
    <w:p>
      <w:pPr>
        <w:rPr>
          <w:color w:val="auto"/>
        </w:rPr>
      </w:pPr>
      <w:r>
        <w:rPr>
          <w:rFonts w:hint="eastAsia"/>
          <w:color w:val="auto"/>
          <w:lang w:eastAsia="zh-CN"/>
        </w:rPr>
        <w:t>（</w:t>
      </w:r>
      <w:r>
        <w:rPr>
          <w:rFonts w:hint="eastAsia"/>
          <w:color w:val="auto"/>
          <w:lang w:val="en-US" w:eastAsia="zh-CN"/>
        </w:rPr>
        <w:t>3</w:t>
      </w:r>
      <w:r>
        <w:rPr>
          <w:rFonts w:hint="eastAsia"/>
          <w:color w:val="auto"/>
          <w:lang w:eastAsia="zh-CN"/>
        </w:rPr>
        <w:t>）</w:t>
      </w:r>
      <w:r>
        <w:rPr>
          <w:color w:val="auto"/>
        </w:rPr>
        <w:t>为确保污染物治理设施的正常运行，应根据实际情况制定必要的规章制度，如编制操作规程、编制环境保护规划、建立环境统计制度等。</w:t>
      </w:r>
    </w:p>
    <w:p>
      <w:pPr>
        <w:rPr>
          <w:color w:val="auto"/>
        </w:rPr>
      </w:pPr>
      <w:r>
        <w:rPr>
          <w:rFonts w:hint="eastAsia"/>
          <w:color w:val="auto"/>
          <w:lang w:eastAsia="zh-CN"/>
        </w:rPr>
        <w:t>（</w:t>
      </w:r>
      <w:r>
        <w:rPr>
          <w:rFonts w:hint="eastAsia"/>
          <w:color w:val="auto"/>
          <w:lang w:val="en-US" w:eastAsia="zh-CN"/>
        </w:rPr>
        <w:t>4</w:t>
      </w:r>
      <w:r>
        <w:rPr>
          <w:rFonts w:hint="eastAsia"/>
          <w:color w:val="auto"/>
          <w:lang w:eastAsia="zh-CN"/>
        </w:rPr>
        <w:t>）</w:t>
      </w:r>
      <w:r>
        <w:rPr>
          <w:color w:val="auto"/>
        </w:rPr>
        <w:t>机构设置：建设单位设置专人负责渗滤液处理系统、恶臭废气处理系统的日常运行和维护。</w:t>
      </w:r>
    </w:p>
    <w:p>
      <w:pPr>
        <w:pStyle w:val="4"/>
        <w:rPr>
          <w:rFonts w:hint="eastAsia"/>
          <w:lang w:val="en-US" w:eastAsia="zh-CN"/>
        </w:rPr>
      </w:pPr>
      <w:r>
        <w:rPr>
          <w:rFonts w:hint="eastAsia"/>
          <w:lang w:val="en-US" w:eastAsia="zh-CN"/>
        </w:rPr>
        <w:t>12.1.3封场及后期的环境管理</w:t>
      </w:r>
    </w:p>
    <w:p>
      <w:r>
        <w:t>根据《生活垃圾卫生填埋场封场技术规程》</w:t>
      </w:r>
      <w:r>
        <w:rPr>
          <w:rFonts w:hint="eastAsia"/>
        </w:rPr>
        <w:t>(</w:t>
      </w:r>
      <w:r>
        <w:t>CJJ 112-2007</w:t>
      </w:r>
      <w:r>
        <w:rPr>
          <w:rFonts w:hint="eastAsia"/>
        </w:rPr>
        <w:t>)</w:t>
      </w:r>
      <w:r>
        <w:t xml:space="preserve">，填埋场封场工程竣工验收后，须做好后续维护管理工作。后续管理期间应进行封闭式管理。后续管理工作应包括下列内容： </w:t>
      </w:r>
    </w:p>
    <w:p>
      <w:r>
        <w:t>(1)建立检查维护制度，定期检查维护设施。</w:t>
      </w:r>
    </w:p>
    <w:p>
      <w:r>
        <w:t>(2)对地下水、渗滤液、填埋气体、大气、垃圾堆体沉降及噪声进行跟踪监测。</w:t>
      </w:r>
    </w:p>
    <w:p>
      <w:r>
        <w:t>(3)保持渗滤液收集处理和填埋气体收集处理的正常运行。</w:t>
      </w:r>
    </w:p>
    <w:p>
      <w:r>
        <w:t>(4)绿化带和堆体植被养护。</w:t>
      </w:r>
    </w:p>
    <w:p>
      <w:r>
        <w:t>(5)对文件资料进行整理和归档。</w:t>
      </w:r>
    </w:p>
    <w:p>
      <w:r>
        <w:t xml:space="preserve">此外，本环评提出以下封场后管理措施的建议： </w:t>
      </w:r>
    </w:p>
    <w:p>
      <w:r>
        <w:t>(1)建立环境管理机构。封场后应成立专门的环境管理机构，形成1 套以环境管理办公室为中心的环境管理体系。主要职能是研究决策填埋场封场后环保工作的重大事宜，并负责填埋场环境保护的规划和管理以及环境保护治理设施管理、维修、操作，负责环境监测业务。</w:t>
      </w:r>
    </w:p>
    <w:p>
      <w:r>
        <w:t>(2)制定环境管理制度建立、执行并监督管理计划，对大气、废水等主要污染物制定详尽的监测、控制制度，以保证及时了解并控制污染物排放情况和对周围环境的影响情况；建立健全垃圾处理场的各项规章制度，根据国家环境标准，对填埋场重点污染源及污染物开展日常监测工作，编制表格和报表，定期上报有关主管部门，建立监测档案；参与治理工作，为污染治理服务。</w:t>
      </w:r>
    </w:p>
    <w:p>
      <w:r>
        <w:t>(3)重视例行检查和设施维护。封场后如果不注意后期管理，可能会对周围环境造成严重污染，因此要开展例行检查和设施维护。</w:t>
      </w:r>
    </w:p>
    <w:p>
      <w:r>
        <w:t>(4)实施长期环境监测。为了掌握封场后场地环境污染控制和生态环境恢复状况，运营单位要建立环境监测计划及详细的监测检查环境程序，并制定处理突发事故应急响应计划。</w:t>
      </w:r>
    </w:p>
    <w:p>
      <w:r>
        <w:t>监测介质</w:t>
      </w:r>
      <w:r>
        <w:rPr>
          <w:rFonts w:hint="eastAsia"/>
        </w:rPr>
        <w:t>：</w:t>
      </w:r>
      <w:r>
        <w:t>填埋场在运行过程中产生的污染物主要有渗滤液、填埋气体、恶臭气体等，生活垃圾填埋场封场后，垃圾在长期的稳定化过程中还将不断产生填埋气体和渗滤液等垃圾分解的副产物，场地也会发生不均匀沉降，必须对沥液、填埋气体、地面沉降特性进行定期监测和处理。此外，也应该定期对植被、动物类型和数量等方面进行监测。</w:t>
      </w:r>
    </w:p>
    <w:p>
      <w:pPr>
        <w:rPr>
          <w:rFonts w:hint="eastAsia"/>
          <w:lang w:val="en-US" w:eastAsia="zh-CN"/>
        </w:rPr>
      </w:pPr>
      <w:r>
        <w:t>监测项目</w:t>
      </w:r>
      <w:r>
        <w:rPr>
          <w:rFonts w:hint="eastAsia"/>
        </w:rPr>
        <w:t>：</w:t>
      </w:r>
      <w:r>
        <w:t>①《生活垃圾填埋场污染控制标准》（GB16889-2008）中明确进行监测的项目。目前关于生活垃圾填埋场监测技术要求的标准主要是《生活垃圾卫生填埋场环境监测技术要求》（GB/T18772-2008）和《生活垃圾填埋场污染控制标准》（GB16889-2008），但前者没有对封场后的环境监测作出明确的要求，后者仅提出了对渗滤液和甲烷进行监测。②在现状评价阶段识别的关注污染物接近相应质量标准的各项指标。③为掌握填埋场稳定化和生态恢复程度的各项增加指标。除以上2 个方面外，为掌握填埋场修复效果，要对其他的项目进行长期的监测和分析，以全面掌握填埋场稳定化和生态恢复程度。</w:t>
      </w:r>
    </w:p>
    <w:p>
      <w:pPr>
        <w:pStyle w:val="3"/>
        <w:rPr>
          <w:color w:val="auto"/>
        </w:rPr>
      </w:pPr>
      <w:bookmarkStart w:id="133" w:name="_Toc45721545"/>
      <w:r>
        <w:rPr>
          <w:color w:val="auto"/>
        </w:rPr>
        <w:t xml:space="preserve"> </w:t>
      </w:r>
      <w:bookmarkStart w:id="134" w:name="_Toc255977866"/>
      <w:bookmarkStart w:id="135" w:name="_Toc453856843"/>
      <w:bookmarkStart w:id="136" w:name="_Toc15769"/>
      <w:r>
        <w:rPr>
          <w:rFonts w:hint="eastAsia"/>
          <w:color w:val="auto"/>
          <w:lang w:val="en-US" w:eastAsia="zh-CN"/>
        </w:rPr>
        <w:t>12.2</w:t>
      </w:r>
      <w:r>
        <w:rPr>
          <w:color w:val="auto"/>
        </w:rPr>
        <w:t>环境监测计划</w:t>
      </w:r>
      <w:bookmarkEnd w:id="133"/>
      <w:bookmarkEnd w:id="134"/>
      <w:bookmarkEnd w:id="135"/>
      <w:bookmarkEnd w:id="136"/>
    </w:p>
    <w:p>
      <w:pPr>
        <w:pStyle w:val="4"/>
        <w:rPr>
          <w:color w:val="auto"/>
          <w:u w:val="single"/>
        </w:rPr>
      </w:pPr>
      <w:bookmarkStart w:id="137" w:name="_Toc453856844"/>
      <w:bookmarkStart w:id="138" w:name="_Toc255977867"/>
      <w:r>
        <w:rPr>
          <w:rFonts w:hint="eastAsia"/>
          <w:color w:val="auto"/>
          <w:u w:val="single"/>
          <w:lang w:val="en-US" w:eastAsia="zh-CN"/>
        </w:rPr>
        <w:t>12.2.1</w:t>
      </w:r>
      <w:r>
        <w:rPr>
          <w:color w:val="auto"/>
          <w:u w:val="single"/>
        </w:rPr>
        <w:t>环境监测计划</w:t>
      </w:r>
      <w:bookmarkEnd w:id="137"/>
      <w:bookmarkEnd w:id="138"/>
    </w:p>
    <w:p>
      <w:pPr>
        <w:rPr>
          <w:color w:val="auto"/>
          <w:u w:val="single"/>
        </w:rPr>
      </w:pPr>
      <w:r>
        <w:rPr>
          <w:color w:val="auto"/>
          <w:u w:val="single"/>
        </w:rPr>
        <w:t>填埋场环境及污染物监测对象包括地表水、地下水、大气、苍蝇等项目。填埋场环境监测参考《生活垃圾填埋场污染控制标准》(GB16889-2008)、《生活垃圾卫生填埋场环境监测技术要求》(GB/T18772-2008)，并根据本工程实际情况执行。填埋场所需进行的环境本底值测试及今后的监测内容见表11-1。</w:t>
      </w:r>
    </w:p>
    <w:p>
      <w:pPr>
        <w:pStyle w:val="23"/>
        <w:rPr>
          <w:color w:val="auto"/>
          <w:u w:val="single"/>
        </w:rPr>
      </w:pPr>
      <w:r>
        <w:rPr>
          <w:b/>
          <w:bCs/>
          <w:color w:val="auto"/>
          <w:u w:val="single"/>
        </w:rPr>
        <w:t>表11-1 环境监测内容一览表</w:t>
      </w:r>
    </w:p>
    <w:tbl>
      <w:tblPr>
        <w:tblStyle w:val="19"/>
        <w:tblW w:w="8610" w:type="dxa"/>
        <w:tblInd w:w="-8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96"/>
        <w:gridCol w:w="1729"/>
        <w:gridCol w:w="1933"/>
        <w:gridCol w:w="385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259" w:hRule="atLeast"/>
          <w:tblHeader/>
        </w:trPr>
        <w:tc>
          <w:tcPr>
            <w:tcW w:w="1096" w:type="dxa"/>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内容项目</w:t>
            </w:r>
          </w:p>
        </w:tc>
        <w:tc>
          <w:tcPr>
            <w:tcW w:w="1729" w:type="dxa"/>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监测点布置</w:t>
            </w:r>
          </w:p>
        </w:tc>
        <w:tc>
          <w:tcPr>
            <w:tcW w:w="1933" w:type="dxa"/>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监测项目</w:t>
            </w:r>
          </w:p>
        </w:tc>
        <w:tc>
          <w:tcPr>
            <w:tcW w:w="3852" w:type="dxa"/>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监测时间与频率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96" w:type="dxa"/>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地面水</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监测</w:t>
            </w:r>
          </w:p>
        </w:tc>
        <w:tc>
          <w:tcPr>
            <w:tcW w:w="1729"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eastAsia" w:eastAsia="宋体"/>
                <w:color w:val="auto"/>
                <w:u w:val="single"/>
                <w:lang w:eastAsia="zh-CN"/>
              </w:rPr>
            </w:pPr>
            <w:r>
              <w:rPr>
                <w:rFonts w:hint="eastAsia"/>
                <w:color w:val="auto"/>
                <w:u w:val="single"/>
                <w:lang w:eastAsia="zh-CN"/>
              </w:rPr>
              <w:t>芭蕉湖</w:t>
            </w:r>
          </w:p>
        </w:tc>
        <w:tc>
          <w:tcPr>
            <w:tcW w:w="1933"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pH、COD、BOD5、NH3-N、亚硝酸盐氮、硝酸盐氮、总硬度、</w:t>
            </w:r>
            <w:r>
              <w:rPr>
                <w:rFonts w:hint="eastAsia"/>
                <w:color w:val="auto"/>
                <w:u w:val="single"/>
                <w:lang w:eastAsia="zh-CN"/>
              </w:rPr>
              <w:t>总</w:t>
            </w:r>
            <w:r>
              <w:rPr>
                <w:rFonts w:hint="default"/>
                <w:color w:val="auto"/>
                <w:u w:val="single"/>
              </w:rPr>
              <w:t>大肠菌</w:t>
            </w:r>
            <w:r>
              <w:rPr>
                <w:rFonts w:hint="eastAsia"/>
                <w:color w:val="auto"/>
                <w:u w:val="single"/>
                <w:lang w:eastAsia="zh-CN"/>
              </w:rPr>
              <w:t>群</w:t>
            </w:r>
            <w:r>
              <w:rPr>
                <w:rFonts w:hint="default"/>
                <w:color w:val="auto"/>
                <w:u w:val="single"/>
              </w:rPr>
              <w:t>和重金属离子等。</w:t>
            </w:r>
          </w:p>
        </w:tc>
        <w:tc>
          <w:tcPr>
            <w:tcW w:w="3852"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每年丰、平、枯水期各1次。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885" w:hRule="atLeast"/>
        </w:trPr>
        <w:tc>
          <w:tcPr>
            <w:tcW w:w="1096" w:type="dxa"/>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地下水</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监测</w:t>
            </w:r>
          </w:p>
        </w:tc>
        <w:tc>
          <w:tcPr>
            <w:tcW w:w="1729"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监测井：1#本底井；2#污染扩散井；3#污染扩散井；4#排水井、5#污染监视井、6#污染监视井</w:t>
            </w:r>
          </w:p>
        </w:tc>
        <w:tc>
          <w:tcPr>
            <w:tcW w:w="1933"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pH、COD、NH3-N、亚硝酸盐氮、硝酸盐氮、硬度、氯化物、硫酸盐、大肠菌群数、细菌总数和重金属离子等。</w:t>
            </w:r>
          </w:p>
        </w:tc>
        <w:tc>
          <w:tcPr>
            <w:tcW w:w="3852"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u w:val="single"/>
              </w:rPr>
              <w:t>生活垃圾填埋场管理机构对排水井的水质监测频率应不少于每周一次，对污染扩散静和污染监视井的水质监测频率应不少于每2周一次，对本底井的水质监测频率应不少于每个月1次。地方环境保护行政主管部门应对地下水水质进行监督性监测，频率应不少于每3个月1次。封场后应每年监测一次，直至封场后填埋场产生的渗滤液中水污染物浓度连续两年低于《生活垃圾填埋场污染控制标准》（GB16889-2008）表2中的限值时为止。</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71" w:hRule="atLeast"/>
        </w:trPr>
        <w:tc>
          <w:tcPr>
            <w:tcW w:w="1096" w:type="dxa"/>
            <w:vMerge w:val="restart"/>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渗滤液</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监测</w:t>
            </w:r>
          </w:p>
        </w:tc>
        <w:tc>
          <w:tcPr>
            <w:tcW w:w="1729" w:type="dxa"/>
            <w:vMerge w:val="restart"/>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库区渗滤液导出管出水口，调节池出口，排水口。</w:t>
            </w:r>
          </w:p>
        </w:tc>
        <w:tc>
          <w:tcPr>
            <w:tcW w:w="1933" w:type="dxa"/>
            <w:vMerge w:val="restart"/>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pH、COD、BOD5、NH3-N、SS和大肠菌群数、细菌总数和重金属离子等</w:t>
            </w:r>
          </w:p>
        </w:tc>
        <w:tc>
          <w:tcPr>
            <w:tcW w:w="3852" w:type="dxa"/>
            <w:tcBorders>
              <w:bottom w:val="single" w:color="auto" w:sz="4" w:space="0"/>
            </w:tcBorders>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eastAsia"/>
                <w:color w:val="auto"/>
                <w:u w:val="single"/>
                <w:lang w:eastAsia="zh-CN"/>
              </w:rPr>
              <w:t>营运期：</w:t>
            </w:r>
            <w:r>
              <w:rPr>
                <w:rFonts w:hint="default"/>
                <w:color w:val="auto"/>
                <w:u w:val="single"/>
              </w:rPr>
              <w:t>渗滤液每月监测1次；排水口：每天监测1次。</w:t>
            </w:r>
            <w:r>
              <w:rPr>
                <w:rFonts w:hint="eastAsia"/>
                <w:color w:val="auto"/>
                <w:u w:val="single"/>
                <w:lang w:eastAsia="zh-CN"/>
              </w:rPr>
              <w:t>并安装在线监测系统，与环保部门联网。</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571" w:hRule="atLeast"/>
        </w:trPr>
        <w:tc>
          <w:tcPr>
            <w:tcW w:w="1096" w:type="dxa"/>
            <w:vMerge w:val="continue"/>
            <w:tcBorders>
              <w:bottom w:val="single" w:color="auto" w:sz="4" w:space="0"/>
            </w:tcBorders>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p>
        </w:tc>
        <w:tc>
          <w:tcPr>
            <w:tcW w:w="1729" w:type="dxa"/>
            <w:vMerge w:val="continue"/>
            <w:tcBorders>
              <w:bottom w:val="single" w:color="auto" w:sz="4" w:space="0"/>
            </w:tcBorders>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p>
        </w:tc>
        <w:tc>
          <w:tcPr>
            <w:tcW w:w="1933" w:type="dxa"/>
            <w:vMerge w:val="continue"/>
            <w:tcBorders>
              <w:bottom w:val="single" w:color="auto" w:sz="4" w:space="0"/>
            </w:tcBorders>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p>
        </w:tc>
        <w:tc>
          <w:tcPr>
            <w:tcW w:w="3852" w:type="dxa"/>
            <w:tcBorders>
              <w:bottom w:val="single" w:color="auto" w:sz="4" w:space="0"/>
            </w:tcBorders>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eastAsia" w:eastAsia="宋体"/>
                <w:color w:val="auto"/>
                <w:u w:val="single"/>
                <w:lang w:eastAsia="zh-CN"/>
              </w:rPr>
            </w:pPr>
            <w:r>
              <w:rPr>
                <w:rFonts w:hint="eastAsia"/>
                <w:color w:val="auto"/>
                <w:u w:val="single"/>
                <w:lang w:eastAsia="zh-CN"/>
              </w:rPr>
              <w:t>封场后：</w:t>
            </w:r>
            <w:r>
              <w:rPr>
                <w:rFonts w:hint="default"/>
                <w:szCs w:val="21"/>
                <w:u w:val="single"/>
              </w:rPr>
              <w:t>化学需氧量、生化需氧量、悬浮物、总氮、氨氮等指标每3个月测定一次，其他指标每年测定一次。</w:t>
            </w:r>
            <w:r>
              <w:rPr>
                <w:rFonts w:hint="default"/>
                <w:u w:val="single"/>
              </w:rPr>
              <w:t>封场后3年内应每年2次。3年后应根据出水水质确定采样频次。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96" w:type="dxa"/>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填埋气</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监测</w:t>
            </w:r>
          </w:p>
        </w:tc>
        <w:tc>
          <w:tcPr>
            <w:tcW w:w="1729"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甲烷气体容易积聚的地点。</w:t>
            </w:r>
          </w:p>
        </w:tc>
        <w:tc>
          <w:tcPr>
            <w:tcW w:w="1933"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CH4、CO2、CO、O2、N2、H2S和其他可燃气。</w:t>
            </w:r>
          </w:p>
        </w:tc>
        <w:tc>
          <w:tcPr>
            <w:tcW w:w="3852"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szCs w:val="21"/>
                <w:u w:val="single"/>
              </w:rPr>
              <w:t>生活垃圾填埋场管理机构应每天进行一次填埋场区和填埋气体排放口的甲烷浓度监测。地方环境保护行政主管部门应每3个月对填埋区和填埋气体排放口的甲烷浓度进行一次监督性监测。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96" w:type="dxa"/>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大气污染物监测</w:t>
            </w:r>
          </w:p>
        </w:tc>
        <w:tc>
          <w:tcPr>
            <w:tcW w:w="1729"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年主导风向上风向1点、场区内1点、年主导风向下风向2点。</w:t>
            </w:r>
          </w:p>
        </w:tc>
        <w:tc>
          <w:tcPr>
            <w:tcW w:w="1933"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TSP、CO2、NO2、CH4、CO、H2S和臭气。</w:t>
            </w:r>
          </w:p>
        </w:tc>
        <w:tc>
          <w:tcPr>
            <w:tcW w:w="3852"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每年应监测4次，每季度1次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96" w:type="dxa"/>
            <w:shd w:val="clear" w:color="auto" w:fill="auto"/>
            <w:tcMar>
              <w:top w:w="28" w:type="dxa"/>
              <w:bottom w:w="28" w:type="dxa"/>
            </w:tcMar>
            <w:textDirection w:val="lrTb"/>
            <w:vAlign w:val="center"/>
          </w:tcPr>
          <w:p>
            <w:pPr>
              <w:pStyle w:val="23"/>
              <w:keepNext w:val="0"/>
              <w:keepLines w:val="0"/>
              <w:suppressLineNumbers w:val="0"/>
              <w:spacing w:before="0" w:beforeAutospacing="0" w:after="0" w:afterAutospacing="0"/>
              <w:ind w:left="0" w:right="0"/>
              <w:rPr>
                <w:rFonts w:hint="default"/>
                <w:u w:val="single"/>
                <w:lang w:val="en-US" w:eastAsia="zh-CN"/>
              </w:rPr>
            </w:pPr>
            <w:r>
              <w:rPr>
                <w:rFonts w:hint="default"/>
                <w:u w:val="single"/>
                <w:lang w:val="en-US" w:eastAsia="zh-CN"/>
              </w:rPr>
              <w:t>防渗衬层完整性的监测</w:t>
            </w:r>
          </w:p>
        </w:tc>
        <w:tc>
          <w:tcPr>
            <w:tcW w:w="1729" w:type="dxa"/>
            <w:shd w:val="clear" w:color="auto" w:fill="auto"/>
            <w:tcMar>
              <w:top w:w="28" w:type="dxa"/>
              <w:bottom w:w="28" w:type="dxa"/>
            </w:tcMar>
            <w:textDirection w:val="lrTb"/>
            <w:vAlign w:val="center"/>
          </w:tcPr>
          <w:p>
            <w:pPr>
              <w:pStyle w:val="23"/>
              <w:keepNext w:val="0"/>
              <w:keepLines w:val="0"/>
              <w:suppressLineNumbers w:val="0"/>
              <w:spacing w:before="0" w:beforeAutospacing="0" w:after="0" w:afterAutospacing="0"/>
              <w:ind w:left="0" w:right="0"/>
              <w:rPr>
                <w:rFonts w:hint="default"/>
                <w:u w:val="single"/>
                <w:lang w:val="en-US" w:eastAsia="zh-CN"/>
              </w:rPr>
            </w:pPr>
            <w:r>
              <w:rPr>
                <w:rFonts w:hint="default"/>
                <w:u w:val="single"/>
                <w:lang w:val="en-US" w:eastAsia="zh-CN"/>
              </w:rPr>
              <w:t>防渗层</w:t>
            </w:r>
          </w:p>
        </w:tc>
        <w:tc>
          <w:tcPr>
            <w:tcW w:w="1933" w:type="dxa"/>
            <w:shd w:val="clear" w:color="auto" w:fill="auto"/>
            <w:tcMar>
              <w:top w:w="28" w:type="dxa"/>
              <w:bottom w:w="28" w:type="dxa"/>
            </w:tcMar>
            <w:textDirection w:val="lrTb"/>
            <w:vAlign w:val="center"/>
          </w:tcPr>
          <w:p>
            <w:pPr>
              <w:pStyle w:val="23"/>
              <w:keepNext w:val="0"/>
              <w:keepLines w:val="0"/>
              <w:suppressLineNumbers w:val="0"/>
              <w:spacing w:before="0" w:beforeAutospacing="0" w:after="0" w:afterAutospacing="0"/>
              <w:ind w:left="0" w:right="0"/>
              <w:rPr>
                <w:rFonts w:hint="default"/>
                <w:u w:val="single"/>
                <w:lang w:val="en-US" w:eastAsia="zh-CN"/>
              </w:rPr>
            </w:pPr>
            <w:r>
              <w:rPr>
                <w:rFonts w:hint="default"/>
                <w:u w:val="single"/>
                <w:lang w:val="en-US" w:eastAsia="zh-CN"/>
              </w:rPr>
              <w:t>防渗衬层完整性</w:t>
            </w:r>
          </w:p>
        </w:tc>
        <w:tc>
          <w:tcPr>
            <w:tcW w:w="3852" w:type="dxa"/>
            <w:shd w:val="clear" w:color="auto" w:fill="auto"/>
            <w:tcMar>
              <w:top w:w="28" w:type="dxa"/>
              <w:bottom w:w="28" w:type="dxa"/>
            </w:tcMar>
            <w:textDirection w:val="lrTb"/>
            <w:vAlign w:val="center"/>
          </w:tcPr>
          <w:p>
            <w:pPr>
              <w:pStyle w:val="23"/>
              <w:keepNext w:val="0"/>
              <w:keepLines w:val="0"/>
              <w:suppressLineNumbers w:val="0"/>
              <w:spacing w:before="0" w:beforeAutospacing="0" w:after="0" w:afterAutospacing="0"/>
              <w:ind w:left="0" w:right="0"/>
              <w:rPr>
                <w:rFonts w:hint="default"/>
                <w:u w:val="single"/>
                <w:lang w:val="en-US" w:eastAsia="zh-CN"/>
              </w:rPr>
            </w:pPr>
            <w:r>
              <w:rPr>
                <w:rFonts w:hint="default"/>
                <w:u w:val="single"/>
                <w:lang w:val="en-US" w:eastAsia="zh-CN"/>
              </w:rPr>
              <w:t>生活垃圾填埋场管理机构应每6个月进行一次防渗衬层完整性的监测。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96" w:type="dxa"/>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噪声监测</w:t>
            </w:r>
          </w:p>
        </w:tc>
        <w:tc>
          <w:tcPr>
            <w:tcW w:w="1729"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各泵站、填埋场边界</w:t>
            </w:r>
          </w:p>
        </w:tc>
        <w:tc>
          <w:tcPr>
            <w:tcW w:w="1933"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Leq(dB(A))</w:t>
            </w:r>
          </w:p>
        </w:tc>
        <w:tc>
          <w:tcPr>
            <w:tcW w:w="3852"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每半年一次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c>
          <w:tcPr>
            <w:tcW w:w="1096" w:type="dxa"/>
            <w:tcMar>
              <w:top w:w="28" w:type="dxa"/>
              <w:bottom w:w="28" w:type="dxa"/>
            </w:tcMar>
            <w:vAlign w:val="center"/>
          </w:tcPr>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苍蝇</w:t>
            </w:r>
          </w:p>
          <w:p>
            <w:pPr>
              <w:pStyle w:val="23"/>
              <w:keepNext w:val="0"/>
              <w:keepLines w:val="0"/>
              <w:suppressLineNumbers w:val="0"/>
              <w:spacing w:before="0" w:beforeAutospacing="0" w:after="0" w:afterAutospacing="0"/>
              <w:ind w:left="0" w:right="0"/>
              <w:rPr>
                <w:rFonts w:hint="default"/>
                <w:color w:val="auto"/>
                <w:u w:val="single"/>
              </w:rPr>
            </w:pPr>
            <w:r>
              <w:rPr>
                <w:rFonts w:hint="default"/>
                <w:color w:val="auto"/>
                <w:u w:val="single"/>
              </w:rPr>
              <w:t>监测</w:t>
            </w:r>
          </w:p>
        </w:tc>
        <w:tc>
          <w:tcPr>
            <w:tcW w:w="1729"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填埋场内每隔30~50m设置一点。整个场内不少于10个。</w:t>
            </w:r>
          </w:p>
        </w:tc>
        <w:tc>
          <w:tcPr>
            <w:tcW w:w="1933"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蝇指数以只/h表示</w:t>
            </w:r>
          </w:p>
        </w:tc>
        <w:tc>
          <w:tcPr>
            <w:tcW w:w="3852" w:type="dxa"/>
            <w:tcMar>
              <w:top w:w="28" w:type="dxa"/>
              <w:bottom w:w="28" w:type="dxa"/>
            </w:tcMar>
            <w:vAlign w:val="center"/>
          </w:tcPr>
          <w:p>
            <w:pPr>
              <w:pStyle w:val="23"/>
              <w:keepNext w:val="0"/>
              <w:keepLines w:val="0"/>
              <w:suppressLineNumbers w:val="0"/>
              <w:spacing w:before="0" w:beforeAutospacing="0" w:after="0" w:afterAutospacing="0" w:line="240" w:lineRule="auto"/>
              <w:ind w:left="0" w:right="0"/>
              <w:rPr>
                <w:rFonts w:hint="default"/>
                <w:color w:val="auto"/>
                <w:u w:val="single"/>
              </w:rPr>
            </w:pPr>
            <w:r>
              <w:rPr>
                <w:rFonts w:hint="default"/>
                <w:color w:val="auto"/>
                <w:u w:val="single"/>
              </w:rPr>
              <w:t>根据气候特征，在苍蝇活跃季节每月应监测2次。</w:t>
            </w:r>
          </w:p>
        </w:tc>
      </w:tr>
    </w:tbl>
    <w:p>
      <w:pPr>
        <w:pStyle w:val="2"/>
        <w:rPr>
          <w:rFonts w:hint="eastAsia"/>
          <w:color w:val="auto"/>
          <w:lang w:val="en-US" w:eastAsia="zh-CN"/>
        </w:rPr>
        <w:sectPr>
          <w:pgSz w:w="11906" w:h="16838"/>
          <w:pgMar w:top="1440" w:right="1800" w:bottom="1440" w:left="1800" w:header="851" w:footer="992" w:gutter="0"/>
          <w:pgNumType w:fmt="decimal"/>
          <w:cols w:space="425" w:num="1"/>
          <w:docGrid w:type="lines" w:linePitch="312" w:charSpace="0"/>
        </w:sectPr>
      </w:pPr>
      <w:bookmarkStart w:id="139" w:name="_Toc383096557"/>
      <w:bookmarkStart w:id="140" w:name="_Toc453856847"/>
    </w:p>
    <w:p>
      <w:pPr>
        <w:pStyle w:val="2"/>
        <w:rPr>
          <w:rFonts w:hint="eastAsia"/>
          <w:color w:val="auto"/>
          <w:lang w:val="en-US" w:eastAsia="zh-CN"/>
        </w:rPr>
      </w:pPr>
      <w:bookmarkStart w:id="141" w:name="_Toc28149"/>
      <w:r>
        <w:rPr>
          <w:rFonts w:hint="eastAsia"/>
          <w:color w:val="auto"/>
          <w:lang w:val="en-US" w:eastAsia="zh-CN"/>
        </w:rPr>
        <w:t>13、</w:t>
      </w:r>
      <w:r>
        <w:rPr>
          <w:rFonts w:hint="eastAsia"/>
          <w:color w:val="auto"/>
          <w:lang w:eastAsia="zh-CN"/>
        </w:rPr>
        <w:t>项目建设</w:t>
      </w:r>
      <w:r>
        <w:rPr>
          <w:color w:val="auto"/>
        </w:rPr>
        <w:t>合理性分析</w:t>
      </w:r>
      <w:bookmarkEnd w:id="139"/>
      <w:bookmarkEnd w:id="140"/>
      <w:bookmarkEnd w:id="141"/>
    </w:p>
    <w:p>
      <w:pPr>
        <w:pStyle w:val="3"/>
        <w:rPr>
          <w:color w:val="auto"/>
          <w:lang w:eastAsia="zh-CN"/>
        </w:rPr>
      </w:pPr>
      <w:bookmarkStart w:id="142" w:name="_Toc1304"/>
      <w:bookmarkStart w:id="143" w:name="_Toc453856848"/>
      <w:r>
        <w:rPr>
          <w:rFonts w:hint="eastAsia"/>
          <w:color w:val="auto"/>
          <w:lang w:val="en-US" w:eastAsia="zh-CN"/>
        </w:rPr>
        <w:t>13.1</w:t>
      </w:r>
      <w:r>
        <w:rPr>
          <w:color w:val="auto"/>
        </w:rPr>
        <w:t>产业政策符合性</w:t>
      </w:r>
      <w:bookmarkEnd w:id="142"/>
      <w:bookmarkEnd w:id="143"/>
    </w:p>
    <w:p>
      <w:pPr>
        <w:rPr>
          <w:rFonts w:hint="eastAsia"/>
          <w:color w:val="auto"/>
          <w:lang w:val="en-US" w:eastAsia="zh-CN"/>
        </w:rPr>
      </w:pPr>
      <w:r>
        <w:rPr>
          <w:color w:val="auto"/>
        </w:rPr>
        <w:t>本工程属于垃圾填埋场，对照国家《产业结构调整指导目录(2011年本)》(</w:t>
      </w:r>
      <w:r>
        <w:rPr>
          <w:rFonts w:hint="eastAsia"/>
          <w:color w:val="auto"/>
          <w:lang w:val="en-US" w:eastAsia="zh-CN"/>
        </w:rPr>
        <w:t>2013年</w:t>
      </w:r>
      <w:r>
        <w:rPr>
          <w:color w:val="auto"/>
        </w:rPr>
        <w:t>修正)，本项目属于鼓励类：三十八、环境保护与资源节约综合利用 20、城镇垃圾及其他固体废弃物减量化、资源化、无害化处理和综合利用工程。因此，本项目符合国家和地方相关的产业政策的要求。</w:t>
      </w:r>
    </w:p>
    <w:p>
      <w:pPr>
        <w:pStyle w:val="3"/>
        <w:rPr>
          <w:color w:val="auto"/>
          <w:lang w:eastAsia="zh-CN"/>
        </w:rPr>
      </w:pPr>
      <w:bookmarkStart w:id="144" w:name="_Toc24495"/>
      <w:bookmarkStart w:id="145" w:name="_Toc453856849"/>
      <w:r>
        <w:rPr>
          <w:rFonts w:hint="eastAsia"/>
          <w:color w:val="auto"/>
          <w:lang w:val="en-US" w:eastAsia="zh-CN"/>
        </w:rPr>
        <w:t>13.2</w:t>
      </w:r>
      <w:r>
        <w:rPr>
          <w:color w:val="auto"/>
        </w:rPr>
        <w:t>选址合理性分析</w:t>
      </w:r>
      <w:bookmarkEnd w:id="144"/>
      <w:bookmarkEnd w:id="145"/>
    </w:p>
    <w:p>
      <w:pPr>
        <w:rPr>
          <w:lang w:val="zh-CN"/>
        </w:rPr>
      </w:pPr>
      <w:r>
        <w:rPr>
          <w:rFonts w:hint="eastAsia"/>
          <w:lang w:val="en-US" w:eastAsia="zh-CN"/>
        </w:rPr>
        <w:t>花果畈垃圾处理场对周围环境产生了一定影响，周边居民反映强烈，为防止因渗漏造成环境污染，封场前进行防渗提质改造十分必要。同时，</w:t>
      </w:r>
      <w:r>
        <w:rPr>
          <w:lang w:val="zh-CN"/>
        </w:rPr>
        <w:t>鉴于目前岳阳市垃圾处理的现状，岳阳市市政府非常重视生活垃圾无害化问题，在生活垃圾焚烧厂建成之前，要求填埋场管理和运行部门尽可能的延长现有填埋场的使用年限</w:t>
      </w:r>
      <w:r>
        <w:rPr>
          <w:rFonts w:hint="eastAsia"/>
          <w:lang w:val="zh-CN"/>
        </w:rPr>
        <w:t>，切实改善周边环境质量。</w:t>
      </w:r>
      <w:r>
        <w:t>其具备的条件和优势如下</w:t>
      </w:r>
      <w:r>
        <w:rPr>
          <w:lang w:val="zh-CN"/>
        </w:rPr>
        <w:t>：</w:t>
      </w:r>
    </w:p>
    <w:p>
      <w:r>
        <w:t>（1）</w:t>
      </w:r>
      <w:r>
        <w:rPr>
          <w:rFonts w:hint="eastAsia"/>
        </w:rPr>
        <w:t>该填埋场已投入使用多年</w:t>
      </w:r>
      <w:r>
        <w:t>，符合城镇总体规划要求。</w:t>
      </w:r>
    </w:p>
    <w:p>
      <w:r>
        <w:t>（2）交通方便，运距适中。</w:t>
      </w:r>
    </w:p>
    <w:p>
      <w:r>
        <w:t>（3）不在划定的自然保护区、风景名胜、生活饮用水源地和其他需要特别保护的区域内。</w:t>
      </w:r>
    </w:p>
    <w:p>
      <w:r>
        <w:t>（4）场址地下水补给主要靠降水补给，不属于地下水补给区、洪泛区、淤泥区。</w:t>
      </w:r>
    </w:p>
    <w:p>
      <w:r>
        <w:t>（5）场址地质稳定，无不良地质现象出现。</w:t>
      </w:r>
    </w:p>
    <w:p>
      <w:r>
        <w:t>（6）场址位于年主导风向和夏季主导风向的下风向。</w:t>
      </w:r>
    </w:p>
    <w:p>
      <w:r>
        <w:t>（7）虽然场区内地下水</w:t>
      </w:r>
      <w:bookmarkStart w:id="151" w:name="_GoBack"/>
      <w:bookmarkEnd w:id="151"/>
      <w:r>
        <w:t>位埋藏较浅，但通过工程措施可避免地下水对填埋场的影响。</w:t>
      </w:r>
    </w:p>
    <w:p>
      <w:pPr>
        <w:rPr>
          <w:rFonts w:hint="eastAsia"/>
          <w:lang w:val="en-US" w:eastAsia="zh-CN"/>
        </w:rPr>
      </w:pPr>
      <w:r>
        <w:t>（8）场区为天然沟谷，边坡较稳定，土地利用价值低，适合做卫生填埋场</w:t>
      </w:r>
      <w:r>
        <w:rPr>
          <w:rFonts w:hint="eastAsia"/>
          <w:lang w:val="en-US" w:eastAsia="zh-CN"/>
        </w:rPr>
        <w:t>。</w:t>
      </w:r>
    </w:p>
    <w:p>
      <w:pPr>
        <w:rPr>
          <w:rFonts w:hint="eastAsia"/>
          <w:lang w:val="en-US" w:eastAsia="zh-CN"/>
        </w:rPr>
      </w:pPr>
      <w:r>
        <w:rPr>
          <w:rFonts w:hint="eastAsia"/>
          <w:lang w:val="en-US" w:eastAsia="zh-CN"/>
        </w:rPr>
        <w:t>因此，本项目选址合理可行。</w:t>
      </w:r>
    </w:p>
    <w:p>
      <w:pPr>
        <w:pStyle w:val="3"/>
        <w:rPr>
          <w:rFonts w:hint="eastAsia"/>
          <w:lang w:val="en-US" w:eastAsia="zh-CN"/>
        </w:rPr>
      </w:pPr>
      <w:bookmarkStart w:id="146" w:name="_Toc4859"/>
      <w:r>
        <w:rPr>
          <w:rFonts w:hint="eastAsia"/>
          <w:lang w:val="en-US" w:eastAsia="zh-CN"/>
        </w:rPr>
        <w:t>13.2与《胥家桥片区详细规划》的相符性分析</w:t>
      </w:r>
      <w:bookmarkEnd w:id="146"/>
    </w:p>
    <w:p>
      <w:pPr>
        <w:rPr>
          <w:rFonts w:hint="eastAsia"/>
          <w:u w:val="single"/>
          <w:lang w:val="en-US" w:eastAsia="zh-CN"/>
        </w:rPr>
      </w:pPr>
      <w:r>
        <w:rPr>
          <w:rFonts w:hint="eastAsia"/>
          <w:u w:val="single"/>
          <w:lang w:val="en-US" w:eastAsia="zh-CN"/>
        </w:rPr>
        <w:t>目前胥家桥片区处于规划阶段，由于其南面为花果畈垃圾处理场，因此，对胥家桥片区和花果畈垃圾处理场的符合性进行复分析，并提出相应措施。</w:t>
      </w:r>
    </w:p>
    <w:p>
      <w:pPr>
        <w:rPr>
          <w:sz w:val="24"/>
          <w:u w:val="single"/>
        </w:rPr>
      </w:pPr>
      <w:r>
        <w:rPr>
          <w:sz w:val="24"/>
          <w:u w:val="single"/>
        </w:rPr>
        <w:t>胥家桥片区以花果畈垃圾处理场为界，规划功能结构为“二心、二带、三区”。“二心”： 即两个居住小区级公共服务中心，规划在两个居住小区中心位置布置公共设施用地，形成小区级公共服务中心。“二带”：长康路东侧道路绿化景观带和柳家畈路北侧防护绿化景观带。“三区”：花果畈垃圾处理场东西两侧两个居住小区和北部物流仓储区。南区以一类物流仓储用地为主，配套居住区功能，并在胥家桥路以南、春阳路以北区域规划少量配套服务和公共服务中心，安排必要的办公、商业、文娱、学校等公共设施；北区以二类物流仓储用地为主，依托荆岳铁路和杭瑞高速公路的交通优势，带动整个片区的发展。</w:t>
      </w:r>
    </w:p>
    <w:p>
      <w:pPr>
        <w:rPr>
          <w:sz w:val="24"/>
          <w:u w:val="single"/>
        </w:rPr>
      </w:pPr>
      <w:r>
        <w:rPr>
          <w:rFonts w:hint="eastAsia"/>
          <w:sz w:val="24"/>
          <w:u w:val="single"/>
          <w:lang w:eastAsia="zh-CN"/>
        </w:rPr>
        <w:t>胥家桥片区</w:t>
      </w:r>
      <w:r>
        <w:rPr>
          <w:sz w:val="24"/>
          <w:u w:val="single"/>
        </w:rPr>
        <w:t>主导风向为东北风</w:t>
      </w:r>
      <w:r>
        <w:rPr>
          <w:rFonts w:hint="eastAsia"/>
          <w:sz w:val="24"/>
          <w:u w:val="single"/>
          <w:lang w:eastAsia="zh-CN"/>
        </w:rPr>
        <w:t>，</w:t>
      </w:r>
      <w:r>
        <w:rPr>
          <w:sz w:val="24"/>
          <w:u w:val="single"/>
        </w:rPr>
        <w:t>从总体布局图来看，胥家桥片区居住用地规划集中，主要分布在片区花果畈垃圾处理场东西两侧，从片区的用地范围及周边用地现状来讲，将居住用地布局于此是比较合理的。</w:t>
      </w:r>
    </w:p>
    <w:p>
      <w:pPr>
        <w:rPr>
          <w:rFonts w:hint="eastAsia"/>
          <w:sz w:val="24"/>
          <w:u w:val="single"/>
        </w:rPr>
      </w:pPr>
      <w:r>
        <w:rPr>
          <w:rFonts w:hint="eastAsia"/>
          <w:sz w:val="24"/>
          <w:u w:val="single"/>
        </w:rPr>
        <w:t>根据</w:t>
      </w:r>
      <w:r>
        <w:rPr>
          <w:sz w:val="24"/>
          <w:u w:val="single"/>
        </w:rPr>
        <w:t>岳阳市胥家桥片区控制性详细规划</w:t>
      </w:r>
      <w:r>
        <w:rPr>
          <w:rFonts w:hint="eastAsia"/>
          <w:sz w:val="24"/>
          <w:u w:val="single"/>
        </w:rPr>
        <w:t>总图布置，花果畈垃圾处理场北面布置胥家桥小学和胥家桥中学距离较近(最近距离约100m)；垃圾处理场东、西面最近距离的居民约在100m</w:t>
      </w:r>
      <w:r>
        <w:rPr>
          <w:rFonts w:hint="eastAsia"/>
          <w:sz w:val="24"/>
          <w:u w:val="single"/>
          <w:lang w:eastAsia="zh-CN"/>
        </w:rPr>
        <w:t>。</w:t>
      </w:r>
      <w:r>
        <w:rPr>
          <w:sz w:val="24"/>
          <w:u w:val="single"/>
        </w:rPr>
        <w:t>花果畈垃圾处理场运行期卫生防护距离确定为场界外500m。</w:t>
      </w:r>
      <w:r>
        <w:rPr>
          <w:rFonts w:hint="eastAsia"/>
          <w:sz w:val="24"/>
          <w:u w:val="single"/>
        </w:rPr>
        <w:t>建议在花果畈垃圾处理场运行期，其周边500m防护距离内不得新建居民、行政办公、学校、医院等环境敏感建筑。</w:t>
      </w:r>
    </w:p>
    <w:p>
      <w:pPr>
        <w:rPr>
          <w:rFonts w:hint="eastAsia"/>
          <w:sz w:val="24"/>
          <w:u w:val="single"/>
          <w:lang w:val="en-US" w:eastAsia="zh-CN"/>
        </w:rPr>
        <w:sectPr>
          <w:pgSz w:w="11906" w:h="16838"/>
          <w:pgMar w:top="1440" w:right="1800" w:bottom="1440" w:left="1800" w:header="851" w:footer="992" w:gutter="0"/>
          <w:pgNumType w:fmt="decimal"/>
          <w:cols w:space="425" w:num="1"/>
          <w:docGrid w:type="lines" w:linePitch="312" w:charSpace="0"/>
        </w:sectPr>
      </w:pPr>
      <w:r>
        <w:rPr>
          <w:rFonts w:hint="eastAsia"/>
          <w:sz w:val="24"/>
          <w:u w:val="single"/>
          <w:lang w:eastAsia="zh-CN"/>
        </w:rPr>
        <w:t>花果畈垃圾填埋场封场后，根据跟踪监测结果，确定不同时期的卫生防护距离，待确定封场后的花果畈垃圾处理场对规划中的项目无明显影响条件下在开展。</w:t>
      </w:r>
    </w:p>
    <w:p>
      <w:pPr>
        <w:pStyle w:val="2"/>
        <w:numPr>
          <w:ilvl w:val="0"/>
          <w:numId w:val="0"/>
        </w:numPr>
        <w:rPr>
          <w:rFonts w:hint="eastAsia"/>
          <w:color w:val="auto"/>
          <w:lang w:val="en-US" w:eastAsia="zh-CN"/>
        </w:rPr>
      </w:pPr>
      <w:bookmarkStart w:id="147" w:name="_Toc30576"/>
      <w:r>
        <w:rPr>
          <w:rFonts w:hint="eastAsia"/>
          <w:color w:val="auto"/>
          <w:lang w:val="en-US" w:eastAsia="zh-CN"/>
        </w:rPr>
        <w:t>14、结论与建议</w:t>
      </w:r>
      <w:bookmarkEnd w:id="147"/>
    </w:p>
    <w:p>
      <w:pPr>
        <w:pStyle w:val="3"/>
        <w:rPr>
          <w:rFonts w:hint="eastAsia"/>
          <w:color w:val="auto"/>
          <w:lang w:val="en-US" w:eastAsia="zh-CN"/>
        </w:rPr>
      </w:pPr>
      <w:bookmarkStart w:id="148" w:name="_Toc23415"/>
      <w:r>
        <w:rPr>
          <w:rFonts w:hint="eastAsia"/>
          <w:color w:val="auto"/>
          <w:lang w:val="en-US" w:eastAsia="zh-CN"/>
        </w:rPr>
        <w:t>14.1结论</w:t>
      </w:r>
      <w:bookmarkEnd w:id="148"/>
    </w:p>
    <w:p>
      <w:pPr>
        <w:pStyle w:val="4"/>
        <w:rPr>
          <w:rFonts w:hint="eastAsia"/>
          <w:color w:val="auto"/>
          <w:lang w:val="en-US" w:eastAsia="zh-CN"/>
        </w:rPr>
      </w:pPr>
      <w:r>
        <w:rPr>
          <w:rFonts w:hint="eastAsia"/>
          <w:color w:val="auto"/>
          <w:lang w:val="en-US" w:eastAsia="zh-CN"/>
        </w:rPr>
        <w:t>14.1.1项目基本情况</w:t>
      </w:r>
    </w:p>
    <w:p>
      <w:pPr>
        <w:keepNext w:val="0"/>
        <w:keepLines w:val="0"/>
        <w:widowControl w:val="0"/>
        <w:suppressLineNumbers w:val="0"/>
        <w:spacing w:before="0" w:beforeAutospacing="0" w:after="0" w:afterAutospacing="0"/>
        <w:ind w:left="0" w:right="0" w:firstLine="560" w:firstLineChars="200"/>
        <w:jc w:val="both"/>
        <w:rPr>
          <w:rFonts w:hint="eastAsia"/>
          <w:color w:val="auto"/>
          <w:lang w:val="en-US" w:eastAsia="zh-CN"/>
        </w:rPr>
      </w:pPr>
      <w:r>
        <w:rPr>
          <w:rFonts w:hint="eastAsia"/>
          <w:color w:val="auto"/>
          <w:lang w:val="en-US" w:eastAsia="zh-CN"/>
        </w:rPr>
        <w:t>本项目为花果贩生活垃圾填埋场提质改造项目，属于改扩建项目，位于岳阳市岳阳楼区梅溪乡花果贩村与胥家桥村交界处花果贩生活垃圾填埋场现有场区内。本项目由岳阳市城市建设投资集团有限公司投资，总投资为5677.6万元；由岳阳市城市管理和行政执法局建设。本项目主要建设内容和建设规模为现有处理场占地面积</w:t>
      </w:r>
      <w:r>
        <w:rPr>
          <w:rFonts w:hint="default"/>
          <w:color w:val="auto"/>
          <w:lang w:val="en-US" w:eastAsia="zh-CN"/>
        </w:rPr>
        <w:t>193772.8</w:t>
      </w:r>
      <w:r>
        <w:rPr>
          <w:rFonts w:hint="eastAsia"/>
          <w:color w:val="auto"/>
          <w:lang w:val="en-US" w:eastAsia="zh-CN"/>
        </w:rPr>
        <w:t>㎡，约为</w:t>
      </w:r>
      <w:r>
        <w:rPr>
          <w:rFonts w:hint="default"/>
          <w:color w:val="auto"/>
          <w:lang w:val="en-US" w:eastAsia="zh-CN"/>
        </w:rPr>
        <w:t>290.6</w:t>
      </w:r>
      <w:r>
        <w:rPr>
          <w:rFonts w:hint="eastAsia"/>
          <w:color w:val="auto"/>
          <w:lang w:val="en-US" w:eastAsia="zh-CN"/>
        </w:rPr>
        <w:t>亩，其中库区占地面积</w:t>
      </w:r>
      <w:r>
        <w:rPr>
          <w:rFonts w:hint="default"/>
          <w:color w:val="auto"/>
          <w:lang w:val="en-US" w:eastAsia="zh-CN"/>
        </w:rPr>
        <w:t>90778m2</w:t>
      </w:r>
      <w:r>
        <w:rPr>
          <w:rFonts w:hint="eastAsia"/>
          <w:color w:val="auto"/>
          <w:lang w:val="en-US" w:eastAsia="zh-CN"/>
        </w:rPr>
        <w:t>（合</w:t>
      </w:r>
      <w:r>
        <w:rPr>
          <w:rFonts w:hint="default"/>
          <w:color w:val="auto"/>
          <w:lang w:val="en-US" w:eastAsia="zh-CN"/>
        </w:rPr>
        <w:t>136.17</w:t>
      </w:r>
      <w:r>
        <w:rPr>
          <w:rFonts w:hint="eastAsia"/>
          <w:color w:val="auto"/>
          <w:lang w:val="en-US" w:eastAsia="zh-CN"/>
        </w:rPr>
        <w:t>亩）。通过堆体整形、库区边界修整等措施，</w:t>
      </w:r>
      <w:r>
        <w:rPr>
          <w:rFonts w:hint="eastAsia"/>
          <w:color w:val="auto"/>
          <w:lang w:eastAsia="zh-CN"/>
        </w:rPr>
        <w:t>并通过增高垃圾堆体高度实现现有库区有</w:t>
      </w:r>
      <w:r>
        <w:rPr>
          <w:rFonts w:hint="eastAsia"/>
          <w:color w:val="auto"/>
          <w:lang w:val="en-US" w:eastAsia="zh-CN"/>
        </w:rPr>
        <w:t>77.3万m</w:t>
      </w:r>
      <w:r>
        <w:rPr>
          <w:rFonts w:hint="eastAsia"/>
          <w:color w:val="auto"/>
          <w:vertAlign w:val="superscript"/>
          <w:lang w:val="en-US" w:eastAsia="zh-CN"/>
        </w:rPr>
        <w:t>3</w:t>
      </w:r>
      <w:r>
        <w:rPr>
          <w:rFonts w:hint="eastAsia"/>
          <w:color w:val="auto"/>
          <w:lang w:val="en-US" w:eastAsia="zh-CN"/>
        </w:rPr>
        <w:t>的</w:t>
      </w:r>
      <w:r>
        <w:rPr>
          <w:rFonts w:hint="eastAsia"/>
          <w:color w:val="auto"/>
          <w:lang w:eastAsia="zh-CN"/>
        </w:rPr>
        <w:t>有效库容</w:t>
      </w:r>
      <w:r>
        <w:rPr>
          <w:rFonts w:hint="eastAsia"/>
          <w:color w:val="auto"/>
          <w:lang w:val="en-US" w:eastAsia="zh-CN"/>
        </w:rPr>
        <w:t>，满足约</w:t>
      </w:r>
      <w:r>
        <w:rPr>
          <w:rFonts w:hint="default"/>
          <w:color w:val="auto"/>
          <w:lang w:val="en-US" w:eastAsia="zh-CN"/>
        </w:rPr>
        <w:t>2.3</w:t>
      </w:r>
      <w:r>
        <w:rPr>
          <w:rFonts w:hint="eastAsia"/>
          <w:color w:val="auto"/>
          <w:lang w:val="en-US" w:eastAsia="zh-CN"/>
        </w:rPr>
        <w:t>年使用。另外，还需对处理厂内的渗沥液调节池进行改造升级，把现有调节池改建为膜防渗结构密闭调节池；处理场的管理区和渗沥液处理区等配套设施。</w:t>
      </w:r>
    </w:p>
    <w:p>
      <w:pPr>
        <w:pStyle w:val="4"/>
        <w:rPr>
          <w:rFonts w:hint="eastAsia"/>
          <w:color w:val="auto"/>
          <w:lang w:val="en-US" w:eastAsia="zh-CN"/>
        </w:rPr>
      </w:pPr>
      <w:r>
        <w:rPr>
          <w:rFonts w:hint="eastAsia"/>
          <w:color w:val="auto"/>
          <w:lang w:val="en-US" w:eastAsia="zh-CN"/>
        </w:rPr>
        <w:t>14.1.2环境质量现状结论</w:t>
      </w:r>
    </w:p>
    <w:p>
      <w:pPr>
        <w:rPr>
          <w:rFonts w:hint="eastAsia"/>
          <w:color w:val="auto"/>
          <w:sz w:val="24"/>
        </w:rPr>
      </w:pPr>
      <w:r>
        <w:rPr>
          <w:rFonts w:hint="eastAsia"/>
          <w:color w:val="auto"/>
          <w:lang w:val="en-US" w:eastAsia="zh-CN"/>
        </w:rPr>
        <w:t>1环境空气：根据收集《岳阳市胥家桥片区控制性详规中花果畈垃圾处填埋场及其周边区域专项评价》的环境空气质量现状监测数据，</w:t>
      </w:r>
      <w:r>
        <w:rPr>
          <w:sz w:val="24"/>
        </w:rPr>
        <w:t>本次评价范围内各大气监测点SO</w:t>
      </w:r>
      <w:r>
        <w:rPr>
          <w:sz w:val="24"/>
          <w:vertAlign w:val="subscript"/>
        </w:rPr>
        <w:t>2</w:t>
      </w:r>
      <w:r>
        <w:rPr>
          <w:sz w:val="24"/>
        </w:rPr>
        <w:t>、NO</w:t>
      </w:r>
      <w:r>
        <w:rPr>
          <w:sz w:val="24"/>
          <w:vertAlign w:val="subscript"/>
        </w:rPr>
        <w:t>2</w:t>
      </w:r>
      <w:r>
        <w:rPr>
          <w:sz w:val="24"/>
        </w:rPr>
        <w:t>小时浓度值、PM</w:t>
      </w:r>
      <w:r>
        <w:rPr>
          <w:sz w:val="24"/>
          <w:vertAlign w:val="subscript"/>
        </w:rPr>
        <w:t>10</w:t>
      </w:r>
      <w:r>
        <w:rPr>
          <w:sz w:val="24"/>
        </w:rPr>
        <w:t>日均浓度值均满足《环境空气质量标准》(GB3095-2012)相关标准要求，NH</w:t>
      </w:r>
      <w:r>
        <w:rPr>
          <w:sz w:val="24"/>
          <w:vertAlign w:val="subscript"/>
        </w:rPr>
        <w:t>3</w:t>
      </w:r>
      <w:r>
        <w:rPr>
          <w:sz w:val="24"/>
        </w:rPr>
        <w:t>、H</w:t>
      </w:r>
      <w:r>
        <w:rPr>
          <w:sz w:val="24"/>
          <w:vertAlign w:val="subscript"/>
        </w:rPr>
        <w:t>2</w:t>
      </w:r>
      <w:r>
        <w:rPr>
          <w:sz w:val="24"/>
        </w:rPr>
        <w:t>S一次值满足《工业企业设计卫生标准》（TJ36-79）中居住区大气中有害物质的最高容许浓度限值</w:t>
      </w:r>
      <w:r>
        <w:rPr>
          <w:rFonts w:hint="eastAsia"/>
          <w:sz w:val="24"/>
          <w:lang w:eastAsia="zh-CN"/>
        </w:rPr>
        <w:t>；</w:t>
      </w:r>
      <w:r>
        <w:rPr>
          <w:rFonts w:hint="eastAsia"/>
          <w:color w:val="auto"/>
          <w:lang w:val="en-US" w:eastAsia="zh-CN"/>
        </w:rPr>
        <w:t>根据现状检测结果可知，</w:t>
      </w:r>
      <w:r>
        <w:rPr>
          <w:rFonts w:hint="eastAsia"/>
          <w:color w:val="auto"/>
          <w:sz w:val="24"/>
        </w:rPr>
        <w:t>所在区</w:t>
      </w:r>
      <w:r>
        <w:rPr>
          <w:color w:val="auto"/>
          <w:sz w:val="24"/>
        </w:rPr>
        <w:t>域PM</w:t>
      </w:r>
      <w:r>
        <w:rPr>
          <w:color w:val="auto"/>
          <w:sz w:val="24"/>
          <w:vertAlign w:val="subscript"/>
        </w:rPr>
        <w:t>10</w:t>
      </w:r>
      <w:r>
        <w:rPr>
          <w:rFonts w:hint="eastAsia"/>
          <w:color w:val="auto"/>
          <w:sz w:val="24"/>
        </w:rPr>
        <w:t>、</w:t>
      </w:r>
      <w:r>
        <w:rPr>
          <w:color w:val="auto"/>
          <w:sz w:val="24"/>
        </w:rPr>
        <w:t>SO</w:t>
      </w:r>
      <w:r>
        <w:rPr>
          <w:color w:val="auto"/>
          <w:sz w:val="24"/>
          <w:vertAlign w:val="subscript"/>
        </w:rPr>
        <w:t>2</w:t>
      </w:r>
      <w:r>
        <w:rPr>
          <w:rFonts w:hint="eastAsia"/>
          <w:color w:val="auto"/>
          <w:sz w:val="24"/>
        </w:rPr>
        <w:t>、</w:t>
      </w:r>
      <w:r>
        <w:rPr>
          <w:color w:val="auto"/>
          <w:sz w:val="24"/>
        </w:rPr>
        <w:t xml:space="preserve"> NO</w:t>
      </w:r>
      <w:r>
        <w:rPr>
          <w:color w:val="auto"/>
          <w:sz w:val="24"/>
          <w:vertAlign w:val="subscript"/>
        </w:rPr>
        <w:t>2</w:t>
      </w:r>
      <w:r>
        <w:rPr>
          <w:rFonts w:hint="eastAsia"/>
          <w:color w:val="auto"/>
          <w:sz w:val="24"/>
        </w:rPr>
        <w:t>和TSP</w:t>
      </w:r>
      <w:r>
        <w:rPr>
          <w:color w:val="auto"/>
          <w:sz w:val="24"/>
        </w:rPr>
        <w:t>日均浓度均</w:t>
      </w:r>
      <w:r>
        <w:rPr>
          <w:rFonts w:hint="eastAsia"/>
          <w:color w:val="auto"/>
          <w:sz w:val="24"/>
        </w:rPr>
        <w:t>满足</w:t>
      </w:r>
      <w:r>
        <w:rPr>
          <w:color w:val="auto"/>
          <w:sz w:val="24"/>
        </w:rPr>
        <w:t>《环境空气质量标准》(GB3095-2012)中二级标准要求；</w:t>
      </w:r>
      <w:r>
        <w:rPr>
          <w:rFonts w:hint="default" w:ascii="Times New Roman" w:hAnsi="Times New Roman" w:cs="Times New Roman"/>
          <w:color w:val="auto"/>
          <w:sz w:val="24"/>
          <w:szCs w:val="24"/>
          <w:vertAlign w:val="baseline"/>
          <w:lang w:val="en-US" w:eastAsia="zh-CN"/>
        </w:rPr>
        <w:t>NH</w:t>
      </w:r>
      <w:r>
        <w:rPr>
          <w:rFonts w:hint="default" w:ascii="Times New Roman" w:hAnsi="Times New Roman" w:cs="Times New Roman"/>
          <w:color w:val="auto"/>
          <w:sz w:val="24"/>
          <w:szCs w:val="24"/>
          <w:vertAlign w:val="subscript"/>
          <w:lang w:val="en-US" w:eastAsia="zh-CN"/>
        </w:rPr>
        <w:t>3</w:t>
      </w:r>
      <w:r>
        <w:rPr>
          <w:rFonts w:hint="default" w:ascii="Times New Roman" w:hAnsi="Times New Roman" w:cs="Times New Roman"/>
          <w:color w:val="auto"/>
          <w:sz w:val="24"/>
          <w:lang w:eastAsia="zh-CN"/>
        </w:rPr>
        <w:t>、</w:t>
      </w:r>
      <w:r>
        <w:rPr>
          <w:rFonts w:hint="default" w:ascii="Times New Roman" w:hAnsi="Times New Roman" w:cs="Times New Roman"/>
          <w:color w:val="auto"/>
          <w:sz w:val="24"/>
          <w:szCs w:val="24"/>
          <w:vertAlign w:val="baseline"/>
          <w:lang w:val="en-US" w:eastAsia="zh-CN"/>
        </w:rPr>
        <w:t>H</w:t>
      </w:r>
      <w:r>
        <w:rPr>
          <w:rFonts w:hint="default" w:ascii="Times New Roman" w:hAnsi="Times New Roman" w:cs="Times New Roman"/>
          <w:color w:val="auto"/>
          <w:sz w:val="24"/>
          <w:szCs w:val="24"/>
          <w:vertAlign w:val="subscript"/>
          <w:lang w:val="en-US" w:eastAsia="zh-CN"/>
        </w:rPr>
        <w:t>2</w:t>
      </w:r>
      <w:r>
        <w:rPr>
          <w:rFonts w:hint="default" w:ascii="Times New Roman" w:hAnsi="Times New Roman" w:cs="Times New Roman"/>
          <w:color w:val="auto"/>
          <w:sz w:val="24"/>
          <w:szCs w:val="24"/>
          <w:vertAlign w:val="baseline"/>
          <w:lang w:val="en-US" w:eastAsia="zh-CN"/>
        </w:rPr>
        <w:t>S</w:t>
      </w:r>
      <w:r>
        <w:rPr>
          <w:rFonts w:hint="eastAsia" w:cs="Times New Roman"/>
          <w:color w:val="auto"/>
          <w:sz w:val="24"/>
          <w:szCs w:val="24"/>
          <w:vertAlign w:val="baseline"/>
          <w:lang w:val="en-US" w:eastAsia="zh-CN"/>
        </w:rPr>
        <w:t>执行《工业企业设计卫生标准》（TJ36-79）中表1居住区大气中有害物质的最高容许浓度</w:t>
      </w:r>
      <w:r>
        <w:rPr>
          <w:rFonts w:hint="eastAsia"/>
          <w:color w:val="auto"/>
          <w:sz w:val="24"/>
        </w:rPr>
        <w:t>，项目所在区域环境空气质量较好。</w:t>
      </w:r>
    </w:p>
    <w:p>
      <w:pPr>
        <w:rPr>
          <w:rFonts w:hint="eastAsia" w:eastAsia="宋体"/>
          <w:color w:val="auto"/>
          <w:sz w:val="24"/>
          <w:lang w:val="en-US" w:eastAsia="zh-CN"/>
        </w:rPr>
      </w:pPr>
      <w:r>
        <w:rPr>
          <w:rFonts w:hint="eastAsia"/>
          <w:color w:val="auto"/>
          <w:sz w:val="24"/>
          <w:lang w:val="en-US" w:eastAsia="zh-CN"/>
        </w:rPr>
        <w:t>2、地</w:t>
      </w:r>
      <w:r>
        <w:rPr>
          <w:rFonts w:hint="eastAsia"/>
          <w:color w:val="auto"/>
          <w:sz w:val="24"/>
          <w:u w:val="none"/>
          <w:lang w:val="en-US" w:eastAsia="zh-CN"/>
        </w:rPr>
        <w:t>表水环境：</w:t>
      </w:r>
      <w:r>
        <w:rPr>
          <w:rFonts w:hint="eastAsia"/>
          <w:color w:val="auto"/>
          <w:u w:val="none"/>
          <w:lang w:val="en-US" w:eastAsia="zh-CN"/>
        </w:rPr>
        <w:t>根据现状检测结果可知，芭蕉湖各检测因子均能满足</w:t>
      </w:r>
      <w:r>
        <w:rPr>
          <w:color w:val="auto"/>
          <w:u w:val="none"/>
        </w:rPr>
        <w:t>《地表水环境质量标准》（GB3838-2002）</w:t>
      </w:r>
      <w:r>
        <w:rPr>
          <w:rFonts w:hint="eastAsia"/>
          <w:color w:val="auto"/>
          <w:u w:val="none"/>
        </w:rPr>
        <w:t>Ⅲ</w:t>
      </w:r>
      <w:r>
        <w:rPr>
          <w:color w:val="auto"/>
          <w:u w:val="none"/>
        </w:rPr>
        <w:t>类标准</w:t>
      </w:r>
      <w:r>
        <w:rPr>
          <w:rFonts w:hint="eastAsia"/>
          <w:color w:val="auto"/>
          <w:u w:val="none"/>
        </w:rPr>
        <w:t>要求，说明项目所在地表水环境质量现状较好</w:t>
      </w:r>
      <w:r>
        <w:rPr>
          <w:rFonts w:hint="eastAsia"/>
          <w:color w:val="auto"/>
          <w:u w:val="none"/>
          <w:lang w:eastAsia="zh-CN"/>
        </w:rPr>
        <w:t>；</w:t>
      </w:r>
      <w:r>
        <w:rPr>
          <w:rFonts w:hint="eastAsia"/>
          <w:u w:val="none"/>
        </w:rPr>
        <w:t>处理厂西北面水塘(W4)各检测因子均能满足</w:t>
      </w:r>
      <w:r>
        <w:rPr>
          <w:u w:val="none"/>
        </w:rPr>
        <w:t>《地表水环境质量标准》（GB3838-2002）</w:t>
      </w:r>
      <w:r>
        <w:rPr>
          <w:rFonts w:hint="eastAsia"/>
          <w:u w:val="none"/>
        </w:rPr>
        <w:t>Ⅲ</w:t>
      </w:r>
      <w:r>
        <w:rPr>
          <w:u w:val="none"/>
        </w:rPr>
        <w:t>类标准</w:t>
      </w:r>
      <w:r>
        <w:rPr>
          <w:rFonts w:hint="eastAsia"/>
          <w:u w:val="none"/>
        </w:rPr>
        <w:t>要求，地表水环境质量现状较好；北面胥家桥村鱼塘(W3)氨氮超标，最大超标倍数分别为0.73倍，主要是周边生活污染所致</w:t>
      </w:r>
      <w:r>
        <w:rPr>
          <w:rFonts w:hint="eastAsia"/>
          <w:color w:val="auto"/>
          <w:u w:val="none"/>
        </w:rPr>
        <w:t>。</w:t>
      </w:r>
    </w:p>
    <w:p>
      <w:pPr>
        <w:rPr>
          <w:rFonts w:hint="eastAsia"/>
          <w:color w:val="auto"/>
          <w:lang w:eastAsia="zh-CN"/>
        </w:rPr>
      </w:pPr>
      <w:r>
        <w:rPr>
          <w:rFonts w:hint="eastAsia"/>
          <w:color w:val="auto"/>
          <w:lang w:val="en-US" w:eastAsia="zh-CN"/>
        </w:rPr>
        <w:t>3、地下水环境：根据现状检测结果可知，本项目评价区域范围内地下水检测因子除COD</w:t>
      </w:r>
      <w:r>
        <w:rPr>
          <w:rFonts w:hint="eastAsia"/>
          <w:color w:val="auto"/>
          <w:vertAlign w:val="subscript"/>
          <w:lang w:val="en-US" w:eastAsia="zh-CN"/>
        </w:rPr>
        <w:t>Mn</w:t>
      </w:r>
      <w:r>
        <w:rPr>
          <w:rFonts w:hint="eastAsia"/>
          <w:color w:val="auto"/>
          <w:vertAlign w:val="baseline"/>
          <w:lang w:val="en-US" w:eastAsia="zh-CN"/>
        </w:rPr>
        <w:t>、氨氮、总大肠菌群、亚硝酸盐氮、铁、锰6项因子外未能达到《地下水质量标准》（GB/T14848-93）中</w:t>
      </w:r>
      <w:r>
        <w:rPr>
          <w:rFonts w:hint="eastAsia"/>
          <w:color w:val="auto"/>
        </w:rPr>
        <w:t>Ⅲ</w:t>
      </w:r>
      <w:r>
        <w:rPr>
          <w:color w:val="auto"/>
        </w:rPr>
        <w:t>类标准</w:t>
      </w:r>
      <w:r>
        <w:rPr>
          <w:rFonts w:hint="eastAsia"/>
          <w:color w:val="auto"/>
        </w:rPr>
        <w:t>要求</w:t>
      </w:r>
      <w:r>
        <w:rPr>
          <w:rFonts w:hint="eastAsia"/>
          <w:color w:val="auto"/>
          <w:lang w:eastAsia="zh-CN"/>
        </w:rPr>
        <w:t>，其他检测因子均能满足</w:t>
      </w:r>
      <w:r>
        <w:rPr>
          <w:rFonts w:hint="eastAsia"/>
          <w:color w:val="auto"/>
          <w:vertAlign w:val="baseline"/>
          <w:lang w:val="en-US" w:eastAsia="zh-CN"/>
        </w:rPr>
        <w:t>《地下水质量标准》（GB/T14848-93）中</w:t>
      </w:r>
      <w:r>
        <w:rPr>
          <w:rFonts w:hint="eastAsia"/>
          <w:color w:val="auto"/>
        </w:rPr>
        <w:t>Ⅲ</w:t>
      </w:r>
      <w:r>
        <w:rPr>
          <w:color w:val="auto"/>
        </w:rPr>
        <w:t>类标准</w:t>
      </w:r>
      <w:r>
        <w:rPr>
          <w:rFonts w:hint="eastAsia"/>
          <w:color w:val="auto"/>
        </w:rPr>
        <w:t>要求</w:t>
      </w:r>
      <w:r>
        <w:rPr>
          <w:rFonts w:hint="eastAsia"/>
          <w:color w:val="auto"/>
          <w:lang w:eastAsia="zh-CN"/>
        </w:rPr>
        <w:t>。根据表</w:t>
      </w:r>
      <w:r>
        <w:rPr>
          <w:rFonts w:hint="eastAsia"/>
          <w:color w:val="auto"/>
          <w:lang w:val="en-US" w:eastAsia="zh-CN"/>
        </w:rPr>
        <w:t>6-6，垃圾填埋场本底井和污染监视井水质较好，因此，居民地下水铁、锰出现超标的原因可能是铁、锰背景值较高；COD</w:t>
      </w:r>
      <w:r>
        <w:rPr>
          <w:rFonts w:hint="eastAsia"/>
          <w:color w:val="auto"/>
          <w:vertAlign w:val="subscript"/>
          <w:lang w:val="en-US" w:eastAsia="zh-CN"/>
        </w:rPr>
        <w:t>Mn</w:t>
      </w:r>
      <w:r>
        <w:rPr>
          <w:rFonts w:hint="eastAsia"/>
          <w:color w:val="auto"/>
          <w:vertAlign w:val="baseline"/>
          <w:lang w:val="en-US" w:eastAsia="zh-CN"/>
        </w:rPr>
        <w:t>、氨氮、总大肠菌群、亚硝酸盐氮出现超标的原因可能是由于周边居民生活污水未经处理直排或区域内小型养殖场废水未经处理直排造成</w:t>
      </w:r>
      <w:r>
        <w:rPr>
          <w:rFonts w:hint="eastAsia"/>
          <w:color w:val="auto"/>
          <w:lang w:eastAsia="zh-CN"/>
        </w:rPr>
        <w:t>。</w:t>
      </w:r>
    </w:p>
    <w:p>
      <w:pPr>
        <w:rPr>
          <w:rFonts w:hint="eastAsia"/>
          <w:color w:val="auto"/>
          <w:kern w:val="0"/>
          <w:sz w:val="24"/>
        </w:rPr>
      </w:pPr>
      <w:r>
        <w:rPr>
          <w:rFonts w:hint="eastAsia"/>
          <w:color w:val="auto"/>
          <w:lang w:val="en-US" w:eastAsia="zh-CN"/>
        </w:rPr>
        <w:t>4、声环境：根据现状检测结果可知，</w:t>
      </w:r>
      <w:r>
        <w:rPr>
          <w:rFonts w:hint="eastAsia"/>
          <w:color w:val="auto"/>
          <w:kern w:val="0"/>
          <w:sz w:val="24"/>
          <w:lang w:eastAsia="zh-CN"/>
        </w:rPr>
        <w:t>检测</w:t>
      </w:r>
      <w:r>
        <w:rPr>
          <w:color w:val="auto"/>
          <w:kern w:val="0"/>
          <w:sz w:val="24"/>
        </w:rPr>
        <w:t>期间</w:t>
      </w:r>
      <w:r>
        <w:rPr>
          <w:rFonts w:hint="eastAsia"/>
          <w:color w:val="auto"/>
          <w:kern w:val="0"/>
          <w:sz w:val="24"/>
        </w:rPr>
        <w:t>各</w:t>
      </w:r>
      <w:r>
        <w:rPr>
          <w:rFonts w:hint="eastAsia"/>
          <w:color w:val="auto"/>
          <w:kern w:val="0"/>
          <w:sz w:val="24"/>
          <w:lang w:eastAsia="zh-CN"/>
        </w:rPr>
        <w:t>检测</w:t>
      </w:r>
      <w:r>
        <w:rPr>
          <w:rFonts w:hint="eastAsia"/>
          <w:color w:val="auto"/>
          <w:kern w:val="0"/>
          <w:sz w:val="24"/>
        </w:rPr>
        <w:t>点昼夜</w:t>
      </w:r>
      <w:r>
        <w:rPr>
          <w:color w:val="auto"/>
          <w:kern w:val="0"/>
          <w:sz w:val="24"/>
        </w:rPr>
        <w:t>环境噪声均</w:t>
      </w:r>
      <w:r>
        <w:rPr>
          <w:rFonts w:hint="eastAsia"/>
          <w:color w:val="auto"/>
          <w:kern w:val="0"/>
          <w:sz w:val="24"/>
        </w:rPr>
        <w:t>能满足</w:t>
      </w:r>
      <w:r>
        <w:rPr>
          <w:color w:val="auto"/>
          <w:kern w:val="0"/>
          <w:sz w:val="24"/>
        </w:rPr>
        <w:t>《声环境质量标准》（GB309</w:t>
      </w:r>
      <w:r>
        <w:rPr>
          <w:rFonts w:hint="eastAsia"/>
          <w:color w:val="auto"/>
          <w:kern w:val="0"/>
          <w:sz w:val="24"/>
        </w:rPr>
        <w:t>-</w:t>
      </w:r>
      <w:r>
        <w:rPr>
          <w:color w:val="auto"/>
          <w:kern w:val="0"/>
          <w:sz w:val="24"/>
        </w:rPr>
        <w:t>2008）中的</w:t>
      </w:r>
      <w:r>
        <w:rPr>
          <w:rFonts w:hint="eastAsia"/>
          <w:color w:val="auto"/>
          <w:kern w:val="0"/>
          <w:sz w:val="24"/>
          <w:lang w:val="en-US" w:eastAsia="zh-CN"/>
        </w:rPr>
        <w:t>2</w:t>
      </w:r>
      <w:r>
        <w:rPr>
          <w:color w:val="auto"/>
          <w:kern w:val="0"/>
          <w:sz w:val="24"/>
        </w:rPr>
        <w:t>类标准要求</w:t>
      </w:r>
      <w:r>
        <w:rPr>
          <w:rFonts w:hint="eastAsia"/>
          <w:color w:val="auto"/>
          <w:kern w:val="0"/>
          <w:sz w:val="24"/>
        </w:rPr>
        <w:t>，说明项目所在地声环境质量现状较好。</w:t>
      </w:r>
    </w:p>
    <w:p>
      <w:pPr>
        <w:rPr>
          <w:rFonts w:hint="eastAsia" w:eastAsia="宋体"/>
          <w:color w:val="auto"/>
          <w:kern w:val="0"/>
          <w:sz w:val="24"/>
          <w:lang w:val="en-US" w:eastAsia="zh-CN"/>
        </w:rPr>
      </w:pPr>
      <w:r>
        <w:rPr>
          <w:rFonts w:hint="eastAsia"/>
          <w:color w:val="auto"/>
          <w:kern w:val="0"/>
          <w:sz w:val="24"/>
          <w:lang w:val="en-US" w:eastAsia="zh-CN"/>
        </w:rPr>
        <w:t>5、土壤环境：</w:t>
      </w:r>
      <w:r>
        <w:rPr>
          <w:rFonts w:hint="eastAsia"/>
          <w:color w:val="auto"/>
          <w:lang w:val="en-US" w:eastAsia="zh-CN"/>
        </w:rPr>
        <w:t>根据现状检测结果可知，检测点土壤中各检测因子均满足《土壤环境质量标准》（GB15618-1995）标准限值。因此，评价区域范围内土壤环境质量现状较好。</w:t>
      </w:r>
    </w:p>
    <w:p>
      <w:pPr>
        <w:pStyle w:val="4"/>
        <w:rPr>
          <w:rFonts w:hint="eastAsia"/>
          <w:color w:val="auto"/>
          <w:lang w:val="en-US" w:eastAsia="zh-CN"/>
        </w:rPr>
      </w:pPr>
      <w:r>
        <w:rPr>
          <w:rFonts w:hint="eastAsia"/>
          <w:color w:val="auto"/>
          <w:lang w:val="en-US" w:eastAsia="zh-CN"/>
        </w:rPr>
        <w:t>14.1.3环境影响评价结论</w:t>
      </w:r>
    </w:p>
    <w:p>
      <w:pPr>
        <w:rPr>
          <w:rFonts w:hint="eastAsia"/>
          <w:color w:val="auto"/>
          <w:lang w:val="en-US" w:eastAsia="zh-CN"/>
        </w:rPr>
      </w:pPr>
      <w:r>
        <w:rPr>
          <w:rFonts w:hint="eastAsia"/>
          <w:color w:val="auto"/>
          <w:lang w:val="en-US" w:eastAsia="zh-CN"/>
        </w:rPr>
        <w:t>1、施工期环境影响评价结论</w:t>
      </w:r>
    </w:p>
    <w:p>
      <w:pPr>
        <w:rPr>
          <w:rFonts w:hint="eastAsia"/>
          <w:color w:val="auto"/>
          <w:lang w:val="en-US" w:eastAsia="zh-CN"/>
        </w:rPr>
      </w:pPr>
      <w:r>
        <w:rPr>
          <w:rFonts w:hint="eastAsia"/>
          <w:color w:val="auto"/>
          <w:lang w:val="en-US" w:eastAsia="zh-CN"/>
        </w:rPr>
        <w:t>（1）大气环境影响评价结论</w:t>
      </w:r>
    </w:p>
    <w:p>
      <w:pPr>
        <w:rPr>
          <w:rFonts w:hint="eastAsia"/>
          <w:color w:val="auto"/>
        </w:rPr>
      </w:pPr>
      <w:r>
        <w:rPr>
          <w:rFonts w:hint="eastAsia"/>
          <w:color w:val="auto"/>
          <w:lang w:val="en-US" w:eastAsia="zh-CN"/>
        </w:rPr>
        <w:t>施工期间场区内采取洒水抑尘、及时清运弃土等抑尘措施</w:t>
      </w:r>
      <w:r>
        <w:rPr>
          <w:rFonts w:hint="eastAsia"/>
          <w:color w:val="auto"/>
        </w:rPr>
        <w:t>，以减少施工扬尘对周围环境的影响。</w:t>
      </w:r>
      <w:r>
        <w:rPr>
          <w:rFonts w:hint="eastAsia"/>
          <w:color w:val="auto"/>
          <w:lang w:eastAsia="zh-CN"/>
        </w:rPr>
        <w:t>对于交通运输产生的扬尘，通过</w:t>
      </w:r>
      <w:r>
        <w:rPr>
          <w:rFonts w:hint="eastAsia"/>
          <w:color w:val="auto"/>
        </w:rPr>
        <w:t>限速行驶及保持路面的清洁是减少汽车扬尘的有效办法。另外为工程车辆进出行驶产生的汽车尾气，以及施工接卸包括挖掘机、推土机、装载机等，以柴油为燃料的重工器械运转产生的一定量燃料废气，包括CO、NOx、SO2等</w:t>
      </w:r>
      <w:r>
        <w:rPr>
          <w:rFonts w:hint="eastAsia"/>
          <w:color w:val="auto"/>
          <w:lang w:eastAsia="zh-CN"/>
        </w:rPr>
        <w:t>，</w:t>
      </w:r>
      <w:r>
        <w:rPr>
          <w:rFonts w:hint="eastAsia"/>
          <w:color w:val="auto"/>
        </w:rPr>
        <w:t>但产生量有限，影响范围基本局限于施工场界内</w:t>
      </w:r>
      <w:r>
        <w:rPr>
          <w:rFonts w:hint="eastAsia"/>
          <w:color w:val="auto"/>
          <w:lang w:eastAsia="zh-CN"/>
        </w:rPr>
        <w:t>。因此，在采取上述措施后，施工废气</w:t>
      </w:r>
      <w:r>
        <w:rPr>
          <w:rFonts w:hint="eastAsia"/>
          <w:color w:val="auto"/>
        </w:rPr>
        <w:t>对周边环境影响不大。</w:t>
      </w:r>
    </w:p>
    <w:p>
      <w:pPr>
        <w:numPr>
          <w:ilvl w:val="0"/>
          <w:numId w:val="22"/>
        </w:numPr>
        <w:rPr>
          <w:rFonts w:hint="eastAsia"/>
          <w:color w:val="auto"/>
          <w:lang w:val="en-US" w:eastAsia="zh-CN"/>
        </w:rPr>
      </w:pPr>
      <w:r>
        <w:rPr>
          <w:rFonts w:hint="eastAsia"/>
          <w:color w:val="auto"/>
          <w:lang w:val="en-US" w:eastAsia="zh-CN"/>
        </w:rPr>
        <w:t>地表水环境影响评价结论</w:t>
      </w:r>
    </w:p>
    <w:p>
      <w:pPr>
        <w:rPr>
          <w:rFonts w:hint="eastAsia"/>
          <w:color w:val="auto"/>
          <w:lang w:val="en-US" w:eastAsia="zh-CN"/>
        </w:rPr>
      </w:pPr>
      <w:r>
        <w:rPr>
          <w:rFonts w:hint="eastAsia"/>
          <w:color w:val="auto"/>
          <w:lang w:val="en-US" w:eastAsia="zh-CN"/>
        </w:rPr>
        <w:t>施工人员生活污水，主要为冲厕废水以及洗漱废水等，依托现有工程化粪池处理后排入污水处理站进行进一步处理；施工废水通过导流沟排入现有场区污水处理站进行处理。根据本次环评对污水处理站进出口水质检测结果可知，废水经场区内污水处理站处理后能达标排放，对周边环境影响较小。</w:t>
      </w:r>
    </w:p>
    <w:p>
      <w:pPr>
        <w:numPr>
          <w:ilvl w:val="0"/>
          <w:numId w:val="22"/>
        </w:numPr>
        <w:rPr>
          <w:rFonts w:hint="eastAsia"/>
          <w:color w:val="auto"/>
          <w:lang w:val="en-US" w:eastAsia="zh-CN"/>
        </w:rPr>
      </w:pPr>
      <w:r>
        <w:rPr>
          <w:rFonts w:hint="eastAsia"/>
          <w:color w:val="auto"/>
          <w:lang w:val="en-US" w:eastAsia="zh-CN"/>
        </w:rPr>
        <w:t>声环境影响评价结论</w:t>
      </w:r>
    </w:p>
    <w:p>
      <w:pPr>
        <w:rPr>
          <w:rFonts w:hint="eastAsia"/>
          <w:color w:val="auto"/>
          <w:lang w:val="en-US" w:eastAsia="zh-CN"/>
        </w:rPr>
      </w:pPr>
      <w:r>
        <w:rPr>
          <w:color w:val="auto"/>
        </w:rPr>
        <w:t>本项目施工建设活动必须严格执行《建筑施工场界环境噪声排放标准》(GB12523-2011)中的标准和规定。在建筑施工过程中使用机械设备可能产生环境噪声污染的施工单位，应当按照《中华人民共和国环境噪声污染防治法》有关规定，及时向环境保护部门申报；禁止在夜间进行产生噪声污染的施工作业</w:t>
      </w:r>
      <w:r>
        <w:rPr>
          <w:rFonts w:hint="eastAsia"/>
          <w:color w:val="auto"/>
          <w:lang w:eastAsia="zh-CN"/>
        </w:rPr>
        <w:t>，</w:t>
      </w:r>
      <w:r>
        <w:rPr>
          <w:color w:val="auto"/>
        </w:rPr>
        <w:t>因生产工艺要求确需在夜间进行施工作业的，施工单位应当持所在地建设行政主管部门的施工意见书，向所在地环境保护部门申领夜间作业证明。同时加强运输车辆管理，文明施工，禁止夜间开挖等，防止噪声扰民。</w:t>
      </w:r>
    </w:p>
    <w:p>
      <w:pPr>
        <w:numPr>
          <w:ilvl w:val="0"/>
          <w:numId w:val="22"/>
        </w:numPr>
        <w:rPr>
          <w:rFonts w:hint="eastAsia"/>
          <w:color w:val="auto"/>
          <w:lang w:val="en-US" w:eastAsia="zh-CN"/>
        </w:rPr>
      </w:pPr>
      <w:r>
        <w:rPr>
          <w:rFonts w:hint="eastAsia"/>
          <w:color w:val="auto"/>
          <w:lang w:val="en-US" w:eastAsia="zh-CN"/>
        </w:rPr>
        <w:t>固体废物环境影响评价结论</w:t>
      </w:r>
    </w:p>
    <w:p>
      <w:pPr>
        <w:rPr>
          <w:color w:val="auto"/>
        </w:rPr>
      </w:pPr>
      <w:r>
        <w:rPr>
          <w:color w:val="auto"/>
        </w:rPr>
        <w:t>工程开挖的土石方主要利用于</w:t>
      </w:r>
      <w:r>
        <w:rPr>
          <w:rFonts w:hint="eastAsia"/>
          <w:color w:val="auto"/>
          <w:lang w:eastAsia="zh-CN"/>
        </w:rPr>
        <w:t>现有工程</w:t>
      </w:r>
      <w:r>
        <w:rPr>
          <w:color w:val="auto"/>
        </w:rPr>
        <w:t>垃圾填埋时覆土，</w:t>
      </w:r>
      <w:r>
        <w:rPr>
          <w:rFonts w:hint="eastAsia"/>
          <w:color w:val="auto"/>
          <w:lang w:eastAsia="zh-CN"/>
        </w:rPr>
        <w:t>由于其土石方产生量不大，可以在场区内实现综合利用，不外排；</w:t>
      </w:r>
      <w:r>
        <w:rPr>
          <w:color w:val="auto"/>
        </w:rPr>
        <w:t>建筑垃圾</w:t>
      </w:r>
      <w:r>
        <w:rPr>
          <w:rFonts w:hint="eastAsia"/>
          <w:color w:val="auto"/>
          <w:lang w:eastAsia="zh-CN"/>
        </w:rPr>
        <w:t>对可利用的</w:t>
      </w:r>
      <w:r>
        <w:rPr>
          <w:color w:val="auto"/>
        </w:rPr>
        <w:t>进行综合利用，</w:t>
      </w:r>
      <w:r>
        <w:rPr>
          <w:rFonts w:hint="eastAsia"/>
          <w:color w:val="auto"/>
          <w:lang w:eastAsia="zh-CN"/>
        </w:rPr>
        <w:t>不可利用的托运至现有工程填埋场区进行卫生填埋；</w:t>
      </w:r>
      <w:r>
        <w:rPr>
          <w:color w:val="auto"/>
        </w:rPr>
        <w:t>生活垃圾，</w:t>
      </w:r>
      <w:r>
        <w:rPr>
          <w:rFonts w:hint="eastAsia"/>
          <w:color w:val="auto"/>
          <w:lang w:eastAsia="zh-CN"/>
        </w:rPr>
        <w:t>可与场区内现有工程产生的生活垃圾一起运至垃圾填埋场内现有工程进行卫生填埋</w:t>
      </w:r>
      <w:r>
        <w:rPr>
          <w:color w:val="auto"/>
        </w:rPr>
        <w:t>。综上</w:t>
      </w:r>
      <w:r>
        <w:rPr>
          <w:rFonts w:hint="eastAsia"/>
          <w:color w:val="auto"/>
          <w:lang w:eastAsia="zh-CN"/>
        </w:rPr>
        <w:t>所述</w:t>
      </w:r>
      <w:r>
        <w:rPr>
          <w:color w:val="auto"/>
        </w:rPr>
        <w:t>，项目各施工期固废均合理收集，处理处置，对周边环境基本无影响。</w:t>
      </w:r>
    </w:p>
    <w:p>
      <w:pPr>
        <w:rPr>
          <w:rFonts w:hint="eastAsia" w:eastAsia="宋体"/>
          <w:color w:val="auto"/>
          <w:lang w:val="en-US" w:eastAsia="zh-CN"/>
        </w:rPr>
      </w:pPr>
      <w:r>
        <w:rPr>
          <w:rFonts w:hint="eastAsia"/>
          <w:color w:val="auto"/>
          <w:lang w:val="en-US" w:eastAsia="zh-CN"/>
        </w:rPr>
        <w:t>2、营运期环境影响评价结论</w:t>
      </w:r>
    </w:p>
    <w:p>
      <w:pPr>
        <w:rPr>
          <w:rFonts w:hint="eastAsia"/>
          <w:color w:val="auto"/>
          <w:lang w:val="en-US" w:eastAsia="zh-CN"/>
        </w:rPr>
      </w:pPr>
      <w:r>
        <w:rPr>
          <w:rFonts w:hint="eastAsia"/>
          <w:color w:val="auto"/>
          <w:lang w:val="en-US" w:eastAsia="zh-CN"/>
        </w:rPr>
        <w:t>（1）大气环境影响评价结论</w:t>
      </w:r>
    </w:p>
    <w:p>
      <w:pPr>
        <w:rPr>
          <w:snapToGrid w:val="0"/>
          <w:color w:val="auto"/>
          <w:kern w:val="0"/>
          <w:sz w:val="24"/>
        </w:rPr>
      </w:pPr>
      <w:r>
        <w:rPr>
          <w:snapToGrid w:val="0"/>
          <w:color w:val="auto"/>
          <w:kern w:val="0"/>
          <w:sz w:val="24"/>
        </w:rPr>
        <w:t>工程填埋废气NH</w:t>
      </w:r>
      <w:r>
        <w:rPr>
          <w:snapToGrid w:val="0"/>
          <w:color w:val="auto"/>
          <w:kern w:val="0"/>
          <w:sz w:val="24"/>
          <w:vertAlign w:val="subscript"/>
        </w:rPr>
        <w:t>3</w:t>
      </w:r>
      <w:r>
        <w:rPr>
          <w:snapToGrid w:val="0"/>
          <w:color w:val="auto"/>
          <w:kern w:val="0"/>
          <w:sz w:val="24"/>
        </w:rPr>
        <w:t>、H</w:t>
      </w:r>
      <w:r>
        <w:rPr>
          <w:snapToGrid w:val="0"/>
          <w:color w:val="auto"/>
          <w:kern w:val="0"/>
          <w:sz w:val="24"/>
          <w:vertAlign w:val="subscript"/>
        </w:rPr>
        <w:t>2</w:t>
      </w:r>
      <w:r>
        <w:rPr>
          <w:snapToGrid w:val="0"/>
          <w:color w:val="auto"/>
          <w:kern w:val="0"/>
          <w:sz w:val="24"/>
        </w:rPr>
        <w:t>S及其他臭气浓度排放符合《恶臭污染物排放标准》(GB14554-93)中二级标准，作业区PM</w:t>
      </w:r>
      <w:r>
        <w:rPr>
          <w:snapToGrid w:val="0"/>
          <w:color w:val="auto"/>
          <w:kern w:val="0"/>
          <w:sz w:val="24"/>
          <w:vertAlign w:val="subscript"/>
        </w:rPr>
        <w:t>10</w:t>
      </w:r>
      <w:r>
        <w:rPr>
          <w:snapToGrid w:val="0"/>
          <w:color w:val="auto"/>
          <w:kern w:val="0"/>
          <w:sz w:val="24"/>
        </w:rPr>
        <w:t>符合《大气污染物综合排放标准》(GB16297-1996)新改扩无组织排放限值标准；工作区符合《环境空气质量标准》(GB3095-2012) 二级标准。</w:t>
      </w:r>
    </w:p>
    <w:p>
      <w:pPr>
        <w:rPr>
          <w:color w:val="auto"/>
        </w:rPr>
      </w:pPr>
      <w:r>
        <w:rPr>
          <w:snapToGrid w:val="0"/>
          <w:color w:val="auto"/>
          <w:kern w:val="0"/>
          <w:sz w:val="24"/>
        </w:rPr>
        <w:t>根据导则SCREEN3预测估算结果，本工程排放的各废气最大落地点浓度、对敏感点影响浓度均符合《工业企业设计卫生标准》(TJ36-79)中居住区大气中有害物质的最高允许浓度限值，且占标率小于10%，对周边环境及敏感点影响较小。</w:t>
      </w:r>
    </w:p>
    <w:p>
      <w:pPr>
        <w:rPr>
          <w:rFonts w:hint="eastAsia" w:eastAsia="宋体"/>
          <w:color w:val="auto"/>
          <w:lang w:eastAsia="zh-CN"/>
        </w:rPr>
      </w:pPr>
      <w:r>
        <w:rPr>
          <w:rFonts w:hint="eastAsia"/>
          <w:color w:val="auto"/>
          <w:lang w:eastAsia="zh-CN"/>
        </w:rPr>
        <w:t>（</w:t>
      </w:r>
      <w:r>
        <w:rPr>
          <w:rFonts w:hint="eastAsia"/>
          <w:color w:val="auto"/>
          <w:lang w:val="en-US" w:eastAsia="zh-CN"/>
        </w:rPr>
        <w:t>2</w:t>
      </w:r>
      <w:r>
        <w:rPr>
          <w:rFonts w:hint="eastAsia"/>
          <w:color w:val="auto"/>
          <w:lang w:eastAsia="zh-CN"/>
        </w:rPr>
        <w:t>）地表水环境影响评价结论</w:t>
      </w:r>
    </w:p>
    <w:p>
      <w:pPr>
        <w:rPr>
          <w:spacing w:val="4"/>
          <w:sz w:val="24"/>
          <w:szCs w:val="24"/>
        </w:rPr>
      </w:pPr>
      <w:r>
        <w:rPr>
          <w:rFonts w:hint="eastAsia"/>
          <w:color w:val="auto"/>
          <w:lang w:eastAsia="zh-CN"/>
        </w:rPr>
        <w:t>根据预测结果可知，</w:t>
      </w:r>
      <w:r>
        <w:rPr>
          <w:rFonts w:hint="eastAsia"/>
          <w:color w:val="auto"/>
          <w:lang w:val="en-US" w:eastAsia="zh-CN"/>
        </w:rPr>
        <w:t>正常排放情况下，</w:t>
      </w:r>
      <w:r>
        <w:rPr>
          <w:rFonts w:hint="eastAsia"/>
          <w:sz w:val="24"/>
          <w:szCs w:val="24"/>
        </w:rPr>
        <w:t>排污口周围水体中</w:t>
      </w:r>
      <w:r>
        <w:rPr>
          <w:rFonts w:hint="eastAsia"/>
          <w:sz w:val="24"/>
        </w:rPr>
        <w:t>COD、NH</w:t>
      </w:r>
      <w:r>
        <w:rPr>
          <w:rFonts w:hint="eastAsia"/>
          <w:sz w:val="24"/>
          <w:vertAlign w:val="subscript"/>
        </w:rPr>
        <w:t>3</w:t>
      </w:r>
      <w:r>
        <w:rPr>
          <w:rFonts w:hint="eastAsia"/>
          <w:sz w:val="24"/>
        </w:rPr>
        <w:t>-N都有局部超标现象，距排污口的距离</w:t>
      </w:r>
      <w:r>
        <w:rPr>
          <w:rFonts w:hint="eastAsia"/>
          <w:sz w:val="24"/>
          <w:lang w:val="en-US" w:eastAsia="zh-CN"/>
        </w:rPr>
        <w:t>40m之后</w:t>
      </w:r>
      <w:r>
        <w:rPr>
          <w:sz w:val="24"/>
          <w:szCs w:val="24"/>
        </w:rPr>
        <w:t>，</w:t>
      </w:r>
      <w:r>
        <w:rPr>
          <w:rFonts w:hint="eastAsia"/>
          <w:sz w:val="24"/>
          <w:szCs w:val="24"/>
          <w:lang w:eastAsia="zh-CN"/>
        </w:rPr>
        <w:t>均可达到</w:t>
      </w:r>
      <w:r>
        <w:rPr>
          <w:spacing w:val="4"/>
          <w:sz w:val="24"/>
          <w:szCs w:val="24"/>
        </w:rPr>
        <w:t>《地表水环境质量标准》（GB3838-2002）</w:t>
      </w:r>
      <w:r>
        <w:rPr>
          <w:rFonts w:hint="eastAsia"/>
          <w:sz w:val="24"/>
          <w:lang w:val="en-US" w:eastAsia="zh-CN"/>
        </w:rPr>
        <w:t>III</w:t>
      </w:r>
      <w:r>
        <w:rPr>
          <w:spacing w:val="4"/>
          <w:sz w:val="24"/>
          <w:szCs w:val="24"/>
        </w:rPr>
        <w:t>类标准</w:t>
      </w:r>
      <w:r>
        <w:rPr>
          <w:rFonts w:hint="eastAsia"/>
          <w:spacing w:val="4"/>
          <w:sz w:val="24"/>
          <w:szCs w:val="24"/>
          <w:lang w:eastAsia="zh-CN"/>
        </w:rPr>
        <w:t>；</w:t>
      </w:r>
      <w:r>
        <w:rPr>
          <w:rFonts w:hint="eastAsia"/>
          <w:color w:val="auto"/>
          <w:lang w:val="en-US" w:eastAsia="zh-CN"/>
        </w:rPr>
        <w:t>非正常排放情况下，</w:t>
      </w:r>
      <w:r>
        <w:rPr>
          <w:rFonts w:hint="eastAsia"/>
          <w:sz w:val="24"/>
          <w:szCs w:val="24"/>
        </w:rPr>
        <w:t>排污口周围水体中</w:t>
      </w:r>
      <w:r>
        <w:rPr>
          <w:rFonts w:hint="eastAsia"/>
          <w:sz w:val="24"/>
        </w:rPr>
        <w:t>COD、NH</w:t>
      </w:r>
      <w:r>
        <w:rPr>
          <w:rFonts w:hint="eastAsia"/>
          <w:sz w:val="24"/>
          <w:vertAlign w:val="subscript"/>
        </w:rPr>
        <w:t>3</w:t>
      </w:r>
      <w:r>
        <w:rPr>
          <w:rFonts w:hint="eastAsia"/>
          <w:sz w:val="24"/>
        </w:rPr>
        <w:t>-N都有局部超标现象，距排污口的距离</w:t>
      </w:r>
      <w:r>
        <w:rPr>
          <w:rFonts w:hint="eastAsia"/>
          <w:sz w:val="24"/>
          <w:lang w:val="en-US" w:eastAsia="zh-CN"/>
        </w:rPr>
        <w:t>40m之后</w:t>
      </w:r>
      <w:r>
        <w:rPr>
          <w:sz w:val="24"/>
          <w:szCs w:val="24"/>
        </w:rPr>
        <w:t>，</w:t>
      </w:r>
      <w:r>
        <w:rPr>
          <w:rFonts w:hint="eastAsia"/>
          <w:sz w:val="24"/>
          <w:szCs w:val="24"/>
          <w:lang w:eastAsia="zh-CN"/>
        </w:rPr>
        <w:t>均可达到</w:t>
      </w:r>
      <w:r>
        <w:rPr>
          <w:spacing w:val="4"/>
          <w:sz w:val="24"/>
          <w:szCs w:val="24"/>
        </w:rPr>
        <w:t>《地表水环境质量标准》（GB3838-2002）</w:t>
      </w:r>
      <w:r>
        <w:rPr>
          <w:rFonts w:hint="eastAsia"/>
          <w:sz w:val="24"/>
          <w:lang w:val="en-US" w:eastAsia="zh-CN"/>
        </w:rPr>
        <w:t>III</w:t>
      </w:r>
      <w:r>
        <w:rPr>
          <w:spacing w:val="4"/>
          <w:sz w:val="24"/>
          <w:szCs w:val="24"/>
        </w:rPr>
        <w:t>类标准。</w:t>
      </w:r>
    </w:p>
    <w:p>
      <w:pPr>
        <w:rPr>
          <w:bCs/>
          <w:snapToGrid w:val="0"/>
          <w:color w:val="auto"/>
          <w:kern w:val="0"/>
        </w:rPr>
      </w:pPr>
      <w:r>
        <w:rPr>
          <w:color w:val="auto"/>
        </w:rPr>
        <w:t>。</w:t>
      </w:r>
    </w:p>
    <w:p>
      <w:pPr>
        <w:rPr>
          <w:rFonts w:hint="eastAsia"/>
          <w:color w:val="auto"/>
          <w:lang w:val="en-US" w:eastAsia="zh-CN"/>
        </w:rPr>
      </w:pPr>
      <w:r>
        <w:rPr>
          <w:rFonts w:hint="eastAsia"/>
          <w:color w:val="auto"/>
          <w:lang w:val="en-US" w:eastAsia="zh-CN"/>
        </w:rPr>
        <w:t>（3）地下水环境影响评价结论</w:t>
      </w:r>
    </w:p>
    <w:p>
      <w:pPr>
        <w:adjustRightInd w:val="0"/>
        <w:snapToGrid w:val="0"/>
        <w:spacing w:line="360" w:lineRule="auto"/>
        <w:ind w:firstLine="480" w:firstLineChars="200"/>
        <w:rPr>
          <w:rFonts w:hint="eastAsia"/>
        </w:rPr>
      </w:pPr>
      <w:r>
        <w:rPr>
          <w:rFonts w:hint="eastAsia"/>
          <w:color w:val="auto"/>
          <w:sz w:val="24"/>
          <w:lang w:eastAsia="zh-CN"/>
        </w:rPr>
        <w:t>根据该处理场现有工程，本次技改后加强调节池防渗和垂直防渗等措施后，其场区防渗能力相比现有工程好，因此，在现有工程的情况下，场区对地下水的影响较小，则在本次技改项目后，场区内污染物对地下水影响也较小。</w:t>
      </w:r>
    </w:p>
    <w:p>
      <w:pPr>
        <w:adjustRightInd w:val="0"/>
        <w:snapToGrid w:val="0"/>
        <w:spacing w:line="360" w:lineRule="auto"/>
        <w:ind w:firstLine="480" w:firstLineChars="200"/>
        <w:rPr>
          <w:rFonts w:hint="eastAsia"/>
          <w:color w:val="auto"/>
          <w:sz w:val="24"/>
          <w:lang w:val="en-US" w:eastAsia="zh-CN"/>
        </w:rPr>
      </w:pPr>
      <w:r>
        <w:rPr>
          <w:rFonts w:hint="eastAsia"/>
          <w:color w:val="auto"/>
          <w:sz w:val="24"/>
          <w:lang w:val="en-US" w:eastAsia="zh-CN"/>
        </w:rPr>
        <w:t>同时，根据现场调查，该垃圾填埋场附近现分布的胥家桥村、花果畈村等居民点均采用自来水作为生活用水，因此，本次技改后，场区产生的污染物对周边居民的生活饮用水源影响较小。</w:t>
      </w:r>
    </w:p>
    <w:p>
      <w:pPr>
        <w:rPr>
          <w:rFonts w:hint="eastAsia"/>
          <w:color w:val="auto"/>
          <w:lang w:eastAsia="zh-CN"/>
        </w:rPr>
      </w:pPr>
      <w:r>
        <w:rPr>
          <w:rFonts w:hint="eastAsia"/>
          <w:color w:val="auto"/>
          <w:lang w:eastAsia="zh-CN"/>
        </w:rPr>
        <w:t>（</w:t>
      </w:r>
      <w:r>
        <w:rPr>
          <w:rFonts w:hint="eastAsia"/>
          <w:color w:val="auto"/>
          <w:lang w:val="en-US" w:eastAsia="zh-CN"/>
        </w:rPr>
        <w:t>4</w:t>
      </w:r>
      <w:r>
        <w:rPr>
          <w:rFonts w:hint="eastAsia"/>
          <w:color w:val="auto"/>
          <w:lang w:eastAsia="zh-CN"/>
        </w:rPr>
        <w:t>）声环境影响评价结论</w:t>
      </w:r>
    </w:p>
    <w:p>
      <w:pPr>
        <w:rPr>
          <w:rFonts w:hint="eastAsia"/>
          <w:color w:val="auto"/>
          <w:lang w:val="en-US" w:eastAsia="zh-CN"/>
        </w:rPr>
      </w:pPr>
      <w:r>
        <w:rPr>
          <w:rFonts w:hint="eastAsia"/>
          <w:color w:val="auto"/>
          <w:lang w:val="en-US" w:eastAsia="zh-CN"/>
        </w:rPr>
        <w:t>本次技改对现有工程属于淘汰设备进行更换，技改后较于现有工程噪声环境有所改善。根据声环境质量现状检测结果可知，花果贩填埋场厂界四周均能达标排放。因此，本项目建成后对周边环境影响小。</w:t>
      </w:r>
    </w:p>
    <w:p>
      <w:pPr>
        <w:rPr>
          <w:rFonts w:hint="eastAsia"/>
          <w:color w:val="auto"/>
          <w:lang w:val="en-US" w:eastAsia="zh-CN"/>
        </w:rPr>
      </w:pPr>
      <w:r>
        <w:rPr>
          <w:rFonts w:hint="eastAsia"/>
          <w:color w:val="auto"/>
          <w:lang w:val="en-US" w:eastAsia="zh-CN"/>
        </w:rPr>
        <w:t>（5）固体废物环境影响评价结论</w:t>
      </w:r>
    </w:p>
    <w:p>
      <w:pPr>
        <w:rPr>
          <w:color w:val="auto"/>
        </w:rPr>
      </w:pPr>
      <w:r>
        <w:rPr>
          <w:color w:val="auto"/>
        </w:rPr>
        <w:t>本项目营运过程中的固废主要为渗滤液处理系统滤渣</w:t>
      </w:r>
      <w:r>
        <w:rPr>
          <w:rFonts w:hint="eastAsia"/>
          <w:color w:val="auto"/>
          <w:lang w:eastAsia="zh-CN"/>
        </w:rPr>
        <w:t>污泥</w:t>
      </w:r>
      <w:r>
        <w:rPr>
          <w:color w:val="auto"/>
        </w:rPr>
        <w:t>，膜处理产生的浓缩废液，以及少量生活垃圾。</w:t>
      </w:r>
    </w:p>
    <w:p>
      <w:pPr>
        <w:rPr>
          <w:rFonts w:hint="eastAsia"/>
          <w:color w:val="auto"/>
          <w:lang w:val="en-US" w:eastAsia="zh-CN"/>
        </w:rPr>
      </w:pPr>
      <w:r>
        <w:rPr>
          <w:color w:val="auto"/>
        </w:rPr>
        <w:t>渗滤液处理系统产生的滤渣污泥，需送检鉴定，属于危废的委托资质单位安全固化处理处置；不属于危废，实现场地内安全无害填埋处理。浓缩液回灌场地，通过场地循环消纳处理。</w:t>
      </w:r>
      <w:r>
        <w:rPr>
          <w:rFonts w:hint="eastAsia"/>
          <w:color w:val="auto"/>
        </w:rPr>
        <w:t>废渗透膜、</w:t>
      </w:r>
      <w:r>
        <w:rPr>
          <w:color w:val="auto"/>
        </w:rPr>
        <w:t>生活垃圾场地内安全填埋处理。各固废分类收集，合理处理处置，最终零排放。</w:t>
      </w:r>
    </w:p>
    <w:p>
      <w:pPr>
        <w:rPr>
          <w:rFonts w:hint="eastAsia"/>
          <w:color w:val="auto"/>
          <w:lang w:val="en-US" w:eastAsia="zh-CN"/>
        </w:rPr>
      </w:pPr>
      <w:r>
        <w:rPr>
          <w:rFonts w:hint="eastAsia"/>
          <w:color w:val="auto"/>
          <w:lang w:val="en-US" w:eastAsia="zh-CN"/>
        </w:rPr>
        <w:t>（6）大气环境防护距离与卫生防护距离</w:t>
      </w:r>
    </w:p>
    <w:p>
      <w:pPr>
        <w:rPr>
          <w:rFonts w:hint="eastAsia"/>
          <w:color w:val="auto"/>
          <w:sz w:val="24"/>
          <w:lang w:val="en-US" w:eastAsia="zh-CN"/>
        </w:rPr>
      </w:pPr>
      <w:r>
        <w:rPr>
          <w:rFonts w:hint="eastAsia"/>
          <w:color w:val="auto"/>
          <w:lang w:val="en-US" w:eastAsia="zh-CN"/>
        </w:rPr>
        <w:t>根据计算，</w:t>
      </w:r>
      <w:r>
        <w:rPr>
          <w:color w:val="auto"/>
        </w:rPr>
        <w:t>导则计算无需设置大气环境防护距离；</w:t>
      </w:r>
      <w:r>
        <w:rPr>
          <w:rFonts w:hint="eastAsia"/>
          <w:color w:val="auto"/>
        </w:rPr>
        <w:t>卫生防护距离</w:t>
      </w:r>
      <w:r>
        <w:rPr>
          <w:color w:val="auto"/>
        </w:rPr>
        <w:t>提及后确定为填埋库区外围200m。</w:t>
      </w:r>
      <w:r>
        <w:rPr>
          <w:rFonts w:hint="eastAsia"/>
          <w:color w:val="auto"/>
          <w:sz w:val="24"/>
          <w:lang w:eastAsia="zh-CN"/>
        </w:rPr>
        <w:t>据《岳阳市胥家桥片区控制性详规中花果畈垃圾填埋场及其周边区域专项评价》，花果畈垃圾填埋场设有</w:t>
      </w:r>
      <w:r>
        <w:rPr>
          <w:rFonts w:hint="eastAsia"/>
          <w:color w:val="auto"/>
          <w:sz w:val="24"/>
          <w:lang w:val="en-US" w:eastAsia="zh-CN"/>
        </w:rPr>
        <w:t>500m卫生防护距离。因此，本工程卫生防护距离在原有卫生防护距离范围内，无需新设立卫生防护距离。</w:t>
      </w:r>
    </w:p>
    <w:p>
      <w:pPr>
        <w:rPr>
          <w:rFonts w:hint="eastAsia"/>
          <w:color w:val="auto"/>
          <w:lang w:val="en-US" w:eastAsia="zh-CN"/>
        </w:rPr>
      </w:pPr>
      <w:r>
        <w:rPr>
          <w:rFonts w:hint="eastAsia"/>
          <w:color w:val="auto"/>
          <w:sz w:val="24"/>
          <w:lang w:val="en-US" w:eastAsia="zh-CN"/>
        </w:rPr>
        <w:t>根据现场调查，本项目500m范围内存在有居民住宅等环境敏感建筑，根据</w:t>
      </w:r>
      <w:r>
        <w:rPr>
          <w:rFonts w:hint="eastAsia"/>
          <w:color w:val="auto"/>
          <w:sz w:val="24"/>
          <w:lang w:eastAsia="zh-CN"/>
        </w:rPr>
        <w:t>《岳阳市胥家桥片区控制性详规中花果畈垃圾填埋场及其周边区域专项评价》，在</w:t>
      </w:r>
      <w:r>
        <w:rPr>
          <w:rFonts w:hint="eastAsia"/>
          <w:color w:val="auto"/>
          <w:sz w:val="24"/>
          <w:lang w:val="en-US" w:eastAsia="zh-CN"/>
        </w:rPr>
        <w:t>2015年之前，卫生防护距离范围内无敏感建筑。环评建议当地政府应严格控制花果畈垃圾处理场周边建设用地，防护距离内不得新建居民、行政办公、学校、医院等环境敏感建筑</w:t>
      </w:r>
      <w:r>
        <w:rPr>
          <w:color w:val="auto"/>
        </w:rPr>
        <w:t>。在此前提下，本项目建设符合卫生防护距离要求。</w:t>
      </w:r>
    </w:p>
    <w:p>
      <w:pPr>
        <w:pStyle w:val="4"/>
        <w:rPr>
          <w:rFonts w:hint="eastAsia"/>
          <w:color w:val="auto"/>
          <w:lang w:val="en-US" w:eastAsia="zh-CN"/>
        </w:rPr>
      </w:pPr>
      <w:r>
        <w:rPr>
          <w:rFonts w:hint="eastAsia"/>
          <w:color w:val="auto"/>
          <w:lang w:val="en-US" w:eastAsia="zh-CN"/>
        </w:rPr>
        <w:t>14.1.4项目建设可行性结论</w:t>
      </w:r>
    </w:p>
    <w:p>
      <w:pPr>
        <w:rPr>
          <w:rFonts w:hint="eastAsia"/>
          <w:color w:val="auto"/>
          <w:lang w:val="en-US" w:eastAsia="zh-CN"/>
        </w:rPr>
      </w:pPr>
      <w:r>
        <w:rPr>
          <w:color w:val="auto"/>
        </w:rPr>
        <w:t>本工程属于垃圾填埋场，对照国家《产业结构调整指导目录(2011年本)》(</w:t>
      </w:r>
      <w:r>
        <w:rPr>
          <w:rFonts w:hint="eastAsia"/>
          <w:color w:val="auto"/>
          <w:lang w:val="en-US" w:eastAsia="zh-CN"/>
        </w:rPr>
        <w:t>2013年</w:t>
      </w:r>
      <w:r>
        <w:rPr>
          <w:color w:val="auto"/>
        </w:rPr>
        <w:t>修正)，本项目属于鼓励类：三十八、环境保护与资源节约综合利用 20、城镇垃圾及其他固体废弃物减量化、资源化、无害化处理和综合利用工程。因此，本项目符合国家和地方相关的产业政策的要求。</w:t>
      </w:r>
    </w:p>
    <w:p>
      <w:pPr>
        <w:pStyle w:val="4"/>
        <w:rPr>
          <w:rFonts w:hint="eastAsia"/>
          <w:color w:val="auto"/>
          <w:lang w:val="en-US" w:eastAsia="zh-CN"/>
        </w:rPr>
      </w:pPr>
      <w:r>
        <w:rPr>
          <w:rFonts w:hint="eastAsia"/>
          <w:color w:val="auto"/>
          <w:lang w:val="en-US" w:eastAsia="zh-CN"/>
        </w:rPr>
        <w:t>14.1.5综合结论</w:t>
      </w:r>
    </w:p>
    <w:p>
      <w:pPr>
        <w:rPr>
          <w:rFonts w:hint="eastAsia"/>
          <w:color w:val="auto"/>
          <w:lang w:val="en-US" w:eastAsia="zh-CN"/>
        </w:rPr>
      </w:pPr>
      <w:bookmarkStart w:id="149" w:name="OLE_LINK135"/>
      <w:r>
        <w:rPr>
          <w:rFonts w:hint="eastAsia"/>
          <w:color w:val="auto"/>
          <w:lang w:val="en-US" w:eastAsia="zh-CN"/>
        </w:rPr>
        <w:t>综上所述，花果贩生活垃圾填埋场防渗提质改造工程选址符合规划，建设符合国家相关产业政策。项目废气、废水、固废、噪声等采取相应措施后符合污染物达标排放要求和区域环境质量要求。在做好各项环保措施和环境管理要求、风险应急预案的前提下，从环境保护的角度分析，项目建设是可行的。</w:t>
      </w:r>
      <w:bookmarkEnd w:id="149"/>
    </w:p>
    <w:p>
      <w:pPr>
        <w:pStyle w:val="3"/>
        <w:rPr>
          <w:rFonts w:hint="eastAsia"/>
          <w:color w:val="auto"/>
          <w:lang w:val="en-US" w:eastAsia="zh-CN"/>
        </w:rPr>
      </w:pPr>
      <w:bookmarkStart w:id="150" w:name="_Toc5598"/>
      <w:r>
        <w:rPr>
          <w:rFonts w:hint="eastAsia"/>
          <w:color w:val="auto"/>
          <w:lang w:val="en-US" w:eastAsia="zh-CN"/>
        </w:rPr>
        <w:t>14.2建议</w:t>
      </w:r>
      <w:bookmarkEnd w:id="150"/>
    </w:p>
    <w:p>
      <w:pPr>
        <w:numPr>
          <w:ilvl w:val="0"/>
          <w:numId w:val="23"/>
        </w:numPr>
        <w:rPr>
          <w:rFonts w:hint="eastAsia"/>
          <w:color w:val="auto"/>
          <w:lang w:val="en-US" w:eastAsia="zh-CN"/>
        </w:rPr>
      </w:pPr>
      <w:r>
        <w:rPr>
          <w:rFonts w:hint="eastAsia"/>
          <w:color w:val="auto"/>
          <w:lang w:val="en-US" w:eastAsia="zh-CN"/>
        </w:rPr>
        <w:t>加强对污水处理站的管理，确保渗滤液得到有效治理，达标排放。</w:t>
      </w:r>
    </w:p>
    <w:p>
      <w:pPr>
        <w:numPr>
          <w:ilvl w:val="0"/>
          <w:numId w:val="23"/>
        </w:numPr>
        <w:rPr>
          <w:rFonts w:hint="eastAsia"/>
          <w:color w:val="auto"/>
          <w:lang w:val="en-US" w:eastAsia="zh-CN"/>
        </w:rPr>
      </w:pPr>
      <w:r>
        <w:rPr>
          <w:rFonts w:hint="eastAsia"/>
          <w:color w:val="auto"/>
          <w:lang w:val="en-US" w:eastAsia="zh-CN"/>
        </w:rPr>
        <w:t>加强填埋场消毒、灭菌工作，以防止疾病的传播。</w:t>
      </w:r>
    </w:p>
    <w:p>
      <w:pPr>
        <w:numPr>
          <w:ilvl w:val="0"/>
          <w:numId w:val="23"/>
        </w:numPr>
        <w:rPr>
          <w:rFonts w:hint="eastAsia"/>
          <w:color w:val="auto"/>
          <w:u w:val="none"/>
          <w:lang w:val="en-US" w:eastAsia="zh-CN"/>
        </w:rPr>
      </w:pPr>
      <w:r>
        <w:rPr>
          <w:rFonts w:hint="eastAsia"/>
          <w:sz w:val="24"/>
          <w:u w:val="none"/>
        </w:rPr>
        <w:t>在花果畈垃圾处理场运行期，其周边500m防护距离内不得新建居民、行政办公、学校、医院等环境敏感建筑。</w:t>
      </w:r>
    </w:p>
    <w:p>
      <w:pPr>
        <w:numPr>
          <w:ilvl w:val="0"/>
          <w:numId w:val="23"/>
        </w:numPr>
        <w:rPr>
          <w:rFonts w:hint="eastAsia"/>
          <w:color w:val="auto"/>
          <w:u w:val="none"/>
          <w:lang w:val="en-US" w:eastAsia="zh-CN"/>
        </w:rPr>
      </w:pPr>
      <w:r>
        <w:rPr>
          <w:rFonts w:hint="eastAsia"/>
          <w:color w:val="auto"/>
          <w:u w:val="none"/>
          <w:lang w:val="en-US" w:eastAsia="zh-CN"/>
        </w:rPr>
        <w:t>加强日常监测管理，并建设日常监测档案，落实场区内污染监测井、废气、防渗层的日常监测。</w:t>
      </w:r>
    </w:p>
    <w:p>
      <w:pPr>
        <w:numPr>
          <w:ilvl w:val="0"/>
          <w:numId w:val="23"/>
        </w:numPr>
        <w:rPr>
          <w:rFonts w:hint="eastAsia"/>
          <w:color w:val="auto"/>
          <w:u w:val="none"/>
          <w:lang w:val="en-US" w:eastAsia="zh-CN"/>
        </w:rPr>
      </w:pPr>
      <w:r>
        <w:rPr>
          <w:rFonts w:hint="eastAsia"/>
          <w:color w:val="auto"/>
          <w:u w:val="none"/>
          <w:lang w:val="en-US" w:eastAsia="zh-CN"/>
        </w:rPr>
        <w:t>加强场区内环保设施的管理，确保各环保设施正常运行。</w:t>
      </w:r>
    </w:p>
    <w:p>
      <w:pPr>
        <w:numPr>
          <w:ilvl w:val="0"/>
          <w:numId w:val="23"/>
        </w:numPr>
        <w:rPr>
          <w:rFonts w:hint="eastAsia"/>
          <w:color w:val="auto"/>
          <w:u w:val="none"/>
          <w:lang w:val="en-US" w:eastAsia="zh-CN"/>
        </w:rPr>
      </w:pPr>
      <w:r>
        <w:rPr>
          <w:rFonts w:hint="eastAsia"/>
          <w:color w:val="auto"/>
          <w:u w:val="none"/>
          <w:lang w:val="en-US" w:eastAsia="zh-CN"/>
        </w:rPr>
        <w:t>做好污水处理站在线监测的建设和运行，并与环保部门进行联网。</w:t>
      </w:r>
    </w:p>
    <w:p>
      <w:pPr>
        <w:numPr>
          <w:ilvl w:val="0"/>
          <w:numId w:val="0"/>
        </w:numPr>
        <w:rPr>
          <w:rFonts w:hint="eastAsia"/>
          <w:color w:val="auto"/>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Palatino Linotype">
    <w:panose1 w:val="02040502050505030304"/>
    <w:charset w:val="00"/>
    <w:family w:val="auto"/>
    <w:pitch w:val="default"/>
    <w:sig w:usb0="E0000287" w:usb1="40000013" w:usb2="00000000" w:usb3="00000000" w:csb0="2000019F" w:csb1="00000000"/>
  </w:font>
  <w:font w:name="Lucida Sans">
    <w:altName w:val="Lucida Sans Unicode"/>
    <w:panose1 w:val="020B0602030504020204"/>
    <w:charset w:val="00"/>
    <w:family w:val="auto"/>
    <w:pitch w:val="default"/>
    <w:sig w:usb0="00000000" w:usb1="00000000" w:usb2="00000000" w:usb3="00000000" w:csb0="00000000" w:csb1="00000000"/>
  </w:font>
  <w:font w:name="Calibri Light">
    <w:panose1 w:val="020F0302020204030204"/>
    <w:charset w:val="00"/>
    <w:family w:val="auto"/>
    <w:pitch w:val="default"/>
    <w:sig w:usb0="A00002EF" w:usb1="4000207B" w:usb2="00000000" w:usb3="00000000" w:csb0="2000019F" w:csb1="00000000"/>
  </w:font>
  <w:font w:name="+中文正文">
    <w:altName w:val="Courier New"/>
    <w:panose1 w:val="00000000000000000000"/>
    <w:charset w:val="00"/>
    <w:family w:val="auto"/>
    <w:pitch w:val="default"/>
    <w:sig w:usb0="00000000" w:usb1="00000000" w:usb2="00000000" w:usb3="00000000" w:csb0="00000000" w:csb1="00000000"/>
  </w:font>
  <w:font w:name="+西文正文">
    <w:altName w:val="Courier New"/>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Arial">
    <w:panose1 w:val="020B0604020202020204"/>
    <w:charset w:val="00"/>
    <w:family w:val="auto"/>
    <w:pitch w:val="default"/>
    <w:sig w:usb0="E0002AFF" w:usb1="C0007843" w:usb2="00000009" w:usb3="00000000" w:csb0="400001FF" w:csb1="FFFF0000"/>
  </w:font>
  <w:font w:name="仿宋_GB2312">
    <w:altName w:val="仿宋"/>
    <w:panose1 w:val="02010609030101010101"/>
    <w:charset w:val="86"/>
    <w:family w:val="modern"/>
    <w:pitch w:val="default"/>
    <w:sig w:usb0="00000000" w:usb1="00000000" w:usb2="00000000" w:usb3="00000000" w:csb0="00040000" w:csb1="00000000"/>
  </w:font>
  <w:font w:name="Verdana">
    <w:panose1 w:val="020B0604030504040204"/>
    <w:charset w:val="00"/>
    <w:family w:val="swiss"/>
    <w:pitch w:val="default"/>
    <w:sig w:usb0="A1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Dutch801 Rm BT">
    <w:panose1 w:val="02020603060505020304"/>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Arial Unicode MS">
    <w:altName w:val="宋体"/>
    <w:panose1 w:val="020B0604020202020204"/>
    <w:charset w:val="86"/>
    <w:family w:val="swiss"/>
    <w:pitch w:val="default"/>
    <w:sig w:usb0="00000000" w:usb1="00000000" w:usb2="0000003F" w:usb3="00000000" w:csb0="003F01FF" w:csb1="00000000"/>
  </w:font>
  <w:font w:name="Courier New">
    <w:panose1 w:val="02070309020205020404"/>
    <w:charset w:val="00"/>
    <w:family w:val="modern"/>
    <w:pitch w:val="default"/>
    <w:sig w:usb0="E0002AFF" w:usb1="C0007843" w:usb2="00000009" w:usb3="00000000" w:csb0="400001FF" w:csb1="FFFF0000"/>
  </w:font>
  <w:font w:name="Cambria Math">
    <w:panose1 w:val="02040503050406030204"/>
    <w:charset w:val="00"/>
    <w:family w:val="roman"/>
    <w:pitch w:val="default"/>
    <w:sig w:usb0="E00002FF" w:usb1="420024FF" w:usb2="00000000" w:usb3="00000000" w:csb0="2000019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汉鼎简书宋">
    <w:altName w:val="宋体"/>
    <w:panose1 w:val="02010609010101010101"/>
    <w:charset w:val="86"/>
    <w:family w:val="modern"/>
    <w:pitch w:val="default"/>
    <w:sig w:usb0="00000000" w:usb1="00000000" w:usb2="00000000" w:usb3="00000000" w:csb0="00000000" w:csb1="00000000"/>
  </w:font>
  <w:font w:name="DFKai-SB">
    <w:panose1 w:val="03000509000000000000"/>
    <w:charset w:val="88"/>
    <w:family w:val="script"/>
    <w:pitch w:val="default"/>
    <w:sig w:usb0="00000003" w:usb1="082E0000" w:usb2="00000016" w:usb3="00000000" w:csb0="00100001" w:csb1="00000000"/>
  </w:font>
  <w:font w:name="MS Sans Serif">
    <w:altName w:val="Arial"/>
    <w:panose1 w:val="00000000000000000000"/>
    <w:charset w:val="00"/>
    <w:family w:val="swiss"/>
    <w:pitch w:val="default"/>
    <w:sig w:usb0="00000000" w:usb1="00000000" w:usb2="00000000" w:usb3="00000000" w:csb0="00000001" w:csb1="00000000"/>
  </w:font>
  <w:font w:name="Times">
    <w:altName w:val="Times New Roman"/>
    <w:panose1 w:val="02020603050405020304"/>
    <w:charset w:val="00"/>
    <w:family w:val="roman"/>
    <w:pitch w:val="default"/>
    <w:sig w:usb0="00000000" w:usb1="00000000" w:usb2="00000009" w:usb3="00000000" w:csb0="000001FF" w:csb1="00000000"/>
  </w:font>
  <w:font w:name="新宋体-18030">
    <w:altName w:val="宋体"/>
    <w:panose1 w:val="02010609060101010101"/>
    <w:charset w:val="86"/>
    <w:family w:val="modern"/>
    <w:pitch w:val="default"/>
    <w:sig w:usb0="00000000" w:usb1="00000000" w:usb2="000A005E" w:usb3="00000000" w:csb0="00040001" w:csb1="00000000"/>
  </w:font>
  <w:font w:name="仿宋体">
    <w:altName w:val="宋体"/>
    <w:panose1 w:val="00000000000000000000"/>
    <w:charset w:val="86"/>
    <w:family w:val="roman"/>
    <w:pitch w:val="default"/>
    <w:sig w:usb0="00000000" w:usb1="00000000" w:usb2="00000010" w:usb3="00000000" w:csb0="00040000" w:csb1="00000000"/>
  </w:font>
  <w:font w:name="方正大标宋简体">
    <w:altName w:val="宋体"/>
    <w:panose1 w:val="02010601030101010101"/>
    <w:charset w:val="86"/>
    <w:family w:val="auto"/>
    <w:pitch w:val="default"/>
    <w:sig w:usb0="00000000" w:usb1="00000000" w:usb2="00000000" w:usb3="00000000" w:csb0="00040000" w:csb1="00000000"/>
  </w:font>
  <w:font w:name="华文仿宋">
    <w:altName w:val="仿宋"/>
    <w:panose1 w:val="02010600040101010101"/>
    <w:charset w:val="86"/>
    <w:family w:val="auto"/>
    <w:pitch w:val="default"/>
    <w:sig w:usb0="00000000" w:usb1="00000000" w:usb2="00000000" w:usb3="00000000" w:csb0="0004009F" w:csb1="DFD70000"/>
  </w:font>
  <w:font w:name="创艺简仿宋">
    <w:altName w:val="仿宋"/>
    <w:panose1 w:val="00000000000000000000"/>
    <w:charset w:val="86"/>
    <w:family w:val="auto"/>
    <w:pitch w:val="default"/>
    <w:sig w:usb0="00000000" w:usb1="00000000" w:usb2="00000000" w:usb3="00000000" w:csb0="00000000" w:csb1="00000000"/>
  </w:font>
  <w:font w:name="宋体-18030">
    <w:altName w:val="宋体"/>
    <w:panose1 w:val="02010609060101010101"/>
    <w:charset w:val="86"/>
    <w:family w:val="modern"/>
    <w:pitch w:val="default"/>
    <w:sig w:usb0="00000000" w:usb1="00000000" w:usb2="000A005E" w:usb3="00000000" w:csb0="00040001" w:csb1="00000000"/>
  </w:font>
  <w:font w:name="”“Times New Roman”“">
    <w:altName w:val="宋体"/>
    <w:panose1 w:val="00000000000000000000"/>
    <w:charset w:val="86"/>
    <w:family w:val="roman"/>
    <w:pitch w:val="default"/>
    <w:sig w:usb0="00000000" w:usb1="00000000" w:usb2="00000010" w:usb3="00000000" w:csb0="00040000" w:csb1="00000000"/>
  </w:font>
  <w:font w:name="Arial Narrow">
    <w:altName w:val="Arial"/>
    <w:panose1 w:val="020B0606020202030204"/>
    <w:charset w:val="00"/>
    <w:family w:val="swiss"/>
    <w:pitch w:val="default"/>
    <w:sig w:usb0="00000000" w:usb1="00000000" w:usb2="00000000" w:usb3="00000000" w:csb0="2000009F" w:csb1="DFD70000"/>
  </w:font>
  <w:font w:name="Tms Rmn">
    <w:altName w:val="Times New Roman"/>
    <w:panose1 w:val="02020603040505020304"/>
    <w:charset w:val="00"/>
    <w:family w:val="roman"/>
    <w:pitch w:val="default"/>
    <w:sig w:usb0="00000000" w:usb1="00000000" w:usb2="00000000" w:usb3="00000000" w:csb0="00000001" w:csb1="00000000"/>
  </w:font>
  <w:font w:name="Plotter">
    <w:altName w:val="Arial"/>
    <w:panose1 w:val="00000000000000000000"/>
    <w:charset w:val="00"/>
    <w:family w:val="roman"/>
    <w:pitch w:val="default"/>
    <w:sig w:usb0="00000000" w:usb1="00000000" w:usb2="0000006E" w:usb3="00000167" w:csb0="BFE819E3" w:csb1="C29B9DC0"/>
  </w:font>
  <w:font w:name="华文中宋">
    <w:altName w:val="宋体"/>
    <w:panose1 w:val="02010600040101010101"/>
    <w:charset w:val="86"/>
    <w:family w:val="auto"/>
    <w:pitch w:val="default"/>
    <w:sig w:usb0="00000000" w:usb1="00000000" w:usb2="00000000" w:usb3="00000000" w:csb0="0004009F" w:csb1="DFD70000"/>
  </w:font>
  <w:font w:name="幼圆">
    <w:altName w:val="宋体"/>
    <w:panose1 w:val="02010509060101010101"/>
    <w:charset w:val="86"/>
    <w:family w:val="modern"/>
    <w:pitch w:val="default"/>
    <w:sig w:usb0="00000000" w:usb1="00000000" w:usb2="00000000" w:usb3="00000000" w:csb0="00040000" w:csb1="00000000"/>
  </w:font>
  <w:font w:name="ˎ̥">
    <w:altName w:val="Times New Roman"/>
    <w:panose1 w:val="00000000000000000000"/>
    <w:charset w:val="00"/>
    <w:family w:val="roman"/>
    <w:pitch w:val="default"/>
    <w:sig w:usb0="00000000" w:usb1="00000000" w:usb2="00000000" w:usb3="00000000" w:csb0="00040001" w:csb1="00000000"/>
  </w:font>
  <w:font w:name="新宋体">
    <w:panose1 w:val="02010609030101010101"/>
    <w:charset w:val="86"/>
    <w:family w:val="modern"/>
    <w:pitch w:val="default"/>
    <w:sig w:usb0="00000003" w:usb1="288F0000" w:usb2="00000006" w:usb3="00000000" w:csb0="00040001" w:csb1="00000000"/>
  </w:font>
  <w:font w:name="AdobeSongStd-Light">
    <w:altName w:val="黑体"/>
    <w:panose1 w:val="00000000000000000000"/>
    <w:charset w:val="86"/>
    <w:family w:val="auto"/>
    <w:pitch w:val="default"/>
    <w:sig w:usb0="00000000" w:usb1="00000000" w:usb2="00000010" w:usb3="00000000" w:csb0="00040000" w:csb1="00000000"/>
  </w:font>
  <w:font w:name="华文新魏">
    <w:altName w:val="宋体"/>
    <w:panose1 w:val="02010800040101010101"/>
    <w:charset w:val="86"/>
    <w:family w:val="auto"/>
    <w:pitch w:val="default"/>
    <w:sig w:usb0="00000000" w:usb1="00000000" w:usb2="00000000" w:usb3="00000000" w:csb0="00040000" w:csb1="00000000"/>
  </w:font>
  <w:font w:name="TimesNewRomanPSMT">
    <w:altName w:val="Times New Roman"/>
    <w:panose1 w:val="00000000000000000000"/>
    <w:charset w:val="00"/>
    <w:family w:val="roman"/>
    <w:pitch w:val="default"/>
    <w:sig w:usb0="00000000" w:usb1="00000000" w:usb2="00000000" w:usb3="00000000" w:csb0="00000001" w:csb1="00000000"/>
  </w:font>
  <w:font w:name="TimesNewRoman">
    <w:altName w:val="宋体"/>
    <w:panose1 w:val="00000000000000000000"/>
    <w:charset w:val="86"/>
    <w:family w:val="roman"/>
    <w:pitch w:val="default"/>
    <w:sig w:usb0="00000000" w:usb1="00000000" w:usb2="00000010" w:usb3="00000000" w:csb0="00040001" w:csb1="00000000"/>
  </w:font>
  <w:font w:name="Century">
    <w:altName w:val="GulimChe"/>
    <w:panose1 w:val="02040604050505020304"/>
    <w:charset w:val="00"/>
    <w:family w:val="roman"/>
    <w:pitch w:val="default"/>
    <w:sig w:usb0="00000000" w:usb1="00000000" w:usb2="00000000" w:usb3="00000000" w:csb0="0000009F" w:csb1="00000000"/>
  </w:font>
  <w:font w:name="Lucida Console">
    <w:panose1 w:val="020B0609040504020204"/>
    <w:charset w:val="00"/>
    <w:family w:val="modern"/>
    <w:pitch w:val="default"/>
    <w:sig w:usb0="8000028F" w:usb1="00001800" w:usb2="00000000" w:usb3="00000000" w:csb0="0000001F" w:csb1="D7D70000"/>
  </w:font>
  <w:font w:name="华文细黑">
    <w:altName w:val="宋体"/>
    <w:panose1 w:val="02010600040101010101"/>
    <w:charset w:val="86"/>
    <w:family w:val="auto"/>
    <w:pitch w:val="default"/>
    <w:sig w:usb0="00000000" w:usb1="00000000" w:usb2="00000000" w:usb3="00000000" w:csb0="0004009F" w:csb1="DFD70000"/>
  </w:font>
  <w:font w:name="Garamond">
    <w:altName w:val="RomanS"/>
    <w:panose1 w:val="02020404030301010803"/>
    <w:charset w:val="00"/>
    <w:family w:val="roman"/>
    <w:pitch w:val="default"/>
    <w:sig w:usb0="00000000" w:usb1="00000000" w:usb2="00000000" w:usb3="00000000" w:csb0="0000009F" w:csb1="DFD70000"/>
  </w:font>
  <w:font w:name="@宋体">
    <w:panose1 w:val="02010600030101010101"/>
    <w:charset w:val="86"/>
    <w:family w:val="auto"/>
    <w:pitch w:val="default"/>
    <w:sig w:usb0="00000003" w:usb1="288F0000" w:usb2="00000006" w:usb3="00000000" w:csb0="00040001" w:csb1="00000000"/>
  </w:font>
  <w:font w:name="Arial Black">
    <w:panose1 w:val="020B0A04020102020204"/>
    <w:charset w:val="00"/>
    <w:family w:val="swiss"/>
    <w:pitch w:val="default"/>
    <w:sig w:usb0="00000287" w:usb1="00000000" w:usb2="00000000" w:usb3="00000000" w:csb0="2000009F" w:csb1="DFD70000"/>
  </w:font>
  <w:font w:name="MS Mincho">
    <w:panose1 w:val="02020609040205080304"/>
    <w:charset w:val="80"/>
    <w:family w:val="modern"/>
    <w:pitch w:val="default"/>
    <w:sig w:usb0="E00002FF" w:usb1="6AC7FDFB" w:usb2="00000012" w:usb3="00000000" w:csb0="4002009F" w:csb1="DFD70000"/>
  </w:font>
  <w:font w:name="Dotum">
    <w:panose1 w:val="020B0600000101010101"/>
    <w:charset w:val="81"/>
    <w:family w:val="swiss"/>
    <w:pitch w:val="default"/>
    <w:sig w:usb0="B00002AF" w:usb1="69D77CFB" w:usb2="00000030" w:usb3="00000000" w:csb0="4008009F" w:csb1="DFD70000"/>
  </w:font>
  <w:font w:name="Nyala">
    <w:panose1 w:val="02000504070300020003"/>
    <w:charset w:val="00"/>
    <w:family w:val="auto"/>
    <w:pitch w:val="default"/>
    <w:sig w:usb0="A000006F" w:usb1="00000000" w:usb2="00000800" w:usb3="00000000" w:csb0="00000093" w:csb1="00000000"/>
  </w:font>
  <w:font w:name="微软雅黑">
    <w:panose1 w:val="020B0503020204020204"/>
    <w:charset w:val="86"/>
    <w:family w:val="auto"/>
    <w:pitch w:val="default"/>
    <w:sig w:usb0="80000287" w:usb1="280F3C52" w:usb2="00000016" w:usb3="00000000" w:csb0="0004001F" w:csb1="00000000"/>
  </w:font>
  <w:font w:name="PMingLiU">
    <w:panose1 w:val="02020500000000000000"/>
    <w:charset w:val="88"/>
    <w:family w:val="auto"/>
    <w:pitch w:val="default"/>
    <w:sig w:usb0="A00002FF" w:usb1="28CFFCFA" w:usb2="00000016" w:usb3="00000000" w:csb0="00100001" w:csb1="00000000"/>
  </w:font>
  <w:font w:name="方正楷体简体">
    <w:altName w:val="宋体"/>
    <w:panose1 w:val="03000509000000000000"/>
    <w:charset w:val="86"/>
    <w:family w:val="auto"/>
    <w:pitch w:val="default"/>
    <w:sig w:usb0="00000000" w:usb1="00000000" w:usb2="00000000" w:usb3="00000000" w:csb0="00040000" w:csb1="00000000"/>
  </w:font>
  <w:font w:name="Arial Unicode MS">
    <w:altName w:val="Arial"/>
    <w:panose1 w:val="020B0604020202020204"/>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0000012" w:usb3="00000000" w:csb0="4002009F" w:csb1="DFD70000"/>
  </w:font>
  <w:font w:name="Impact">
    <w:panose1 w:val="020B0806030902050204"/>
    <w:charset w:val="00"/>
    <w:family w:val="swiss"/>
    <w:pitch w:val="default"/>
    <w:sig w:usb0="00000287" w:usb1="00000000" w:usb2="00000000" w:usb3="00000000" w:csb0="2000009F" w:csb1="DFD70000"/>
  </w:font>
  <w:font w:name="Batang">
    <w:panose1 w:val="02030600000101010101"/>
    <w:charset w:val="81"/>
    <w:family w:val="auto"/>
    <w:pitch w:val="default"/>
    <w:sig w:usb0="B00002AF" w:usb1="69D77CFB" w:usb2="00000030" w:usb3="00000000" w:csb0="4008009F" w:csb1="DFD70000"/>
  </w:font>
  <w:font w:name="GulimChe">
    <w:panose1 w:val="020B0609000101010101"/>
    <w:charset w:val="81"/>
    <w:family w:val="auto"/>
    <w:pitch w:val="default"/>
    <w:sig w:usb0="B00002AF" w:usb1="69D77CFB" w:usb2="00000030" w:usb3="00000000" w:csb0="4008009F" w:csb1="DFD70000"/>
  </w:font>
  <w:font w:name="@仿宋_GB2312">
    <w:altName w:val="仿宋"/>
    <w:panose1 w:val="02010609030101010101"/>
    <w:charset w:val="86"/>
    <w:family w:val="auto"/>
    <w:pitch w:val="default"/>
    <w:sig w:usb0="00000000" w:usb1="00000000" w:usb2="00000000" w:usb3="00000000" w:csb0="00040000" w:csb1="00000000"/>
  </w:font>
  <w:font w:name="Lucida Sans Unicode">
    <w:panose1 w:val="020B0602030504020204"/>
    <w:charset w:val="00"/>
    <w:family w:val="auto"/>
    <w:pitch w:val="default"/>
    <w:sig w:usb0="80001AFF" w:usb1="0000396B" w:usb2="00000000" w:usb3="00000000" w:csb0="200000BF" w:csb1="D7F70000"/>
  </w:font>
  <w:font w:name="MS PGothic">
    <w:panose1 w:val="020B0600070205080204"/>
    <w:charset w:val="80"/>
    <w:family w:val="auto"/>
    <w:pitch w:val="default"/>
    <w:sig w:usb0="E00002FF" w:usb1="6AC7FDFB" w:usb2="00000012" w:usb3="00000000" w:csb0="4002009F" w:csb1="DFD70000"/>
  </w:font>
  <w:font w:name="Century Gothic">
    <w:altName w:val="Trebuchet MS"/>
    <w:panose1 w:val="020B0502020202020204"/>
    <w:charset w:val="00"/>
    <w:family w:val="auto"/>
    <w:pitch w:val="default"/>
    <w:sig w:usb0="00000000" w:usb1="00000000" w:usb2="00000000" w:usb3="00000000" w:csb0="2000009F" w:csb1="DFD70000"/>
  </w:font>
  <w:font w:name="CG Times (WN)">
    <w:altName w:val="Times New Roman"/>
    <w:panose1 w:val="00000000000000000000"/>
    <w:charset w:val="00"/>
    <w:family w:val="auto"/>
    <w:pitch w:val="default"/>
    <w:sig w:usb0="00000000" w:usb1="00000000" w:usb2="00000000" w:usb3="00000000" w:csb0="00000001" w:csb1="00000000"/>
  </w:font>
  <w:font w:name="Malgun Gothic">
    <w:panose1 w:val="020B0503020000020004"/>
    <w:charset w:val="81"/>
    <w:family w:val="auto"/>
    <w:pitch w:val="default"/>
    <w:sig w:usb0="900002AF" w:usb1="01D77CFB" w:usb2="00000012" w:usb3="00000000" w:csb0="00080001" w:csb1="00000000"/>
  </w:font>
  <w:font w:name="@楷体_GB2312">
    <w:altName w:val="宋体"/>
    <w:panose1 w:val="02010609030101010101"/>
    <w:charset w:val="86"/>
    <w:family w:val="auto"/>
    <w:pitch w:val="default"/>
    <w:sig w:usb0="00000000" w:usb1="00000000" w:usb2="00000000" w:usb3="00000000" w:csb0="00040000" w:csb1="00000000"/>
  </w:font>
  <w:font w:name="MT Extra">
    <w:panose1 w:val="05050102010205020202"/>
    <w:charset w:val="00"/>
    <w:family w:val="auto"/>
    <w:pitch w:val="default"/>
    <w:sig w:usb0="80000000" w:usb1="00000000" w:usb2="00000000" w:usb3="00000000" w:csb0="00000000" w:csb1="00000000"/>
  </w:font>
  <w:font w:name="方正兰亭超细黑简体">
    <w:altName w:val="黑体"/>
    <w:panose1 w:val="02000000000000000000"/>
    <w:charset w:val="86"/>
    <w:family w:val="auto"/>
    <w:pitch w:val="default"/>
    <w:sig w:usb0="00000000" w:usb1="00000000" w:usb2="00000000" w:usb3="00000000" w:csb0="00040000" w:csb1="00000000"/>
  </w:font>
  <w:font w:name="Times New Roman Bold">
    <w:altName w:val="Times New Roman"/>
    <w:panose1 w:val="00000000000000000000"/>
    <w:charset w:val="00"/>
    <w:family w:val="auto"/>
    <w:pitch w:val="default"/>
    <w:sig w:usb0="00000000" w:usb1="00000000" w:usb2="00000000" w:usb3="00000000" w:csb0="00000000" w:csb1="00000000"/>
  </w:font>
  <w:font w:name="Trebuchet MS">
    <w:panose1 w:val="020B0603020202020204"/>
    <w:charset w:val="00"/>
    <w:family w:val="auto"/>
    <w:pitch w:val="default"/>
    <w:sig w:usb0="00000287" w:usb1="00000000" w:usb2="00000000" w:usb3="00000000" w:csb0="2000009F" w:csb1="00000000"/>
  </w:font>
  <w:font w:name="Microsoft Sans Serif">
    <w:panose1 w:val="020B0604020202020204"/>
    <w:charset w:val="00"/>
    <w:family w:val="auto"/>
    <w:pitch w:val="default"/>
    <w:sig w:usb0="E1002AFF" w:usb1="C0000002" w:usb2="00000008" w:usb3="00000000" w:csb0="200101FF" w:csb1="20280000"/>
  </w:font>
  <w:font w:name="TimesNewRoman">
    <w:altName w:val="Courier New"/>
    <w:panose1 w:val="00000000000000000000"/>
    <w:charset w:val="00"/>
    <w:family w:val="auto"/>
    <w:pitch w:val="default"/>
    <w:sig w:usb0="00000000" w:usb1="00000000" w:usb2="00000000" w:usb3="00000000" w:csb0="00000000" w:csb1="00000000"/>
  </w:font>
  <w:font w:name="RomanS">
    <w:panose1 w:val="02000400000000000000"/>
    <w:charset w:val="00"/>
    <w:family w:val="auto"/>
    <w:pitch w:val="default"/>
    <w:sig w:usb0="00000207" w:usb1="00000000" w:usb2="00000000" w:usb3="00000000" w:csb0="000001FF" w:csb1="00000000"/>
  </w:font>
  <w:font w:name="Vrinda">
    <w:panose1 w:val="020B0502040204020203"/>
    <w:charset w:val="00"/>
    <w:family w:val="auto"/>
    <w:pitch w:val="default"/>
    <w:sig w:usb0="00010003" w:usb1="00000000" w:usb2="00000000" w:usb3="00000000" w:csb0="00000001" w:csb1="00000000"/>
  </w:font>
  <w:font w:name="monospace">
    <w:altName w:val="微软雅黑"/>
    <w:panose1 w:val="00000000000000000000"/>
    <w:charset w:val="00"/>
    <w:family w:val="auto"/>
    <w:pitch w:val="default"/>
    <w:sig w:usb0="00000000" w:usb1="00000000" w:usb2="00000000" w:usb3="00000000" w:csb0="00040001" w:csb1="00000000"/>
  </w:font>
  <w:font w:name="Segoe UI Semilight">
    <w:altName w:val="Lucida Sans Unicode"/>
    <w:panose1 w:val="020B0402040204020203"/>
    <w:charset w:val="00"/>
    <w:family w:val="auto"/>
    <w:pitch w:val="default"/>
    <w:sig w:usb0="00000000" w:usb1="00000000" w:usb2="00000009" w:usb3="00000000" w:csb0="200001FF" w:csb1="00000000"/>
  </w:font>
  <w:font w:name="Segoe UI Symbol">
    <w:panose1 w:val="020B0502040204020203"/>
    <w:charset w:val="00"/>
    <w:family w:val="auto"/>
    <w:pitch w:val="default"/>
    <w:sig w:usb0="8000006F" w:usb1="1200FBEF" w:usb2="0064C000" w:usb3="00000002" w:csb0="00000001" w:csb1="40000000"/>
  </w:font>
  <w:font w:name="Segoe UI">
    <w:panose1 w:val="020B0502040204020203"/>
    <w:charset w:val="00"/>
    <w:family w:val="auto"/>
    <w:pitch w:val="default"/>
    <w:sig w:usb0="E10022FF" w:usb1="C000E47F" w:usb2="00000029" w:usb3="00000000" w:csb0="200001DF" w:csb1="20000000"/>
  </w:font>
  <w:font w:name="叶根友毛笔行书2.0版">
    <w:panose1 w:val="02010601030101010101"/>
    <w:charset w:val="86"/>
    <w:family w:val="auto"/>
    <w:pitch w:val="default"/>
    <w:sig w:usb0="00000001" w:usb1="080E0000" w:usb2="00000000" w:usb3="00000000" w:csb0="00040000" w:csb1="00000000"/>
  </w:font>
  <w:font w:name="PMingLiU-ExtB">
    <w:panose1 w:val="02020500000000000000"/>
    <w:charset w:val="88"/>
    <w:family w:val="auto"/>
    <w:pitch w:val="default"/>
    <w:sig w:usb0="8000002F" w:usb1="02000008" w:usb2="00000000" w:usb3="00000000" w:csb0="00100001" w:csb1="00000000"/>
  </w:font>
  <w:font w:name="Yu Gothic UI">
    <w:altName w:val="Verdana"/>
    <w:panose1 w:val="020B0500000000000000"/>
    <w:charset w:val="00"/>
    <w:family w:val="auto"/>
    <w:pitch w:val="default"/>
    <w:sig w:usb0="00000000" w:usb1="00000000" w:usb2="00000016" w:usb3="00000000" w:csb0="2002009F" w:csb1="00000000"/>
  </w:font>
  <w:font w:name="font-weight : 400">
    <w:altName w:val="Courier New"/>
    <w:panose1 w:val="00000000000000000000"/>
    <w:charset w:val="00"/>
    <w:family w:val="auto"/>
    <w:pitch w:val="default"/>
    <w:sig w:usb0="00000000" w:usb1="00000000" w:usb2="00000000" w:usb3="00000000" w:csb0="00000000" w:csb1="00000000"/>
  </w:font>
  <w:font w:name="KTJ+ZJOI4m-2">
    <w:altName w:val="Courier New"/>
    <w:panose1 w:val="00000000000000000000"/>
    <w:charset w:val="00"/>
    <w:family w:val="auto"/>
    <w:pitch w:val="default"/>
    <w:sig w:usb0="00000000" w:usb1="00000000" w:usb2="00000000" w:usb3="00000000" w:csb0="00000000" w:csb1="00000000"/>
  </w:font>
  <w:font w:name="方正书宋_GBK">
    <w:altName w:val="微软雅黑"/>
    <w:panose1 w:val="03000509000000000000"/>
    <w:charset w:val="86"/>
    <w:family w:val="auto"/>
    <w:pitch w:val="default"/>
    <w:sig w:usb0="00000000" w:usb1="00000000" w:usb2="00000000" w:usb3="00000000" w:csb0="00040000" w:csb1="00000000"/>
  </w:font>
  <w:font w:name="Angsana New">
    <w:panose1 w:val="02020603050405020304"/>
    <w:charset w:val="00"/>
    <w:family w:val="auto"/>
    <w:pitch w:val="default"/>
    <w:sig w:usb0="81000003" w:usb1="00000000" w:usb2="00000000" w:usb3="00000000" w:csb0="00010001" w:csb1="00000000"/>
  </w:font>
  <w:font w:name="AngsanaUPC">
    <w:panose1 w:val="02020603050405020304"/>
    <w:charset w:val="00"/>
    <w:family w:val="auto"/>
    <w:pitch w:val="default"/>
    <w:sig w:usb0="81000003" w:usb1="00000000" w:usb2="00000000" w:usb3="00000000" w:csb0="00010001" w:csb1="00000000"/>
  </w:font>
  <w:font w:name="Aparajita">
    <w:panose1 w:val="020B0604020202020204"/>
    <w:charset w:val="00"/>
    <w:family w:val="auto"/>
    <w:pitch w:val="default"/>
    <w:sig w:usb0="00008003" w:usb1="00000000" w:usb2="00000000" w:usb3="00000000" w:csb0="00000001" w:csb1="00000000"/>
  </w:font>
  <w:font w:name="Arabic Typesetting">
    <w:panose1 w:val="03020402040406030203"/>
    <w:charset w:val="00"/>
    <w:family w:val="auto"/>
    <w:pitch w:val="default"/>
    <w:sig w:usb0="A000206F" w:usb1="C0000000" w:usb2="00000008" w:usb3="00000000" w:csb0="200000D3" w:csb1="00000000"/>
  </w:font>
  <w:font w:name="Yu Gothic UI">
    <w:altName w:val="MS UI Gothic"/>
    <w:panose1 w:val="020B0500000000000000"/>
    <w:charset w:val="80"/>
    <w:family w:val="auto"/>
    <w:pitch w:val="default"/>
    <w:sig w:usb0="00000000" w:usb1="00000000" w:usb2="00000016" w:usb3="00000000" w:csb0="2002009F" w:csb1="00000000"/>
  </w:font>
  <w:font w:name="Meiryo UI">
    <w:panose1 w:val="020B0604030504040204"/>
    <w:charset w:val="80"/>
    <w:family w:val="auto"/>
    <w:pitch w:val="default"/>
    <w:sig w:usb0="E10102FF" w:usb1="EAC7FFFF" w:usb2="00010012" w:usb3="00000000" w:csb0="6002009F" w:csb1="DFD70000"/>
  </w:font>
  <w:font w:name="BatangChe">
    <w:panose1 w:val="02030609000101010101"/>
    <w:charset w:val="81"/>
    <w:family w:val="auto"/>
    <w:pitch w:val="default"/>
    <w:sig w:usb0="B00002AF" w:usb1="69D77CFB" w:usb2="00000030" w:usb3="00000000" w:csb0="4008009F" w:csb1="DFD70000"/>
  </w:font>
  <w:font w:name="DotumChe">
    <w:panose1 w:val="020B0609000101010101"/>
    <w:charset w:val="81"/>
    <w:family w:val="auto"/>
    <w:pitch w:val="default"/>
    <w:sig w:usb0="B00002AF" w:usb1="69D77CFB" w:usb2="00000030" w:usb3="00000000" w:csb0="4008009F" w:csb1="DFD70000"/>
  </w:font>
  <w:font w:name="Gulim">
    <w:panose1 w:val="020B0600000101010101"/>
    <w:charset w:val="81"/>
    <w:family w:val="auto"/>
    <w:pitch w:val="default"/>
    <w:sig w:usb0="B00002AF" w:usb1="69D77CFB" w:usb2="00000030" w:usb3="00000000" w:csb0="4008009F" w:csb1="DFD70000"/>
  </w:font>
  <w:font w:name="Gungsuh">
    <w:panose1 w:val="02030600000101010101"/>
    <w:charset w:val="81"/>
    <w:family w:val="auto"/>
    <w:pitch w:val="default"/>
    <w:sig w:usb0="B00002AF" w:usb1="69D77CFB" w:usb2="00000030" w:usb3="00000000" w:csb0="4008009F" w:csb1="DFD70000"/>
  </w:font>
  <w:font w:name="GungsuhChe">
    <w:panose1 w:val="02030609000101010101"/>
    <w:charset w:val="81"/>
    <w:family w:val="auto"/>
    <w:pitch w:val="default"/>
    <w:sig w:usb0="B00002AF" w:usb1="69D77CFB" w:usb2="00000030" w:usb3="00000000" w:csb0="4008009F" w:csb1="DFD70000"/>
  </w:font>
  <w:font w:name="hakuyoxingshu7000">
    <w:panose1 w:val="02000600000000000000"/>
    <w:charset w:val="86"/>
    <w:family w:val="auto"/>
    <w:pitch w:val="default"/>
    <w:sig w:usb0="FFFFFFFF" w:usb1="E9FFFFFF" w:usb2="0000003F" w:usb3="00000000" w:csb0="603F00FF" w:csb1="FFFF0000"/>
  </w:font>
  <w:font w:name="Meiryo">
    <w:panose1 w:val="020B0604030504040204"/>
    <w:charset w:val="80"/>
    <w:family w:val="auto"/>
    <w:pitch w:val="default"/>
    <w:sig w:usb0="E10102FF" w:usb1="EAC7FFFF" w:usb2="00010012" w:usb3="00000000" w:csb0="6002009F" w:csb1="DFD70000"/>
  </w:font>
  <w:font w:name="Microsoft JhengHei">
    <w:panose1 w:val="020B0604030504040204"/>
    <w:charset w:val="88"/>
    <w:family w:val="auto"/>
    <w:pitch w:val="default"/>
    <w:sig w:usb0="00000087" w:usb1="28AF4000" w:usb2="00000016" w:usb3="00000000" w:csb0="00100009" w:csb1="00000000"/>
  </w:font>
  <w:font w:name="MingLiU-ExtB">
    <w:panose1 w:val="02020500000000000000"/>
    <w:charset w:val="88"/>
    <w:family w:val="auto"/>
    <w:pitch w:val="default"/>
    <w:sig w:usb0="8000002F" w:usb1="02000008" w:usb2="00000000" w:usb3="00000000" w:csb0="00100001" w:csb1="00000000"/>
  </w:font>
  <w:font w:name="MingLiU_HKSCS">
    <w:panose1 w:val="02020500000000000000"/>
    <w:charset w:val="88"/>
    <w:family w:val="auto"/>
    <w:pitch w:val="default"/>
    <w:sig w:usb0="A00002FF" w:usb1="38CFFCFA" w:usb2="00000016" w:usb3="00000000" w:csb0="00100001" w:csb1="00000000"/>
  </w:font>
  <w:font w:name="MingLiU_HKSCS-ExtB">
    <w:panose1 w:val="02020500000000000000"/>
    <w:charset w:val="88"/>
    <w:family w:val="auto"/>
    <w:pitch w:val="default"/>
    <w:sig w:usb0="8000002F" w:usb1="02000008" w:usb2="00000000" w:usb3="00000000" w:csb0="00100001" w:csb1="00000000"/>
  </w:font>
  <w:font w:name="MS PMincho">
    <w:panose1 w:val="02020600040205080304"/>
    <w:charset w:val="80"/>
    <w:family w:val="auto"/>
    <w:pitch w:val="default"/>
    <w:sig w:usb0="E00002FF" w:usb1="6AC7FDFB" w:usb2="00000012" w:usb3="00000000" w:csb0="4002009F" w:csb1="DFD70000"/>
  </w:font>
  <w:font w:name="MS UI Gothic">
    <w:panose1 w:val="020B0600070205080204"/>
    <w:charset w:val="80"/>
    <w:family w:val="auto"/>
    <w:pitch w:val="default"/>
    <w:sig w:usb0="E00002FF" w:usb1="6AC7FDFB" w:usb2="00000012" w:usb3="00000000" w:csb0="4002009F" w:csb1="DFD70000"/>
  </w:font>
  <w:font w:name="SimSun-ExtB">
    <w:panose1 w:val="02010609060101010101"/>
    <w:charset w:val="86"/>
    <w:family w:val="auto"/>
    <w:pitch w:val="default"/>
    <w:sig w:usb0="00000001" w:usb1="02000000" w:usb2="00000000" w:usb3="00000000" w:csb0="00040001" w:csb1="00000000"/>
  </w:font>
  <w:font w:name="04b_21">
    <w:panose1 w:val="00000400000000000000"/>
    <w:charset w:val="00"/>
    <w:family w:val="auto"/>
    <w:pitch w:val="default"/>
    <w:sig w:usb0="00000000" w:usb1="00000000" w:usb2="00000000" w:usb3="00000000" w:csb0="00000000" w:csb1="00000000"/>
  </w:font>
  <w:font w:name="Bookshelf Symbol 7">
    <w:panose1 w:val="05010101010101010101"/>
    <w:charset w:val="00"/>
    <w:family w:val="auto"/>
    <w:pitch w:val="default"/>
    <w:sig w:usb0="00000000" w:usb1="00000000" w:usb2="00000000" w:usb3="00000000" w:csb0="80000000" w:csb1="00000000"/>
  </w:font>
  <w:font w:name="Consolas">
    <w:panose1 w:val="020B0609020204030204"/>
    <w:charset w:val="00"/>
    <w:family w:val="auto"/>
    <w:pitch w:val="default"/>
    <w:sig w:usb0="E10002FF" w:usb1="4000FCFF" w:usb2="00000009" w:usb3="00000000" w:csb0="6000019F" w:csb1="DFD70000"/>
  </w:font>
  <w:font w:name="DaunPenh">
    <w:panose1 w:val="01010101010101010101"/>
    <w:charset w:val="00"/>
    <w:family w:val="auto"/>
    <w:pitch w:val="default"/>
    <w:sig w:usb0="00000003" w:usb1="00000000" w:usb2="00010000" w:usb3="00000000" w:csb0="00000001" w:csb1="00000000"/>
  </w:font>
  <w:font w:name="DilleniaUPC">
    <w:panose1 w:val="02020603050405020304"/>
    <w:charset w:val="00"/>
    <w:family w:val="auto"/>
    <w:pitch w:val="default"/>
    <w:sig w:usb0="81000027" w:usb1="00000002" w:usb2="00000000" w:usb3="00000000" w:csb0="00010001" w:csb1="00000000"/>
  </w:font>
  <w:font w:name="DokChampa">
    <w:panose1 w:val="020B0604020202020204"/>
    <w:charset w:val="00"/>
    <w:family w:val="auto"/>
    <w:pitch w:val="default"/>
    <w:sig w:usb0="03000003" w:usb1="00000000" w:usb2="00000000" w:usb3="00000000" w:csb0="40010001" w:csb1="00000000"/>
  </w:font>
  <w:font w:name="Estrangelo Edessa">
    <w:panose1 w:val="03080600000000000000"/>
    <w:charset w:val="00"/>
    <w:family w:val="auto"/>
    <w:pitch w:val="default"/>
    <w:sig w:usb0="80002043" w:usb1="00000000" w:usb2="00000080" w:usb3="00000000" w:csb0="00000001" w:csb1="00000000"/>
  </w:font>
  <w:font w:name="Euphemia">
    <w:panose1 w:val="020B0503040102020104"/>
    <w:charset w:val="00"/>
    <w:family w:val="auto"/>
    <w:pitch w:val="default"/>
    <w:sig w:usb0="8000006F" w:usb1="0000004A" w:usb2="00002000" w:usb3="00000000" w:csb0="00000001" w:csb1="00000000"/>
  </w:font>
  <w:font w:name="Gautami">
    <w:panose1 w:val="020B0502040204020203"/>
    <w:charset w:val="00"/>
    <w:family w:val="auto"/>
    <w:pitch w:val="default"/>
    <w:sig w:usb0="00200003" w:usb1="00000000" w:usb2="00000000" w:usb3="00000000" w:csb0="00000001" w:csb1="00000000"/>
  </w:font>
  <w:font w:name="IrisUPC">
    <w:panose1 w:val="020B0604020202020204"/>
    <w:charset w:val="00"/>
    <w:family w:val="auto"/>
    <w:pitch w:val="default"/>
    <w:sig w:usb0="01000007" w:usb1="00000002" w:usb2="00000000" w:usb3="00000000" w:csb0="00010001" w:csb1="00000000"/>
  </w:font>
  <w:font w:name="Marlett">
    <w:panose1 w:val="00000000000000000000"/>
    <w:charset w:val="00"/>
    <w:family w:val="auto"/>
    <w:pitch w:val="default"/>
    <w:sig w:usb0="00000000" w:usb1="00000000" w:usb2="00000000" w:usb3="00000000" w:csb0="80000000" w:csb1="00000000"/>
  </w:font>
  <w:font w:name="Miriam Fixed">
    <w:panose1 w:val="020B0509050101010101"/>
    <w:charset w:val="00"/>
    <w:family w:val="auto"/>
    <w:pitch w:val="default"/>
    <w:sig w:usb0="00000801" w:usb1="00000000" w:usb2="00000000" w:usb3="00000000" w:csb0="00000020" w:csb1="00200000"/>
  </w:font>
  <w:font w:name="MV Boli">
    <w:panose1 w:val="02000500030200090000"/>
    <w:charset w:val="00"/>
    <w:family w:val="auto"/>
    <w:pitch w:val="default"/>
    <w:sig w:usb0="00000003" w:usb1="00000000" w:usb2="00000100" w:usb3="00000000" w:csb0="00000001" w:csb1="00000000"/>
  </w:font>
  <w:font w:name="Plantagenet Cherokee">
    <w:panose1 w:val="02020602070100000000"/>
    <w:charset w:val="00"/>
    <w:family w:val="auto"/>
    <w:pitch w:val="default"/>
    <w:sig w:usb0="00000003" w:usb1="00000000" w:usb2="00001000" w:usb3="00000000" w:csb0="00000001" w:csb1="00000000"/>
  </w:font>
  <w:font w:name="Sakkal Majalla">
    <w:panose1 w:val="02000000000000000000"/>
    <w:charset w:val="00"/>
    <w:family w:val="auto"/>
    <w:pitch w:val="default"/>
    <w:sig w:usb0="A000207F" w:usb1="C000204B" w:usb2="00000008" w:usb3="00000000" w:csb0="200000D3" w:csb1="00000000"/>
  </w:font>
  <w:font w:name="Segoe UI Semibold">
    <w:panose1 w:val="020B0702040204020203"/>
    <w:charset w:val="00"/>
    <w:family w:val="auto"/>
    <w:pitch w:val="default"/>
    <w:sig w:usb0="E00002FF" w:usb1="4000A47B" w:usb2="00000001" w:usb3="00000000" w:csb0="2000019F" w:csb1="00000000"/>
  </w:font>
  <w:font w:name="Simplified Arabic Fixed">
    <w:panose1 w:val="02070309020205020404"/>
    <w:charset w:val="00"/>
    <w:family w:val="auto"/>
    <w:pitch w:val="default"/>
    <w:sig w:usb0="00002003" w:usb1="00000000" w:usb2="00000000" w:usb3="00000000" w:csb0="00000041" w:csb1="20080000"/>
  </w:font>
  <w:font w:name="Source Code Pro">
    <w:panose1 w:val="020B0509030403020204"/>
    <w:charset w:val="00"/>
    <w:family w:val="auto"/>
    <w:pitch w:val="default"/>
    <w:sig w:usb0="20000007" w:usb1="00000001" w:usb2="00000000" w:usb3="00000000" w:csb0="20000193" w:csb1="00000000"/>
  </w:font>
  <w:font w:name="Source Code Pro Black">
    <w:panose1 w:val="020B0809030403020204"/>
    <w:charset w:val="00"/>
    <w:family w:val="auto"/>
    <w:pitch w:val="default"/>
    <w:sig w:usb0="20000007" w:usb1="00000001" w:usb2="00000000" w:usb3="00000000" w:csb0="20000193" w:csb1="00000000"/>
  </w:font>
  <w:font w:name="Source Code Pro ExtraLight">
    <w:panose1 w:val="020B0309030403020204"/>
    <w:charset w:val="00"/>
    <w:family w:val="auto"/>
    <w:pitch w:val="default"/>
    <w:sig w:usb0="20000007" w:usb1="00000001" w:usb2="00000000" w:usb3="00000000" w:csb0="20000193" w:csb1="00000000"/>
  </w:font>
  <w:font w:name="Traditional Arabic">
    <w:panose1 w:val="02020603050405020304"/>
    <w:charset w:val="00"/>
    <w:family w:val="auto"/>
    <w:pitch w:val="default"/>
    <w:sig w:usb0="00006003" w:usb1="80000000" w:usb2="00000008" w:usb3="00000000" w:csb0="00000041" w:csb1="20080000"/>
  </w:font>
  <w:font w:name="宋体-PUA">
    <w:altName w:val="宋体"/>
    <w:panose1 w:val="02010600030101010101"/>
    <w:charset w:val="86"/>
    <w:family w:val="auto"/>
    <w:pitch w:val="default"/>
    <w:sig w:usb0="00000000" w:usb1="00000000" w:usb2="00000000" w:usb3="00000000" w:csb0="00040000" w:csb1="00000000"/>
  </w:font>
  <w:font w:name="宋">
    <w:altName w:val="宋体"/>
    <w:panose1 w:val="00000000000000000000"/>
    <w:charset w:val="86"/>
    <w:family w:val="auto"/>
    <w:pitch w:val="default"/>
    <w:sig w:usb0="00000000" w:usb1="00000000" w:usb2="00000010" w:usb3="00000000" w:csb0="00040000" w:csb1="00000000"/>
  </w:font>
  <w:font w:name="文鼎小标宋简">
    <w:altName w:val="宋体"/>
    <w:panose1 w:val="02010609010101010101"/>
    <w:charset w:val="86"/>
    <w:family w:val="modern"/>
    <w:pitch w:val="default"/>
    <w:sig w:usb0="00000000" w:usb1="00000000" w:usb2="00000000" w:usb3="00000000" w:csb0="00000000" w:csb1="00000000"/>
  </w:font>
  <w:font w:name="隶书">
    <w:altName w:val="宋体"/>
    <w:panose1 w:val="02010509060101010101"/>
    <w:charset w:val="86"/>
    <w:family w:val="modern"/>
    <w:pitch w:val="default"/>
    <w:sig w:usb0="00000000" w:usb1="00000000" w:usb2="00000000" w:usb3="00000000" w:csb0="00040000" w:csb1="00000000"/>
  </w:font>
  <w:font w:name="MingLiU">
    <w:panose1 w:val="02020509000000000000"/>
    <w:charset w:val="88"/>
    <w:family w:val="auto"/>
    <w:pitch w:val="default"/>
    <w:sig w:usb0="A00002FF" w:usb1="28CFFCFA" w:usb2="00000016" w:usb3="00000000" w:csb0="00100001" w:csb1="00000000"/>
  </w:font>
  <w:font w:name="Symbol">
    <w:panose1 w:val="05050102010706020507"/>
    <w:charset w:val="00"/>
    <w:family w:val="auto"/>
    <w:pitch w:val="default"/>
    <w:sig w:usb0="00000000" w:usb1="00000000" w:usb2="00000000" w:usb3="00000000" w:csb0="80000000" w:csb1="00000000"/>
  </w:font>
  <w:font w:name="Comic Sans MS">
    <w:panose1 w:val="030F0702030302020204"/>
    <w:charset w:val="00"/>
    <w:family w:val="auto"/>
    <w:pitch w:val="default"/>
    <w:sig w:usb0="00000287" w:usb1="00000000" w:usb2="00000000" w:usb3="00000000" w:csb0="2000009F" w:csb1="00000000"/>
  </w:font>
  <w:font w:name="@黑体">
    <w:panose1 w:val="02010609060101010101"/>
    <w:charset w:val="86"/>
    <w:family w:val="auto"/>
    <w:pitch w:val="default"/>
    <w:sig w:usb0="800002BF" w:usb1="38CF7CFA" w:usb2="00000016" w:usb3="00000000" w:csb0="00040001" w:csb1="00000000"/>
  </w:font>
  <w:font w:name="AmdtSymbols">
    <w:panose1 w:val="02000500000000020004"/>
    <w:charset w:val="00"/>
    <w:family w:val="auto"/>
    <w:pitch w:val="default"/>
    <w:sig w:usb0="00000001" w:usb1="00000000" w:usb2="00000000" w:usb3="00000000" w:csb0="00000001" w:csb1="00000000"/>
  </w:font>
  <w:font w:name="Calibri">
    <w:panose1 w:val="020F0502020204030204"/>
    <w:charset w:val="86"/>
    <w:family w:val="swiss"/>
    <w:pitch w:val="default"/>
    <w:sig w:usb0="E00002FF" w:usb1="4000ACFF" w:usb2="00000001" w:usb3="00000000" w:csb0="2000019F" w:csb1="00000000"/>
  </w:font>
  <w:font w:name="Georgia">
    <w:panose1 w:val="02040502050405020303"/>
    <w:charset w:val="00"/>
    <w:family w:val="auto"/>
    <w:pitch w:val="default"/>
    <w:sig w:usb0="00000287" w:usb1="00000000" w:usb2="00000000" w:usb3="00000000" w:csb0="2000009F" w:csb1="00000000"/>
  </w:font>
  <w:font w:name="TimesNewRomanPS-BoldMT">
    <w:altName w:val="宋体"/>
    <w:panose1 w:val="00000000000000000000"/>
    <w:charset w:val="86"/>
    <w:family w:val="auto"/>
    <w:pitch w:val="default"/>
    <w:sig w:usb0="00000000" w:usb1="00000000" w:usb2="00000010" w:usb3="00000000" w:csb0="00040000" w:csb1="00000000"/>
  </w:font>
  <w:font w:name="方正书宋_GBK">
    <w:altName w:val="微软雅黑"/>
    <w:panose1 w:val="00000000000000000000"/>
    <w:charset w:val="00"/>
    <w:family w:val="auto"/>
    <w:pitch w:val="default"/>
    <w:sig w:usb0="00000000" w:usb1="00000000" w:usb2="00000000" w:usb3="00000000" w:csb0="00000000" w:csb1="00000000"/>
  </w:font>
  <w:font w:name="Bookman Old Style">
    <w:altName w:val="Segoe Print"/>
    <w:panose1 w:val="02050604050505020204"/>
    <w:charset w:val="00"/>
    <w:family w:val="auto"/>
    <w:pitch w:val="default"/>
    <w:sig w:usb0="00000000" w:usb1="00000000" w:usb2="00000000" w:usb3="00000000" w:csb0="2000009F" w:csb1="DFD7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sz w:val="18"/>
      </w:rPr>
      <mc:AlternateContent>
        <mc:Choice Requires="wps">
          <w:drawing>
            <wp:anchor distT="0" distB="0" distL="114300" distR="114300" simplePos="0" relativeHeight="251750400"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sz w:val="18"/>
                            </w:rPr>
                            <w:t>3</w:t>
                          </w:r>
                          <w:r>
                            <w:rPr>
                              <w:rFonts w:hint="eastAsia"/>
                              <w:sz w:val="1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504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zSVju0AAAAAUBAAAPAAAAAAAAAAEA&#10;IAAAACIAAABkcnMvZG93bnJldi54bWxQSwECFAAUAAAACACHTuJACqS7ABcCAAAVBAAADgAAAAAA&#10;AAABACAAAAAfAQAAZHJzL2Uyb0RvYy54bWxQSwUGAAAAAAYABgBZAQAAqAUAAAAA&#10;">
              <v:fill on="f" focussize="0,0"/>
              <v:stroke on="f" weight="0.5pt"/>
              <v:imagedata o:title=""/>
              <o:lock v:ext="edit" aspectratio="f"/>
              <v:textbox inset="0mm,0mm,0mm,0mm" style="mso-fit-shape-to-text:t;">
                <w:txbxContent>
                  <w:p>
                    <w:pPr>
                      <w:snapToGrid w:val="0"/>
                      <w:rPr>
                        <w:rFonts w:hint="eastAsia" w:eastAsia="宋体"/>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sz w:val="18"/>
                      </w:rPr>
                      <w:t>3</w:t>
                    </w:r>
                    <w:r>
                      <w:rPr>
                        <w:rFonts w:hint="eastAsia"/>
                        <w:sz w:val="18"/>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distribute"/>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7"/>
    <w:multiLevelType w:val="singleLevel"/>
    <w:tmpl w:val="00000017"/>
    <w:lvl w:ilvl="0" w:tentative="0">
      <w:start w:val="1"/>
      <w:numFmt w:val="decimal"/>
      <w:suff w:val="nothing"/>
      <w:lvlText w:val="（%1）"/>
      <w:lvlJc w:val="left"/>
    </w:lvl>
  </w:abstractNum>
  <w:abstractNum w:abstractNumId="1">
    <w:nsid w:val="1F1A555E"/>
    <w:multiLevelType w:val="singleLevel"/>
    <w:tmpl w:val="1F1A555E"/>
    <w:lvl w:ilvl="0" w:tentative="0">
      <w:start w:val="1"/>
      <w:numFmt w:val="decimal"/>
      <w:suff w:val="nothing"/>
      <w:lvlText w:val="%1、"/>
      <w:lvlJc w:val="left"/>
    </w:lvl>
  </w:abstractNum>
  <w:abstractNum w:abstractNumId="2">
    <w:nsid w:val="5843CF43"/>
    <w:multiLevelType w:val="singleLevel"/>
    <w:tmpl w:val="5843CF43"/>
    <w:lvl w:ilvl="0" w:tentative="0">
      <w:start w:val="1"/>
      <w:numFmt w:val="decimal"/>
      <w:suff w:val="nothing"/>
      <w:lvlText w:val="%1、"/>
      <w:lvlJc w:val="left"/>
    </w:lvl>
  </w:abstractNum>
  <w:abstractNum w:abstractNumId="3">
    <w:nsid w:val="5843CF90"/>
    <w:multiLevelType w:val="singleLevel"/>
    <w:tmpl w:val="5843CF90"/>
    <w:lvl w:ilvl="0" w:tentative="0">
      <w:start w:val="4"/>
      <w:numFmt w:val="decimal"/>
      <w:suff w:val="nothing"/>
      <w:lvlText w:val="%1、"/>
      <w:lvlJc w:val="left"/>
    </w:lvl>
  </w:abstractNum>
  <w:abstractNum w:abstractNumId="4">
    <w:nsid w:val="586F652E"/>
    <w:multiLevelType w:val="singleLevel"/>
    <w:tmpl w:val="586F652E"/>
    <w:lvl w:ilvl="0" w:tentative="0">
      <w:start w:val="1"/>
      <w:numFmt w:val="decimal"/>
      <w:suff w:val="nothing"/>
      <w:lvlText w:val="%1、"/>
      <w:lvlJc w:val="left"/>
    </w:lvl>
  </w:abstractNum>
  <w:abstractNum w:abstractNumId="5">
    <w:nsid w:val="587356AA"/>
    <w:multiLevelType w:val="singleLevel"/>
    <w:tmpl w:val="587356AA"/>
    <w:lvl w:ilvl="0" w:tentative="0">
      <w:start w:val="1"/>
      <w:numFmt w:val="decimal"/>
      <w:suff w:val="nothing"/>
      <w:lvlText w:val="%1、"/>
      <w:lvlJc w:val="left"/>
    </w:lvl>
  </w:abstractNum>
  <w:abstractNum w:abstractNumId="6">
    <w:nsid w:val="587D95FA"/>
    <w:multiLevelType w:val="singleLevel"/>
    <w:tmpl w:val="587D95FA"/>
    <w:lvl w:ilvl="0" w:tentative="0">
      <w:start w:val="3"/>
      <w:numFmt w:val="decimal"/>
      <w:suff w:val="nothing"/>
      <w:lvlText w:val="%1、"/>
      <w:lvlJc w:val="left"/>
    </w:lvl>
  </w:abstractNum>
  <w:abstractNum w:abstractNumId="7">
    <w:nsid w:val="588003F6"/>
    <w:multiLevelType w:val="singleLevel"/>
    <w:tmpl w:val="588003F6"/>
    <w:lvl w:ilvl="0" w:tentative="0">
      <w:start w:val="1"/>
      <w:numFmt w:val="decimal"/>
      <w:suff w:val="nothing"/>
      <w:lvlText w:val="（%1）"/>
      <w:lvlJc w:val="left"/>
    </w:lvl>
  </w:abstractNum>
  <w:abstractNum w:abstractNumId="8">
    <w:nsid w:val="58802684"/>
    <w:multiLevelType w:val="singleLevel"/>
    <w:tmpl w:val="58802684"/>
    <w:lvl w:ilvl="0" w:tentative="0">
      <w:start w:val="1"/>
      <w:numFmt w:val="decimal"/>
      <w:suff w:val="nothing"/>
      <w:lvlText w:val="（%1）"/>
      <w:lvlJc w:val="left"/>
    </w:lvl>
  </w:abstractNum>
  <w:abstractNum w:abstractNumId="9">
    <w:nsid w:val="58808ABF"/>
    <w:multiLevelType w:val="singleLevel"/>
    <w:tmpl w:val="58808ABF"/>
    <w:lvl w:ilvl="0" w:tentative="0">
      <w:start w:val="6"/>
      <w:numFmt w:val="decimal"/>
      <w:suff w:val="nothing"/>
      <w:lvlText w:val="%1、"/>
      <w:lvlJc w:val="left"/>
    </w:lvl>
  </w:abstractNum>
  <w:abstractNum w:abstractNumId="10">
    <w:nsid w:val="5880AE5B"/>
    <w:multiLevelType w:val="singleLevel"/>
    <w:tmpl w:val="5880AE5B"/>
    <w:lvl w:ilvl="0" w:tentative="0">
      <w:start w:val="1"/>
      <w:numFmt w:val="decimal"/>
      <w:suff w:val="nothing"/>
      <w:lvlText w:val="%1、"/>
      <w:lvlJc w:val="left"/>
    </w:lvl>
  </w:abstractNum>
  <w:abstractNum w:abstractNumId="11">
    <w:nsid w:val="5880B658"/>
    <w:multiLevelType w:val="singleLevel"/>
    <w:tmpl w:val="5880B658"/>
    <w:lvl w:ilvl="0" w:tentative="0">
      <w:start w:val="2"/>
      <w:numFmt w:val="decimal"/>
      <w:suff w:val="nothing"/>
      <w:lvlText w:val="%1、"/>
      <w:lvlJc w:val="left"/>
    </w:lvl>
  </w:abstractNum>
  <w:abstractNum w:abstractNumId="12">
    <w:nsid w:val="5880C9E8"/>
    <w:multiLevelType w:val="singleLevel"/>
    <w:tmpl w:val="5880C9E8"/>
    <w:lvl w:ilvl="0" w:tentative="0">
      <w:start w:val="7"/>
      <w:numFmt w:val="decimal"/>
      <w:suff w:val="nothing"/>
      <w:lvlText w:val="%1、"/>
      <w:lvlJc w:val="left"/>
    </w:lvl>
  </w:abstractNum>
  <w:abstractNum w:abstractNumId="13">
    <w:nsid w:val="5880D302"/>
    <w:multiLevelType w:val="singleLevel"/>
    <w:tmpl w:val="5880D302"/>
    <w:lvl w:ilvl="0" w:tentative="0">
      <w:start w:val="1"/>
      <w:numFmt w:val="decimal"/>
      <w:suff w:val="nothing"/>
      <w:lvlText w:val="%1、"/>
      <w:lvlJc w:val="left"/>
    </w:lvl>
  </w:abstractNum>
  <w:abstractNum w:abstractNumId="14">
    <w:nsid w:val="58811416"/>
    <w:multiLevelType w:val="singleLevel"/>
    <w:tmpl w:val="58811416"/>
    <w:lvl w:ilvl="0" w:tentative="0">
      <w:start w:val="8"/>
      <w:numFmt w:val="decimal"/>
      <w:suff w:val="nothing"/>
      <w:lvlText w:val="%1、"/>
      <w:lvlJc w:val="left"/>
    </w:lvl>
  </w:abstractNum>
  <w:abstractNum w:abstractNumId="15">
    <w:nsid w:val="588114F9"/>
    <w:multiLevelType w:val="singleLevel"/>
    <w:tmpl w:val="588114F9"/>
    <w:lvl w:ilvl="0" w:tentative="0">
      <w:start w:val="10"/>
      <w:numFmt w:val="decimal"/>
      <w:suff w:val="nothing"/>
      <w:lvlText w:val="%1、"/>
      <w:lvlJc w:val="left"/>
    </w:lvl>
  </w:abstractNum>
  <w:abstractNum w:abstractNumId="16">
    <w:nsid w:val="5881153B"/>
    <w:multiLevelType w:val="singleLevel"/>
    <w:tmpl w:val="5881153B"/>
    <w:lvl w:ilvl="0" w:tentative="0">
      <w:start w:val="11"/>
      <w:numFmt w:val="decimal"/>
      <w:suff w:val="nothing"/>
      <w:lvlText w:val="%1、"/>
      <w:lvlJc w:val="left"/>
    </w:lvl>
  </w:abstractNum>
  <w:abstractNum w:abstractNumId="17">
    <w:nsid w:val="58815ACF"/>
    <w:multiLevelType w:val="singleLevel"/>
    <w:tmpl w:val="58815ACF"/>
    <w:lvl w:ilvl="0" w:tentative="0">
      <w:start w:val="1"/>
      <w:numFmt w:val="decimal"/>
      <w:suff w:val="nothing"/>
      <w:lvlText w:val="（%1）"/>
      <w:lvlJc w:val="left"/>
    </w:lvl>
  </w:abstractNum>
  <w:abstractNum w:abstractNumId="18">
    <w:nsid w:val="5881668F"/>
    <w:multiLevelType w:val="singleLevel"/>
    <w:tmpl w:val="5881668F"/>
    <w:lvl w:ilvl="0" w:tentative="0">
      <w:start w:val="3"/>
      <w:numFmt w:val="decimal"/>
      <w:suff w:val="nothing"/>
      <w:lvlText w:val="%1、"/>
      <w:lvlJc w:val="left"/>
    </w:lvl>
  </w:abstractNum>
  <w:abstractNum w:abstractNumId="19">
    <w:nsid w:val="588173BF"/>
    <w:multiLevelType w:val="singleLevel"/>
    <w:tmpl w:val="588173BF"/>
    <w:lvl w:ilvl="0" w:tentative="0">
      <w:start w:val="2"/>
      <w:numFmt w:val="decimal"/>
      <w:suff w:val="nothing"/>
      <w:lvlText w:val="（%1）"/>
      <w:lvlJc w:val="left"/>
    </w:lvl>
  </w:abstractNum>
  <w:abstractNum w:abstractNumId="20">
    <w:nsid w:val="588178E2"/>
    <w:multiLevelType w:val="singleLevel"/>
    <w:tmpl w:val="588178E2"/>
    <w:lvl w:ilvl="0" w:tentative="0">
      <w:start w:val="1"/>
      <w:numFmt w:val="decimal"/>
      <w:suff w:val="nothing"/>
      <w:lvlText w:val="%1、"/>
      <w:lvlJc w:val="left"/>
    </w:lvl>
  </w:abstractNum>
  <w:abstractNum w:abstractNumId="21">
    <w:nsid w:val="58817CEB"/>
    <w:multiLevelType w:val="singleLevel"/>
    <w:tmpl w:val="58817CEB"/>
    <w:lvl w:ilvl="0" w:tentative="0">
      <w:start w:val="3"/>
      <w:numFmt w:val="decimal"/>
      <w:suff w:val="space"/>
      <w:lvlText w:val="(%1)"/>
      <w:lvlJc w:val="left"/>
    </w:lvl>
  </w:abstractNum>
  <w:abstractNum w:abstractNumId="22">
    <w:nsid w:val="58C0EA27"/>
    <w:multiLevelType w:val="singleLevel"/>
    <w:tmpl w:val="58C0EA27"/>
    <w:lvl w:ilvl="0" w:tentative="0">
      <w:start w:val="1"/>
      <w:numFmt w:val="decimal"/>
      <w:suff w:val="nothing"/>
      <w:lvlText w:val="%1、"/>
      <w:lvlJc w:val="left"/>
    </w:lvl>
  </w:abstractNum>
  <w:num w:numId="1">
    <w:abstractNumId w:val="4"/>
  </w:num>
  <w:num w:numId="2">
    <w:abstractNumId w:val="22"/>
  </w:num>
  <w:num w:numId="3">
    <w:abstractNumId w:val="5"/>
  </w:num>
  <w:num w:numId="4">
    <w:abstractNumId w:val="21"/>
  </w:num>
  <w:num w:numId="5">
    <w:abstractNumId w:val="6"/>
  </w:num>
  <w:num w:numId="6">
    <w:abstractNumId w:val="7"/>
  </w:num>
  <w:num w:numId="7">
    <w:abstractNumId w:val="8"/>
  </w:num>
  <w:num w:numId="8">
    <w:abstractNumId w:val="9"/>
  </w:num>
  <w:num w:numId="9">
    <w:abstractNumId w:val="11"/>
  </w:num>
  <w:num w:numId="10">
    <w:abstractNumId w:val="10"/>
  </w:num>
  <w:num w:numId="11">
    <w:abstractNumId w:val="1"/>
  </w:num>
  <w:num w:numId="12">
    <w:abstractNumId w:val="2"/>
  </w:num>
  <w:num w:numId="13">
    <w:abstractNumId w:val="3"/>
  </w:num>
  <w:num w:numId="14">
    <w:abstractNumId w:val="12"/>
  </w:num>
  <w:num w:numId="15">
    <w:abstractNumId w:val="13"/>
  </w:num>
  <w:num w:numId="16">
    <w:abstractNumId w:val="0"/>
  </w:num>
  <w:num w:numId="17">
    <w:abstractNumId w:val="14"/>
  </w:num>
  <w:num w:numId="18">
    <w:abstractNumId w:val="17"/>
  </w:num>
  <w:num w:numId="19">
    <w:abstractNumId w:val="18"/>
  </w:num>
  <w:num w:numId="20">
    <w:abstractNumId w:val="15"/>
  </w:num>
  <w:num w:numId="21">
    <w:abstractNumId w:val="16"/>
  </w:num>
  <w:num w:numId="22">
    <w:abstractNumId w:val="19"/>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8D7002"/>
    <w:rsid w:val="080A0DF4"/>
    <w:rsid w:val="09560D82"/>
    <w:rsid w:val="0C435861"/>
    <w:rsid w:val="0F754965"/>
    <w:rsid w:val="1457298C"/>
    <w:rsid w:val="15563F1E"/>
    <w:rsid w:val="16301E07"/>
    <w:rsid w:val="185B2D82"/>
    <w:rsid w:val="1C421CE4"/>
    <w:rsid w:val="1C8F4FDA"/>
    <w:rsid w:val="1FC40107"/>
    <w:rsid w:val="20195163"/>
    <w:rsid w:val="21E438BB"/>
    <w:rsid w:val="253E2C5A"/>
    <w:rsid w:val="2BD8323A"/>
    <w:rsid w:val="2E015839"/>
    <w:rsid w:val="300E3818"/>
    <w:rsid w:val="37235FCC"/>
    <w:rsid w:val="38916102"/>
    <w:rsid w:val="390C4B3E"/>
    <w:rsid w:val="3B8670E7"/>
    <w:rsid w:val="4300603A"/>
    <w:rsid w:val="471064D5"/>
    <w:rsid w:val="49F3363B"/>
    <w:rsid w:val="4AED0A05"/>
    <w:rsid w:val="4B832E4D"/>
    <w:rsid w:val="4D07246D"/>
    <w:rsid w:val="4DEF2BA9"/>
    <w:rsid w:val="547C599A"/>
    <w:rsid w:val="55E57049"/>
    <w:rsid w:val="57015423"/>
    <w:rsid w:val="5D93314C"/>
    <w:rsid w:val="5FE05002"/>
    <w:rsid w:val="61666BFF"/>
    <w:rsid w:val="6433077E"/>
    <w:rsid w:val="6502059F"/>
    <w:rsid w:val="67DF01F5"/>
    <w:rsid w:val="7385507B"/>
    <w:rsid w:val="74A7622D"/>
    <w:rsid w:val="7BB040D3"/>
    <w:rsid w:val="7D282BAB"/>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qFormat="1"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qFormat="1"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20" w:firstLineChars="200"/>
      <w:jc w:val="both"/>
    </w:pPr>
    <w:rPr>
      <w:rFonts w:ascii="Times New Roman" w:hAnsi="Times New Roman" w:eastAsia="宋体" w:cstheme="minorBidi"/>
      <w:kern w:val="2"/>
      <w:sz w:val="24"/>
      <w:szCs w:val="24"/>
      <w:lang w:val="en-US" w:eastAsia="zh-CN" w:bidi="ar-SA"/>
    </w:rPr>
  </w:style>
  <w:style w:type="paragraph" w:styleId="2">
    <w:name w:val="heading 1"/>
    <w:basedOn w:val="1"/>
    <w:next w:val="1"/>
    <w:qFormat/>
    <w:uiPriority w:val="0"/>
    <w:pPr>
      <w:keepNext/>
      <w:keepLines/>
      <w:spacing w:before="240" w:beforeLines="0" w:beforeAutospacing="0" w:after="240" w:afterLines="0" w:afterAutospacing="0" w:line="360" w:lineRule="auto"/>
      <w:ind w:firstLine="0" w:firstLineChars="0"/>
      <w:outlineLvl w:val="0"/>
    </w:pPr>
    <w:rPr>
      <w:b/>
      <w:kern w:val="44"/>
      <w:sz w:val="30"/>
      <w:szCs w:val="30"/>
    </w:rPr>
  </w:style>
  <w:style w:type="paragraph" w:styleId="3">
    <w:name w:val="heading 2"/>
    <w:basedOn w:val="1"/>
    <w:next w:val="1"/>
    <w:link w:val="24"/>
    <w:unhideWhenUsed/>
    <w:qFormat/>
    <w:uiPriority w:val="0"/>
    <w:pPr>
      <w:keepNext/>
      <w:keepLines/>
      <w:spacing w:before="240" w:beforeLines="0" w:beforeAutospacing="0" w:after="120" w:afterLines="0" w:afterAutospacing="0" w:line="360" w:lineRule="auto"/>
      <w:ind w:firstLine="0" w:firstLineChars="0"/>
      <w:outlineLvl w:val="1"/>
    </w:pPr>
    <w:rPr>
      <w:rFonts w:ascii="Times New Roman" w:hAnsi="Times New Roman" w:eastAsia="宋体"/>
      <w:b/>
      <w:sz w:val="28"/>
      <w:szCs w:val="28"/>
    </w:rPr>
  </w:style>
  <w:style w:type="paragraph" w:styleId="4">
    <w:name w:val="heading 3"/>
    <w:basedOn w:val="1"/>
    <w:next w:val="1"/>
    <w:link w:val="25"/>
    <w:unhideWhenUsed/>
    <w:qFormat/>
    <w:uiPriority w:val="0"/>
    <w:pPr>
      <w:keepNext/>
      <w:keepLines/>
      <w:spacing w:before="120" w:beforeLines="0" w:beforeAutospacing="0" w:after="60" w:afterLines="0" w:afterAutospacing="0" w:line="360" w:lineRule="auto"/>
      <w:ind w:firstLine="480"/>
      <w:outlineLvl w:val="2"/>
    </w:pPr>
    <w:rPr>
      <w:b/>
      <w:sz w:val="24"/>
    </w:rPr>
  </w:style>
  <w:style w:type="character" w:default="1" w:styleId="18">
    <w:name w:val="Default Paragraph Font"/>
    <w:semiHidden/>
    <w:qFormat/>
    <w:uiPriority w:val="0"/>
  </w:style>
  <w:style w:type="table" w:default="1" w:styleId="19">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5">
    <w:name w:val="Body Text First Indent"/>
    <w:basedOn w:val="6"/>
    <w:link w:val="27"/>
    <w:qFormat/>
    <w:uiPriority w:val="0"/>
    <w:pPr>
      <w:keepNext w:val="0"/>
      <w:keepLines w:val="0"/>
      <w:widowControl w:val="0"/>
      <w:suppressLineNumbers w:val="0"/>
      <w:snapToGrid/>
      <w:spacing w:before="0" w:beforeAutospacing="0" w:after="120" w:afterAutospacing="0" w:line="240" w:lineRule="auto"/>
      <w:ind w:left="0" w:right="0" w:firstLine="420" w:firstLineChars="100"/>
      <w:jc w:val="both"/>
    </w:pPr>
    <w:rPr>
      <w:rFonts w:hint="default" w:ascii="Times New Roman" w:hAnsi="Times New Roman" w:eastAsia="Times New Roman" w:cs="Times New Roman"/>
      <w:snapToGrid/>
      <w:spacing w:val="0"/>
      <w:kern w:val="2"/>
      <w:sz w:val="21"/>
      <w:szCs w:val="24"/>
      <w:lang w:val="en-US" w:eastAsia="zh-CN" w:bidi="ar"/>
    </w:rPr>
  </w:style>
  <w:style w:type="paragraph" w:styleId="6">
    <w:name w:val="Body Text"/>
    <w:basedOn w:val="1"/>
    <w:qFormat/>
    <w:uiPriority w:val="0"/>
    <w:pPr>
      <w:spacing w:after="120" w:afterLines="0" w:afterAutospacing="0"/>
    </w:pPr>
  </w:style>
  <w:style w:type="paragraph" w:styleId="7">
    <w:name w:val="Normal Indent"/>
    <w:basedOn w:val="1"/>
    <w:qFormat/>
    <w:uiPriority w:val="0"/>
    <w:pPr>
      <w:ind w:firstLine="420" w:firstLineChars="200"/>
    </w:pPr>
  </w:style>
  <w:style w:type="paragraph" w:styleId="8">
    <w:name w:val="caption"/>
    <w:basedOn w:val="1"/>
    <w:next w:val="1"/>
    <w:unhideWhenUsed/>
    <w:qFormat/>
    <w:uiPriority w:val="0"/>
    <w:pPr>
      <w:widowControl/>
      <w:jc w:val="left"/>
    </w:pPr>
    <w:rPr>
      <w:rFonts w:ascii="Arial" w:hAnsi="Arial" w:eastAsia="黑体" w:cs="Arial"/>
      <w:kern w:val="0"/>
      <w:sz w:val="20"/>
      <w:szCs w:val="20"/>
    </w:rPr>
  </w:style>
  <w:style w:type="paragraph" w:styleId="9">
    <w:name w:val="Body Text Indent"/>
    <w:basedOn w:val="1"/>
    <w:qFormat/>
    <w:uiPriority w:val="0"/>
    <w:pPr>
      <w:ind w:firstLine="560"/>
    </w:pPr>
    <w:rPr>
      <w:sz w:val="28"/>
      <w:szCs w:val="28"/>
    </w:rPr>
  </w:style>
  <w:style w:type="paragraph" w:styleId="10">
    <w:name w:val="Plain Text"/>
    <w:basedOn w:val="1"/>
    <w:link w:val="28"/>
    <w:qFormat/>
    <w:uiPriority w:val="0"/>
    <w:rPr>
      <w:rFonts w:ascii="宋体" w:hAnsi="Courier New"/>
      <w:szCs w:val="21"/>
    </w:rPr>
  </w:style>
  <w:style w:type="paragraph" w:styleId="11">
    <w:name w:val="Body Text Indent 2"/>
    <w:basedOn w:val="1"/>
    <w:qFormat/>
    <w:uiPriority w:val="0"/>
    <w:pPr>
      <w:spacing w:after="120" w:line="480" w:lineRule="auto"/>
      <w:ind w:left="420" w:leftChars="200"/>
    </w:p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qFormat/>
    <w:uiPriority w:val="0"/>
    <w:pPr>
      <w:ind w:firstLine="0" w:firstLineChars="0"/>
    </w:pPr>
    <w:rPr>
      <w:rFonts w:ascii="Times New Roman" w:hAnsi="Times New Roman"/>
    </w:rPr>
  </w:style>
  <w:style w:type="paragraph" w:styleId="15">
    <w:name w:val="toc 4"/>
    <w:basedOn w:val="1"/>
    <w:next w:val="1"/>
    <w:qFormat/>
    <w:uiPriority w:val="0"/>
    <w:pPr>
      <w:ind w:left="630"/>
      <w:jc w:val="left"/>
    </w:pPr>
    <w:rPr>
      <w:sz w:val="18"/>
      <w:szCs w:val="18"/>
    </w:rPr>
  </w:style>
  <w:style w:type="paragraph" w:styleId="16">
    <w:name w:val="toc 2"/>
    <w:basedOn w:val="1"/>
    <w:next w:val="1"/>
    <w:qFormat/>
    <w:uiPriority w:val="0"/>
    <w:pPr>
      <w:ind w:left="480" w:leftChars="200" w:firstLine="0" w:firstLineChars="0"/>
    </w:pPr>
    <w:rPr>
      <w:rFonts w:ascii="Times New Roman" w:hAnsi="Times New Roman"/>
    </w:rPr>
  </w:style>
  <w:style w:type="paragraph" w:styleId="17">
    <w:name w:val="Normal (Web)"/>
    <w:basedOn w:val="1"/>
    <w:qFormat/>
    <w:uiPriority w:val="0"/>
    <w:rPr>
      <w:sz w:val="24"/>
    </w:rPr>
  </w:style>
  <w:style w:type="table" w:styleId="20">
    <w:name w:val="Table Grid"/>
    <w:basedOn w:val="1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textDirection w:val="lrTb"/>
    </w:tcPr>
  </w:style>
  <w:style w:type="table" w:styleId="21">
    <w:name w:val="Table Grid 1"/>
    <w:basedOn w:val="19"/>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cPr>
      <w:tcBorders>
        <w:top w:val="single" w:color="000000" w:sz="6" w:space="0"/>
        <w:left w:val="single" w:color="000000" w:sz="6" w:space="0"/>
        <w:bottom w:val="single" w:color="000000" w:sz="6" w:space="0"/>
        <w:right w:val="single" w:color="000000" w:sz="6" w:space="0"/>
      </w:tcBorders>
    </w:tcPr>
    <w:tblStylePr w:type="lastRow">
      <w:rPr>
        <w:i/>
        <w:iCs/>
      </w:rPr>
      <w:tblPr>
        <w:tblLayout w:type="fixed"/>
      </w:tblPr>
      <w:tcPr>
        <w:tcBorders>
          <w:tl2br w:val="nil"/>
          <w:tr2bl w:val="nil"/>
        </w:tcBorders>
      </w:tcPr>
    </w:tblStylePr>
    <w:tblStylePr w:type="lastCol">
      <w:rPr>
        <w:i/>
        <w:iCs/>
      </w:rPr>
      <w:tblPr>
        <w:tblLayout w:type="fixed"/>
      </w:tblPr>
      <w:tcPr>
        <w:tcBorders>
          <w:tl2br w:val="nil"/>
          <w:tr2bl w:val="nil"/>
        </w:tcBorders>
      </w:tcPr>
    </w:tblStylePr>
    <w:tblStylePr w:type="nwCell">
      <w:tblPr>
        <w:tblLayout w:type="fixed"/>
      </w:tblPr>
      <w:tcPr>
        <w:tcBorders>
          <w:tl2br w:val="single" w:color="000000" w:sz="6" w:space="0"/>
          <w:tr2bl w:val="nil"/>
        </w:tcBorders>
      </w:tcPr>
    </w:tblStylePr>
  </w:style>
  <w:style w:type="table" w:styleId="22">
    <w:name w:val="Table Grid 5"/>
    <w:basedOn w:val="19"/>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Pr>
    <w:tcPr>
      <w:shd w:val="clear" w:color="auto" w:fill="auto"/>
      <w:textDirection w:val="lrTb"/>
    </w:tcPr>
    <w:tblStylePr w:type="firstRow">
      <w:tblPr>
        <w:tblLayout w:type="fixed"/>
      </w:tblPr>
      <w:tcPr>
        <w:tcBorders>
          <w:left w:val="single" w:color="000000" w:sz="12" w:space="0"/>
          <w:tl2br w:val="nil"/>
          <w:tr2bl w:val="nil"/>
        </w:tcBorders>
        <w:textDirection w:val="lrTb"/>
      </w:tcPr>
    </w:tblStylePr>
    <w:tblStylePr w:type="lastRow">
      <w:rPr>
        <w:b/>
        <w:bCs/>
      </w:rPr>
      <w:tblPr>
        <w:tblLayout w:type="fixed"/>
      </w:tblPr>
      <w:tcPr>
        <w:tcBorders>
          <w:tl2br w:val="nil"/>
          <w:tr2bl w:val="nil"/>
        </w:tcBorders>
        <w:textDirection w:val="lrTb"/>
      </w:tcPr>
    </w:tblStylePr>
    <w:tblStylePr w:type="lastCol">
      <w:rPr>
        <w:b/>
        <w:bCs/>
      </w:rPr>
      <w:tblPr>
        <w:tblLayout w:type="fixed"/>
      </w:tblPr>
      <w:tcPr>
        <w:tcBorders>
          <w:tl2br w:val="nil"/>
          <w:tr2bl w:val="nil"/>
        </w:tcBorders>
        <w:textDirection w:val="lrTb"/>
      </w:tcPr>
    </w:tblStylePr>
    <w:tblStylePr w:type="nwCell">
      <w:tblPr>
        <w:tblLayout w:type="fixed"/>
      </w:tblPr>
      <w:tcPr>
        <w:tcBorders>
          <w:tl2br w:val="single" w:color="000000" w:sz="6" w:space="0"/>
          <w:tr2bl w:val="nil"/>
        </w:tcBorders>
        <w:textDirection w:val="lrTb"/>
      </w:tcPr>
    </w:tblStylePr>
  </w:style>
  <w:style w:type="paragraph" w:customStyle="1" w:styleId="23">
    <w:name w:val="表格"/>
    <w:basedOn w:val="1"/>
    <w:next w:val="1"/>
    <w:link w:val="38"/>
    <w:qFormat/>
    <w:uiPriority w:val="0"/>
    <w:pPr>
      <w:ind w:firstLine="0" w:firstLineChars="0"/>
      <w:jc w:val="center"/>
    </w:pPr>
    <w:rPr>
      <w:rFonts w:ascii="Times New Roman" w:hAnsi="Times New Roman"/>
      <w:sz w:val="21"/>
      <w:szCs w:val="21"/>
    </w:rPr>
  </w:style>
  <w:style w:type="character" w:customStyle="1" w:styleId="24">
    <w:name w:val="标题 2 Char"/>
    <w:link w:val="3"/>
    <w:qFormat/>
    <w:uiPriority w:val="0"/>
    <w:rPr>
      <w:rFonts w:ascii="Times New Roman" w:hAnsi="Times New Roman" w:eastAsia="宋体"/>
      <w:b/>
      <w:sz w:val="28"/>
      <w:szCs w:val="28"/>
    </w:rPr>
  </w:style>
  <w:style w:type="character" w:customStyle="1" w:styleId="25">
    <w:name w:val="标题 3 Char"/>
    <w:link w:val="4"/>
    <w:qFormat/>
    <w:uiPriority w:val="0"/>
    <w:rPr>
      <w:b/>
      <w:sz w:val="24"/>
    </w:rPr>
  </w:style>
  <w:style w:type="paragraph" w:customStyle="1" w:styleId="26">
    <w:name w:val="WPS Plain"/>
    <w:qFormat/>
    <w:uiPriority w:val="0"/>
    <w:rPr>
      <w:rFonts w:asciiTheme="minorHAnsi" w:hAnsiTheme="minorHAnsi" w:eastAsiaTheme="minorEastAsia" w:cstheme="minorBidi"/>
      <w:sz w:val="21"/>
      <w:szCs w:val="22"/>
      <w:lang w:val="en-US" w:eastAsia="zh-CN" w:bidi="ar-SA"/>
    </w:rPr>
  </w:style>
  <w:style w:type="character" w:customStyle="1" w:styleId="27">
    <w:name w:val=" Char Char29"/>
    <w:basedOn w:val="18"/>
    <w:link w:val="5"/>
    <w:qFormat/>
    <w:uiPriority w:val="0"/>
    <w:rPr>
      <w:kern w:val="2"/>
      <w:sz w:val="21"/>
      <w:szCs w:val="24"/>
      <w:lang w:bidi="ar"/>
    </w:rPr>
  </w:style>
  <w:style w:type="character" w:customStyle="1" w:styleId="28">
    <w:name w:val=" Char Char28"/>
    <w:basedOn w:val="18"/>
    <w:link w:val="10"/>
    <w:qFormat/>
    <w:uiPriority w:val="0"/>
    <w:rPr>
      <w:rFonts w:hint="eastAsia" w:ascii="宋体" w:hAnsi="Courier New" w:eastAsia="宋体" w:cs="宋体"/>
      <w:spacing w:val="10"/>
      <w:kern w:val="2"/>
      <w:sz w:val="21"/>
      <w:szCs w:val="24"/>
      <w:lang w:bidi="ar"/>
    </w:rPr>
  </w:style>
  <w:style w:type="paragraph" w:customStyle="1" w:styleId="29">
    <w:name w:val="标题6"/>
    <w:basedOn w:val="1"/>
    <w:qFormat/>
    <w:uiPriority w:val="0"/>
    <w:pPr>
      <w:keepNext w:val="0"/>
      <w:keepLines w:val="0"/>
      <w:widowControl w:val="0"/>
      <w:suppressLineNumbers w:val="0"/>
      <w:tabs>
        <w:tab w:val="left" w:pos="709"/>
      </w:tabs>
      <w:snapToGrid/>
      <w:spacing w:before="0" w:beforeAutospacing="0" w:after="0" w:afterAutospacing="0" w:line="240" w:lineRule="auto"/>
      <w:ind w:left="709" w:right="0" w:hanging="709" w:firstLineChars="0"/>
      <w:jc w:val="left"/>
    </w:pPr>
    <w:rPr>
      <w:rFonts w:hint="default" w:ascii="Times New Roman" w:hAnsi="Times New Roman" w:eastAsia="宋体" w:cs="Times New Roman"/>
      <w:snapToGrid/>
      <w:spacing w:val="0"/>
      <w:kern w:val="2"/>
      <w:sz w:val="21"/>
      <w:szCs w:val="24"/>
      <w:lang w:val="en-US" w:eastAsia="zh-CN" w:bidi="ar"/>
    </w:rPr>
  </w:style>
  <w:style w:type="paragraph" w:customStyle="1" w:styleId="30">
    <w:name w:val="正文001"/>
    <w:basedOn w:val="1"/>
    <w:qFormat/>
    <w:uiPriority w:val="0"/>
    <w:pPr>
      <w:snapToGrid w:val="0"/>
      <w:spacing w:line="360" w:lineRule="auto"/>
      <w:ind w:right="-363" w:rightChars="-173" w:firstLine="480" w:firstLineChars="200"/>
      <w:jc w:val="left"/>
    </w:pPr>
    <w:rPr>
      <w:bCs/>
      <w:snapToGrid w:val="0"/>
      <w:sz w:val="24"/>
      <w:szCs w:val="28"/>
    </w:rPr>
  </w:style>
  <w:style w:type="paragraph" w:customStyle="1" w:styleId="31">
    <w:name w:val="xl23"/>
    <w:basedOn w:val="1"/>
    <w:qFormat/>
    <w:uiPriority w:val="0"/>
    <w:pPr>
      <w:widowControl/>
      <w:pBdr>
        <w:bottom w:val="single" w:color="auto" w:sz="4" w:space="0"/>
        <w:right w:val="single" w:color="auto" w:sz="4" w:space="0"/>
      </w:pBdr>
      <w:spacing w:before="100" w:beforeAutospacing="1" w:after="100" w:afterAutospacing="1"/>
    </w:pPr>
    <w:rPr>
      <w:rFonts w:ascii="Arial Unicode MS" w:hAnsi="Arial Unicode MS" w:eastAsia="Arial Unicode MS" w:cs="Arial Unicode MS"/>
      <w:kern w:val="0"/>
      <w:szCs w:val="21"/>
    </w:rPr>
  </w:style>
  <w:style w:type="paragraph" w:customStyle="1" w:styleId="32">
    <w:name w:val="7"/>
    <w:basedOn w:val="1"/>
    <w:next w:val="7"/>
    <w:qFormat/>
    <w:uiPriority w:val="0"/>
    <w:pPr>
      <w:ind w:firstLine="602"/>
    </w:pPr>
    <w:rPr>
      <w:rFonts w:eastAsia="仿宋_GB2312"/>
      <w:sz w:val="28"/>
      <w:szCs w:val="20"/>
    </w:rPr>
  </w:style>
  <w:style w:type="paragraph" w:customStyle="1" w:styleId="33">
    <w:name w:val="表字居中"/>
    <w:basedOn w:val="1"/>
    <w:qFormat/>
    <w:uiPriority w:val="0"/>
    <w:pPr>
      <w:jc w:val="center"/>
    </w:pPr>
    <w:rPr>
      <w:spacing w:val="-4"/>
      <w:kern w:val="0"/>
      <w:szCs w:val="21"/>
    </w:rPr>
  </w:style>
  <w:style w:type="paragraph" w:customStyle="1" w:styleId="34">
    <w:name w:val="图文框"/>
    <w:basedOn w:val="1"/>
    <w:qFormat/>
    <w:uiPriority w:val="0"/>
    <w:pPr>
      <w:adjustRightInd w:val="0"/>
      <w:snapToGrid w:val="0"/>
      <w:spacing w:line="240" w:lineRule="atLeast"/>
      <w:jc w:val="center"/>
    </w:pPr>
    <w:rPr>
      <w:sz w:val="18"/>
      <w:szCs w:val="20"/>
    </w:rPr>
  </w:style>
  <w:style w:type="character" w:customStyle="1" w:styleId="35">
    <w:name w:val="样式 小四 Char Char"/>
    <w:basedOn w:val="18"/>
    <w:link w:val="36"/>
    <w:qFormat/>
    <w:uiPriority w:val="0"/>
    <w:rPr>
      <w:rFonts w:ascii="宋体" w:hAnsi="宋体" w:eastAsia="宋体"/>
      <w:kern w:val="2"/>
      <w:sz w:val="24"/>
      <w:szCs w:val="24"/>
      <w:lang w:val="en-US" w:eastAsia="zh-CN" w:bidi="ar-SA"/>
    </w:rPr>
  </w:style>
  <w:style w:type="paragraph" w:customStyle="1" w:styleId="36">
    <w:name w:val="样式 小四"/>
    <w:basedOn w:val="1"/>
    <w:link w:val="35"/>
    <w:qFormat/>
    <w:uiPriority w:val="0"/>
    <w:pPr>
      <w:spacing w:line="360" w:lineRule="auto"/>
      <w:ind w:firstLine="480" w:firstLineChars="200"/>
    </w:pPr>
    <w:rPr>
      <w:rFonts w:ascii="宋体" w:hAnsi="宋体" w:eastAsia="宋体"/>
      <w:kern w:val="2"/>
      <w:sz w:val="24"/>
      <w:szCs w:val="24"/>
      <w:lang w:val="en-US" w:eastAsia="zh-CN" w:bidi="ar-SA"/>
    </w:rPr>
  </w:style>
  <w:style w:type="paragraph" w:customStyle="1" w:styleId="37">
    <w:name w:val="0"/>
    <w:qFormat/>
    <w:uiPriority w:val="0"/>
    <w:pPr>
      <w:autoSpaceDE w:val="0"/>
      <w:autoSpaceDN w:val="0"/>
    </w:pPr>
    <w:rPr>
      <w:rFonts w:ascii="Arial" w:hAnsi="Arial" w:eastAsia="仿宋_GB2312" w:cs="Times New Roman"/>
      <w:kern w:val="2"/>
      <w:sz w:val="18"/>
      <w:szCs w:val="24"/>
      <w:lang w:val="en-GB" w:eastAsia="zh-CN" w:bidi="ar-SA"/>
    </w:rPr>
  </w:style>
  <w:style w:type="character" w:customStyle="1" w:styleId="38">
    <w:name w:val="表格 Char"/>
    <w:link w:val="23"/>
    <w:qFormat/>
    <w:uiPriority w:val="0"/>
    <w:rPr>
      <w:rFonts w:ascii="Times New Roman" w:hAnsi="Times New Roman"/>
      <w:sz w:val="21"/>
      <w:szCs w:val="21"/>
    </w:rPr>
  </w:style>
  <w:style w:type="paragraph" w:customStyle="1" w:styleId="39">
    <w:name w:val="样式 四号 首行缩进:  1.06 厘米"/>
    <w:basedOn w:val="1"/>
    <w:qFormat/>
    <w:uiPriority w:val="0"/>
    <w:pPr>
      <w:spacing w:line="540" w:lineRule="atLeast"/>
      <w:ind w:firstLine="578" w:firstLineChars="200"/>
    </w:pPr>
    <w:rPr>
      <w:rFonts w:ascii="宋体"/>
      <w:spacing w:val="8"/>
      <w:sz w:val="28"/>
      <w:szCs w:val="28"/>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5" Type="http://schemas.openxmlformats.org/officeDocument/2006/relationships/fontTable" Target="fontTable.xml"/><Relationship Id="rId84" Type="http://schemas.openxmlformats.org/officeDocument/2006/relationships/numbering" Target="numbering.xml"/><Relationship Id="rId83" Type="http://schemas.openxmlformats.org/officeDocument/2006/relationships/customXml" Target="../customXml/item1.xml"/><Relationship Id="rId82" Type="http://schemas.openxmlformats.org/officeDocument/2006/relationships/image" Target="media/image43.wmf"/><Relationship Id="rId81" Type="http://schemas.openxmlformats.org/officeDocument/2006/relationships/oleObject" Target="embeddings/oleObject34.bin"/><Relationship Id="rId80" Type="http://schemas.openxmlformats.org/officeDocument/2006/relationships/image" Target="media/image42.wmf"/><Relationship Id="rId8" Type="http://schemas.openxmlformats.org/officeDocument/2006/relationships/image" Target="media/image2.wmf"/><Relationship Id="rId79" Type="http://schemas.openxmlformats.org/officeDocument/2006/relationships/oleObject" Target="embeddings/oleObject33.bin"/><Relationship Id="rId78" Type="http://schemas.openxmlformats.org/officeDocument/2006/relationships/image" Target="media/image41.wmf"/><Relationship Id="rId77" Type="http://schemas.openxmlformats.org/officeDocument/2006/relationships/oleObject" Target="embeddings/oleObject32.bin"/><Relationship Id="rId76" Type="http://schemas.openxmlformats.org/officeDocument/2006/relationships/image" Target="media/image40.wmf"/><Relationship Id="rId75" Type="http://schemas.openxmlformats.org/officeDocument/2006/relationships/oleObject" Target="embeddings/oleObject31.bin"/><Relationship Id="rId74" Type="http://schemas.openxmlformats.org/officeDocument/2006/relationships/image" Target="media/image39.wmf"/><Relationship Id="rId73" Type="http://schemas.openxmlformats.org/officeDocument/2006/relationships/oleObject" Target="embeddings/oleObject30.bin"/><Relationship Id="rId72" Type="http://schemas.openxmlformats.org/officeDocument/2006/relationships/image" Target="media/image38.wmf"/><Relationship Id="rId71" Type="http://schemas.openxmlformats.org/officeDocument/2006/relationships/oleObject" Target="embeddings/oleObject29.bin"/><Relationship Id="rId70" Type="http://schemas.openxmlformats.org/officeDocument/2006/relationships/image" Target="media/image37.wmf"/><Relationship Id="rId7" Type="http://schemas.openxmlformats.org/officeDocument/2006/relationships/oleObject" Target="embeddings/oleObject1.bin"/><Relationship Id="rId69" Type="http://schemas.openxmlformats.org/officeDocument/2006/relationships/oleObject" Target="embeddings/oleObject28.bin"/><Relationship Id="rId68" Type="http://schemas.openxmlformats.org/officeDocument/2006/relationships/oleObject" Target="embeddings/oleObject27.bin"/><Relationship Id="rId67" Type="http://schemas.openxmlformats.org/officeDocument/2006/relationships/image" Target="media/image36.wmf"/><Relationship Id="rId66" Type="http://schemas.openxmlformats.org/officeDocument/2006/relationships/oleObject" Target="embeddings/oleObject26.bin"/><Relationship Id="rId65" Type="http://schemas.openxmlformats.org/officeDocument/2006/relationships/image" Target="media/image35.wmf"/><Relationship Id="rId64" Type="http://schemas.openxmlformats.org/officeDocument/2006/relationships/oleObject" Target="embeddings/oleObject25.bin"/><Relationship Id="rId63" Type="http://schemas.openxmlformats.org/officeDocument/2006/relationships/image" Target="media/image34.wmf"/><Relationship Id="rId62" Type="http://schemas.openxmlformats.org/officeDocument/2006/relationships/oleObject" Target="embeddings/oleObject24.bin"/><Relationship Id="rId61" Type="http://schemas.openxmlformats.org/officeDocument/2006/relationships/image" Target="media/image33.wmf"/><Relationship Id="rId60" Type="http://schemas.openxmlformats.org/officeDocument/2006/relationships/oleObject" Target="embeddings/oleObject23.bin"/><Relationship Id="rId6" Type="http://schemas.openxmlformats.org/officeDocument/2006/relationships/image" Target="media/image1.png"/><Relationship Id="rId59" Type="http://schemas.openxmlformats.org/officeDocument/2006/relationships/image" Target="media/image32.wmf"/><Relationship Id="rId58" Type="http://schemas.openxmlformats.org/officeDocument/2006/relationships/oleObject" Target="embeddings/oleObject22.bin"/><Relationship Id="rId57" Type="http://schemas.openxmlformats.org/officeDocument/2006/relationships/image" Target="media/image31.wmf"/><Relationship Id="rId56" Type="http://schemas.openxmlformats.org/officeDocument/2006/relationships/oleObject" Target="embeddings/oleObject21.bin"/><Relationship Id="rId55" Type="http://schemas.openxmlformats.org/officeDocument/2006/relationships/image" Target="media/image30.wmf"/><Relationship Id="rId54" Type="http://schemas.openxmlformats.org/officeDocument/2006/relationships/oleObject" Target="embeddings/oleObject20.bin"/><Relationship Id="rId53" Type="http://schemas.openxmlformats.org/officeDocument/2006/relationships/image" Target="media/image29.wmf"/><Relationship Id="rId52" Type="http://schemas.openxmlformats.org/officeDocument/2006/relationships/oleObject" Target="embeddings/oleObject19.bin"/><Relationship Id="rId51" Type="http://schemas.openxmlformats.org/officeDocument/2006/relationships/image" Target="media/image28.wmf"/><Relationship Id="rId50" Type="http://schemas.openxmlformats.org/officeDocument/2006/relationships/oleObject" Target="embeddings/oleObject18.bin"/><Relationship Id="rId5" Type="http://schemas.openxmlformats.org/officeDocument/2006/relationships/theme" Target="theme/theme1.xml"/><Relationship Id="rId49" Type="http://schemas.openxmlformats.org/officeDocument/2006/relationships/image" Target="media/image27.wmf"/><Relationship Id="rId48" Type="http://schemas.openxmlformats.org/officeDocument/2006/relationships/oleObject" Target="embeddings/oleObject17.bin"/><Relationship Id="rId47" Type="http://schemas.openxmlformats.org/officeDocument/2006/relationships/image" Target="media/image26.wmf"/><Relationship Id="rId46" Type="http://schemas.openxmlformats.org/officeDocument/2006/relationships/oleObject" Target="embeddings/oleObject16.bin"/><Relationship Id="rId45" Type="http://schemas.openxmlformats.org/officeDocument/2006/relationships/image" Target="media/image25.wmf"/><Relationship Id="rId44" Type="http://schemas.openxmlformats.org/officeDocument/2006/relationships/oleObject" Target="embeddings/oleObject15.bin"/><Relationship Id="rId43" Type="http://schemas.openxmlformats.org/officeDocument/2006/relationships/image" Target="media/image24.wmf"/><Relationship Id="rId42" Type="http://schemas.openxmlformats.org/officeDocument/2006/relationships/oleObject" Target="embeddings/oleObject14.bin"/><Relationship Id="rId41" Type="http://schemas.openxmlformats.org/officeDocument/2006/relationships/image" Target="media/image23.wmf"/><Relationship Id="rId40" Type="http://schemas.openxmlformats.org/officeDocument/2006/relationships/oleObject" Target="embeddings/oleObject13.bin"/><Relationship Id="rId4" Type="http://schemas.openxmlformats.org/officeDocument/2006/relationships/header" Target="header1.xml"/><Relationship Id="rId39" Type="http://schemas.openxmlformats.org/officeDocument/2006/relationships/image" Target="media/image22.wmf"/><Relationship Id="rId38" Type="http://schemas.openxmlformats.org/officeDocument/2006/relationships/oleObject" Target="embeddings/oleObject12.bin"/><Relationship Id="rId37" Type="http://schemas.openxmlformats.org/officeDocument/2006/relationships/image" Target="media/image21.wmf"/><Relationship Id="rId36" Type="http://schemas.openxmlformats.org/officeDocument/2006/relationships/oleObject" Target="embeddings/oleObject11.bin"/><Relationship Id="rId35" Type="http://schemas.openxmlformats.org/officeDocument/2006/relationships/image" Target="media/image20.wmf"/><Relationship Id="rId34" Type="http://schemas.openxmlformats.org/officeDocument/2006/relationships/oleObject" Target="embeddings/oleObject10.bin"/><Relationship Id="rId33" Type="http://schemas.openxmlformats.org/officeDocument/2006/relationships/image" Target="media/image19.wmf"/><Relationship Id="rId32" Type="http://schemas.openxmlformats.org/officeDocument/2006/relationships/oleObject" Target="embeddings/oleObject9.bin"/><Relationship Id="rId31" Type="http://schemas.openxmlformats.org/officeDocument/2006/relationships/image" Target="media/image18.wmf"/><Relationship Id="rId30" Type="http://schemas.openxmlformats.org/officeDocument/2006/relationships/oleObject" Target="embeddings/oleObject8.bin"/><Relationship Id="rId3" Type="http://schemas.openxmlformats.org/officeDocument/2006/relationships/footer" Target="footer1.xml"/><Relationship Id="rId29" Type="http://schemas.openxmlformats.org/officeDocument/2006/relationships/image" Target="media/image17.wmf"/><Relationship Id="rId28" Type="http://schemas.openxmlformats.org/officeDocument/2006/relationships/oleObject" Target="embeddings/oleObject7.bin"/><Relationship Id="rId27" Type="http://schemas.openxmlformats.org/officeDocument/2006/relationships/image" Target="media/image16.jpeg"/><Relationship Id="rId26" Type="http://schemas.openxmlformats.org/officeDocument/2006/relationships/oleObject" Target="embeddings/oleObject6.bin"/><Relationship Id="rId25" Type="http://schemas.openxmlformats.org/officeDocument/2006/relationships/image" Target="media/image15.emf"/><Relationship Id="rId24" Type="http://schemas.openxmlformats.org/officeDocument/2006/relationships/oleObject" Target="embeddings/oleObject5.bin"/><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e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emf"/><Relationship Id="rId11" Type="http://schemas.openxmlformats.org/officeDocument/2006/relationships/oleObject" Target="embeddings/oleObject3.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Office_10.1.0.6206_F1E327BC-269C-435d-A152-05C5408002CA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Administrator</cp:lastModifiedBy>
  <dcterms:modified xsi:type="dcterms:W3CDTF">2017-03-09T14:35:28Z</dcterms:modified>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2052-10.1.0.6206</vt:lpwstr>
  </property>
</Properties>
</file>