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C8" w:rsidRDefault="007659C8" w:rsidP="005C416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7659C8" w:rsidRDefault="007659C8" w:rsidP="005C4165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岳阳市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年度土壤环境重点监管企业名单</w:t>
      </w:r>
      <w:bookmarkStart w:id="0" w:name="_GoBack"/>
      <w:bookmarkEnd w:id="0"/>
    </w:p>
    <w:p w:rsidR="007659C8" w:rsidRPr="00B408CC" w:rsidRDefault="007659C8" w:rsidP="005C4165">
      <w:pPr>
        <w:jc w:val="center"/>
        <w:rPr>
          <w:rFonts w:ascii="仿宋" w:eastAsia="仿宋" w:hAnsi="仿宋" w:cs="Times New Roman"/>
          <w:sz w:val="24"/>
          <w:szCs w:val="2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1837"/>
        <w:gridCol w:w="4825"/>
        <w:gridCol w:w="1984"/>
      </w:tblGrid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8039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县（市、区）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企业名称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行业类别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岳阳县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38039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湖南神斧向红机械化工有限公司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化工类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平江县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38039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湖南中南黄金冶炼有限公司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黄金冶炼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平江县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38039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湖南黄金洞大万矿业有限责任公司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金矿采选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平江县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38039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湖南省黄金洞矿业有限责任公司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金矿采选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平江县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38039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湖南岳阳万鑫黄金公司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金矿采选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平江县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38039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湖南凯鑫黄金投资有限公司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金矿采选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平江县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38039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湖南宝海再生资源科技有限公司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铋冶炼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8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湘阴县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38039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湖南大方农化有限公司湘阴分公司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化学农药制造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9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湘阴县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38039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湖南鸿跃化工有限公司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专项化学用品制造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湘阴县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38039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湖南福湘涂料化工科技有限公司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化学原料和化学制品制造业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11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华容县</w:t>
            </w:r>
          </w:p>
        </w:tc>
        <w:tc>
          <w:tcPr>
            <w:tcW w:w="4825" w:type="dxa"/>
          </w:tcPr>
          <w:p w:rsidR="007659C8" w:rsidRPr="00335CAD" w:rsidRDefault="007659C8" w:rsidP="006D4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岳阳宝丽纺织品有限公司</w:t>
            </w:r>
          </w:p>
        </w:tc>
        <w:tc>
          <w:tcPr>
            <w:tcW w:w="1984" w:type="dxa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棉印染精加工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12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华容县</w:t>
            </w:r>
          </w:p>
        </w:tc>
        <w:tc>
          <w:tcPr>
            <w:tcW w:w="4825" w:type="dxa"/>
          </w:tcPr>
          <w:p w:rsidR="007659C8" w:rsidRPr="00335CAD" w:rsidRDefault="007659C8" w:rsidP="006D4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湖南赛隆药业有限公司</w:t>
            </w:r>
          </w:p>
        </w:tc>
        <w:tc>
          <w:tcPr>
            <w:tcW w:w="1984" w:type="dxa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化工制药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13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汨罗市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6D4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汨罗万容电子废弃物处理有限公司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金属废料和碎屑加工处理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14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汨罗市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6D4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湖南省同力电子废弃物回收拆解利用有限公司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金属废料和碎屑加工处理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15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湖南国发精细化工有限公司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化学原料和化学制品制造业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16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湖南比德生化科技股份有限公司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化学原料和化学制品制造业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17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湖南正兴化工有限公司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无机盐制造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18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临湘市湘岳矿业有限公司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有色金属矿采选业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19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临湘市强盛采矿业有限责任公司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有色金属矿采选业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20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临湘市力拓矿业有限公司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有色金属矿采选业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21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岳阳市富安矿业有限公司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有色金属矿采选业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22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岳阳环宇药业有限公司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医药制造业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23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岳阳市宇恒化工有限公司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化学原料和化学制品制造业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24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临湘鑫宇跑法碱有限公司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化学原料和化学制品制造业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25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临湘市润发泡发碱公司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化学原料和化学制品制造业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26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临湘市正鑫矿业有限责任公司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有色金属矿采选业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27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临湘市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岳阳钟杨选矿厂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有色金属矿采选业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28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岳阳楼区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中石化集团股份有限公司巴陵分公司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石化类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29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岳阳楼区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中石化壳牌煤气有限公司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化工类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30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岳阳楼区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湖南岳阳三湘化工有限公司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化工类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31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岳阳楼区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岳阳市巴陵精细化工有限公司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化工类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32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岳阳楼区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中国航发长江动力机械厂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电镀类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33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岳阳楼区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岳阳万力机械制造有限责任公司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电镀类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34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云溪区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岳阳市云溪区湘粤金鑫化工厂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化工类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35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云溪区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岳阳市云溪区道仁矶溶剂化工厂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有机化学原料制造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36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云溪区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岳阳亚王精细化工有限公司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化学原料和化学制品制造业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37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云溪区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湖南新岭化工股份有限公司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化学原料和化学制品制造业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38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云溪区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中国石油化工股份有限公司长岭分公司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石油化工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39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云溪区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中国石油化工股份有限公司巴陵分公司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石油化工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40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经开区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湖南芙蓉制药有限公司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制药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41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经开区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湖南新华达制药有限公司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制药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42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经开区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湖南中启制药有限公司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制药</w:t>
            </w:r>
          </w:p>
        </w:tc>
      </w:tr>
      <w:tr w:rsidR="007659C8" w:rsidRPr="00335CAD">
        <w:tc>
          <w:tcPr>
            <w:tcW w:w="993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35CAD">
              <w:rPr>
                <w:rFonts w:ascii="仿宋" w:eastAsia="仿宋" w:hAnsi="仿宋" w:cs="仿宋"/>
                <w:sz w:val="28"/>
                <w:szCs w:val="28"/>
              </w:rPr>
              <w:t>43</w:t>
            </w:r>
          </w:p>
        </w:tc>
        <w:tc>
          <w:tcPr>
            <w:tcW w:w="1837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屈原管理区</w:t>
            </w:r>
          </w:p>
        </w:tc>
        <w:tc>
          <w:tcPr>
            <w:tcW w:w="4825" w:type="dxa"/>
            <w:vAlign w:val="center"/>
          </w:tcPr>
          <w:p w:rsidR="007659C8" w:rsidRPr="00335CAD" w:rsidRDefault="007659C8" w:rsidP="00A50A2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湖南海丰物流有限公司</w:t>
            </w:r>
          </w:p>
        </w:tc>
        <w:tc>
          <w:tcPr>
            <w:tcW w:w="1984" w:type="dxa"/>
            <w:vAlign w:val="center"/>
          </w:tcPr>
          <w:p w:rsidR="007659C8" w:rsidRPr="00335CAD" w:rsidRDefault="007659C8" w:rsidP="00335CA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5CAD">
              <w:rPr>
                <w:rFonts w:ascii="仿宋" w:eastAsia="仿宋" w:hAnsi="仿宋" w:cs="仿宋" w:hint="eastAsia"/>
                <w:sz w:val="28"/>
                <w:szCs w:val="28"/>
              </w:rPr>
              <w:t>物流（化工类）</w:t>
            </w:r>
          </w:p>
        </w:tc>
      </w:tr>
    </w:tbl>
    <w:p w:rsidR="007659C8" w:rsidRPr="005C4165" w:rsidRDefault="007659C8" w:rsidP="005C4165">
      <w:pPr>
        <w:rPr>
          <w:rFonts w:ascii="仿宋" w:eastAsia="仿宋" w:hAnsi="仿宋" w:cs="Times New Roman"/>
          <w:sz w:val="32"/>
          <w:szCs w:val="32"/>
        </w:rPr>
      </w:pPr>
    </w:p>
    <w:sectPr w:rsidR="007659C8" w:rsidRPr="005C4165" w:rsidSect="00672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9C8" w:rsidRDefault="007659C8" w:rsidP="00304C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59C8" w:rsidRDefault="007659C8" w:rsidP="00304C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9C8" w:rsidRDefault="007659C8" w:rsidP="00304C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59C8" w:rsidRDefault="007659C8" w:rsidP="00304C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DE1"/>
    <w:rsid w:val="00003F34"/>
    <w:rsid w:val="00023104"/>
    <w:rsid w:val="00074DE1"/>
    <w:rsid w:val="000B19B3"/>
    <w:rsid w:val="0017217F"/>
    <w:rsid w:val="001B4864"/>
    <w:rsid w:val="001C4F21"/>
    <w:rsid w:val="00270694"/>
    <w:rsid w:val="00304C6D"/>
    <w:rsid w:val="00326ABD"/>
    <w:rsid w:val="00335CAD"/>
    <w:rsid w:val="0038039C"/>
    <w:rsid w:val="0039014B"/>
    <w:rsid w:val="003C5539"/>
    <w:rsid w:val="003D4BF4"/>
    <w:rsid w:val="003D7B6B"/>
    <w:rsid w:val="003F6CA5"/>
    <w:rsid w:val="004204F5"/>
    <w:rsid w:val="004B47B1"/>
    <w:rsid w:val="004D2A14"/>
    <w:rsid w:val="004E5743"/>
    <w:rsid w:val="00587B76"/>
    <w:rsid w:val="005A2CE0"/>
    <w:rsid w:val="005C4165"/>
    <w:rsid w:val="00650F85"/>
    <w:rsid w:val="0067282A"/>
    <w:rsid w:val="006D4BAA"/>
    <w:rsid w:val="006E66B5"/>
    <w:rsid w:val="007609D9"/>
    <w:rsid w:val="007659C8"/>
    <w:rsid w:val="007A4794"/>
    <w:rsid w:val="00831502"/>
    <w:rsid w:val="00945970"/>
    <w:rsid w:val="00995C95"/>
    <w:rsid w:val="00A50A28"/>
    <w:rsid w:val="00A53C84"/>
    <w:rsid w:val="00B408CC"/>
    <w:rsid w:val="00B56143"/>
    <w:rsid w:val="00D87426"/>
    <w:rsid w:val="00E31842"/>
    <w:rsid w:val="00E839E1"/>
    <w:rsid w:val="00EF574B"/>
    <w:rsid w:val="00F50268"/>
    <w:rsid w:val="00F7465E"/>
    <w:rsid w:val="00FF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2A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5C416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C4165"/>
  </w:style>
  <w:style w:type="table" w:styleId="TableGrid">
    <w:name w:val="Table Grid"/>
    <w:basedOn w:val="TableNormal"/>
    <w:uiPriority w:val="99"/>
    <w:rsid w:val="005C4165"/>
    <w:rPr>
      <w:rFonts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0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4C6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04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4C6D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04C6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4C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192</Words>
  <Characters>1096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关于印发岳阳市2017年度土壤环境重点监管企业</dc:title>
  <dc:subject/>
  <dc:creator>林霖</dc:creator>
  <cp:keywords/>
  <dc:description/>
  <cp:lastModifiedBy>姚英姿</cp:lastModifiedBy>
  <cp:revision>3</cp:revision>
  <cp:lastPrinted>2017-11-03T03:30:00Z</cp:lastPrinted>
  <dcterms:created xsi:type="dcterms:W3CDTF">2017-11-08T07:33:00Z</dcterms:created>
  <dcterms:modified xsi:type="dcterms:W3CDTF">2017-11-08T07:37:00Z</dcterms:modified>
</cp:coreProperties>
</file>