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tabs>
          <w:tab w:val="left" w:pos="600"/>
        </w:tabs>
        <w:spacing w:line="480" w:lineRule="exact"/>
        <w:textAlignment w:val="top"/>
        <w:rPr>
          <w:rFonts w:eastAsia="黑体"/>
          <w:b/>
          <w:sz w:val="36"/>
        </w:rPr>
      </w:pPr>
    </w:p>
    <w:p>
      <w:pPr>
        <w:pStyle w:val="11"/>
        <w:spacing w:line="480" w:lineRule="exact"/>
        <w:textAlignment w:val="top"/>
        <w:rPr>
          <w:rFonts w:eastAsia="黑体"/>
          <w:b/>
          <w:sz w:val="36"/>
        </w:rPr>
      </w:pPr>
    </w:p>
    <w:p>
      <w:pPr>
        <w:pStyle w:val="11"/>
        <w:spacing w:line="320" w:lineRule="exact"/>
        <w:ind w:firstLine="5250" w:firstLineChars="1750"/>
        <w:textAlignment w:val="top"/>
        <w:rPr>
          <w:rFonts w:eastAsia="楷体_GB2312"/>
          <w:sz w:val="30"/>
          <w:szCs w:val="30"/>
        </w:rPr>
      </w:pPr>
    </w:p>
    <w:p>
      <w:pPr>
        <w:pStyle w:val="11"/>
        <w:spacing w:line="320" w:lineRule="exact"/>
        <w:textAlignment w:val="top"/>
        <w:rPr>
          <w:rFonts w:eastAsia="楷体_GB2312"/>
          <w:sz w:val="30"/>
          <w:szCs w:val="30"/>
        </w:rPr>
      </w:pPr>
    </w:p>
    <w:p>
      <w:pPr>
        <w:pStyle w:val="11"/>
        <w:spacing w:line="320" w:lineRule="exact"/>
        <w:textAlignment w:val="top"/>
        <w:rPr>
          <w:rFonts w:eastAsia="楷体_GB2312"/>
          <w:sz w:val="30"/>
          <w:szCs w:val="30"/>
        </w:rPr>
      </w:pPr>
    </w:p>
    <w:p>
      <w:pPr>
        <w:pStyle w:val="11"/>
        <w:spacing w:line="320" w:lineRule="exact"/>
        <w:textAlignment w:val="top"/>
        <w:rPr>
          <w:rFonts w:eastAsia="楷体_GB2312"/>
          <w:sz w:val="30"/>
          <w:szCs w:val="30"/>
        </w:rPr>
      </w:pPr>
    </w:p>
    <w:p>
      <w:pPr>
        <w:wordWrap w:val="0"/>
        <w:ind w:left="400" w:firstLine="0" w:firstLineChars="0"/>
        <w:jc w:val="right"/>
        <w:rPr>
          <w:rFonts w:ascii="仿宋" w:hAnsi="仿宋" w:eastAsia="仿宋"/>
          <w:sz w:val="32"/>
          <w:szCs w:val="32"/>
        </w:rPr>
      </w:pPr>
      <w:bookmarkStart w:id="3" w:name="_GoBack"/>
      <w:r>
        <w:rPr>
          <w:rFonts w:hint="eastAsia" w:ascii="仿宋" w:hAnsi="仿宋" w:eastAsia="仿宋" w:cs="楷体_GB2312"/>
          <w:sz w:val="32"/>
          <w:szCs w:val="32"/>
        </w:rPr>
        <w:t>岳环评[2017]</w:t>
      </w:r>
      <w:r>
        <w:rPr>
          <w:rFonts w:hint="eastAsia" w:ascii="仿宋" w:hAnsi="仿宋" w:eastAsia="仿宋" w:cs="楷体_GB2312"/>
          <w:sz w:val="32"/>
          <w:szCs w:val="32"/>
          <w:lang w:val="en-US" w:eastAsia="zh-CN"/>
        </w:rPr>
        <w:t>98</w:t>
      </w:r>
      <w:r>
        <w:rPr>
          <w:rFonts w:hint="eastAsia" w:ascii="仿宋" w:hAnsi="仿宋" w:eastAsia="仿宋"/>
          <w:sz w:val="32"/>
          <w:szCs w:val="32"/>
        </w:rPr>
        <w:t>号</w:t>
      </w:r>
      <w:bookmarkEnd w:id="3"/>
    </w:p>
    <w:p>
      <w:pPr>
        <w:pStyle w:val="11"/>
        <w:spacing w:line="520" w:lineRule="exact"/>
        <w:jc w:val="center"/>
        <w:textAlignment w:val="top"/>
        <w:rPr>
          <w:rFonts w:ascii="宋体" w:hAnsi="宋体" w:cs="黑体"/>
          <w:b/>
          <w:sz w:val="36"/>
          <w:szCs w:val="36"/>
        </w:rPr>
      </w:pPr>
      <w:bookmarkStart w:id="0" w:name="OLE_LINK1"/>
      <w:r>
        <w:rPr>
          <w:rFonts w:hint="eastAsia" w:ascii="宋体" w:hAnsi="宋体" w:cs="黑体"/>
          <w:b/>
          <w:sz w:val="36"/>
          <w:szCs w:val="36"/>
        </w:rPr>
        <w:t>关于岳阳市云溪区九龙台原工业场地污染土壤修复项目环境影响报告书的批复</w:t>
      </w:r>
      <w:bookmarkEnd w:id="0"/>
    </w:p>
    <w:p>
      <w:pPr>
        <w:spacing w:line="460" w:lineRule="exact"/>
        <w:ind w:firstLine="0" w:firstLineChars="0"/>
        <w:jc w:val="center"/>
        <w:rPr>
          <w:rFonts w:ascii="宋体" w:hAnsi="宋体" w:cs="仿宋_GB2312"/>
          <w:sz w:val="44"/>
          <w:szCs w:val="44"/>
        </w:rPr>
      </w:pPr>
    </w:p>
    <w:p>
      <w:pPr>
        <w:spacing w:line="540" w:lineRule="exact"/>
        <w:ind w:firstLine="0" w:firstLineChars="0"/>
        <w:rPr>
          <w:rFonts w:ascii="仿宋" w:hAnsi="仿宋" w:eastAsia="仿宋" w:cs="仿宋_GB2312"/>
          <w:sz w:val="32"/>
          <w:szCs w:val="32"/>
        </w:rPr>
      </w:pPr>
      <w:bookmarkStart w:id="1" w:name="OLE_LINK6"/>
      <w:r>
        <w:rPr>
          <w:rFonts w:hint="eastAsia" w:ascii="仿宋" w:hAnsi="仿宋" w:eastAsia="仿宋" w:cs="仿宋_GB2312"/>
          <w:sz w:val="32"/>
          <w:szCs w:val="32"/>
        </w:rPr>
        <w:t>岳阳市云溪区城市建设投资有限责任公司</w:t>
      </w:r>
      <w:bookmarkEnd w:id="1"/>
      <w:r>
        <w:rPr>
          <w:rFonts w:hint="eastAsia" w:ascii="仿宋" w:hAnsi="仿宋" w:eastAsia="仿宋" w:cs="仿宋_GB2312"/>
          <w:sz w:val="32"/>
          <w:szCs w:val="32"/>
        </w:rPr>
        <w:t>：</w:t>
      </w:r>
    </w:p>
    <w:p>
      <w:pPr>
        <w:spacing w:line="540" w:lineRule="exact"/>
        <w:ind w:firstLine="640"/>
        <w:rPr>
          <w:rFonts w:ascii="仿宋" w:hAnsi="仿宋" w:eastAsia="仿宋" w:cs="仿宋_GB2312"/>
          <w:sz w:val="32"/>
          <w:szCs w:val="32"/>
        </w:rPr>
      </w:pPr>
      <w:r>
        <w:rPr>
          <w:rFonts w:hint="eastAsia" w:ascii="仿宋" w:hAnsi="仿宋" w:eastAsia="仿宋" w:cs="仿宋_GB2312"/>
          <w:sz w:val="32"/>
          <w:szCs w:val="32"/>
        </w:rPr>
        <w:t>你公司《岳阳市云溪区城市建设投资有限责任公司岳阳市云溪区九龙台原工业场地污染土壤修复项目环评报告书报批申请函》、云溪区环保分局的预审意见及有关附件收悉。经研究，批复如下：</w:t>
      </w:r>
    </w:p>
    <w:p>
      <w:pPr>
        <w:spacing w:line="540" w:lineRule="exact"/>
        <w:ind w:firstLine="640"/>
        <w:rPr>
          <w:rFonts w:ascii="仿宋" w:hAnsi="仿宋" w:eastAsia="仿宋" w:cs="仿宋_GB2312"/>
          <w:sz w:val="32"/>
          <w:szCs w:val="32"/>
        </w:rPr>
      </w:pPr>
      <w:r>
        <w:rPr>
          <w:rFonts w:hint="eastAsia" w:ascii="仿宋" w:hAnsi="仿宋" w:eastAsia="仿宋" w:cs="仿宋_GB2312"/>
          <w:sz w:val="32"/>
          <w:szCs w:val="32"/>
        </w:rPr>
        <w:t>一、</w:t>
      </w:r>
      <w:bookmarkStart w:id="2" w:name="OLE_LINK7"/>
      <w:r>
        <w:rPr>
          <w:rFonts w:hint="eastAsia" w:ascii="仿宋" w:hAnsi="仿宋" w:eastAsia="仿宋" w:cs="仿宋_GB2312"/>
          <w:sz w:val="32"/>
          <w:szCs w:val="32"/>
        </w:rPr>
        <w:t>根据《土壤污染防治行动计划》（国发[2016]31号）要求，为解决九龙台化工企业的历史遗留污染问题，你公司委托上海建为环保科技股份有限公司编制了《岳阳市云溪区九龙台原工业场地污染土壤修复项目实施方案》，并于201</w:t>
      </w:r>
      <w:r>
        <w:rPr>
          <w:rFonts w:ascii="仿宋" w:hAnsi="仿宋" w:eastAsia="仿宋" w:cs="仿宋_GB2312"/>
          <w:sz w:val="32"/>
          <w:szCs w:val="32"/>
        </w:rPr>
        <w:t>7</w:t>
      </w:r>
      <w:r>
        <w:rPr>
          <w:rFonts w:hint="eastAsia" w:ascii="仿宋" w:hAnsi="仿宋" w:eastAsia="仿宋" w:cs="仿宋_GB2312"/>
          <w:sz w:val="32"/>
          <w:szCs w:val="32"/>
        </w:rPr>
        <w:t>年5月26日取得省环保厅审查意见。该场地位于岳阳市云溪区S024与107国道交叉处之东南段，总投资1756.07万元，主要治理内容为：1、建设负压密闭大棚，对约5.3万m</w:t>
      </w:r>
      <w:r>
        <w:rPr>
          <w:rFonts w:hint="eastAsia" w:ascii="仿宋" w:hAnsi="仿宋" w:eastAsia="仿宋" w:cs="仿宋_GB2312"/>
          <w:sz w:val="32"/>
          <w:szCs w:val="32"/>
          <w:vertAlign w:val="superscript"/>
        </w:rPr>
        <w:t>3</w:t>
      </w:r>
      <w:r>
        <w:rPr>
          <w:rFonts w:hint="eastAsia" w:ascii="仿宋" w:hAnsi="仿宋" w:eastAsia="仿宋" w:cs="仿宋_GB2312"/>
          <w:sz w:val="32"/>
          <w:szCs w:val="32"/>
        </w:rPr>
        <w:t>污染土壤进行清挖，采用芬顿试剂氧化方式修复治理后回填；2、对上层滞水、废液、废水约0.35万m</w:t>
      </w:r>
      <w:r>
        <w:rPr>
          <w:rFonts w:hint="eastAsia" w:ascii="仿宋" w:hAnsi="仿宋" w:eastAsia="仿宋" w:cs="仿宋_GB2312"/>
          <w:sz w:val="32"/>
          <w:szCs w:val="32"/>
          <w:vertAlign w:val="superscript"/>
        </w:rPr>
        <w:t>3</w:t>
      </w:r>
      <w:r>
        <w:rPr>
          <w:rFonts w:hint="eastAsia" w:ascii="仿宋" w:hAnsi="仿宋" w:eastAsia="仿宋" w:cs="仿宋_GB2312"/>
          <w:sz w:val="32"/>
          <w:szCs w:val="32"/>
        </w:rPr>
        <w:t>，通过一体化设施处理达标排放。</w:t>
      </w:r>
      <w:bookmarkEnd w:id="2"/>
      <w:r>
        <w:rPr>
          <w:rFonts w:hint="eastAsia" w:ascii="仿宋" w:hAnsi="仿宋" w:eastAsia="仿宋" w:cs="仿宋_GB2312"/>
          <w:sz w:val="32"/>
          <w:szCs w:val="32"/>
        </w:rPr>
        <w:t>该项目建设符合国家产业政策，对消除该区域遗留环境污染隐患，保障生态环境安全，防范人居环境风险具有重要作用。根据湖南志远环境咨询服务有限公司编制的《岳阳市云溪区九龙台原工业场地污染土壤修复项目环境影响报告书（报批稿）》基本内容、结论和云溪区环保分局预审意见及专家评审意见，从环境保护角度考虑，同意本项目实施。</w:t>
      </w:r>
    </w:p>
    <w:p>
      <w:pPr>
        <w:spacing w:line="540" w:lineRule="exact"/>
        <w:ind w:firstLine="0" w:firstLineChars="0"/>
        <w:jc w:val="both"/>
        <w:rPr>
          <w:rFonts w:ascii="仿宋" w:hAnsi="仿宋" w:eastAsia="仿宋" w:cs="仿宋_GB2312"/>
          <w:sz w:val="32"/>
          <w:szCs w:val="32"/>
        </w:rPr>
      </w:pPr>
      <w:r>
        <w:rPr>
          <w:rFonts w:hint="eastAsia" w:ascii="仿宋" w:hAnsi="仿宋" w:eastAsia="仿宋" w:cs="仿宋_GB2312"/>
          <w:sz w:val="32"/>
          <w:szCs w:val="32"/>
        </w:rPr>
        <w:t xml:space="preserve">    二、项目实施应严格落实《岳阳市云溪区九龙台原工业场地污染土壤修复项目实施方案》和实施方案的审查意见要求，落实本环境影响报告书提出的各项污染防治和生态保护措施，并应着重注意以下问题：</w:t>
      </w:r>
    </w:p>
    <w:p>
      <w:pPr>
        <w:spacing w:line="540" w:lineRule="exact"/>
        <w:ind w:firstLine="640"/>
        <w:rPr>
          <w:rFonts w:ascii="仿宋" w:hAnsi="仿宋" w:eastAsia="仿宋" w:cs="仿宋_GB2312"/>
          <w:sz w:val="32"/>
          <w:szCs w:val="32"/>
        </w:rPr>
      </w:pPr>
      <w:r>
        <w:rPr>
          <w:rFonts w:hint="eastAsia" w:ascii="仿宋" w:hAnsi="仿宋" w:eastAsia="仿宋" w:cs="仿宋_GB2312"/>
          <w:sz w:val="32"/>
          <w:szCs w:val="32"/>
        </w:rPr>
        <w:t>（一）确保达到治理效果。项目实施后，土壤修复达到《建设用地土壤污染风险筛选指导值》住宅类敏感用地标准、《展览会用地土壤环境质量评价标准（暂行）》B类标准及《场地土壤环境风险评估筛选值》住宅用地标准；上层滞水满足荷兰地下水干预值和《地表水环境质量标准》（GB3838-2002）Ⅲ类标准。</w:t>
      </w:r>
    </w:p>
    <w:p>
      <w:pPr>
        <w:widowControl/>
        <w:shd w:val="clear" w:color="auto" w:fill="FFFFFF"/>
        <w:spacing w:line="540" w:lineRule="exact"/>
        <w:ind w:firstLine="640"/>
        <w:rPr>
          <w:rFonts w:ascii="仿宋" w:hAnsi="仿宋" w:eastAsia="仿宋" w:cs="仿宋_GB2312"/>
          <w:sz w:val="32"/>
          <w:szCs w:val="32"/>
        </w:rPr>
      </w:pPr>
      <w:r>
        <w:rPr>
          <w:rFonts w:hint="eastAsia" w:ascii="仿宋" w:hAnsi="仿宋" w:eastAsia="仿宋" w:cs="仿宋_GB2312"/>
          <w:sz w:val="32"/>
          <w:szCs w:val="32"/>
        </w:rPr>
        <w:t>（二）加强施工期监管，落实环境监理制度，确保各治理措施落实，有效防范二次污染和环境风险。文明施工、科学施工，合理安排施工时间和运输路线，将工程建设扰民、运输扬尘、水土流失、生态影响减小到最低限度。</w:t>
      </w:r>
    </w:p>
    <w:p>
      <w:pPr>
        <w:adjustRightInd w:val="0"/>
        <w:snapToGrid w:val="0"/>
        <w:spacing w:line="540" w:lineRule="exact"/>
        <w:ind w:firstLine="640"/>
        <w:rPr>
          <w:rFonts w:ascii="仿宋" w:hAnsi="仿宋" w:eastAsia="仿宋" w:cs="仿宋_GB2312"/>
          <w:sz w:val="32"/>
          <w:szCs w:val="32"/>
        </w:rPr>
      </w:pPr>
      <w:r>
        <w:rPr>
          <w:rFonts w:hint="eastAsia" w:ascii="仿宋" w:hAnsi="仿宋" w:eastAsia="仿宋" w:cs="仿宋_GB2312"/>
          <w:sz w:val="32"/>
          <w:szCs w:val="32"/>
        </w:rPr>
        <w:t>（三）废水污染防治工作。项目产生的产生的施工废水、生活污水、场区雨水、基坑废水分别经过预处理后汇入收集池收集，经一体化处理设施处理，达到云溪污水处理厂的纳管标准后通过槽车运往云溪污水处理厂处理，处理达标后排入长江。</w:t>
      </w:r>
    </w:p>
    <w:p>
      <w:pPr>
        <w:adjustRightInd w:val="0"/>
        <w:snapToGrid w:val="0"/>
        <w:spacing w:line="540" w:lineRule="exact"/>
        <w:ind w:firstLine="640"/>
        <w:rPr>
          <w:rFonts w:ascii="仿宋" w:hAnsi="仿宋" w:eastAsia="仿宋" w:cs="仿宋_GB2312"/>
          <w:sz w:val="32"/>
          <w:szCs w:val="32"/>
        </w:rPr>
      </w:pPr>
      <w:r>
        <w:rPr>
          <w:rFonts w:hint="eastAsia" w:ascii="仿宋" w:hAnsi="仿宋" w:eastAsia="仿宋" w:cs="仿宋_GB2312"/>
          <w:sz w:val="32"/>
          <w:szCs w:val="32"/>
        </w:rPr>
        <w:t>（四）地下水污染防治工作。按实施方案要求，对土壤修复区、密闭大棚地面、原料储存库、基坑废水集水池、化粪池等处进行采用HDPE防渗膜+土工布进行底部防渗处理，并在修复区边界修建防水围堰。规范建设地下水监测井等设施。切实落实监测计划，定期对地下水监测井进行采样监测，确保地下水环境安全。</w:t>
      </w:r>
    </w:p>
    <w:p>
      <w:pPr>
        <w:spacing w:line="540" w:lineRule="exact"/>
        <w:ind w:firstLine="640"/>
        <w:jc w:val="both"/>
        <w:rPr>
          <w:rFonts w:ascii="仿宋" w:hAnsi="仿宋" w:eastAsia="仿宋" w:cs="仿宋_GB2312"/>
          <w:sz w:val="32"/>
          <w:szCs w:val="32"/>
        </w:rPr>
      </w:pPr>
      <w:r>
        <w:rPr>
          <w:rFonts w:hint="eastAsia" w:ascii="仿宋" w:hAnsi="仿宋" w:eastAsia="仿宋" w:cs="仿宋_GB2312"/>
          <w:sz w:val="32"/>
          <w:szCs w:val="32"/>
        </w:rPr>
        <w:t>（五）废气污染防治工作。采取边施工边洒水等措施，降低场地开挖、装卸、填埋等过程产生的扬尘；待处理的土方进行覆膜阻隔，减少有机气体、扬尘的污染；土壤修复过程在密闭的大棚中实施，处置过程中产生的废气收集后使用UV光解处理，达到《大气污染物综合排放标准》（GB16297-1996）有关限值标准，VOCs满足《工业企业挥发性有机物排放控制标准》（DB12/524-2014）厂界限值，异味污染物满足《恶臭污染物排放标准》（GB14554-93）厂界限值。</w:t>
      </w:r>
    </w:p>
    <w:p>
      <w:pPr>
        <w:spacing w:line="540" w:lineRule="exact"/>
        <w:ind w:firstLine="640"/>
        <w:jc w:val="both"/>
        <w:rPr>
          <w:rFonts w:ascii="仿宋" w:hAnsi="仿宋" w:eastAsia="仿宋" w:cs="仿宋_GB2312"/>
          <w:sz w:val="32"/>
          <w:szCs w:val="32"/>
        </w:rPr>
      </w:pPr>
      <w:r>
        <w:rPr>
          <w:rFonts w:hint="eastAsia" w:ascii="仿宋" w:hAnsi="仿宋" w:eastAsia="仿宋" w:cs="仿宋_GB2312"/>
          <w:sz w:val="32"/>
          <w:szCs w:val="32"/>
        </w:rPr>
        <w:t>（六）固废防治工作。建立健全处置管理台帐。施工中产生的建筑垃圾、包装材料等一般固废按照一般工业固体废物贮存、处置场污染控制标准》要求规范管理，尽量回收利用，不能利用的送有资质的单位处置；</w:t>
      </w:r>
      <w:r>
        <w:rPr>
          <w:rFonts w:hint="eastAsia" w:ascii="仿宋" w:hAnsi="仿宋" w:eastAsia="仿宋" w:cs="_4eff_5b8b_GB2312"/>
          <w:sz w:val="32"/>
          <w:szCs w:val="32"/>
        </w:rPr>
        <w:t>污水处理</w:t>
      </w:r>
      <w:r>
        <w:rPr>
          <w:rFonts w:ascii="仿宋" w:hAnsi="仿宋" w:eastAsia="仿宋" w:cs="_4eff_5b8b_GB2312"/>
          <w:sz w:val="32"/>
          <w:szCs w:val="32"/>
        </w:rPr>
        <w:t>过程中产生的</w:t>
      </w:r>
      <w:r>
        <w:rPr>
          <w:rFonts w:hint="eastAsia" w:ascii="仿宋" w:hAnsi="仿宋" w:eastAsia="仿宋" w:cs="_4eff_5b8b_GB2312"/>
          <w:sz w:val="32"/>
          <w:szCs w:val="32"/>
        </w:rPr>
        <w:t>污泥</w:t>
      </w:r>
      <w:r>
        <w:rPr>
          <w:rFonts w:ascii="仿宋" w:hAnsi="仿宋" w:eastAsia="仿宋" w:cs="_4eff_5b8b_GB2312"/>
          <w:sz w:val="32"/>
          <w:szCs w:val="32"/>
        </w:rPr>
        <w:t>、</w:t>
      </w:r>
      <w:r>
        <w:rPr>
          <w:rFonts w:hint="eastAsia" w:ascii="仿宋" w:hAnsi="仿宋" w:eastAsia="仿宋" w:cs="_4eff_5b8b_GB2312"/>
          <w:sz w:val="32"/>
          <w:szCs w:val="32"/>
        </w:rPr>
        <w:t>现场遗留的</w:t>
      </w:r>
      <w:r>
        <w:rPr>
          <w:rFonts w:hint="eastAsia" w:ascii="仿宋" w:hAnsi="仿宋" w:eastAsia="仿宋" w:cs="仿宋_GB2312"/>
          <w:sz w:val="32"/>
          <w:szCs w:val="32"/>
        </w:rPr>
        <w:t>废渣、废料</w:t>
      </w:r>
      <w:r>
        <w:rPr>
          <w:rFonts w:ascii="仿宋" w:hAnsi="仿宋" w:eastAsia="仿宋" w:cs="_4eff_5b8b_GB2312"/>
          <w:sz w:val="32"/>
          <w:szCs w:val="32"/>
        </w:rPr>
        <w:t>属于危险废物，</w:t>
      </w:r>
      <w:r>
        <w:rPr>
          <w:rFonts w:hint="eastAsia" w:ascii="仿宋" w:hAnsi="仿宋" w:eastAsia="仿宋" w:cs="_4eff_5b8b_GB2312"/>
          <w:sz w:val="32"/>
          <w:szCs w:val="32"/>
        </w:rPr>
        <w:t>应按</w:t>
      </w:r>
      <w:r>
        <w:rPr>
          <w:rFonts w:ascii="仿宋" w:hAnsi="仿宋" w:eastAsia="仿宋" w:cs="_4eff_5b8b_GB2312"/>
          <w:sz w:val="32"/>
          <w:szCs w:val="32"/>
        </w:rPr>
        <w:t>《危险废物贮存污染控制标准》（GB18597-2001）及其修改单中相关要求</w:t>
      </w:r>
      <w:r>
        <w:rPr>
          <w:rFonts w:hint="eastAsia" w:ascii="仿宋" w:hAnsi="仿宋" w:eastAsia="仿宋" w:cs="_4eff_5b8b_GB2312"/>
          <w:sz w:val="32"/>
          <w:szCs w:val="32"/>
        </w:rPr>
        <w:t>规范管理，并</w:t>
      </w:r>
      <w:r>
        <w:rPr>
          <w:rFonts w:ascii="仿宋" w:hAnsi="仿宋" w:eastAsia="仿宋" w:cs="_4eff_5b8b_GB2312"/>
          <w:sz w:val="32"/>
          <w:szCs w:val="32"/>
        </w:rPr>
        <w:t>交有资质单位处置；</w:t>
      </w:r>
      <w:r>
        <w:rPr>
          <w:rFonts w:hint="eastAsia" w:ascii="仿宋" w:hAnsi="仿宋" w:eastAsia="仿宋" w:cs="仿宋_GB2312"/>
          <w:sz w:val="32"/>
          <w:szCs w:val="32"/>
        </w:rPr>
        <w:t>污染土壤经稳定一体化处理设施处理达到相关标准后，回填于原址；</w:t>
      </w:r>
      <w:r>
        <w:rPr>
          <w:rFonts w:ascii="仿宋" w:hAnsi="仿宋" w:eastAsia="仿宋" w:cs="_4eff_5b8b_GB2312"/>
          <w:bCs/>
          <w:color w:val="000000"/>
          <w:sz w:val="32"/>
          <w:szCs w:val="32"/>
        </w:rPr>
        <w:t>生活垃圾交由环卫部门统一收集处理。</w:t>
      </w:r>
    </w:p>
    <w:p>
      <w:pPr>
        <w:spacing w:line="540" w:lineRule="exact"/>
        <w:ind w:firstLine="640"/>
        <w:rPr>
          <w:rFonts w:ascii="仿宋" w:hAnsi="仿宋" w:eastAsia="仿宋" w:cs="仿宋_GB2312"/>
          <w:sz w:val="32"/>
          <w:szCs w:val="32"/>
        </w:rPr>
      </w:pPr>
      <w:r>
        <w:rPr>
          <w:rFonts w:hint="eastAsia" w:ascii="仿宋" w:hAnsi="仿宋" w:eastAsia="仿宋" w:cs="仿宋_GB2312"/>
          <w:sz w:val="32"/>
          <w:szCs w:val="32"/>
        </w:rPr>
        <w:t>（六</w:t>
      </w:r>
      <w:r>
        <w:rPr>
          <w:rFonts w:ascii="仿宋" w:hAnsi="仿宋" w:eastAsia="仿宋" w:cs="仿宋_GB2312"/>
          <w:sz w:val="32"/>
          <w:szCs w:val="32"/>
        </w:rPr>
        <w:t>）</w:t>
      </w:r>
      <w:r>
        <w:rPr>
          <w:rFonts w:hint="eastAsia" w:ascii="仿宋" w:hAnsi="仿宋" w:eastAsia="仿宋" w:cs="仿宋_GB2312"/>
          <w:sz w:val="32"/>
          <w:szCs w:val="32"/>
        </w:rPr>
        <w:t>噪声污染防治工作。合理安排施工作业时间，通过隔声、减振和车辆限速、禁鸣等措施，确保施工期噪声满足《建筑施工场界环境噪声排放标准》（</w:t>
      </w:r>
      <w:r>
        <w:rPr>
          <w:rFonts w:ascii="仿宋" w:hAnsi="仿宋" w:eastAsia="仿宋" w:cs="仿宋_GB2312"/>
          <w:sz w:val="32"/>
          <w:szCs w:val="32"/>
        </w:rPr>
        <w:t>GB12523-2011</w:t>
      </w:r>
      <w:r>
        <w:rPr>
          <w:rFonts w:hint="eastAsia" w:ascii="仿宋" w:hAnsi="仿宋" w:eastAsia="仿宋" w:cs="仿宋_GB2312"/>
          <w:sz w:val="32"/>
          <w:szCs w:val="32"/>
        </w:rPr>
        <w:t>）限值要求。</w:t>
      </w:r>
    </w:p>
    <w:p>
      <w:pPr>
        <w:spacing w:line="540" w:lineRule="exact"/>
        <w:ind w:firstLine="645" w:firstLineChars="0"/>
        <w:jc w:val="both"/>
        <w:rPr>
          <w:rFonts w:ascii="仿宋" w:hAnsi="仿宋" w:eastAsia="仿宋" w:cs="仿宋_GB2312"/>
          <w:sz w:val="32"/>
          <w:szCs w:val="32"/>
        </w:rPr>
      </w:pPr>
      <w:r>
        <w:rPr>
          <w:rFonts w:hint="eastAsia" w:ascii="仿宋" w:hAnsi="仿宋" w:eastAsia="仿宋" w:cs="仿宋_GB2312"/>
          <w:sz w:val="32"/>
          <w:szCs w:val="32"/>
        </w:rPr>
        <w:t>（七）生态保护工作。加强水土保持措施的落实，做好植被恢复、生态保护工作。稳定场周边设置截流沟，截流的初期雨水引入废水收集池。土壤修复回填后根据土地规划要求种植树木进行生态修复及绿化，严禁用于各食物类等种植，严禁作为永久性建（构）筑物用地。</w:t>
      </w:r>
    </w:p>
    <w:p>
      <w:pPr>
        <w:spacing w:line="540" w:lineRule="exact"/>
        <w:ind w:firstLine="645" w:firstLineChars="0"/>
        <w:jc w:val="both"/>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（八）</w:t>
      </w:r>
      <w:r>
        <w:rPr>
          <w:rFonts w:ascii="仿宋" w:hAnsi="仿宋" w:eastAsia="仿宋" w:cs="_4eff_5b8b_GB2312"/>
          <w:bCs/>
          <w:color w:val="000000" w:themeColor="text1"/>
          <w:sz w:val="32"/>
          <w:szCs w:val="32"/>
        </w:rPr>
        <w:t>加强</w:t>
      </w:r>
      <w:r>
        <w:rPr>
          <w:rFonts w:hint="eastAsia" w:ascii="仿宋" w:hAnsi="仿宋" w:eastAsia="仿宋" w:cs="_4eff_5b8b_GB2312"/>
          <w:bCs/>
          <w:color w:val="000000" w:themeColor="text1"/>
          <w:sz w:val="32"/>
          <w:szCs w:val="32"/>
        </w:rPr>
        <w:t>施工</w:t>
      </w:r>
      <w:r>
        <w:rPr>
          <w:rFonts w:ascii="仿宋" w:hAnsi="仿宋" w:eastAsia="仿宋" w:cs="_4eff_5b8b_GB2312"/>
          <w:bCs/>
          <w:color w:val="000000" w:themeColor="text1"/>
          <w:sz w:val="32"/>
          <w:szCs w:val="32"/>
        </w:rPr>
        <w:t>期风险防范。落实各项风险防范措施，防止风险事故的发生。加强生产系统和环保设备维护和管理；注重各类危险化学品运输、储存和管理</w:t>
      </w:r>
      <w:r>
        <w:rPr>
          <w:rFonts w:hint="eastAsia" w:ascii="仿宋" w:hAnsi="仿宋" w:eastAsia="仿宋" w:cs="_4eff_5b8b_GB2312"/>
          <w:bCs/>
          <w:color w:val="000000" w:themeColor="text1"/>
          <w:sz w:val="32"/>
          <w:szCs w:val="32"/>
        </w:rPr>
        <w:t>，过氧化氢应单独存储，严格管理</w:t>
      </w:r>
      <w:r>
        <w:rPr>
          <w:rFonts w:ascii="仿宋" w:hAnsi="仿宋" w:eastAsia="仿宋" w:cs="_4eff_5b8b_GB2312"/>
          <w:bCs/>
          <w:color w:val="000000" w:themeColor="text1"/>
          <w:sz w:val="32"/>
          <w:szCs w:val="32"/>
        </w:rPr>
        <w:t>；</w:t>
      </w:r>
      <w:r>
        <w:rPr>
          <w:rFonts w:hint="eastAsia" w:ascii="仿宋" w:hAnsi="仿宋" w:eastAsia="仿宋" w:cs="仿宋_GB2312"/>
          <w:color w:val="000000" w:themeColor="text1"/>
          <w:sz w:val="32"/>
          <w:szCs w:val="32"/>
        </w:rPr>
        <w:t>储罐区采用防滑、防渗、硬化处理，设置1.5米高，有效容积1000m</w:t>
      </w:r>
      <w:r>
        <w:rPr>
          <w:rFonts w:hint="eastAsia" w:ascii="仿宋" w:hAnsi="仿宋" w:eastAsia="仿宋" w:cs="仿宋_GB2312"/>
          <w:color w:val="000000" w:themeColor="text1"/>
          <w:sz w:val="32"/>
          <w:szCs w:val="32"/>
          <w:vertAlign w:val="superscript"/>
        </w:rPr>
        <w:t>3</w:t>
      </w:r>
      <w:r>
        <w:rPr>
          <w:rFonts w:hint="eastAsia" w:ascii="仿宋" w:hAnsi="仿宋" w:eastAsia="仿宋" w:cs="仿宋_GB2312"/>
          <w:color w:val="000000" w:themeColor="text1"/>
          <w:sz w:val="32"/>
          <w:szCs w:val="32"/>
        </w:rPr>
        <w:t>的围堰，并设置防火堤；</w:t>
      </w:r>
      <w:r>
        <w:rPr>
          <w:rFonts w:hint="eastAsia" w:ascii="仿宋" w:hAnsi="仿宋" w:eastAsia="仿宋" w:cs="_4eff_5b8b_GB2312"/>
          <w:bCs/>
          <w:color w:val="000000" w:themeColor="text1"/>
          <w:sz w:val="32"/>
          <w:szCs w:val="32"/>
        </w:rPr>
        <w:t>完善厂区生产车间周边污水收集系统</w:t>
      </w:r>
      <w:r>
        <w:rPr>
          <w:rFonts w:hint="eastAsia" w:ascii="仿宋" w:hAnsi="仿宋" w:eastAsia="仿宋" w:cs="仿宋_GB2312"/>
          <w:color w:val="000000" w:themeColor="text1"/>
          <w:sz w:val="32"/>
          <w:szCs w:val="32"/>
        </w:rPr>
        <w:t>，事故废水、消防废水依托长炼工业园10000m</w:t>
      </w:r>
      <w:r>
        <w:rPr>
          <w:rFonts w:hint="eastAsia" w:ascii="仿宋" w:hAnsi="仿宋" w:eastAsia="仿宋" w:cs="仿宋_GB2312"/>
          <w:color w:val="000000" w:themeColor="text1"/>
          <w:sz w:val="32"/>
          <w:szCs w:val="32"/>
          <w:vertAlign w:val="superscript"/>
        </w:rPr>
        <w:t>3</w:t>
      </w:r>
      <w:r>
        <w:rPr>
          <w:rFonts w:hint="eastAsia" w:ascii="仿宋" w:hAnsi="仿宋" w:eastAsia="仿宋" w:cs="仿宋_GB2312"/>
          <w:color w:val="000000" w:themeColor="text1"/>
          <w:sz w:val="32"/>
          <w:szCs w:val="32"/>
        </w:rPr>
        <w:t>的事故应急池暂存；</w:t>
      </w:r>
      <w:r>
        <w:rPr>
          <w:rFonts w:ascii="仿宋" w:hAnsi="仿宋" w:eastAsia="仿宋" w:cs="_4eff_5b8b_GB2312"/>
          <w:bCs/>
          <w:color w:val="000000" w:themeColor="text1"/>
          <w:sz w:val="32"/>
          <w:szCs w:val="32"/>
        </w:rPr>
        <w:t>严格按照《突发环境事件应急管理办法》建立风险事故应急预案，储备风险救助物资并组织演练，杜绝环境风险事故发生。</w:t>
      </w:r>
    </w:p>
    <w:p>
      <w:pPr>
        <w:spacing w:line="540" w:lineRule="exact"/>
        <w:ind w:firstLine="0" w:firstLineChars="0"/>
        <w:jc w:val="both"/>
        <w:rPr>
          <w:rFonts w:ascii="仿宋" w:hAnsi="仿宋" w:eastAsia="仿宋" w:cs="仿宋_GB2312"/>
          <w:sz w:val="32"/>
          <w:szCs w:val="32"/>
        </w:rPr>
      </w:pPr>
      <w:r>
        <w:rPr>
          <w:rFonts w:hint="eastAsia" w:ascii="仿宋" w:hAnsi="仿宋" w:eastAsia="仿宋" w:cs="仿宋_GB2312"/>
          <w:sz w:val="32"/>
          <w:szCs w:val="32"/>
        </w:rPr>
        <w:t xml:space="preserve">    四、你公司应在收到本批复后15个工作日内，将批复及批准的环评报告文件送至云溪区人民政府，云溪区环保分局。</w:t>
      </w:r>
    </w:p>
    <w:p>
      <w:pPr>
        <w:spacing w:line="540" w:lineRule="exact"/>
        <w:ind w:firstLine="640" w:firstLineChars="0"/>
        <w:jc w:val="both"/>
        <w:rPr>
          <w:rFonts w:ascii="仿宋" w:hAnsi="仿宋" w:eastAsia="仿宋" w:cs="仿宋_GB2312"/>
          <w:sz w:val="32"/>
          <w:szCs w:val="32"/>
        </w:rPr>
      </w:pPr>
      <w:r>
        <w:rPr>
          <w:rFonts w:hint="eastAsia" w:ascii="仿宋" w:hAnsi="仿宋" w:eastAsia="仿宋" w:cs="仿宋_GB2312"/>
          <w:sz w:val="32"/>
          <w:szCs w:val="32"/>
        </w:rPr>
        <w:t xml:space="preserve">五、本项目实施的监督检查和施工现场及日常环境管理工作由云溪区环保分局具体负责。  </w:t>
      </w:r>
    </w:p>
    <w:p>
      <w:pPr>
        <w:spacing w:line="520" w:lineRule="exact"/>
        <w:ind w:firstLine="640" w:firstLineChars="0"/>
        <w:jc w:val="both"/>
        <w:rPr>
          <w:rFonts w:ascii="仿宋" w:hAnsi="仿宋" w:eastAsia="仿宋" w:cs="仿宋_GB2312"/>
          <w:sz w:val="32"/>
          <w:szCs w:val="32"/>
        </w:rPr>
      </w:pPr>
    </w:p>
    <w:p>
      <w:pPr>
        <w:spacing w:line="520" w:lineRule="exact"/>
        <w:ind w:firstLine="640" w:firstLineChars="0"/>
        <w:jc w:val="both"/>
        <w:rPr>
          <w:rFonts w:ascii="仿宋" w:hAnsi="仿宋" w:eastAsia="仿宋" w:cs="仿宋_GB2312"/>
          <w:sz w:val="32"/>
          <w:szCs w:val="32"/>
        </w:rPr>
      </w:pPr>
    </w:p>
    <w:p>
      <w:pPr>
        <w:spacing w:line="520" w:lineRule="exact"/>
        <w:ind w:firstLine="640" w:firstLineChars="0"/>
        <w:jc w:val="both"/>
        <w:rPr>
          <w:rFonts w:ascii="仿宋" w:hAnsi="仿宋" w:eastAsia="仿宋" w:cs="仿宋_GB2312"/>
          <w:sz w:val="32"/>
          <w:szCs w:val="32"/>
        </w:rPr>
      </w:pPr>
    </w:p>
    <w:p>
      <w:pPr>
        <w:spacing w:line="520" w:lineRule="exact"/>
        <w:ind w:firstLine="640" w:firstLineChars="0"/>
        <w:jc w:val="both"/>
        <w:rPr>
          <w:rFonts w:ascii="仿宋" w:hAnsi="仿宋" w:eastAsia="仿宋" w:cs="仿宋_GB2312"/>
          <w:sz w:val="32"/>
          <w:szCs w:val="32"/>
        </w:rPr>
      </w:pPr>
    </w:p>
    <w:p>
      <w:pPr>
        <w:spacing w:line="540" w:lineRule="exact"/>
        <w:ind w:firstLine="0" w:firstLineChars="0"/>
        <w:jc w:val="both"/>
        <w:rPr>
          <w:rFonts w:ascii="仿宋" w:hAnsi="仿宋" w:eastAsia="仿宋" w:cs="仿宋_GB2312"/>
          <w:sz w:val="32"/>
          <w:szCs w:val="32"/>
        </w:rPr>
      </w:pPr>
      <w:r>
        <w:rPr>
          <w:rFonts w:hint="eastAsia" w:ascii="仿宋" w:hAnsi="仿宋" w:eastAsia="仿宋" w:cs="仿宋_GB2312"/>
          <w:sz w:val="32"/>
          <w:szCs w:val="32"/>
        </w:rPr>
        <w:t xml:space="preserve">                              岳阳市环境保护局</w:t>
      </w:r>
    </w:p>
    <w:p>
      <w:pPr>
        <w:spacing w:line="540" w:lineRule="exact"/>
        <w:ind w:firstLine="0" w:firstLineChars="0"/>
        <w:jc w:val="both"/>
        <w:rPr>
          <w:rFonts w:ascii="仿宋" w:hAnsi="仿宋" w:eastAsia="仿宋" w:cs="仿宋_GB2312"/>
          <w:sz w:val="32"/>
          <w:szCs w:val="32"/>
        </w:rPr>
      </w:pPr>
      <w:r>
        <w:rPr>
          <w:rFonts w:hint="eastAsia" w:ascii="仿宋" w:hAnsi="仿宋" w:eastAsia="仿宋" w:cs="仿宋_GB2312"/>
          <w:sz w:val="32"/>
          <w:szCs w:val="32"/>
        </w:rPr>
        <w:t xml:space="preserve">                              2017年11月22日</w:t>
      </w:r>
    </w:p>
    <w:p>
      <w:pPr>
        <w:spacing w:line="360" w:lineRule="exact"/>
        <w:ind w:firstLine="0" w:firstLineChars="0"/>
        <w:jc w:val="both"/>
        <w:rPr>
          <w:rFonts w:ascii="仿宋" w:hAnsi="仿宋" w:eastAsia="仿宋" w:cs="仿宋_GB2312"/>
          <w:sz w:val="10"/>
          <w:szCs w:val="10"/>
        </w:rPr>
      </w:pPr>
    </w:p>
    <w:p>
      <w:pPr>
        <w:spacing w:line="360" w:lineRule="exact"/>
        <w:ind w:firstLine="0" w:firstLineChars="0"/>
        <w:jc w:val="both"/>
        <w:rPr>
          <w:rFonts w:ascii="仿宋" w:hAnsi="仿宋" w:eastAsia="仿宋" w:cs="仿宋_GB2312"/>
          <w:sz w:val="10"/>
          <w:szCs w:val="10"/>
        </w:rPr>
      </w:pPr>
    </w:p>
    <w:p>
      <w:pPr>
        <w:spacing w:line="360" w:lineRule="exact"/>
        <w:ind w:firstLine="0" w:firstLineChars="0"/>
        <w:jc w:val="both"/>
        <w:rPr>
          <w:rFonts w:ascii="仿宋" w:hAnsi="仿宋" w:eastAsia="仿宋" w:cs="仿宋_GB2312"/>
          <w:sz w:val="32"/>
          <w:szCs w:val="32"/>
        </w:rPr>
      </w:pPr>
    </w:p>
    <w:tbl>
      <w:tblPr>
        <w:tblStyle w:val="8"/>
        <w:tblpPr w:leftFromText="180" w:rightFromText="180" w:vertAnchor="text" w:horzAnchor="margin" w:tblpY="352"/>
        <w:tblOverlap w:val="never"/>
        <w:tblW w:w="872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720" w:type="dxa"/>
          </w:tcPr>
          <w:p>
            <w:pPr>
              <w:spacing w:line="540" w:lineRule="exact"/>
              <w:ind w:firstLine="0" w:firstLineChars="0"/>
              <w:jc w:val="both"/>
              <w:rPr>
                <w:rFonts w:ascii="仿宋" w:hAnsi="仿宋" w:eastAsia="仿宋" w:cs="仿宋_GB2312"/>
                <w:sz w:val="32"/>
                <w:szCs w:val="32"/>
              </w:rPr>
            </w:pPr>
            <w:r>
              <w:rPr>
                <w:rFonts w:hint="eastAsia" w:ascii="仿宋" w:hAnsi="仿宋" w:eastAsia="仿宋" w:cs="仿宋_GB2312"/>
                <w:sz w:val="32"/>
                <w:szCs w:val="32"/>
              </w:rPr>
              <w:t>抄送：云溪区人民政府，云溪区环保分局, 湖南志远环境咨询服务有限公司</w:t>
            </w:r>
          </w:p>
        </w:tc>
      </w:tr>
    </w:tbl>
    <w:p>
      <w:pPr>
        <w:spacing w:line="20" w:lineRule="exact"/>
        <w:ind w:firstLine="0" w:firstLineChars="0"/>
        <w:jc w:val="both"/>
        <w:rPr>
          <w:rFonts w:ascii="仿宋" w:hAnsi="仿宋" w:eastAsia="仿宋" w:cs="仿宋_GB2312"/>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588" w:bottom="1440" w:left="1588" w:header="851" w:footer="992" w:gutter="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_4eff_5b8b_GB2312">
    <w:altName w:val="Times New Roman"/>
    <w:panose1 w:val="00000000000000000000"/>
    <w:charset w:val="00"/>
    <w:family w:val="roman"/>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0008167"/>
    </w:sdtPr>
    <w:sdtContent>
      <w:p>
        <w:pPr>
          <w:pStyle w:val="4"/>
          <w:ind w:firstLine="360"/>
          <w:jc w:val="center"/>
        </w:pPr>
        <w:r>
          <w:fldChar w:fldCharType="begin"/>
        </w:r>
        <w:r>
          <w:instrText xml:space="preserve">PAGE   \* MERGEFORMAT</w:instrText>
        </w:r>
        <w:r>
          <w:fldChar w:fldCharType="separate"/>
        </w:r>
        <w:r>
          <w:rPr>
            <w:lang w:val="zh-CN"/>
          </w:rPr>
          <w:t>2</w:t>
        </w:r>
        <w:r>
          <w:fldChar w:fldCharType="end"/>
        </w:r>
      </w:p>
    </w:sdtContent>
  </w:sdt>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0"/>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E15"/>
    <w:rsid w:val="00012706"/>
    <w:rsid w:val="00015B44"/>
    <w:rsid w:val="00022ABF"/>
    <w:rsid w:val="00035643"/>
    <w:rsid w:val="00035B8B"/>
    <w:rsid w:val="00042308"/>
    <w:rsid w:val="00052FE9"/>
    <w:rsid w:val="00054C40"/>
    <w:rsid w:val="00074170"/>
    <w:rsid w:val="00084EF3"/>
    <w:rsid w:val="000873FE"/>
    <w:rsid w:val="000970CB"/>
    <w:rsid w:val="00097EC6"/>
    <w:rsid w:val="000A3897"/>
    <w:rsid w:val="000A5312"/>
    <w:rsid w:val="000D0AEA"/>
    <w:rsid w:val="000D30BD"/>
    <w:rsid w:val="000D5C5D"/>
    <w:rsid w:val="000F5F3A"/>
    <w:rsid w:val="000F5FAA"/>
    <w:rsid w:val="000F612A"/>
    <w:rsid w:val="00103BF6"/>
    <w:rsid w:val="00107B58"/>
    <w:rsid w:val="00111B16"/>
    <w:rsid w:val="00123117"/>
    <w:rsid w:val="001245E6"/>
    <w:rsid w:val="00130348"/>
    <w:rsid w:val="00130818"/>
    <w:rsid w:val="00147348"/>
    <w:rsid w:val="00155BD4"/>
    <w:rsid w:val="00161E99"/>
    <w:rsid w:val="001930CC"/>
    <w:rsid w:val="001973C3"/>
    <w:rsid w:val="001A1209"/>
    <w:rsid w:val="001A695B"/>
    <w:rsid w:val="001A6C69"/>
    <w:rsid w:val="001B7363"/>
    <w:rsid w:val="001E2B0D"/>
    <w:rsid w:val="001E7449"/>
    <w:rsid w:val="001F1B9E"/>
    <w:rsid w:val="00211F7A"/>
    <w:rsid w:val="00213006"/>
    <w:rsid w:val="00224008"/>
    <w:rsid w:val="00232A93"/>
    <w:rsid w:val="00240B15"/>
    <w:rsid w:val="00250CFC"/>
    <w:rsid w:val="00252D66"/>
    <w:rsid w:val="0025619F"/>
    <w:rsid w:val="002845A5"/>
    <w:rsid w:val="00285736"/>
    <w:rsid w:val="0029106B"/>
    <w:rsid w:val="00291E15"/>
    <w:rsid w:val="00292CA5"/>
    <w:rsid w:val="00294352"/>
    <w:rsid w:val="0029528B"/>
    <w:rsid w:val="002B068F"/>
    <w:rsid w:val="002B22E1"/>
    <w:rsid w:val="002C5AC0"/>
    <w:rsid w:val="002D122E"/>
    <w:rsid w:val="002D12C7"/>
    <w:rsid w:val="002D26E5"/>
    <w:rsid w:val="002E598E"/>
    <w:rsid w:val="002F5E9D"/>
    <w:rsid w:val="0032397D"/>
    <w:rsid w:val="003321FA"/>
    <w:rsid w:val="003369EA"/>
    <w:rsid w:val="00361E6B"/>
    <w:rsid w:val="0036452C"/>
    <w:rsid w:val="00373582"/>
    <w:rsid w:val="00376836"/>
    <w:rsid w:val="00377D31"/>
    <w:rsid w:val="00390615"/>
    <w:rsid w:val="003A32B9"/>
    <w:rsid w:val="003B482B"/>
    <w:rsid w:val="003B6DC3"/>
    <w:rsid w:val="003C6F21"/>
    <w:rsid w:val="003E069F"/>
    <w:rsid w:val="003E34A8"/>
    <w:rsid w:val="0040580D"/>
    <w:rsid w:val="0040765A"/>
    <w:rsid w:val="00417DDF"/>
    <w:rsid w:val="004303E7"/>
    <w:rsid w:val="00432AA0"/>
    <w:rsid w:val="00437228"/>
    <w:rsid w:val="0043738D"/>
    <w:rsid w:val="004444BF"/>
    <w:rsid w:val="00445ECD"/>
    <w:rsid w:val="00446C61"/>
    <w:rsid w:val="0046246B"/>
    <w:rsid w:val="0046498B"/>
    <w:rsid w:val="004654EF"/>
    <w:rsid w:val="00482257"/>
    <w:rsid w:val="00482F5B"/>
    <w:rsid w:val="004925E4"/>
    <w:rsid w:val="004A3BE4"/>
    <w:rsid w:val="004B72A5"/>
    <w:rsid w:val="004C3F37"/>
    <w:rsid w:val="004C6B52"/>
    <w:rsid w:val="004C7F73"/>
    <w:rsid w:val="004D0B4F"/>
    <w:rsid w:val="004D2546"/>
    <w:rsid w:val="004D3ADA"/>
    <w:rsid w:val="004E07E3"/>
    <w:rsid w:val="00502466"/>
    <w:rsid w:val="005053B1"/>
    <w:rsid w:val="00525229"/>
    <w:rsid w:val="00530CA2"/>
    <w:rsid w:val="00533A81"/>
    <w:rsid w:val="005440B1"/>
    <w:rsid w:val="005626AF"/>
    <w:rsid w:val="0056646E"/>
    <w:rsid w:val="00566FBA"/>
    <w:rsid w:val="00572F5E"/>
    <w:rsid w:val="00572FD5"/>
    <w:rsid w:val="00583E8D"/>
    <w:rsid w:val="00587DF7"/>
    <w:rsid w:val="00597138"/>
    <w:rsid w:val="005B4CF5"/>
    <w:rsid w:val="005C6B39"/>
    <w:rsid w:val="005D36E0"/>
    <w:rsid w:val="005F77E9"/>
    <w:rsid w:val="00615481"/>
    <w:rsid w:val="00616833"/>
    <w:rsid w:val="0062211F"/>
    <w:rsid w:val="006240EC"/>
    <w:rsid w:val="00633974"/>
    <w:rsid w:val="00640E84"/>
    <w:rsid w:val="00650D25"/>
    <w:rsid w:val="00652F59"/>
    <w:rsid w:val="0066136B"/>
    <w:rsid w:val="00665B86"/>
    <w:rsid w:val="00666C0B"/>
    <w:rsid w:val="00672C9F"/>
    <w:rsid w:val="00687B9B"/>
    <w:rsid w:val="006A787A"/>
    <w:rsid w:val="006A7A47"/>
    <w:rsid w:val="006B7987"/>
    <w:rsid w:val="006E0FF0"/>
    <w:rsid w:val="006F5DBC"/>
    <w:rsid w:val="006F7944"/>
    <w:rsid w:val="00713601"/>
    <w:rsid w:val="00723737"/>
    <w:rsid w:val="00725468"/>
    <w:rsid w:val="007418F7"/>
    <w:rsid w:val="00743BFD"/>
    <w:rsid w:val="00744B18"/>
    <w:rsid w:val="007579C1"/>
    <w:rsid w:val="00765E26"/>
    <w:rsid w:val="00766129"/>
    <w:rsid w:val="00767582"/>
    <w:rsid w:val="0077141D"/>
    <w:rsid w:val="00776205"/>
    <w:rsid w:val="00776935"/>
    <w:rsid w:val="00783EF2"/>
    <w:rsid w:val="00787165"/>
    <w:rsid w:val="007903D5"/>
    <w:rsid w:val="007D4352"/>
    <w:rsid w:val="007E63FF"/>
    <w:rsid w:val="0082210C"/>
    <w:rsid w:val="00823C08"/>
    <w:rsid w:val="00834ADC"/>
    <w:rsid w:val="00840229"/>
    <w:rsid w:val="00855A52"/>
    <w:rsid w:val="00864C23"/>
    <w:rsid w:val="00875284"/>
    <w:rsid w:val="00885129"/>
    <w:rsid w:val="00895464"/>
    <w:rsid w:val="008A1700"/>
    <w:rsid w:val="008B7B7C"/>
    <w:rsid w:val="008C77D9"/>
    <w:rsid w:val="008D625E"/>
    <w:rsid w:val="008F5D23"/>
    <w:rsid w:val="008F775A"/>
    <w:rsid w:val="009011E1"/>
    <w:rsid w:val="00904D7E"/>
    <w:rsid w:val="009363FA"/>
    <w:rsid w:val="0094634A"/>
    <w:rsid w:val="00953050"/>
    <w:rsid w:val="0095609E"/>
    <w:rsid w:val="009611E9"/>
    <w:rsid w:val="00975180"/>
    <w:rsid w:val="00984573"/>
    <w:rsid w:val="009918FF"/>
    <w:rsid w:val="00994E43"/>
    <w:rsid w:val="00995575"/>
    <w:rsid w:val="009B70CD"/>
    <w:rsid w:val="009C2F19"/>
    <w:rsid w:val="009E5F48"/>
    <w:rsid w:val="009F098D"/>
    <w:rsid w:val="009F29B9"/>
    <w:rsid w:val="00A11302"/>
    <w:rsid w:val="00A11C3D"/>
    <w:rsid w:val="00A2658A"/>
    <w:rsid w:val="00A35BED"/>
    <w:rsid w:val="00A37612"/>
    <w:rsid w:val="00A41780"/>
    <w:rsid w:val="00A43F85"/>
    <w:rsid w:val="00A449F2"/>
    <w:rsid w:val="00A54770"/>
    <w:rsid w:val="00A562C4"/>
    <w:rsid w:val="00A61593"/>
    <w:rsid w:val="00A6408D"/>
    <w:rsid w:val="00A67986"/>
    <w:rsid w:val="00A74889"/>
    <w:rsid w:val="00A86E29"/>
    <w:rsid w:val="00A97A56"/>
    <w:rsid w:val="00AB1553"/>
    <w:rsid w:val="00AD3062"/>
    <w:rsid w:val="00AF5D77"/>
    <w:rsid w:val="00AF701E"/>
    <w:rsid w:val="00AF7088"/>
    <w:rsid w:val="00B23BAA"/>
    <w:rsid w:val="00B316C7"/>
    <w:rsid w:val="00B32507"/>
    <w:rsid w:val="00B52DE6"/>
    <w:rsid w:val="00B5667A"/>
    <w:rsid w:val="00B57222"/>
    <w:rsid w:val="00B7050E"/>
    <w:rsid w:val="00BB3591"/>
    <w:rsid w:val="00BC2F68"/>
    <w:rsid w:val="00BC7220"/>
    <w:rsid w:val="00BE34E3"/>
    <w:rsid w:val="00BF0C79"/>
    <w:rsid w:val="00BF1752"/>
    <w:rsid w:val="00C03909"/>
    <w:rsid w:val="00C044A2"/>
    <w:rsid w:val="00C059D6"/>
    <w:rsid w:val="00C0706C"/>
    <w:rsid w:val="00C154D7"/>
    <w:rsid w:val="00C21ADA"/>
    <w:rsid w:val="00C236A6"/>
    <w:rsid w:val="00C265F1"/>
    <w:rsid w:val="00C36821"/>
    <w:rsid w:val="00C401E9"/>
    <w:rsid w:val="00C54C1C"/>
    <w:rsid w:val="00C648B7"/>
    <w:rsid w:val="00C713C1"/>
    <w:rsid w:val="00C80F73"/>
    <w:rsid w:val="00C95020"/>
    <w:rsid w:val="00CA1C9E"/>
    <w:rsid w:val="00CC18F9"/>
    <w:rsid w:val="00CC5D72"/>
    <w:rsid w:val="00CF00F2"/>
    <w:rsid w:val="00CF0B2E"/>
    <w:rsid w:val="00CF3B24"/>
    <w:rsid w:val="00CF5C33"/>
    <w:rsid w:val="00D06391"/>
    <w:rsid w:val="00D208AA"/>
    <w:rsid w:val="00D228F0"/>
    <w:rsid w:val="00D236B8"/>
    <w:rsid w:val="00D27F9C"/>
    <w:rsid w:val="00D35BC7"/>
    <w:rsid w:val="00D36D82"/>
    <w:rsid w:val="00D44DC6"/>
    <w:rsid w:val="00D5300A"/>
    <w:rsid w:val="00D60971"/>
    <w:rsid w:val="00D67C64"/>
    <w:rsid w:val="00D776BD"/>
    <w:rsid w:val="00D810FB"/>
    <w:rsid w:val="00DB157F"/>
    <w:rsid w:val="00DB3E56"/>
    <w:rsid w:val="00DD266F"/>
    <w:rsid w:val="00DE0596"/>
    <w:rsid w:val="00DE1F17"/>
    <w:rsid w:val="00DE262F"/>
    <w:rsid w:val="00DF5DD1"/>
    <w:rsid w:val="00E01A2C"/>
    <w:rsid w:val="00E12E05"/>
    <w:rsid w:val="00E1471E"/>
    <w:rsid w:val="00E2447E"/>
    <w:rsid w:val="00E26D53"/>
    <w:rsid w:val="00E47750"/>
    <w:rsid w:val="00E53171"/>
    <w:rsid w:val="00E53DC8"/>
    <w:rsid w:val="00E54A98"/>
    <w:rsid w:val="00E57086"/>
    <w:rsid w:val="00E621FB"/>
    <w:rsid w:val="00E64F18"/>
    <w:rsid w:val="00E661DC"/>
    <w:rsid w:val="00E70ADD"/>
    <w:rsid w:val="00E77A58"/>
    <w:rsid w:val="00E77D83"/>
    <w:rsid w:val="00E82CEB"/>
    <w:rsid w:val="00E83E78"/>
    <w:rsid w:val="00E93909"/>
    <w:rsid w:val="00EA03AD"/>
    <w:rsid w:val="00EB3D27"/>
    <w:rsid w:val="00EB404C"/>
    <w:rsid w:val="00ED0414"/>
    <w:rsid w:val="00ED71EE"/>
    <w:rsid w:val="00ED7634"/>
    <w:rsid w:val="00ED7D68"/>
    <w:rsid w:val="00EE6B68"/>
    <w:rsid w:val="00EF76DA"/>
    <w:rsid w:val="00F067A3"/>
    <w:rsid w:val="00F2206D"/>
    <w:rsid w:val="00F22DA7"/>
    <w:rsid w:val="00F240DF"/>
    <w:rsid w:val="00F35842"/>
    <w:rsid w:val="00F51259"/>
    <w:rsid w:val="00F5785D"/>
    <w:rsid w:val="00F83526"/>
    <w:rsid w:val="00F93799"/>
    <w:rsid w:val="00F95CC8"/>
    <w:rsid w:val="00FB7238"/>
    <w:rsid w:val="00FD6FEC"/>
    <w:rsid w:val="00FE56BF"/>
    <w:rsid w:val="2E1A1A55"/>
    <w:rsid w:val="50DD61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1" w:firstLineChars="200"/>
    </w:pPr>
    <w:rPr>
      <w:rFonts w:ascii="Times New Roman" w:hAnsi="Times New Roman" w:eastAsia="宋体" w:cs="Times New Roman"/>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6"/>
    <w:unhideWhenUsed/>
    <w:qFormat/>
    <w:uiPriority w:val="99"/>
    <w:pPr>
      <w:ind w:left="100" w:leftChars="2500"/>
    </w:pPr>
  </w:style>
  <w:style w:type="paragraph" w:styleId="3">
    <w:name w:val="Balloon Text"/>
    <w:basedOn w:val="1"/>
    <w:link w:val="14"/>
    <w:unhideWhenUsed/>
    <w:qFormat/>
    <w:uiPriority w:val="99"/>
    <w:rPr>
      <w:sz w:val="18"/>
      <w:szCs w:val="18"/>
    </w:rPr>
  </w:style>
  <w:style w:type="paragraph" w:styleId="4">
    <w:name w:val="footer"/>
    <w:basedOn w:val="1"/>
    <w:link w:val="9"/>
    <w:qFormat/>
    <w:uiPriority w:val="99"/>
    <w:pPr>
      <w:tabs>
        <w:tab w:val="center" w:pos="4153"/>
        <w:tab w:val="right" w:pos="8306"/>
      </w:tabs>
      <w:snapToGrid w:val="0"/>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脚 Char"/>
    <w:basedOn w:val="6"/>
    <w:link w:val="4"/>
    <w:qFormat/>
    <w:uiPriority w:val="99"/>
    <w:rPr>
      <w:rFonts w:ascii="Times New Roman" w:hAnsi="Times New Roman" w:eastAsia="宋体" w:cs="Times New Roman"/>
      <w:kern w:val="0"/>
      <w:sz w:val="18"/>
      <w:szCs w:val="18"/>
    </w:rPr>
  </w:style>
  <w:style w:type="character" w:customStyle="1" w:styleId="10">
    <w:name w:val="页眉 Char"/>
    <w:basedOn w:val="6"/>
    <w:link w:val="5"/>
    <w:qFormat/>
    <w:uiPriority w:val="0"/>
    <w:rPr>
      <w:rFonts w:ascii="Times New Roman" w:hAnsi="Times New Roman" w:eastAsia="宋体" w:cs="Times New Roman"/>
      <w:kern w:val="0"/>
      <w:sz w:val="18"/>
      <w:szCs w:val="18"/>
    </w:rPr>
  </w:style>
  <w:style w:type="paragraph" w:customStyle="1" w:styleId="11">
    <w:name w:val="WPS Plain"/>
    <w:uiPriority w:val="0"/>
    <w:rPr>
      <w:rFonts w:ascii="Times New Roman" w:hAnsi="Times New Roman" w:eastAsia="宋体" w:cs="Times New Roman"/>
      <w:lang w:val="en-US" w:eastAsia="zh-CN" w:bidi="ar-SA"/>
    </w:rPr>
  </w:style>
  <w:style w:type="character" w:customStyle="1" w:styleId="12">
    <w:name w:val="cucd-0 Char Char"/>
    <w:link w:val="13"/>
    <w:qFormat/>
    <w:locked/>
    <w:uiPriority w:val="0"/>
    <w:rPr>
      <w:sz w:val="28"/>
      <w:szCs w:val="28"/>
    </w:rPr>
  </w:style>
  <w:style w:type="paragraph" w:customStyle="1" w:styleId="13">
    <w:name w:val="cucd-0"/>
    <w:basedOn w:val="1"/>
    <w:link w:val="12"/>
    <w:qFormat/>
    <w:uiPriority w:val="0"/>
    <w:pPr>
      <w:widowControl/>
      <w:spacing w:line="360" w:lineRule="auto"/>
      <w:ind w:firstLine="560"/>
      <w:jc w:val="both"/>
    </w:pPr>
    <w:rPr>
      <w:rFonts w:asciiTheme="minorHAnsi" w:hAnsiTheme="minorHAnsi" w:eastAsiaTheme="minorEastAsia" w:cstheme="minorBidi"/>
      <w:kern w:val="2"/>
      <w:sz w:val="28"/>
      <w:szCs w:val="28"/>
    </w:rPr>
  </w:style>
  <w:style w:type="character" w:customStyle="1" w:styleId="14">
    <w:name w:val="批注框文本 Char"/>
    <w:basedOn w:val="6"/>
    <w:link w:val="3"/>
    <w:semiHidden/>
    <w:qFormat/>
    <w:uiPriority w:val="99"/>
    <w:rPr>
      <w:rFonts w:ascii="Times New Roman" w:hAnsi="Times New Roman" w:eastAsia="宋体" w:cs="Times New Roman"/>
      <w:kern w:val="0"/>
      <w:sz w:val="18"/>
      <w:szCs w:val="18"/>
    </w:rPr>
  </w:style>
  <w:style w:type="paragraph" w:customStyle="1" w:styleId="15">
    <w:name w:val="列出段落1"/>
    <w:basedOn w:val="1"/>
    <w:qFormat/>
    <w:uiPriority w:val="34"/>
    <w:pPr>
      <w:ind w:firstLine="420"/>
    </w:pPr>
  </w:style>
  <w:style w:type="character" w:customStyle="1" w:styleId="16">
    <w:name w:val="日期 Char"/>
    <w:basedOn w:val="6"/>
    <w:link w:val="2"/>
    <w:semiHidden/>
    <w:qFormat/>
    <w:uiPriority w:val="99"/>
    <w:rPr>
      <w:rFonts w:ascii="Times New Roman" w:hAnsi="Times New Roman" w:eastAsia="宋体" w:cs="Times New Roman"/>
      <w:kern w:val="0"/>
      <w:sz w:val="20"/>
      <w:szCs w:val="20"/>
    </w:rPr>
  </w:style>
  <w:style w:type="paragraph" w:customStyle="1" w:styleId="17">
    <w:name w:val="Char Char Char Char Char Char Char Char Char Char"/>
    <w:basedOn w:val="1"/>
    <w:uiPriority w:val="0"/>
    <w:pPr>
      <w:widowControl/>
      <w:spacing w:after="160" w:line="240" w:lineRule="exact"/>
      <w:ind w:firstLine="0" w:firstLineChars="0"/>
    </w:pPr>
    <w:rPr>
      <w:rFonts w:ascii="Verdana" w:hAnsi="Verdana"/>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1138</Words>
  <Characters>1139</Characters>
  <Lines>67</Lines>
  <Paragraphs>65</Paragraphs>
  <TotalTime>0</TotalTime>
  <ScaleCrop>false</ScaleCrop>
  <LinksUpToDate>false</LinksUpToDate>
  <CharactersWithSpaces>2212</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2017-10-10T03:23:00Z</dcterms:created>
  <dc:creator>spk1 yyhbj</dc:creator>
  <cp:lastModifiedBy>admin</cp:lastModifiedBy>
  <cp:lastPrinted>2017-11-20T02:35:00Z</cp:lastPrinted>
  <dcterms:modified xsi:type="dcterms:W3CDTF">2017-11-22T05:49:20Z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