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3D" w:rsidRDefault="00C2493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2493D" w:rsidRDefault="00C2493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2493D" w:rsidRDefault="00C2493D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2493D" w:rsidRDefault="00E818FA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岳环评 [2017]</w:t>
      </w:r>
      <w:r w:rsidR="000623A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109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号</w:t>
      </w:r>
    </w:p>
    <w:p w:rsidR="00C2493D" w:rsidRDefault="00E818FA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关于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岳阳景嘉化工</w:t>
      </w: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有限公司</w:t>
      </w:r>
      <w:r>
        <w:rPr>
          <w:rFonts w:asciiTheme="minorEastAsia" w:hAnsiTheme="minorEastAsia" w:cs="_9ed1_4f53" w:hint="eastAsia"/>
          <w:b/>
          <w:bCs/>
          <w:color w:val="000000"/>
          <w:sz w:val="36"/>
          <w:szCs w:val="36"/>
          <w:lang w:eastAsia="zh-CN" w:bidi="ar-SA"/>
        </w:rPr>
        <w:t>年产三万吨五氯丙烷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项</w:t>
      </w:r>
      <w:r>
        <w:rPr>
          <w:rFonts w:ascii="宋体" w:eastAsia="宋体" w:hAnsi="宋体" w:cs="宋体"/>
          <w:b/>
          <w:bCs/>
          <w:color w:val="000000"/>
          <w:sz w:val="36"/>
          <w:szCs w:val="36"/>
          <w:lang w:eastAsia="zh-CN" w:bidi="ar-SA"/>
        </w:rPr>
        <w:t>目</w:t>
      </w: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</w:p>
    <w:p w:rsidR="00C2493D" w:rsidRDefault="00C2493D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_4eff_5b8b_GB2312" w:eastAsia="_4eff_5b8b_GB2312" w:hAnsi="_4eff_5b8b_GB2312" w:cs="_4eff_5b8b_GB2312"/>
          <w:b/>
          <w:bCs/>
          <w:color w:val="000000"/>
          <w:sz w:val="32"/>
          <w:szCs w:val="32"/>
          <w:lang w:eastAsia="zh-CN" w:bidi="ar-SA"/>
        </w:rPr>
      </w:pP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岳阳景嘉化工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有限公司：</w:t>
      </w: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你公司《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岳阳景嘉化工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年产三万吨五氯丙烷项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目环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评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报告书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报批申请函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》、云溪区环保分局的预审意见及有关附件收悉。经研究，批复如下：</w:t>
      </w:r>
    </w:p>
    <w:p w:rsidR="00C2493D" w:rsidRDefault="00E818FA" w:rsidP="006B159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一、</w:t>
      </w:r>
      <w:bookmarkStart w:id="0" w:name="OLE_LINK2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岳阳景嘉化工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拟于</w:t>
      </w:r>
      <w:bookmarkStart w:id="1" w:name="OLE_LINK1"/>
      <w:bookmarkStart w:id="2" w:name="OLE_LINK4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岳阳绿色化工产业园云溪工业园</w:t>
      </w:r>
      <w:bookmarkEnd w:id="1"/>
      <w:bookmarkEnd w:id="2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建设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30000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吨/年五氯丙烷项目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占地面积58626.1m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，总投资22000万元。项目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利用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三氯丙烷、液氯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为主要原料通过两次脱氯、两次氯化、多次精馏得到五氯丙烷。主要建设内容为：新建2栋五氯丙烷生产车间</w:t>
      </w:r>
      <w:r w:rsid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、2000m</w:t>
      </w:r>
      <w:r w:rsidR="006B159A"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 w:rsid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罐区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、综合楼、机修动力车间、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400t/d的污水处理装置、1497.6m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3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应急池、720m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3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初期雨水收集池、废气处理系统以及其他</w:t>
      </w:r>
      <w:r w:rsidRPr="006B159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公用、辅助</w:t>
      </w: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工程</w:t>
      </w:r>
      <w:r w:rsidRPr="006B159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bookmarkEnd w:id="0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项目建设符合国家产业政策，根据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湖南志远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环境咨询服务有限公司编制的《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岳阳景嘉化工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年产三万吨五氯丙烷项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目环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评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报告书环境影响报告书（报批稿）》基本内容、结论、专家评审意见、云溪区环保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局预审意见，从环境保护角度考虑，该项目可行。</w:t>
      </w:r>
    </w:p>
    <w:p w:rsidR="00C2493D" w:rsidRDefault="00E818FA" w:rsidP="006B159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</w:t>
      </w:r>
      <w:r w:rsidRPr="006B159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</w:t>
      </w:r>
      <w:bookmarkStart w:id="3" w:name="OLE_LINK3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、项目应严格按照报告书所列原辅材料种类及数量、生产性质、规模、地点及生产工艺、污防措施进行生产，不得擅自变更或扩大规模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</w:p>
    <w:p w:rsidR="00C2493D" w:rsidRDefault="00E818FA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lastRenderedPageBreak/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、废水污染防治工作。严格按照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雨污分流、清污分流、污污分流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的要求，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规范厂区雨污管网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，确保项目区废水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得到有效收集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。初期雨水、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地面冲洗水、设备清洗水和工艺废水经“微电解+UASB+催化氧化”处理，达到</w:t>
      </w:r>
      <w:r w:rsidR="006B159A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《石油化学工业污染物排放标准》（GB31571-2015）间接排放标准和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云溪污水处理厂接纳标准后，排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云溪区污水处理厂。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生活污水经化粪池处理后排入园区污水管网，进入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云溪区污水处理厂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处理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</w:p>
    <w:p w:rsidR="00C2493D" w:rsidRDefault="00E818FA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按照分区防控的原则落实报告书提出地下水污染防治措施，做好生产区、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污水池、储罐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区等区域的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 w:rsidR="00C2493D" w:rsidRDefault="00E818F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3、废气污染防治工作。严格控制项目VOCs的污染，采用密闭生产装置，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储罐采用氮气密封，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加强生产和储运过程日常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管理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，定期对机泵、阀门、法兰等进行维护，杜绝跑、冒、滴、漏，最大限度减少生产过程中的废气无组织排放。项目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生产中产生的不凝气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采用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强制冷凝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+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紫外光催化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+活性炭吸附处理，VOCs满足《工业企业挥发性有机物排放控制标准》（DB12/524-2014）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要求后经15m排气筒排放</w:t>
      </w:r>
      <w:r w:rsidR="006B159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；</w:t>
      </w:r>
      <w:r w:rsid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酸性尾气</w:t>
      </w:r>
      <w:r w:rsidR="006B159A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采用</w:t>
      </w:r>
      <w:r w:rsid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碱液喷淋吸收处理后，氯化氢、氯气满足</w:t>
      </w:r>
      <w:r w:rsidR="006B159A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《石油化学工业污染物排放标准》（GB31571-2015）大气污染物排放限值后，通过同一根</w:t>
      </w:r>
      <w:r w:rsidR="006B159A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15m排气筒排放。</w:t>
      </w: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4、噪声污染防治工作。采用低噪声设备，对产生噪声的设备和工序进行合理布局，对主要的声源设备泵、各类风机等采取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隔声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、减震等措施，确保厂界噪声达到《工业企业厂界环境噪声排放标准》(GB12348-2008)中的3类标准要求。</w:t>
      </w:r>
    </w:p>
    <w:p w:rsidR="00C2493D" w:rsidRDefault="00E818F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5、固体废物防治工作。按“无害化、减量化、资源化”原则，做好固体废物的分类收集和综合利用，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完善固体废物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lastRenderedPageBreak/>
        <w:t>产生、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贮存、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处置管理台账；按照《危险废物贮存污染控制标准》（GB18597-2001）及其修改单中相关要求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建设危险废物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暂存间，做好“防渗、防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腐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、防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漏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”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工作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。生产过程中产生的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废盐酸、精馏高沸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废矿物油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、废活性炭属于危险废物，交有资质单位处置，并做好转移联单工作；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精馏残液脱盐产生的盐渣为一般固体废物，按照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一般工业固体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废物贮存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、处置场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污染控制标准》（GB1859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9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-2001）及其修改单中相关要求</w:t>
      </w:r>
      <w:r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进行贮存，外售循环利用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。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生活垃圾交由环卫部门统一收集处理。</w:t>
      </w:r>
    </w:p>
    <w:p w:rsidR="00C2493D" w:rsidRPr="00A2391E" w:rsidRDefault="00E818F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sz w:val="32"/>
          <w:szCs w:val="32"/>
          <w:lang w:eastAsia="zh-CN" w:bidi="ar-SA"/>
        </w:rPr>
      </w:pP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6、本项目以储罐区边界和生产车间边界外</w:t>
      </w:r>
      <w:r w:rsidR="006B159A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5</w:t>
      </w: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0m的范围为</w:t>
      </w:r>
      <w:r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环境</w:t>
      </w: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防护距离，防护距离范围内禁止新建学校、医院、集中居民区等环境敏感点。</w:t>
      </w: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 xml:space="preserve">    7、加强营运期风险防范。落实</w:t>
      </w:r>
      <w:r w:rsidR="006B159A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安全</w:t>
      </w:r>
      <w:r w:rsidR="006B159A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预评价的各项风险防范措施；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加强生产系统和环保设备维护和管理；注重各类危险化学品运输、储存和管理；</w:t>
      </w:r>
      <w:r w:rsidR="00A2391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液氯、盐酸等危化品不得超规模贮存；</w:t>
      </w:r>
      <w:r w:rsidR="00A2391E" w:rsidRPr="00346825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卧式</w:t>
      </w:r>
      <w:r w:rsidR="00A2391E" w:rsidRPr="00346825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储罐区设置0.6m高，有效容积238m</w:t>
      </w:r>
      <w:r w:rsidR="00A2391E" w:rsidRPr="00346825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  <w:lang w:eastAsia="zh-CN"/>
        </w:rPr>
        <w:t>3</w:t>
      </w:r>
      <w:r w:rsidR="00A2391E" w:rsidRPr="00346825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的围堰；产品储罐区设置1.2米高，有效容积3740m</w:t>
      </w:r>
      <w:r w:rsidR="00A2391E" w:rsidRPr="00346825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  <w:lang w:eastAsia="zh-CN"/>
        </w:rPr>
        <w:t>3</w:t>
      </w:r>
      <w:r w:rsidR="00A2391E" w:rsidRPr="00346825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的围堰；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完善厂区生产车间周边污水收集系统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，事故废水、消防废水汇入厂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1497.6m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3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事故应急池暂存；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严格按照《突发环境事件应急管理办法》建立风险事故应急预案，储备风险救助物资并组织演练，杜绝环境风险事故发生。</w:t>
      </w:r>
    </w:p>
    <w:p w:rsidR="00C2493D" w:rsidRDefault="00E818FA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8、加强环境管理，建立健全污染防治设施运行管理台帐，设专门的环保机构及环保人员，确保各项污染防治设施的正常运行，各类污染物稳定达标排放。</w:t>
      </w:r>
    </w:p>
    <w:p w:rsidR="00A2391E" w:rsidRPr="00A2391E" w:rsidRDefault="00E818FA" w:rsidP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sz w:val="32"/>
          <w:szCs w:val="32"/>
          <w:lang w:eastAsia="zh-CN" w:bidi="ar-SA"/>
        </w:rPr>
      </w:pP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 xml:space="preserve"> 9、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本项目</w:t>
      </w:r>
      <w:r w:rsidR="00A2391E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总量控制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指标为</w:t>
      </w:r>
      <w:r w:rsidR="00A2391E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：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COD≤</w:t>
      </w:r>
      <w:r w:rsidR="00A2391E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7.9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t/a，</w:t>
      </w:r>
      <w:r w:rsidR="00A2391E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通过交易获得；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VOCs≤</w:t>
      </w:r>
      <w:r w:rsidR="00A2391E"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0.6</w:t>
      </w:r>
      <w:r w:rsidR="00A2391E"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t/a。</w:t>
      </w:r>
    </w:p>
    <w:bookmarkEnd w:id="3"/>
    <w:p w:rsidR="00C2493D" w:rsidRPr="00A2391E" w:rsidRDefault="00E818FA" w:rsidP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sz w:val="32"/>
          <w:szCs w:val="32"/>
          <w:lang w:eastAsia="zh-CN" w:bidi="ar-SA"/>
        </w:rPr>
      </w:pPr>
      <w:r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三、你公司应收到本批复后</w:t>
      </w: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15</w:t>
      </w:r>
      <w:r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个工作日内，将批复及批准的环评报告文件送云溪区环保分局、</w:t>
      </w: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湖南岳阳绿色化工产业园管委会、</w:t>
      </w:r>
      <w:r w:rsidRPr="00A2391E">
        <w:rPr>
          <w:rFonts w:ascii="仿宋" w:eastAsia="仿宋" w:hAnsi="仿宋" w:cs="_4eff_5b8b_GB2312" w:hint="eastAsia"/>
          <w:sz w:val="32"/>
          <w:szCs w:val="32"/>
          <w:lang w:eastAsia="zh-CN" w:bidi="ar-SA"/>
        </w:rPr>
        <w:t>湖南志远</w:t>
      </w:r>
      <w:r w:rsidRPr="00A2391E">
        <w:rPr>
          <w:rFonts w:ascii="仿宋" w:eastAsia="仿宋" w:hAnsi="仿宋" w:cs="_4eff_5b8b_GB2312"/>
          <w:sz w:val="32"/>
          <w:szCs w:val="32"/>
          <w:lang w:eastAsia="zh-CN" w:bidi="ar-SA"/>
        </w:rPr>
        <w:t>环境咨询服务有限公司。</w:t>
      </w:r>
    </w:p>
    <w:p w:rsidR="00C2493D" w:rsidRDefault="00E818FA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lastRenderedPageBreak/>
        <w:t>四、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请云溪区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环保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分局负责项目建设和运营期的日常环境监管。</w:t>
      </w:r>
    </w:p>
    <w:p w:rsidR="00A2391E" w:rsidRDefault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2391E" w:rsidRDefault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2391E" w:rsidRDefault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2391E" w:rsidRDefault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2391E" w:rsidRDefault="00A2391E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C2493D" w:rsidRDefault="00E818FA" w:rsidP="00A2391E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bookmarkStart w:id="4" w:name="_GoBack"/>
      <w:bookmarkEnd w:id="4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C2493D" w:rsidRDefault="00E818FA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 2017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12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A2391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26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8707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522"/>
      </w:tblGrid>
      <w:tr w:rsidR="00A2391E" w:rsidTr="00A2391E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391E" w:rsidRDefault="00A2391E" w:rsidP="00A2391E">
            <w:pPr>
              <w:shd w:val="clear" w:color="auto" w:fill="FFFFFF"/>
              <w:spacing w:line="460" w:lineRule="exact"/>
              <w:ind w:firstLine="645"/>
              <w:jc w:val="both"/>
              <w:rPr>
                <w:rFonts w:ascii="仿宋" w:eastAsia="仿宋" w:hAnsi="仿宋" w:cs="宋体"/>
                <w:sz w:val="24"/>
                <w:szCs w:val="24"/>
                <w:lang w:eastAsia="zh-CN" w:bidi="ar-SA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 xml:space="preserve"> 云溪区环保分局</w:t>
            </w: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、湖南岳阳绿色化工产业园管委会、</w:t>
            </w:r>
            <w:r>
              <w:rPr>
                <w:rFonts w:ascii="仿宋" w:eastAsia="仿宋" w:hAnsi="仿宋" w:cs="_4eff_5b8b_GB2312" w:hint="eastAsia"/>
                <w:bCs/>
                <w:color w:val="000000"/>
                <w:sz w:val="32"/>
                <w:szCs w:val="32"/>
                <w:lang w:eastAsia="zh-CN" w:bidi="ar-SA"/>
              </w:rPr>
              <w:t>湖南志远</w:t>
            </w: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环境咨询服务有限公司</w:t>
            </w:r>
          </w:p>
        </w:tc>
      </w:tr>
    </w:tbl>
    <w:p w:rsidR="00C2493D" w:rsidRPr="00A2391E" w:rsidRDefault="00C2493D">
      <w:pPr>
        <w:rPr>
          <w:rFonts w:ascii="仿宋" w:eastAsia="仿宋" w:hAnsi="仿宋"/>
          <w:lang w:eastAsia="zh-CN"/>
        </w:rPr>
      </w:pPr>
    </w:p>
    <w:sectPr w:rsidR="00C2493D" w:rsidRPr="00A2391E" w:rsidSect="00C249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96" w:rsidRDefault="00D12F96" w:rsidP="00A2391E">
      <w:r>
        <w:separator/>
      </w:r>
    </w:p>
  </w:endnote>
  <w:endnote w:type="continuationSeparator" w:id="1">
    <w:p w:rsidR="00D12F96" w:rsidRDefault="00D12F96" w:rsidP="00A2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72876"/>
      <w:docPartObj>
        <w:docPartGallery w:val="Page Numbers (Bottom of Page)"/>
        <w:docPartUnique/>
      </w:docPartObj>
    </w:sdtPr>
    <w:sdtContent>
      <w:p w:rsidR="00A2391E" w:rsidRDefault="00CF207C">
        <w:pPr>
          <w:pStyle w:val="a4"/>
          <w:jc w:val="center"/>
        </w:pPr>
        <w:fldSimple w:instr=" PAGE   \* MERGEFORMAT ">
          <w:r w:rsidR="000623AA" w:rsidRPr="000623AA">
            <w:rPr>
              <w:noProof/>
              <w:lang w:val="zh-CN"/>
            </w:rPr>
            <w:t>1</w:t>
          </w:r>
        </w:fldSimple>
      </w:p>
    </w:sdtContent>
  </w:sdt>
  <w:p w:rsidR="00A2391E" w:rsidRDefault="00A239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96" w:rsidRDefault="00D12F96" w:rsidP="00A2391E">
      <w:r>
        <w:separator/>
      </w:r>
    </w:p>
  </w:footnote>
  <w:footnote w:type="continuationSeparator" w:id="1">
    <w:p w:rsidR="00D12F96" w:rsidRDefault="00D12F96" w:rsidP="00A23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4"/>
    <w:rsid w:val="000623AA"/>
    <w:rsid w:val="000E2C04"/>
    <w:rsid w:val="00165716"/>
    <w:rsid w:val="002627D1"/>
    <w:rsid w:val="00397AE5"/>
    <w:rsid w:val="003B348D"/>
    <w:rsid w:val="0040197C"/>
    <w:rsid w:val="004344B5"/>
    <w:rsid w:val="004C0F14"/>
    <w:rsid w:val="00585EDF"/>
    <w:rsid w:val="00586B15"/>
    <w:rsid w:val="005F5020"/>
    <w:rsid w:val="00647D91"/>
    <w:rsid w:val="006B159A"/>
    <w:rsid w:val="007356CC"/>
    <w:rsid w:val="00741441"/>
    <w:rsid w:val="00795525"/>
    <w:rsid w:val="00802B3E"/>
    <w:rsid w:val="00855E02"/>
    <w:rsid w:val="00867BAC"/>
    <w:rsid w:val="00984A09"/>
    <w:rsid w:val="00992BA8"/>
    <w:rsid w:val="009969AD"/>
    <w:rsid w:val="009E277A"/>
    <w:rsid w:val="00A07B66"/>
    <w:rsid w:val="00A2391E"/>
    <w:rsid w:val="00A31FF1"/>
    <w:rsid w:val="00AB0957"/>
    <w:rsid w:val="00AE4641"/>
    <w:rsid w:val="00B54252"/>
    <w:rsid w:val="00C2493D"/>
    <w:rsid w:val="00C2530A"/>
    <w:rsid w:val="00C2693F"/>
    <w:rsid w:val="00C373A0"/>
    <w:rsid w:val="00C53C97"/>
    <w:rsid w:val="00C62628"/>
    <w:rsid w:val="00CF207C"/>
    <w:rsid w:val="00D12F96"/>
    <w:rsid w:val="00D211E0"/>
    <w:rsid w:val="00D54856"/>
    <w:rsid w:val="00DF4DCF"/>
    <w:rsid w:val="00E353BA"/>
    <w:rsid w:val="00E818FA"/>
    <w:rsid w:val="00E8473E"/>
    <w:rsid w:val="00EC6161"/>
    <w:rsid w:val="00F115EC"/>
    <w:rsid w:val="00F35745"/>
    <w:rsid w:val="00F37B75"/>
    <w:rsid w:val="00FC0D55"/>
    <w:rsid w:val="00FE1C66"/>
    <w:rsid w:val="38D6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3D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C249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49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49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49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C249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C249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C249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C249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C249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2493D"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C249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C2493D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C249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8">
    <w:name w:val="Strong"/>
    <w:basedOn w:val="a0"/>
    <w:uiPriority w:val="22"/>
    <w:qFormat/>
    <w:rsid w:val="00C2493D"/>
    <w:rPr>
      <w:b/>
      <w:bCs/>
      <w:spacing w:val="0"/>
    </w:rPr>
  </w:style>
  <w:style w:type="character" w:styleId="a9">
    <w:name w:val="Emphasis"/>
    <w:uiPriority w:val="20"/>
    <w:qFormat/>
    <w:rsid w:val="00C2493D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qFormat/>
    <w:rsid w:val="00C249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249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249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C249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249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C249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249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C249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C249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rsid w:val="00C249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rsid w:val="00C2493D"/>
    <w:rPr>
      <w:rFonts w:asciiTheme="minorHAnsi"/>
      <w:i/>
      <w:iCs/>
      <w:sz w:val="24"/>
      <w:szCs w:val="24"/>
    </w:rPr>
  </w:style>
  <w:style w:type="paragraph" w:styleId="aa">
    <w:name w:val="No Spacing"/>
    <w:basedOn w:val="a"/>
    <w:link w:val="Char3"/>
    <w:uiPriority w:val="1"/>
    <w:qFormat/>
    <w:rsid w:val="00C2493D"/>
    <w:pPr>
      <w:ind w:firstLine="0"/>
    </w:pPr>
  </w:style>
  <w:style w:type="character" w:customStyle="1" w:styleId="Char3">
    <w:name w:val="无间隔 Char"/>
    <w:basedOn w:val="a0"/>
    <w:link w:val="aa"/>
    <w:uiPriority w:val="1"/>
    <w:qFormat/>
    <w:rsid w:val="00C2493D"/>
  </w:style>
  <w:style w:type="paragraph" w:styleId="ab">
    <w:name w:val="List Paragraph"/>
    <w:basedOn w:val="a"/>
    <w:uiPriority w:val="34"/>
    <w:qFormat/>
    <w:rsid w:val="00C2493D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C249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qFormat/>
    <w:rsid w:val="00C249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C249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rsid w:val="00C249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C2493D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C2493D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C2493D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C2493D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C249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C2493D"/>
    <w:pPr>
      <w:outlineLvl w:val="9"/>
    </w:pPr>
  </w:style>
  <w:style w:type="paragraph" w:customStyle="1" w:styleId="style10">
    <w:name w:val="style10"/>
    <w:basedOn w:val="a"/>
    <w:rsid w:val="00C2493D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tyle9">
    <w:name w:val="style9"/>
    <w:basedOn w:val="a"/>
    <w:rsid w:val="00C2493D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Char0">
    <w:name w:val="页眉 Char"/>
    <w:basedOn w:val="a0"/>
    <w:link w:val="a5"/>
    <w:uiPriority w:val="99"/>
    <w:semiHidden/>
    <w:rsid w:val="00C2493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249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1091</Words>
  <Characters>1091</Characters>
  <Application>Microsoft Office Word</Application>
  <DocSecurity>0</DocSecurity>
  <Lines>77</Lines>
  <Paragraphs>145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2017-09-14T00:28:00Z</cp:lastPrinted>
  <dcterms:created xsi:type="dcterms:W3CDTF">2017-12-06T08:56:00Z</dcterms:created>
  <dcterms:modified xsi:type="dcterms:W3CDTF">2017-12-20T08:58:00Z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