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46" w:rsidRDefault="00F65F46">
      <w:pPr>
        <w:spacing w:line="480" w:lineRule="exact"/>
        <w:jc w:val="right"/>
        <w:rPr>
          <w:rFonts w:ascii="仿宋" w:eastAsia="仿宋" w:hAnsi="仿宋"/>
          <w:sz w:val="32"/>
          <w:szCs w:val="32"/>
        </w:rPr>
      </w:pPr>
    </w:p>
    <w:p w:rsidR="00F65F46" w:rsidRDefault="00F65F46">
      <w:pPr>
        <w:spacing w:line="480" w:lineRule="exact"/>
        <w:jc w:val="right"/>
        <w:rPr>
          <w:rFonts w:ascii="仿宋" w:eastAsia="仿宋" w:hAnsi="仿宋"/>
          <w:sz w:val="32"/>
          <w:szCs w:val="32"/>
        </w:rPr>
      </w:pPr>
    </w:p>
    <w:p w:rsidR="00F65F46" w:rsidRDefault="00F65F46">
      <w:pPr>
        <w:spacing w:line="480" w:lineRule="exact"/>
        <w:jc w:val="right"/>
        <w:rPr>
          <w:rFonts w:ascii="仿宋" w:eastAsia="仿宋" w:hAnsi="仿宋"/>
          <w:sz w:val="32"/>
          <w:szCs w:val="32"/>
        </w:rPr>
      </w:pPr>
    </w:p>
    <w:p w:rsidR="00F65F46" w:rsidRDefault="00F65F46">
      <w:pPr>
        <w:spacing w:line="480" w:lineRule="exact"/>
        <w:jc w:val="right"/>
        <w:rPr>
          <w:rFonts w:ascii="仿宋" w:eastAsia="仿宋" w:hAnsi="仿宋"/>
          <w:sz w:val="32"/>
          <w:szCs w:val="32"/>
        </w:rPr>
      </w:pPr>
    </w:p>
    <w:p w:rsidR="00F65F46" w:rsidRDefault="00F65F46">
      <w:pPr>
        <w:spacing w:line="480" w:lineRule="exact"/>
        <w:jc w:val="right"/>
        <w:rPr>
          <w:rFonts w:ascii="仿宋" w:eastAsia="仿宋" w:hAnsi="仿宋"/>
          <w:sz w:val="32"/>
          <w:szCs w:val="32"/>
        </w:rPr>
      </w:pPr>
    </w:p>
    <w:p w:rsidR="00F65F46" w:rsidRDefault="00C33E27">
      <w:pPr>
        <w:spacing w:line="440" w:lineRule="exact"/>
        <w:jc w:val="right"/>
        <w:rPr>
          <w:rFonts w:ascii="仿宋" w:eastAsia="仿宋" w:hAnsi="仿宋"/>
          <w:sz w:val="32"/>
          <w:szCs w:val="32"/>
        </w:rPr>
      </w:pPr>
      <w:r>
        <w:rPr>
          <w:rFonts w:ascii="仿宋" w:eastAsia="仿宋" w:hAnsi="仿宋" w:hint="eastAsia"/>
          <w:sz w:val="32"/>
          <w:szCs w:val="32"/>
        </w:rPr>
        <w:t>岳环评 [2019]</w:t>
      </w:r>
      <w:r w:rsidR="006E6002">
        <w:rPr>
          <w:rFonts w:ascii="仿宋" w:eastAsia="仿宋" w:hAnsi="仿宋" w:hint="eastAsia"/>
          <w:sz w:val="32"/>
          <w:szCs w:val="32"/>
        </w:rPr>
        <w:t>50</w:t>
      </w:r>
      <w:r>
        <w:rPr>
          <w:rFonts w:ascii="仿宋" w:eastAsia="仿宋" w:hAnsi="仿宋" w:hint="eastAsia"/>
          <w:sz w:val="32"/>
          <w:szCs w:val="32"/>
        </w:rPr>
        <w:t>号</w:t>
      </w:r>
    </w:p>
    <w:p w:rsidR="00F65F46" w:rsidRDefault="00C33E27">
      <w:pPr>
        <w:spacing w:line="360" w:lineRule="auto"/>
        <w:jc w:val="center"/>
        <w:rPr>
          <w:rFonts w:ascii="黑体" w:eastAsia="黑体" w:hAnsi="黑体" w:cs="黑体"/>
          <w:b/>
          <w:sz w:val="36"/>
          <w:szCs w:val="36"/>
        </w:rPr>
      </w:pPr>
      <w:bookmarkStart w:id="0" w:name="OLE_LINK1"/>
      <w:r>
        <w:rPr>
          <w:rFonts w:ascii="黑体" w:eastAsia="黑体" w:hAnsi="黑体" w:cs="黑体" w:hint="eastAsia"/>
          <w:b/>
          <w:sz w:val="36"/>
          <w:szCs w:val="36"/>
        </w:rPr>
        <w:t>关于湖南金域新材料有限公司22000t/a抗氧化剂生产项目环境影响报告书的批复</w:t>
      </w:r>
      <w:bookmarkEnd w:id="0"/>
    </w:p>
    <w:p w:rsidR="00F65F46" w:rsidRDefault="00F65F46">
      <w:pPr>
        <w:spacing w:line="360" w:lineRule="auto"/>
        <w:jc w:val="center"/>
        <w:rPr>
          <w:rFonts w:ascii="黑体" w:eastAsia="黑体" w:hAnsi="黑体" w:cs="黑体"/>
          <w:b/>
          <w:sz w:val="36"/>
          <w:szCs w:val="36"/>
        </w:rPr>
      </w:pPr>
    </w:p>
    <w:p w:rsidR="00F65F46" w:rsidRDefault="00C33E27">
      <w:pPr>
        <w:pStyle w:val="a5"/>
        <w:widowControl/>
        <w:spacing w:line="500" w:lineRule="exact"/>
        <w:ind w:firstLineChars="0" w:firstLine="0"/>
        <w:jc w:val="left"/>
        <w:rPr>
          <w:rFonts w:ascii="仿宋" w:eastAsia="仿宋" w:hAnsi="仿宋" w:cs="仿宋"/>
          <w:sz w:val="32"/>
          <w:szCs w:val="32"/>
        </w:rPr>
      </w:pPr>
      <w:r>
        <w:rPr>
          <w:rFonts w:ascii="仿宋" w:eastAsia="仿宋" w:hAnsi="仿宋" w:cs="仿宋" w:hint="eastAsia"/>
          <w:sz w:val="32"/>
          <w:szCs w:val="32"/>
        </w:rPr>
        <w:t>湖南金域新材料有限公司：</w:t>
      </w:r>
    </w:p>
    <w:p w:rsidR="00F65F46" w:rsidRDefault="00C33E27" w:rsidP="007C232D">
      <w:pPr>
        <w:pStyle w:val="a5"/>
        <w:widowControl/>
        <w:spacing w:line="500" w:lineRule="exact"/>
        <w:ind w:firstLine="640"/>
        <w:rPr>
          <w:rFonts w:ascii="仿宋" w:eastAsia="仿宋" w:hAnsi="仿宋" w:cs="仿宋"/>
          <w:sz w:val="32"/>
          <w:szCs w:val="32"/>
        </w:rPr>
      </w:pPr>
      <w:r>
        <w:rPr>
          <w:rFonts w:ascii="仿宋" w:eastAsia="仿宋" w:hAnsi="仿宋" w:cs="仿宋" w:hint="eastAsia"/>
          <w:sz w:val="32"/>
          <w:szCs w:val="32"/>
        </w:rPr>
        <w:t>你公司《关于申请&lt;22000t/a抗氧化剂生产项目环境影响报告书&gt;环评批复的报告》、云溪区环保分局预审意见及有关附件收悉。经研究，批复如下：</w:t>
      </w:r>
    </w:p>
    <w:p w:rsidR="00F65F46" w:rsidRDefault="00C33E27" w:rsidP="007C232D">
      <w:pPr>
        <w:pStyle w:val="a5"/>
        <w:widowControl/>
        <w:spacing w:line="500" w:lineRule="exact"/>
        <w:ind w:firstLine="640"/>
        <w:rPr>
          <w:rFonts w:ascii="仿宋" w:eastAsia="仿宋" w:hAnsi="仿宋" w:cs="仿宋"/>
          <w:sz w:val="32"/>
          <w:szCs w:val="32"/>
        </w:rPr>
      </w:pPr>
      <w:r>
        <w:rPr>
          <w:rFonts w:ascii="仿宋" w:eastAsia="仿宋" w:hAnsi="仿宋" w:cs="仿宋" w:hint="eastAsia"/>
          <w:sz w:val="32"/>
          <w:szCs w:val="32"/>
        </w:rPr>
        <w:t>一、</w:t>
      </w:r>
      <w:bookmarkStart w:id="1" w:name="OLE_LINK6"/>
      <w:r>
        <w:rPr>
          <w:rFonts w:ascii="仿宋" w:eastAsia="仿宋" w:hAnsi="仿宋" w:cs="仿宋" w:hint="eastAsia"/>
          <w:sz w:val="32"/>
          <w:szCs w:val="32"/>
        </w:rPr>
        <w:t>湖南金域新材料有限公司拟投资20000万元在湖南岳阳绿色化工产业园内建设22000t/a抗氧化剂生产项目，项目建成后能达到年产2000t抗氧剂JY-1135（3,5-二叔丁基-4-羟基苯丙酸异辛酯）、3000t抗氧剂JY-DBM（二苯甲酰甲烷）、2000t 抗氧剂JY-SBM（硬脂酰苯甲酰甲烷）、5000t抗氧剂JY-1010（四β-（3,5-二叔丁基-4-羟基苯基丙酸）-季戊四醇酯）、5000t抗氧剂JY-168（三（2,4-二叔丁基苯酚）-亚磷酸酯）、5000t抗氧剂JY-1076（3,5-二叔丁基-4-羟基苯基丙酸十八碳醇酯）。主要建设内容为：装置区、甲类仓库、储罐区、产品仓库、固废暂存间、辅助建设食堂、综合楼，并配套建设消防、环保、给排水、供气、冷却等设施。主要原料和生产工艺为：1、以3,5-甲酯、异辛醇为原料，经中和、洗涤、分液、蒸发、过滤等工序得到JY-1135产品；2、以苯甲酸、甲醇、苯乙酮为原料，经常压反应、酸化、中和、过滤、蒸馏、结晶、干燥等工序，</w:t>
      </w:r>
      <w:r>
        <w:rPr>
          <w:rFonts w:ascii="仿宋" w:eastAsia="仿宋" w:hAnsi="仿宋" w:cs="仿宋" w:hint="eastAsia"/>
          <w:sz w:val="32"/>
          <w:szCs w:val="32"/>
        </w:rPr>
        <w:lastRenderedPageBreak/>
        <w:t>得到JY-DBM产品、甲醇、硫酸钠、苯甲酸钠、高沸点重组分；3、</w:t>
      </w:r>
      <w:r>
        <w:rPr>
          <w:rFonts w:ascii="仿宋" w:eastAsia="仿宋" w:hAnsi="仿宋" w:cs="仿宋" w:hint="eastAsia"/>
          <w:sz w:val="32"/>
          <w:szCs w:val="32"/>
          <w:lang w:val="zh-CN"/>
        </w:rPr>
        <w:t>以硬脂酸、甲醇、苯乙酮为原料，通过常压酯化反应、</w:t>
      </w:r>
      <w:r>
        <w:rPr>
          <w:rFonts w:ascii="仿宋" w:eastAsia="仿宋" w:hAnsi="仿宋" w:cs="仿宋" w:hint="eastAsia"/>
          <w:sz w:val="32"/>
          <w:szCs w:val="32"/>
        </w:rPr>
        <w:t>酸化、洗涤、蒸馏、结晶、离心、干燥等工序，得到JY-SBM产品、甲醇、高沸点重组分；4、以2,6-酚、甲醇、丙烯酸甲酯和季戊四醇为原料，通过反应、结晶、离心、干燥等工序后得到JY-1010产品和甲醇；5、以2，6-二叔丁基苯酚、丙烯酸甲酯、十八醇为原料，通过反应、结晶、离心、干燥后得到JY-1076产品和甲醇；6、以2，4-二叔丁基苯酚、三氯化磷和二甲苯为原料，通过反应、结晶、离心、干燥等工序得到JY-168产品和盐酸。</w:t>
      </w:r>
      <w:bookmarkEnd w:id="1"/>
      <w:r>
        <w:rPr>
          <w:rFonts w:ascii="仿宋" w:eastAsia="仿宋" w:hAnsi="仿宋" w:cs="仿宋" w:hint="eastAsia"/>
          <w:sz w:val="32"/>
          <w:szCs w:val="32"/>
        </w:rPr>
        <w:t>项目建设符合国家产业政策，根据湖南润美环保科技有限公司编制的《湖南金域新材料有限公司22000t/a抗氧化剂生产项目环境影响报告书（报批稿）》基本内容、结论、专家评审意见和云溪区环保分局预审意见，综合考虑，我局原则同意你公司环境影响报告书中所列建设项目的性质、规模、工艺、地点和环境保护对策措施。</w:t>
      </w: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二、项目建设和营运必须全面落实专家及环境影响报告书中提出的各项污染防治措施，并应着重注意以下问题：</w:t>
      </w:r>
    </w:p>
    <w:p w:rsidR="00F65F46" w:rsidRDefault="00C33E27">
      <w:pPr>
        <w:spacing w:line="500" w:lineRule="exact"/>
        <w:ind w:firstLineChars="200" w:firstLine="640"/>
        <w:rPr>
          <w:rFonts w:ascii="仿宋" w:eastAsia="仿宋" w:hAnsi="仿宋" w:cs="仿宋"/>
          <w:sz w:val="32"/>
          <w:szCs w:val="32"/>
        </w:rPr>
      </w:pPr>
      <w:bookmarkStart w:id="2" w:name="OLE_LINK7"/>
      <w:r>
        <w:rPr>
          <w:rFonts w:ascii="仿宋" w:eastAsia="仿宋" w:hAnsi="仿宋" w:cs="仿宋" w:hint="eastAsia"/>
          <w:sz w:val="32"/>
          <w:szCs w:val="32"/>
        </w:rPr>
        <w:t>1、切实做好施工期环境保护工作。尽量缩短施工期，合理安排高噪声设备的作业时间，施工期间的场界噪声须满足《建设施工场界环境噪声排放标准》（GB12523-2011）相关标准要求；使用商品混凝土，采取洒水、篷布覆盖和设置防尘围挡等防尘措施，减少物料装卸、运输、堆放等过程中产生的粉尘对环境污染；加强施工机械和设备管理及维护，减少对环境的影响；建筑垃圾、废弃建筑材料送到指定地点合理处置；施工废水经沉淀处理循环使用，不外排。</w:t>
      </w: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2、废气污染防治工作。项目应采用密闭生产装置，加强对机泵、阀门、法兰等易发生泄漏的设备与管线组件的日常监管</w:t>
      </w:r>
      <w:r>
        <w:rPr>
          <w:rFonts w:ascii="仿宋" w:eastAsia="仿宋" w:hAnsi="仿宋" w:cs="仿宋" w:hint="eastAsia"/>
          <w:sz w:val="32"/>
          <w:szCs w:val="32"/>
        </w:rPr>
        <w:lastRenderedPageBreak/>
        <w:t>和维护，定期检测，及时修复，杜绝贮存及生产过程中的跑、冒、滴、漏，最大限度减少生产过程中的废气无组织排放，厂界颗粒物、氯化氢、二甲苯满足《石油化学工业污染物排放标准》（GB31571-2015）表7企业边界大气污染物浓度限值。甲醇满足《大气污染物综合物排放标准》（GB 16297-1996）表2无组织排放监控浓度限值。VOCs满足《工业企业挥发性有机物排放控制标准》（DB12/524-2014）中表5厂界监控点其他行业浓度限值；氨、硫化氢、臭气浓度满足《恶臭污染物排放标准》（</w:t>
      </w:r>
      <w:r>
        <w:rPr>
          <w:rFonts w:ascii="仿宋" w:eastAsia="仿宋" w:hAnsi="仿宋" w:cs="Times New Roman" w:hint="eastAsia"/>
          <w:sz w:val="32"/>
          <w:szCs w:val="32"/>
        </w:rPr>
        <w:t>GB14554-93）厂界标准值</w:t>
      </w:r>
      <w:r>
        <w:rPr>
          <w:rFonts w:ascii="仿宋" w:eastAsia="仿宋" w:hAnsi="仿宋" w:cs="仿宋" w:hint="eastAsia"/>
          <w:sz w:val="32"/>
          <w:szCs w:val="32"/>
        </w:rPr>
        <w:t>。项目生产工程中的工艺废气、管道收集的储罐呼吸损耗废气和污水处理系统收集的废气经处理，硫化氢满足《石油化学工业污染物排放标准》（GB31571-2015）表4相关标准限值，甲醇和二甲苯应满足《石油化学工业污染物排放标准》（GB31571-2015）表6相关标准限值，VOCs满足天津市《工业企业挥发性有机物排放控制标准》（DB12/524-2014）表2石油化学相应排气筒高度标准限值，氨和硫化氢应满足《恶臭污染物排放标准》（</w:t>
      </w:r>
      <w:r>
        <w:rPr>
          <w:rFonts w:ascii="仿宋" w:eastAsia="仿宋" w:hAnsi="仿宋" w:cs="Times New Roman" w:hint="eastAsia"/>
          <w:sz w:val="32"/>
          <w:szCs w:val="32"/>
        </w:rPr>
        <w:t>GB14554-93）</w:t>
      </w:r>
      <w:r>
        <w:rPr>
          <w:rFonts w:ascii="仿宋" w:eastAsia="仿宋" w:hAnsi="仿宋" w:cs="仿宋" w:hint="eastAsia"/>
          <w:sz w:val="32"/>
          <w:szCs w:val="32"/>
        </w:rPr>
        <w:t>要求后，通过25m高1#排气筒排放；导热油炉燃烧废气经处理，二氧化硫和氮氧化物满足《锅炉大气污染物排放标准》（GB13271-2014）表3大气污染物特别排放限值后，通过15m高2#排气筒排放；包装工序产生的废气经处理，颗粒物要求达到《大气污染物综合物排放标准》（GB 16297-1996）表2二级标准后，通过15m高3#排气筒排放；食堂油烟经油烟净化器处理，满足《饮食业油烟排放标准》（GB18483-2001）要求后，通过专用烟道</w:t>
      </w:r>
      <w:r w:rsidR="00B12CB0">
        <w:rPr>
          <w:rFonts w:ascii="仿宋" w:eastAsia="仿宋" w:hAnsi="仿宋" w:cs="仿宋" w:hint="eastAsia"/>
          <w:sz w:val="32"/>
          <w:szCs w:val="32"/>
        </w:rPr>
        <w:t>规范</w:t>
      </w:r>
      <w:r>
        <w:rPr>
          <w:rFonts w:ascii="仿宋" w:eastAsia="仿宋" w:hAnsi="仿宋" w:cs="仿宋" w:hint="eastAsia"/>
          <w:sz w:val="32"/>
          <w:szCs w:val="32"/>
        </w:rPr>
        <w:t>排放。</w:t>
      </w: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3、废水污染防治工作。严格按照“雨污分流、清污分流、污污分流”的原则规范建设厂区内雨水及污水管网，纯水制备排浓水、生产工艺废水、废气处理装置吸收废水、设备清洗和地面清洗废水、初期雨水和蒸汽冷凝水经厂区污水处理系统处</w:t>
      </w:r>
      <w:r>
        <w:rPr>
          <w:rFonts w:ascii="仿宋" w:eastAsia="仿宋" w:hAnsi="仿宋" w:cs="仿宋" w:hint="eastAsia"/>
          <w:sz w:val="32"/>
          <w:szCs w:val="32"/>
        </w:rPr>
        <w:lastRenderedPageBreak/>
        <w:t>理，满足云溪污水处理厂进水接纳标准和</w:t>
      </w:r>
      <w:r>
        <w:rPr>
          <w:rFonts w:ascii="仿宋" w:eastAsia="仿宋" w:hAnsi="仿宋" w:cs="仿宋" w:hint="eastAsia"/>
          <w:kern w:val="0"/>
          <w:sz w:val="32"/>
          <w:szCs w:val="32"/>
        </w:rPr>
        <w:t>《石油化学工业污染物排放标准》（GB31571-2015）表1间接排放限值后，排入云溪污水处理厂进一步处理</w:t>
      </w:r>
      <w:r>
        <w:rPr>
          <w:rFonts w:ascii="仿宋" w:eastAsia="仿宋" w:hAnsi="仿宋" w:cs="仿宋" w:hint="eastAsia"/>
          <w:sz w:val="32"/>
          <w:szCs w:val="32"/>
        </w:rPr>
        <w:t>。</w:t>
      </w: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_4eff_5b8b_GB2312"/>
          <w:bCs/>
          <w:sz w:val="32"/>
          <w:szCs w:val="32"/>
        </w:rPr>
        <w:t>按照分区防控的原则落实报告书提出地下水污染防治措施，</w:t>
      </w:r>
      <w:r>
        <w:rPr>
          <w:rFonts w:ascii="仿宋" w:eastAsia="仿宋" w:hAnsi="仿宋" w:cs="仿宋" w:hint="eastAsia"/>
          <w:sz w:val="32"/>
          <w:szCs w:val="32"/>
        </w:rPr>
        <w:t>做好储罐区、生产装置区、固废暂存区、甲类仓库、污水处理区、事故应急池和初期雨水收集池的防渗、防腐工作，强化管理，避免由于泄漏等造成物料或者污染物下渗污染地下水；根据《环境影响评价技术导则地下水环境》（HJ610-2016）要求，跟踪监测地下水质情况，确保地下水环境安全。</w:t>
      </w: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color w:val="000000"/>
          <w:sz w:val="32"/>
          <w:szCs w:val="32"/>
        </w:rPr>
        <w:t>噪声污染防治工作。</w:t>
      </w:r>
      <w:r>
        <w:rPr>
          <w:rFonts w:ascii="仿宋" w:eastAsia="仿宋" w:hAnsi="仿宋" w:cs="仿宋" w:hint="eastAsia"/>
          <w:sz w:val="32"/>
          <w:szCs w:val="32"/>
        </w:rPr>
        <w:t>采用低噪声设备，对产生噪声的设备和工序合理布局，采取隔声、减震、消声等措施，加强设备日常维护，确保设备处于良好的运转状态，确保厂界噪声满足《工业企业厂界环境噪声排放标准》（GB12348-2008）3类标准要求。</w:t>
      </w:r>
    </w:p>
    <w:p w:rsidR="00F65F46" w:rsidRDefault="00C33E27">
      <w:pPr>
        <w:spacing w:line="50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5、固体废物防治工作。</w:t>
      </w:r>
      <w:r>
        <w:rPr>
          <w:rFonts w:ascii="仿宋" w:eastAsia="仿宋" w:hAnsi="仿宋" w:hint="eastAsia"/>
          <w:sz w:val="32"/>
          <w:szCs w:val="32"/>
        </w:rPr>
        <w:t>按“无害化、减量化、资源化”原则，做好固体分类收集、暂存工作，建立健全固体废物产生、转运、处置管理台帐</w:t>
      </w:r>
      <w:r>
        <w:rPr>
          <w:rFonts w:ascii="仿宋" w:eastAsia="仿宋" w:hAnsi="仿宋" w:cs="仿宋" w:hint="eastAsia"/>
          <w:sz w:val="32"/>
          <w:szCs w:val="32"/>
        </w:rPr>
        <w:t>；</w:t>
      </w:r>
      <w:r w:rsidR="00B12CB0" w:rsidRPr="004E4940">
        <w:rPr>
          <w:rFonts w:ascii="仿宋" w:eastAsia="仿宋" w:hAnsi="仿宋" w:hint="eastAsia"/>
          <w:kern w:val="0"/>
          <w:sz w:val="32"/>
          <w:szCs w:val="32"/>
          <w:lang w:bidi="en-US"/>
        </w:rPr>
        <w:t>一般工业固废须严格按照《一般工业固体废物贮存、处置场污染控制标准》（GB18599-2001）及其2013年修改单要求设置工业固体废物暂存间</w:t>
      </w:r>
      <w:r w:rsidR="00B12CB0">
        <w:rPr>
          <w:rFonts w:ascii="仿宋" w:eastAsia="仿宋" w:hAnsi="仿宋" w:hint="eastAsia"/>
          <w:kern w:val="0"/>
          <w:sz w:val="32"/>
          <w:szCs w:val="32"/>
          <w:lang w:bidi="en-US"/>
        </w:rPr>
        <w:t>，妥善处置一般工业固体废物；</w:t>
      </w:r>
      <w:r>
        <w:rPr>
          <w:rFonts w:ascii="仿宋" w:eastAsia="仿宋" w:hAnsi="仿宋" w:cs="仿宋" w:hint="eastAsia"/>
          <w:sz w:val="32"/>
          <w:szCs w:val="32"/>
        </w:rPr>
        <w:t>按《危险废物贮存污染控制标准（GB18597-2001）》和2013年修改单标准要求开展危险废物的贮存工作，</w:t>
      </w:r>
      <w:r>
        <w:rPr>
          <w:rFonts w:ascii="仿宋" w:eastAsia="仿宋" w:hAnsi="仿宋" w:cs="仿宋" w:hint="eastAsia"/>
          <w:kern w:val="0"/>
          <w:sz w:val="32"/>
          <w:szCs w:val="32"/>
          <w:lang w:val="zh-CN"/>
        </w:rPr>
        <w:t>蒸馏残渣残夜、废活性炭和隔油池产生的油污等危险废物应暂存在危废暂存间，定期委托有资质的单位处理，纯水制备产生的废滤膜由厂家进行回收，并落实危险废物转移联单制度；污水生化处理系统产生的污泥根据危险废物鉴定结果，若为危险废物应委托有资质的单位处理；生活垃圾由园区环卫部门统一收集后集中处置。</w:t>
      </w: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lastRenderedPageBreak/>
        <w:t>6</w:t>
      </w:r>
      <w:r>
        <w:rPr>
          <w:rFonts w:ascii="仿宋" w:eastAsia="仿宋" w:hAnsi="仿宋" w:cs="仿宋" w:hint="eastAsia"/>
          <w:sz w:val="32"/>
          <w:szCs w:val="32"/>
        </w:rPr>
        <w:t>、加强运营期环境风险防控，落实各项环境风险防范措施，加强设施设备的维护和管理，严格落实《石油化工企业防火设计规范》要求，加强对装置区、储罐区、甲类仓库等区域的巡查、管理与维修，建立完善的消防和防雷系统；装置区、储罐区设置物料泄漏报警装置，</w:t>
      </w:r>
      <w:r w:rsidR="00B12CB0">
        <w:rPr>
          <w:rFonts w:ascii="仿宋" w:eastAsia="仿宋" w:hAnsi="仿宋" w:cs="仿宋" w:hint="eastAsia"/>
          <w:sz w:val="32"/>
          <w:szCs w:val="32"/>
        </w:rPr>
        <w:t>规范</w:t>
      </w:r>
      <w:r>
        <w:rPr>
          <w:rFonts w:ascii="仿宋" w:eastAsia="仿宋" w:hAnsi="仿宋" w:cs="仿宋" w:hint="eastAsia"/>
          <w:sz w:val="32"/>
          <w:szCs w:val="32"/>
        </w:rPr>
        <w:t>设置事故应急池，装置区和甲类仓库设置导流沟和截流阀，严格按照《突发环境事件应急预案管理暂行办法》制定事故环境应急措施，储备风险救助物资并组织演练，杜绝环境风险事故发生。</w:t>
      </w: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8、加强环境管理，建立健全污染防治设施运行管理台账，设专门的环保人员确保各项污染防治设施的正常运行，各类污染物达标排放。</w:t>
      </w: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9、本项目核定的总量指标为：COD≤3.4t/a，氨氮≤0.7t/a，SO</w:t>
      </w:r>
      <w:r>
        <w:rPr>
          <w:rFonts w:ascii="仿宋" w:eastAsia="仿宋" w:hAnsi="仿宋" w:cs="仿宋" w:hint="eastAsia"/>
          <w:sz w:val="32"/>
          <w:szCs w:val="32"/>
          <w:vertAlign w:val="subscript"/>
        </w:rPr>
        <w:t>2</w:t>
      </w:r>
      <w:r>
        <w:rPr>
          <w:rFonts w:ascii="仿宋" w:eastAsia="仿宋" w:hAnsi="仿宋" w:cs="仿宋" w:hint="eastAsia"/>
          <w:sz w:val="32"/>
          <w:szCs w:val="32"/>
        </w:rPr>
        <w:t>≤0.3t/a， NOx≤0.7t/a，VOCs≤7.0t/a。</w:t>
      </w:r>
    </w:p>
    <w:bookmarkEnd w:id="2"/>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三、你公司应收到本批复后15个工作日内，将批复及批准的环评报告文件送云溪区环保分局、岳阳绿色化工产业园管委会、湖南润美环保科技有限公司。</w:t>
      </w: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四、请云溪区环保分局负责项目建设和运营器的日常环境监管。</w:t>
      </w: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F65F46" w:rsidRDefault="00C33E27">
      <w:pPr>
        <w:spacing w:line="500" w:lineRule="exact"/>
        <w:ind w:firstLineChars="200" w:firstLine="640"/>
        <w:rPr>
          <w:rFonts w:ascii="仿宋" w:eastAsia="仿宋" w:hAnsi="仿宋" w:cs="仿宋"/>
          <w:sz w:val="32"/>
          <w:szCs w:val="32"/>
        </w:rPr>
      </w:pPr>
      <w:bookmarkStart w:id="3" w:name="_GoBack"/>
      <w:bookmarkEnd w:id="3"/>
      <w:r>
        <w:rPr>
          <w:rFonts w:ascii="仿宋" w:eastAsia="仿宋" w:hAnsi="仿宋" w:cs="仿宋" w:hint="eastAsia"/>
          <w:sz w:val="32"/>
          <w:szCs w:val="32"/>
        </w:rPr>
        <w:t xml:space="preserve">                </w:t>
      </w:r>
    </w:p>
    <w:p w:rsidR="00F65F46" w:rsidRDefault="00F65F46">
      <w:pPr>
        <w:spacing w:line="500" w:lineRule="exact"/>
        <w:ind w:firstLineChars="200" w:firstLine="640"/>
        <w:rPr>
          <w:rFonts w:ascii="仿宋" w:eastAsia="仿宋" w:hAnsi="仿宋" w:cs="仿宋"/>
          <w:sz w:val="32"/>
          <w:szCs w:val="32"/>
        </w:rPr>
      </w:pP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岳阳市生态环境局</w:t>
      </w:r>
    </w:p>
    <w:p w:rsidR="00F65F46" w:rsidRDefault="00C33E2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2019年</w:t>
      </w:r>
      <w:r w:rsidR="006E6002">
        <w:rPr>
          <w:rFonts w:ascii="仿宋" w:eastAsia="仿宋" w:hAnsi="仿宋" w:cs="仿宋" w:hint="eastAsia"/>
          <w:sz w:val="32"/>
          <w:szCs w:val="32"/>
        </w:rPr>
        <w:t>5</w:t>
      </w:r>
      <w:r>
        <w:rPr>
          <w:rFonts w:ascii="仿宋" w:eastAsia="仿宋" w:hAnsi="仿宋" w:cs="仿宋" w:hint="eastAsia"/>
          <w:sz w:val="32"/>
          <w:szCs w:val="32"/>
        </w:rPr>
        <w:t>月</w:t>
      </w:r>
      <w:r w:rsidR="006E6002">
        <w:rPr>
          <w:rFonts w:ascii="仿宋" w:eastAsia="仿宋" w:hAnsi="仿宋" w:cs="仿宋" w:hint="eastAsia"/>
          <w:sz w:val="32"/>
          <w:szCs w:val="32"/>
        </w:rPr>
        <w:t>16</w:t>
      </w:r>
      <w:r>
        <w:rPr>
          <w:rFonts w:ascii="仿宋" w:eastAsia="仿宋" w:hAnsi="仿宋" w:cs="仿宋" w:hint="eastAsia"/>
          <w:sz w:val="32"/>
          <w:szCs w:val="32"/>
        </w:rPr>
        <w:t>日</w:t>
      </w:r>
    </w:p>
    <w:tbl>
      <w:tblPr>
        <w:tblpPr w:leftFromText="180" w:rightFromText="180" w:vertAnchor="text" w:horzAnchor="margin" w:tblpY="1417"/>
        <w:tblW w:w="8838" w:type="dxa"/>
        <w:tblBorders>
          <w:top w:val="single" w:sz="4" w:space="0" w:color="auto"/>
          <w:bottom w:val="single" w:sz="4" w:space="0" w:color="auto"/>
        </w:tblBorders>
        <w:tblLayout w:type="fixed"/>
        <w:tblLook w:val="04A0"/>
      </w:tblPr>
      <w:tblGrid>
        <w:gridCol w:w="8838"/>
      </w:tblGrid>
      <w:tr w:rsidR="006E6002" w:rsidTr="006E6002">
        <w:trPr>
          <w:trHeight w:val="1035"/>
        </w:trPr>
        <w:tc>
          <w:tcPr>
            <w:tcW w:w="8838" w:type="dxa"/>
            <w:tcBorders>
              <w:top w:val="single" w:sz="4" w:space="0" w:color="auto"/>
              <w:left w:val="nil"/>
              <w:bottom w:val="single" w:sz="4" w:space="0" w:color="auto"/>
              <w:right w:val="nil"/>
            </w:tcBorders>
          </w:tcPr>
          <w:p w:rsidR="006E6002" w:rsidRDefault="006E6002" w:rsidP="006E6002">
            <w:pPr>
              <w:shd w:val="clear" w:color="auto" w:fill="FFFFFF"/>
              <w:spacing w:line="500" w:lineRule="exact"/>
              <w:ind w:left="800" w:hangingChars="250" w:hanging="800"/>
              <w:rPr>
                <w:rFonts w:ascii="仿宋" w:eastAsia="仿宋" w:hAnsi="仿宋" w:cs="宋体"/>
                <w:sz w:val="32"/>
                <w:szCs w:val="32"/>
              </w:rPr>
            </w:pPr>
            <w:r>
              <w:rPr>
                <w:rFonts w:ascii="仿宋" w:eastAsia="仿宋" w:hAnsi="仿宋" w:cs="仿宋_GB2312" w:hint="eastAsia"/>
                <w:sz w:val="32"/>
                <w:szCs w:val="32"/>
              </w:rPr>
              <w:t>抄送</w:t>
            </w:r>
            <w:r>
              <w:rPr>
                <w:rFonts w:ascii="仿宋" w:eastAsia="仿宋" w:hAnsi="仿宋" w:cs="仿宋_GB2312"/>
                <w:sz w:val="32"/>
                <w:szCs w:val="32"/>
              </w:rPr>
              <w:t>:</w:t>
            </w:r>
            <w:r>
              <w:rPr>
                <w:rFonts w:ascii="仿宋" w:eastAsia="仿宋" w:hAnsi="仿宋" w:cs="_4eff_5b8b_GB2312" w:hint="eastAsia"/>
                <w:bCs/>
                <w:sz w:val="32"/>
                <w:szCs w:val="32"/>
              </w:rPr>
              <w:t>云溪区环保分局、湖南岳阳绿色化工产业园管委会、</w:t>
            </w:r>
            <w:r>
              <w:rPr>
                <w:rFonts w:ascii="仿宋" w:eastAsia="仿宋" w:hAnsi="仿宋" w:cs="仿宋" w:hint="eastAsia"/>
                <w:sz w:val="32"/>
                <w:szCs w:val="32"/>
              </w:rPr>
              <w:t>湖南润美环保科技有限公司</w:t>
            </w:r>
          </w:p>
        </w:tc>
      </w:tr>
    </w:tbl>
    <w:p w:rsidR="00F65F46" w:rsidRDefault="00F65F46"/>
    <w:p w:rsidR="00F65F46" w:rsidRPr="009B3E41" w:rsidRDefault="00F65F46"/>
    <w:sectPr w:rsidR="00F65F46" w:rsidRPr="009B3E41" w:rsidSect="006E6002">
      <w:footerReference w:type="default" r:id="rId7"/>
      <w:pgSz w:w="11906" w:h="16838"/>
      <w:pgMar w:top="1440" w:right="1576" w:bottom="1440" w:left="1633" w:header="851" w:footer="992" w:gutter="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608" w:rsidRDefault="00903608" w:rsidP="006E6002">
      <w:r>
        <w:separator/>
      </w:r>
    </w:p>
  </w:endnote>
  <w:endnote w:type="continuationSeparator" w:id="1">
    <w:p w:rsidR="00903608" w:rsidRDefault="00903608" w:rsidP="006E6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40001" w:csb1="00000000"/>
  </w:font>
  <w:font w:name="仿宋_GB2312">
    <w:altName w:val="仿宋"/>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4282"/>
      <w:docPartObj>
        <w:docPartGallery w:val="Page Numbers (Bottom of Page)"/>
        <w:docPartUnique/>
      </w:docPartObj>
    </w:sdtPr>
    <w:sdtContent>
      <w:p w:rsidR="006E6002" w:rsidRDefault="006E6002">
        <w:pPr>
          <w:pStyle w:val="a3"/>
          <w:jc w:val="center"/>
        </w:pPr>
        <w:fldSimple w:instr=" PAGE   \* MERGEFORMAT ">
          <w:r w:rsidR="00053982" w:rsidRPr="00053982">
            <w:rPr>
              <w:noProof/>
              <w:lang w:val="zh-CN"/>
            </w:rPr>
            <w:t>2</w:t>
          </w:r>
        </w:fldSimple>
      </w:p>
    </w:sdtContent>
  </w:sdt>
  <w:p w:rsidR="006E6002" w:rsidRDefault="006E600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608" w:rsidRDefault="00903608" w:rsidP="006E6002">
      <w:r>
        <w:separator/>
      </w:r>
    </w:p>
  </w:footnote>
  <w:footnote w:type="continuationSeparator" w:id="1">
    <w:p w:rsidR="00903608" w:rsidRDefault="00903608" w:rsidP="006E60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1843"/>
    <w:rsid w:val="000363F2"/>
    <w:rsid w:val="00043122"/>
    <w:rsid w:val="00053982"/>
    <w:rsid w:val="00056777"/>
    <w:rsid w:val="000B3A00"/>
    <w:rsid w:val="001369F0"/>
    <w:rsid w:val="00194C59"/>
    <w:rsid w:val="002B2A0D"/>
    <w:rsid w:val="003103FA"/>
    <w:rsid w:val="00322C28"/>
    <w:rsid w:val="006E6002"/>
    <w:rsid w:val="007C232D"/>
    <w:rsid w:val="00811C6D"/>
    <w:rsid w:val="00822865"/>
    <w:rsid w:val="008B319C"/>
    <w:rsid w:val="00903608"/>
    <w:rsid w:val="009B3E41"/>
    <w:rsid w:val="00A81FAC"/>
    <w:rsid w:val="00A83A1D"/>
    <w:rsid w:val="00B12CB0"/>
    <w:rsid w:val="00C33E27"/>
    <w:rsid w:val="00C379D8"/>
    <w:rsid w:val="00CF27ED"/>
    <w:rsid w:val="00D423A4"/>
    <w:rsid w:val="00DA6E55"/>
    <w:rsid w:val="00F11843"/>
    <w:rsid w:val="00F16AB1"/>
    <w:rsid w:val="00F65F46"/>
    <w:rsid w:val="091A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F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65F46"/>
    <w:pPr>
      <w:tabs>
        <w:tab w:val="center" w:pos="4153"/>
        <w:tab w:val="right" w:pos="8306"/>
      </w:tabs>
      <w:snapToGrid w:val="0"/>
      <w:jc w:val="left"/>
    </w:pPr>
    <w:rPr>
      <w:sz w:val="18"/>
      <w:szCs w:val="18"/>
    </w:rPr>
  </w:style>
  <w:style w:type="paragraph" w:styleId="a4">
    <w:name w:val="header"/>
    <w:basedOn w:val="a"/>
    <w:link w:val="Char0"/>
    <w:uiPriority w:val="99"/>
    <w:unhideWhenUsed/>
    <w:rsid w:val="00F65F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65F46"/>
    <w:rPr>
      <w:sz w:val="18"/>
      <w:szCs w:val="18"/>
    </w:rPr>
  </w:style>
  <w:style w:type="character" w:customStyle="1" w:styleId="Char">
    <w:name w:val="页脚 Char"/>
    <w:basedOn w:val="a0"/>
    <w:link w:val="a3"/>
    <w:uiPriority w:val="99"/>
    <w:rsid w:val="00F65F46"/>
    <w:rPr>
      <w:sz w:val="18"/>
      <w:szCs w:val="18"/>
    </w:rPr>
  </w:style>
  <w:style w:type="character" w:customStyle="1" w:styleId="Char1">
    <w:name w:val="报告正文 Char"/>
    <w:link w:val="a5"/>
    <w:rsid w:val="00F65F46"/>
    <w:rPr>
      <w:rFonts w:ascii="宋体" w:eastAsia="宋体" w:hAnsi="宋体" w:cs="宋体"/>
      <w:sz w:val="24"/>
    </w:rPr>
  </w:style>
  <w:style w:type="paragraph" w:customStyle="1" w:styleId="a5">
    <w:name w:val="报告正文"/>
    <w:basedOn w:val="a"/>
    <w:link w:val="Char1"/>
    <w:rsid w:val="00F65F46"/>
    <w:pPr>
      <w:adjustRightInd w:val="0"/>
      <w:snapToGrid w:val="0"/>
      <w:spacing w:line="360" w:lineRule="auto"/>
      <w:ind w:firstLineChars="200" w:firstLine="200"/>
    </w:pPr>
    <w:rPr>
      <w:rFonts w:ascii="宋体" w:eastAsia="宋体" w:hAnsi="宋体" w:cs="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1544</Words>
  <Characters>1870</Characters>
  <Application>Microsoft Office Word</Application>
  <DocSecurity>0</DocSecurity>
  <Lines>98</Lines>
  <Paragraphs>85</Paragraphs>
  <ScaleCrop>false</ScaleCrop>
  <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用户</cp:lastModifiedBy>
  <cp:revision>2</cp:revision>
  <cp:lastPrinted>2019-05-16T05:46:00Z</cp:lastPrinted>
  <dcterms:created xsi:type="dcterms:W3CDTF">2019-05-16T05:55:00Z</dcterms:created>
  <dcterms:modified xsi:type="dcterms:W3CDTF">2019-05-16T05:55:00Z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