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480" w:lineRule="exact"/>
        <w:jc w:val="right"/>
        <w:rPr>
          <w:rFonts w:ascii="Times New Roman" w:hAnsi="Times New Roman" w:eastAsia="仿宋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岳环评 [2019]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</w:rPr>
        <w:t>85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号</w:t>
      </w:r>
    </w:p>
    <w:p>
      <w:pPr>
        <w:widowControl/>
        <w:shd w:val="clear" w:color="auto" w:fill="FFFFFF"/>
        <w:spacing w:line="480" w:lineRule="exact"/>
        <w:jc w:val="center"/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kern w:val="0"/>
          <w:sz w:val="36"/>
          <w:szCs w:val="36"/>
        </w:rPr>
        <w:t>关于湖南蓝微循环经济有限公司年处理5万吨废旧锂电池资源循环利用项目环境影响报告书的批复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湖南蓝微循环经济有限公司：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你公司《关于申请&lt;</w:t>
      </w:r>
      <w:bookmarkStart w:id="0" w:name="OLE_LINK3"/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湖南蓝微循环经济有限公司年处理5万吨废旧锂电池资源循环利用项目</w:t>
      </w:r>
      <w:bookmarkEnd w:id="0"/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环境影响报告书&gt;环评批复的报告》、汨罗市环境保护局的预审意见及有关附件收悉。经研究，批复如下：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一、</w:t>
      </w:r>
      <w:bookmarkStart w:id="1" w:name="OLE_LINK1"/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湖南蓝微循环经济有限公司拟投资80000万元在湖南汨罗循环经济产业园平益高速以南、金塘路以北、107国道以东、湄江（车对河）以西区域建设年处理5万吨废旧锂电池资源循环利用项目，其中环保投资1281万元（占总投资的1.6%）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项目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总占地110亩，本次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拟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用地80亩，二期预留用地30亩，项目建成后可年处理废旧三元锂电池5万吨。项目总建筑占地面积33590 m</w:t>
      </w:r>
      <w:r>
        <w:rPr>
          <w:rFonts w:ascii="Times New Roman" w:hAnsi="Times New Roman" w:eastAsia="仿宋" w:cs="Times New Roman"/>
          <w:kern w:val="0"/>
          <w:sz w:val="32"/>
          <w:szCs w:val="32"/>
          <w:vertAlign w:val="superscript"/>
          <w:lang w:bidi="en-US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建筑面积39590 m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vertAlign w:val="superscript"/>
          <w:lang w:bidi="en-US"/>
        </w:rPr>
        <w:t>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，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主要建设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废旧三元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锂电池拆解车间、热处理车间、剪切破碎车间、浸出车间、除杂车间、萃取车间、产品仓库、一般固废暂存间、危废暂存间等。项目以废旧三元锂电池为原料，经过放电、拆解、分选后将外壳与电池芯分离，电池芯经过焙烧热解去除原料中的水分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、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粘接剂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等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有机物，热解后的物料进行剪切破碎、物理分选后，实现极粉与极片的分离。极粉浆化后过滤，滤液加入氢氧化钙、碳酸钠后得到碳酸锂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>产品</w:t>
      </w: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；滤饼加入硫酸、双氧水浆化/酸浸，除杂后进行萃取、反萃，得到镍钴锰净化液。</w:t>
      </w:r>
      <w:bookmarkEnd w:id="1"/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根据广西博环环境咨询服务有限公司编制的《湖南蓝微循环经济有限公司年处理5万吨废旧锂电池资源循环利用项目环境影响报告书（报批稿）》基本内容、结论、专家评审意见、汨罗市环境保护局预审意见，综合考虑，我局原则同意你公司环境影响报告书中所列建设项目的性质、规模、工艺、地点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lang w:bidi="en-US"/>
        </w:rPr>
        <w:t>二、认真落实专家及环境影响报告书中提出的各项污染防治措施，并应着重注意以下问题：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60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bookmarkStart w:id="2" w:name="OLE_LINK2"/>
      <w:bookmarkStart w:id="3" w:name="OLE_LINK4"/>
      <w:r>
        <w:rPr>
          <w:rFonts w:ascii="Times New Roman" w:hAnsi="Times New Roman" w:eastAsia="仿宋" w:cs="Times New Roman"/>
          <w:bCs/>
          <w:sz w:val="32"/>
          <w:szCs w:val="32"/>
        </w:rPr>
        <w:t>1、废水污染防治工作。严格按照“雨污分流、清污分流、污污分流”的原则规范建设厂区雨水及污水管网。萃取车间废水（萃余废水、反铁废水）在车间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进行</w:t>
      </w:r>
      <w:r>
        <w:rPr>
          <w:rFonts w:ascii="Times New Roman" w:hAnsi="Times New Roman" w:eastAsia="仿宋" w:cs="Times New Roman"/>
          <w:bCs/>
          <w:sz w:val="32"/>
          <w:szCs w:val="32"/>
        </w:rPr>
        <w:t>预处理，第一类污染物在车间排放口达到《污水综合排放标准》（GB 8978-1996）中相应排放限值标准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，</w:t>
      </w:r>
      <w:r>
        <w:rPr>
          <w:rFonts w:ascii="Times New Roman" w:hAnsi="Times New Roman" w:eastAsia="仿宋" w:cs="Times New Roman"/>
          <w:bCs/>
          <w:sz w:val="32"/>
          <w:szCs w:val="32"/>
        </w:rPr>
        <w:t>钴执行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《铜、钴、镍工业污染物排放标准》（GB25467-2010）表2限制要求；排出车间的</w:t>
      </w:r>
      <w:r>
        <w:rPr>
          <w:rFonts w:ascii="Times New Roman" w:hAnsi="Times New Roman" w:eastAsia="仿宋" w:cs="Times New Roman"/>
          <w:bCs/>
          <w:sz w:val="32"/>
          <w:szCs w:val="32"/>
        </w:rPr>
        <w:t>萃取车间废水与地面清洗废水、酸雾处理废水、废气三级吸收废水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、</w:t>
      </w:r>
      <w:r>
        <w:rPr>
          <w:rFonts w:ascii="Times New Roman" w:hAnsi="Times New Roman" w:eastAsia="仿宋" w:cs="Times New Roman"/>
          <w:bCs/>
          <w:sz w:val="32"/>
          <w:szCs w:val="32"/>
        </w:rPr>
        <w:t>初期雨水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一起汇入</w:t>
      </w:r>
      <w:r>
        <w:rPr>
          <w:rFonts w:ascii="Times New Roman" w:hAnsi="Times New Roman" w:eastAsia="仿宋" w:cs="Times New Roman"/>
          <w:bCs/>
          <w:sz w:val="32"/>
          <w:szCs w:val="32"/>
        </w:rPr>
        <w:t>企业废水处理站，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经</w:t>
      </w:r>
      <w:r>
        <w:rPr>
          <w:rFonts w:ascii="Times New Roman" w:hAnsi="Times New Roman" w:eastAsia="仿宋" w:cs="Times New Roman"/>
          <w:bCs/>
          <w:sz w:val="32"/>
          <w:szCs w:val="32"/>
        </w:rPr>
        <w:t>处理达到《污水综合排放标准》（GB 8978-1996）中相应排放限值标准，经园区污水管网排入园区重金属污水厂进行处理。生活污水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经</w:t>
      </w:r>
      <w:r>
        <w:rPr>
          <w:rFonts w:ascii="Times New Roman" w:hAnsi="Times New Roman" w:eastAsia="仿宋" w:cs="Times New Roman"/>
          <w:bCs/>
          <w:sz w:val="32"/>
          <w:szCs w:val="32"/>
        </w:rPr>
        <w:t>处理达到《污水综合排放标准》（GB8978-96）表4中三级排放标准后经企业生活污水排口排入市政污水管网，随市政污水管网进入汨罗市城市污水厂进行处理。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60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bookmarkStart w:id="4" w:name="OLE_LINK9"/>
      <w:r>
        <w:rPr>
          <w:rFonts w:ascii="Times New Roman" w:hAnsi="Times New Roman" w:eastAsia="仿宋" w:cs="Times New Roman"/>
          <w:bCs/>
          <w:sz w:val="32"/>
          <w:szCs w:val="32"/>
        </w:rPr>
        <w:t>按照分区防控的原则落实报告书提出地下水污染防治措施，做好危险废物贮存区、生产废水收集池、厂区污水管道、初期雨水池等区域的防腐、防渗工作，加强涉污区域的生产管理，避免由于管道破损等造成污染物下渗污染地下水；根据《环境影响评价技术导则地下水环境》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（</w:t>
      </w:r>
      <w:r>
        <w:rPr>
          <w:rFonts w:ascii="Times New Roman" w:hAnsi="Times New Roman" w:eastAsia="仿宋" w:cs="Times New Roman"/>
          <w:bCs/>
          <w:sz w:val="32"/>
          <w:szCs w:val="32"/>
        </w:rPr>
        <w:t>HJ610-2016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）</w:t>
      </w:r>
      <w:r>
        <w:rPr>
          <w:rFonts w:ascii="Times New Roman" w:hAnsi="Times New Roman" w:eastAsia="仿宋" w:cs="Times New Roman"/>
          <w:bCs/>
          <w:sz w:val="32"/>
          <w:szCs w:val="32"/>
        </w:rPr>
        <w:t>要求，跟踪监测地下水质情况，确保地下水环境安全。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2、废气污染防治工作。严格控制项目废气污染，加强日常监管，定期对风机、阀门、法兰等进行维护和管理，最大限度减少生产、储运过程中的废气无组织排放。燃气锅炉燃烧废气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排放</w:t>
      </w:r>
      <w:r>
        <w:rPr>
          <w:rFonts w:ascii="Times New Roman" w:hAnsi="Times New Roman" w:eastAsia="仿宋" w:cs="Times New Roman"/>
          <w:bCs/>
          <w:sz w:val="32"/>
          <w:szCs w:val="32"/>
        </w:rPr>
        <w:t>满足《锅炉大气污染物排放标准》（GB13271-2014）表3特别排放限值；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破碎</w:t>
      </w:r>
      <w:r>
        <w:rPr>
          <w:rFonts w:ascii="Times New Roman" w:hAnsi="Times New Roman" w:eastAsia="仿宋" w:cs="Times New Roman"/>
          <w:bCs/>
          <w:sz w:val="32"/>
          <w:szCs w:val="32"/>
        </w:rPr>
        <w:t>过程产生的颗粒物、镍及其化合物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经处理后满足《大气污染物综合排放标准》（GB16297-1996）表2中二级排放限值，通过一根15m排气筒排放；热解过程产生的VOCs、氟化物经RTO焚烧炉焚烧、三级吸收处理，VOCs满足排放天津市《工业企业挥发性有机物排放控制标准》（DB12/524-2014）表2其他行业排放限值，氟化物排放满足《大气污染物综合排放标准》（GB16297-1996）表2中二级排放限值，通过一根15m排气筒排放；生产过程产生的</w:t>
      </w:r>
      <w:r>
        <w:rPr>
          <w:rFonts w:ascii="Times New Roman" w:hAnsi="Times New Roman" w:eastAsia="仿宋" w:cs="Times New Roman"/>
          <w:bCs/>
          <w:sz w:val="32"/>
          <w:szCs w:val="32"/>
        </w:rPr>
        <w:t>氯化氢、硫酸雾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经处理，</w:t>
      </w:r>
      <w:r>
        <w:rPr>
          <w:rFonts w:ascii="Times New Roman" w:hAnsi="Times New Roman" w:eastAsia="仿宋" w:cs="Times New Roman"/>
          <w:bCs/>
          <w:sz w:val="32"/>
          <w:szCs w:val="32"/>
        </w:rPr>
        <w:t>满足《大气污染物综合排放标准》（GB16297-1996）表2中新污染源二级排放限值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，分别通过2根15m排气筒排放</w:t>
      </w:r>
      <w:r>
        <w:rPr>
          <w:rFonts w:ascii="Times New Roman" w:hAnsi="Times New Roman" w:eastAsia="仿宋" w:cs="Times New Roman"/>
          <w:bCs/>
          <w:sz w:val="32"/>
          <w:szCs w:val="32"/>
        </w:rPr>
        <w:t>；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萃取产生的</w:t>
      </w:r>
      <w:r>
        <w:rPr>
          <w:rFonts w:ascii="Times New Roman" w:hAnsi="Times New Roman" w:eastAsia="仿宋" w:cs="Times New Roman"/>
          <w:bCs/>
          <w:sz w:val="32"/>
          <w:szCs w:val="32"/>
        </w:rPr>
        <w:t>VOC</w:t>
      </w:r>
      <w:r>
        <w:rPr>
          <w:rFonts w:ascii="Times New Roman" w:hAnsi="Times New Roman" w:eastAsia="仿宋" w:cs="Times New Roman"/>
          <w:bCs/>
          <w:sz w:val="32"/>
          <w:szCs w:val="32"/>
          <w:vertAlign w:val="subscript"/>
        </w:rPr>
        <w:t>S</w:t>
      </w:r>
      <w:r>
        <w:rPr>
          <w:rFonts w:ascii="Times New Roman" w:hAnsi="Times New Roman" w:eastAsia="仿宋" w:cs="Times New Roman"/>
          <w:bCs/>
          <w:sz w:val="32"/>
          <w:szCs w:val="32"/>
        </w:rPr>
        <w:t>经处理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后</w:t>
      </w:r>
      <w:r>
        <w:rPr>
          <w:rFonts w:ascii="Times New Roman" w:hAnsi="Times New Roman" w:eastAsia="仿宋" w:cs="Times New Roman"/>
          <w:bCs/>
          <w:sz w:val="32"/>
          <w:szCs w:val="32"/>
        </w:rPr>
        <w:t>满足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天津市</w:t>
      </w:r>
      <w:r>
        <w:rPr>
          <w:rFonts w:ascii="Times New Roman" w:hAnsi="Times New Roman" w:eastAsia="仿宋" w:cs="Times New Roman"/>
          <w:bCs/>
          <w:sz w:val="32"/>
          <w:szCs w:val="32"/>
        </w:rPr>
        <w:t>《工业企业挥发性有机物排放控制标准》（DB12/524-2014）表2其他行业排放限值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，通过一根15m排气筒排放</w:t>
      </w:r>
      <w:r>
        <w:rPr>
          <w:rFonts w:ascii="Times New Roman" w:hAnsi="Times New Roman" w:eastAsia="仿宋" w:cs="Times New Roman"/>
          <w:bCs/>
          <w:sz w:val="32"/>
          <w:szCs w:val="32"/>
        </w:rPr>
        <w:t>；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三元除铜工序产生的</w:t>
      </w:r>
      <w:r>
        <w:rPr>
          <w:rFonts w:ascii="Times New Roman" w:hAnsi="Times New Roman" w:eastAsia="仿宋" w:cs="Times New Roman"/>
          <w:bCs/>
          <w:sz w:val="32"/>
          <w:szCs w:val="32"/>
        </w:rPr>
        <w:t>硫化氢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经</w:t>
      </w:r>
      <w:r>
        <w:rPr>
          <w:rFonts w:ascii="Times New Roman" w:hAnsi="Times New Roman" w:eastAsia="仿宋" w:cs="Times New Roman"/>
          <w:bCs/>
          <w:sz w:val="32"/>
          <w:szCs w:val="32"/>
        </w:rPr>
        <w:t>处理满足《恶臭污染物排放标准》（GB14559-93）二级新建排放标准限值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，通过一根15m排气筒排放</w:t>
      </w:r>
      <w:r>
        <w:rPr>
          <w:rFonts w:ascii="Times New Roman" w:hAnsi="Times New Roman" w:eastAsia="仿宋" w:cs="Times New Roman"/>
          <w:bCs/>
          <w:sz w:val="32"/>
          <w:szCs w:val="32"/>
        </w:rPr>
        <w:t>；食堂油烟经处理满足《饮食业油烟排放标准》（GB 18483-2001）要求后，通过屋顶高空排放。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60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3、噪声污染防治工作。采用低噪声设备，对产生噪声的设备和工序进行合理布局，对破碎机、粉碎机、风机、水泵等主要声源采取消声、隔声等措施，确保厂界噪声满足《工业企业厂界环境噪声排放标准》(GB12348-2008)中的3类标准要求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4、固体废物防治工作。按“无害化、减量化、资源化”原则，做好固体废物的分类收集、贮存、处置、管理工作，</w:t>
      </w:r>
      <w:r>
        <w:rPr>
          <w:rFonts w:ascii="Times New Roman" w:hAnsi="Times New Roman" w:eastAsia="仿宋" w:cs="Times New Roman"/>
          <w:sz w:val="32"/>
          <w:szCs w:val="32"/>
        </w:rPr>
        <w:t>建立台账；按照《危险废物贮存污染控制标准》（GB18597-2001）及其修改单中相关要求建设危险废物暂存间，废活性炭、废布袋、废机油等危险废物，应收集后交有资质的单位处置，并执行转移联单制度；硫酸钙渣、酸浸渣、铜渣、铁铝渣、钙镁渣、废水处理污泥等按照《危险废物鉴定标准通则</w:t>
      </w:r>
      <w:r>
        <w:rPr>
          <w:rFonts w:hint="eastAsia" w:ascii="Times New Roman" w:hAnsi="Times New Roman" w:eastAsia="仿宋" w:cs="Times New Roman"/>
          <w:sz w:val="32"/>
          <w:szCs w:val="32"/>
        </w:rPr>
        <w:t>（征求意见稿）</w:t>
      </w:r>
      <w:r>
        <w:rPr>
          <w:rFonts w:ascii="Times New Roman" w:hAnsi="Times New Roman" w:eastAsia="仿宋" w:cs="Times New Roman"/>
          <w:sz w:val="32"/>
          <w:szCs w:val="32"/>
        </w:rPr>
        <w:t>》（GB5085.7）进行鉴定，根据鉴定结果执行相应管理要求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未鉴定之前，参照危险废物规范化管理的要求执行。</w:t>
      </w:r>
      <w:r>
        <w:rPr>
          <w:rFonts w:ascii="Times New Roman" w:hAnsi="Times New Roman" w:eastAsia="仿宋" w:cs="Times New Roman"/>
          <w:bCs/>
          <w:sz w:val="32"/>
          <w:szCs w:val="32"/>
        </w:rPr>
        <w:t>按《一般工业固体废物贮存、处置场污染控制标准（GB18599-2001）》和2013年修改单标准要求建设一般固废暂存场，塑料外壳、铜、铝等废旧金属、石墨负极等收集</w:t>
      </w:r>
      <w:r>
        <w:rPr>
          <w:rFonts w:ascii="Times New Roman" w:hAnsi="Times New Roman" w:eastAsia="仿宋" w:cs="Times New Roman"/>
          <w:sz w:val="32"/>
          <w:szCs w:val="32"/>
        </w:rPr>
        <w:t>后外售</w:t>
      </w:r>
      <w:r>
        <w:rPr>
          <w:rFonts w:ascii="Times New Roman" w:hAnsi="Times New Roman" w:eastAsia="仿宋" w:cs="Times New Roman"/>
          <w:bCs/>
          <w:sz w:val="32"/>
          <w:szCs w:val="32"/>
        </w:rPr>
        <w:t>；生活垃圾交由环卫部门统一收集处理。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5、加强营运期风险防范，落实各项风险防范措施。加强设施设备的维护和管理，加强对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生产车间、储罐区、仓库等区域</w:t>
      </w:r>
      <w:r>
        <w:rPr>
          <w:rFonts w:ascii="Times New Roman" w:hAnsi="Times New Roman" w:eastAsia="仿宋" w:cs="Times New Roman"/>
          <w:bCs/>
          <w:sz w:val="32"/>
          <w:szCs w:val="32"/>
        </w:rPr>
        <w:t>的</w:t>
      </w:r>
      <w:bookmarkStart w:id="5" w:name="_GoBack"/>
      <w:r>
        <w:rPr>
          <w:rFonts w:ascii="Times New Roman" w:hAnsi="Times New Roman" w:eastAsia="仿宋" w:cs="Times New Roman"/>
          <w:bCs/>
          <w:sz w:val="32"/>
          <w:szCs w:val="32"/>
        </w:rPr>
        <w:t>巡查</w:t>
      </w:r>
      <w:bookmarkEnd w:id="5"/>
      <w:r>
        <w:rPr>
          <w:rFonts w:ascii="Times New Roman" w:hAnsi="Times New Roman" w:eastAsia="仿宋" w:cs="Times New Roman"/>
          <w:bCs/>
          <w:sz w:val="32"/>
          <w:szCs w:val="32"/>
        </w:rPr>
        <w:t>、管理与维修，建立完善的消防和防雷系统；生产车间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、储罐区</w:t>
      </w:r>
      <w:r>
        <w:rPr>
          <w:rFonts w:ascii="Times New Roman" w:hAnsi="Times New Roman" w:eastAsia="仿宋" w:cs="Times New Roman"/>
          <w:bCs/>
          <w:sz w:val="32"/>
          <w:szCs w:val="32"/>
        </w:rPr>
        <w:t>和仓库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设置物料泄漏报警装置，规范设置事故应急池，生产车间、储罐区和甲类仓库设置导流沟和截流阀，严格按照《突发环境事件应急预案管理暂行办法》制定事故环境应急措施，储备风险救助物资并组织演练，杜绝环境风险事故发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6、加强环境管理，建立健全污染防治设施运行管理台帐，设专门的环保机构及环保人员，确保各项污染防治设施的正常运行，各类污染物稳定达标排放。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8、本项目核定的总量指标为： COD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≤</w:t>
      </w:r>
      <w:r>
        <w:rPr>
          <w:rFonts w:ascii="Times New Roman" w:hAnsi="Times New Roman" w:eastAsia="仿宋" w:cs="Times New Roman"/>
          <w:bCs/>
          <w:sz w:val="32"/>
          <w:szCs w:val="32"/>
        </w:rPr>
        <w:t>11.1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吨</w:t>
      </w:r>
      <w:r>
        <w:rPr>
          <w:rFonts w:ascii="Times New Roman" w:hAnsi="Times New Roman" w:eastAsia="仿宋" w:cs="Times New Roman"/>
          <w:bCs/>
          <w:sz w:val="32"/>
          <w:szCs w:val="32"/>
        </w:rPr>
        <w:t>/年、NH</w:t>
      </w:r>
      <w:r>
        <w:rPr>
          <w:rFonts w:ascii="Times New Roman" w:hAnsi="Times New Roman" w:eastAsia="仿宋" w:cs="Times New Roman"/>
          <w:bCs/>
          <w:sz w:val="32"/>
          <w:szCs w:val="32"/>
          <w:vertAlign w:val="subscript"/>
        </w:rPr>
        <w:t>3</w:t>
      </w:r>
      <w:r>
        <w:rPr>
          <w:rFonts w:ascii="Times New Roman" w:hAnsi="Times New Roman" w:eastAsia="仿宋" w:cs="Times New Roman"/>
          <w:bCs/>
          <w:sz w:val="32"/>
          <w:szCs w:val="32"/>
        </w:rPr>
        <w:t>-N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≤</w:t>
      </w:r>
      <w:r>
        <w:rPr>
          <w:rFonts w:ascii="Times New Roman" w:hAnsi="Times New Roman" w:eastAsia="仿宋" w:cs="Times New Roman"/>
          <w:bCs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2吨</w:t>
      </w:r>
      <w:r>
        <w:rPr>
          <w:rFonts w:ascii="Times New Roman" w:hAnsi="Times New Roman" w:eastAsia="仿宋" w:cs="Times New Roman"/>
          <w:bCs/>
          <w:sz w:val="32"/>
          <w:szCs w:val="32"/>
        </w:rPr>
        <w:t>/年； VOC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s≤2.4吨</w:t>
      </w:r>
      <w:r>
        <w:rPr>
          <w:rFonts w:ascii="Times New Roman" w:hAnsi="Times New Roman" w:eastAsia="仿宋" w:cs="Times New Roman"/>
          <w:bCs/>
          <w:sz w:val="32"/>
          <w:szCs w:val="32"/>
        </w:rPr>
        <w:t>/年、SO</w:t>
      </w:r>
      <w:r>
        <w:rPr>
          <w:rFonts w:ascii="Times New Roman" w:hAnsi="Times New Roman" w:eastAsia="仿宋" w:cs="Times New Roman"/>
          <w:bCs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≤0.3吨</w:t>
      </w:r>
      <w:r>
        <w:rPr>
          <w:rFonts w:ascii="Times New Roman" w:hAnsi="Times New Roman" w:eastAsia="仿宋" w:cs="Times New Roman"/>
          <w:bCs/>
          <w:sz w:val="32"/>
          <w:szCs w:val="32"/>
        </w:rPr>
        <w:t>/年、NO</w:t>
      </w:r>
      <w:r>
        <w:rPr>
          <w:rFonts w:ascii="Times New Roman" w:hAnsi="Times New Roman" w:eastAsia="仿宋" w:cs="Times New Roman"/>
          <w:bCs/>
          <w:sz w:val="32"/>
          <w:szCs w:val="32"/>
          <w:vertAlign w:val="subscript"/>
        </w:rPr>
        <w:t>X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≤</w:t>
      </w:r>
      <w:r>
        <w:rPr>
          <w:rFonts w:ascii="Times New Roman" w:hAnsi="Times New Roman" w:eastAsia="仿宋" w:cs="Times New Roman"/>
          <w:bCs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2吨</w:t>
      </w:r>
      <w:r>
        <w:rPr>
          <w:rFonts w:ascii="Times New Roman" w:hAnsi="Times New Roman" w:eastAsia="仿宋" w:cs="Times New Roman"/>
          <w:bCs/>
          <w:sz w:val="32"/>
          <w:szCs w:val="32"/>
        </w:rPr>
        <w:t>/年。</w:t>
      </w:r>
    </w:p>
    <w:bookmarkEnd w:id="2"/>
    <w:bookmarkEnd w:id="3"/>
    <w:bookmarkEnd w:id="4"/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三、你公司应收到本批复后15个工作日内，将批复及批准的环评报告文件送汨罗市环境保护局、湖南汨罗循环经济产业园管委会、广西博环环境咨询服务有限公司。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5"/>
        <w:textAlignment w:val="auto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四、请汨罗市环境保护局负责项目建设和运营期的日常环境监管。</w:t>
      </w:r>
    </w:p>
    <w:p>
      <w:pPr>
        <w:shd w:val="clear" w:color="auto" w:fill="FFFFFF"/>
        <w:spacing w:line="440" w:lineRule="exact"/>
        <w:ind w:firstLine="645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shd w:val="clear" w:color="auto" w:fill="FFFFFF"/>
        <w:spacing w:line="440" w:lineRule="exact"/>
        <w:ind w:firstLine="645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shd w:val="clear" w:color="auto" w:fill="FFFFFF"/>
        <w:spacing w:line="440" w:lineRule="exact"/>
        <w:ind w:firstLine="645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bidi="en-US"/>
        </w:rPr>
        <w:t xml:space="preserve">                             </w:t>
      </w:r>
      <w:r>
        <w:rPr>
          <w:rFonts w:ascii="Times New Roman" w:hAnsi="Times New Roman" w:eastAsia="仿宋" w:cs="Times New Roman"/>
          <w:bCs/>
          <w:sz w:val="32"/>
          <w:szCs w:val="32"/>
        </w:rPr>
        <w:t>岳阳市生态环境局</w:t>
      </w:r>
    </w:p>
    <w:tbl>
      <w:tblPr>
        <w:tblStyle w:val="4"/>
        <w:tblpPr w:leftFromText="180" w:rightFromText="180" w:vertAnchor="page" w:horzAnchor="margin" w:tblpY="14221"/>
        <w:tblW w:w="891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hd w:val="clear" w:color="auto" w:fill="FFFFFF"/>
              <w:spacing w:line="440" w:lineRule="exact"/>
              <w:ind w:left="800" w:hanging="800" w:hangingChars="250"/>
              <w:rPr>
                <w:rFonts w:ascii="Times New Roman" w:hAnsi="Times New Roman" w:eastAsia="仿宋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sz w:val="32"/>
                <w:szCs w:val="32"/>
              </w:rPr>
              <w:t>抄送:岳阳市生态环境局汨罗分局、湖南汨罗循环经济产业园管委会、广西博环环境咨询服务有限公司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3" w:leftChars="30" w:firstLine="646"/>
        <w:textAlignment w:val="auto"/>
        <w:rPr>
          <w:rFonts w:ascii="Times New Roman" w:hAnsi="Times New Roman" w:eastAsia="仿宋" w:cs="Times New Roman"/>
          <w:color w:val="FF0000"/>
          <w:kern w:val="0"/>
          <w:sz w:val="32"/>
          <w:szCs w:val="32"/>
          <w:lang w:bidi="en-US"/>
        </w:rPr>
      </w:pPr>
      <w:r>
        <w:rPr>
          <w:rFonts w:hint="eastAsia" w:ascii="Times New Roman" w:hAnsi="Times New Roman" w:eastAsia="仿宋" w:cs="Times New Roman"/>
          <w:bCs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" w:cs="Times New Roman"/>
          <w:bCs/>
          <w:sz w:val="32"/>
          <w:szCs w:val="32"/>
        </w:rPr>
        <w:t>2019年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Cs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" w:cs="Times New Roman"/>
          <w:bCs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1440" w:right="1588" w:bottom="1440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8427629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8427629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3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2713990</wp:posOffset>
              </wp:positionH>
              <wp:positionV relativeFrom="paragraph">
                <wp:posOffset>-85090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both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7pt;margin-top:-6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both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00"/>
    <w:rsid w:val="00077106"/>
    <w:rsid w:val="00086CE7"/>
    <w:rsid w:val="00156055"/>
    <w:rsid w:val="001970E9"/>
    <w:rsid w:val="001B0F9A"/>
    <w:rsid w:val="00201B96"/>
    <w:rsid w:val="0026618F"/>
    <w:rsid w:val="002B5F19"/>
    <w:rsid w:val="002E2B54"/>
    <w:rsid w:val="00314E30"/>
    <w:rsid w:val="00321017"/>
    <w:rsid w:val="003546BE"/>
    <w:rsid w:val="003820E5"/>
    <w:rsid w:val="00390BE1"/>
    <w:rsid w:val="003B16AE"/>
    <w:rsid w:val="00401483"/>
    <w:rsid w:val="0040749A"/>
    <w:rsid w:val="00410374"/>
    <w:rsid w:val="004372EE"/>
    <w:rsid w:val="004435D1"/>
    <w:rsid w:val="004469E3"/>
    <w:rsid w:val="00455CEF"/>
    <w:rsid w:val="004954FE"/>
    <w:rsid w:val="004B3A64"/>
    <w:rsid w:val="004C3D03"/>
    <w:rsid w:val="004E4940"/>
    <w:rsid w:val="00526175"/>
    <w:rsid w:val="00527227"/>
    <w:rsid w:val="00537CE7"/>
    <w:rsid w:val="00552C32"/>
    <w:rsid w:val="005A56B8"/>
    <w:rsid w:val="005B1A34"/>
    <w:rsid w:val="00612006"/>
    <w:rsid w:val="00636C0C"/>
    <w:rsid w:val="00645C76"/>
    <w:rsid w:val="00655ADD"/>
    <w:rsid w:val="00671776"/>
    <w:rsid w:val="006D19DE"/>
    <w:rsid w:val="006D7DDC"/>
    <w:rsid w:val="00722079"/>
    <w:rsid w:val="00744B0E"/>
    <w:rsid w:val="00791777"/>
    <w:rsid w:val="00793D57"/>
    <w:rsid w:val="007A33B0"/>
    <w:rsid w:val="007C5D4A"/>
    <w:rsid w:val="007F2BBA"/>
    <w:rsid w:val="008455EF"/>
    <w:rsid w:val="008A65FD"/>
    <w:rsid w:val="008B40C6"/>
    <w:rsid w:val="008C1DF6"/>
    <w:rsid w:val="008E6695"/>
    <w:rsid w:val="008F425E"/>
    <w:rsid w:val="00954816"/>
    <w:rsid w:val="009777D5"/>
    <w:rsid w:val="009876B9"/>
    <w:rsid w:val="009A0652"/>
    <w:rsid w:val="009A5F72"/>
    <w:rsid w:val="00A57FE8"/>
    <w:rsid w:val="00AB6C51"/>
    <w:rsid w:val="00AD383F"/>
    <w:rsid w:val="00AE4FD9"/>
    <w:rsid w:val="00B030DA"/>
    <w:rsid w:val="00B22172"/>
    <w:rsid w:val="00B87100"/>
    <w:rsid w:val="00BB2E83"/>
    <w:rsid w:val="00BB6F14"/>
    <w:rsid w:val="00BF19FA"/>
    <w:rsid w:val="00C06E2A"/>
    <w:rsid w:val="00C0702E"/>
    <w:rsid w:val="00C20390"/>
    <w:rsid w:val="00C44B20"/>
    <w:rsid w:val="00C824D5"/>
    <w:rsid w:val="00CC4F3B"/>
    <w:rsid w:val="00D004D3"/>
    <w:rsid w:val="00D10863"/>
    <w:rsid w:val="00D33B24"/>
    <w:rsid w:val="00D728A1"/>
    <w:rsid w:val="00DD523A"/>
    <w:rsid w:val="00DD7DDF"/>
    <w:rsid w:val="00E61455"/>
    <w:rsid w:val="00E6359F"/>
    <w:rsid w:val="00EE01C3"/>
    <w:rsid w:val="00F60282"/>
    <w:rsid w:val="00FA2778"/>
    <w:rsid w:val="01F235DE"/>
    <w:rsid w:val="03057535"/>
    <w:rsid w:val="03CE603A"/>
    <w:rsid w:val="03DF726D"/>
    <w:rsid w:val="044D65F7"/>
    <w:rsid w:val="07DD023A"/>
    <w:rsid w:val="08C51BA0"/>
    <w:rsid w:val="09413E8F"/>
    <w:rsid w:val="0C6A59B0"/>
    <w:rsid w:val="0EBA6351"/>
    <w:rsid w:val="10DA3F8F"/>
    <w:rsid w:val="14032D16"/>
    <w:rsid w:val="14C164AD"/>
    <w:rsid w:val="158E1827"/>
    <w:rsid w:val="15E01741"/>
    <w:rsid w:val="164837DD"/>
    <w:rsid w:val="16E72777"/>
    <w:rsid w:val="18CC3D3B"/>
    <w:rsid w:val="19254D1E"/>
    <w:rsid w:val="1AD15F98"/>
    <w:rsid w:val="1B2E27CC"/>
    <w:rsid w:val="1BEF2DD1"/>
    <w:rsid w:val="1CEC55F6"/>
    <w:rsid w:val="217E3EB9"/>
    <w:rsid w:val="22CA1DAB"/>
    <w:rsid w:val="24C36361"/>
    <w:rsid w:val="2BA60C7C"/>
    <w:rsid w:val="2D7D7230"/>
    <w:rsid w:val="2E5F5D0A"/>
    <w:rsid w:val="30333B33"/>
    <w:rsid w:val="32DC75D9"/>
    <w:rsid w:val="33B2182B"/>
    <w:rsid w:val="34457B7A"/>
    <w:rsid w:val="35805905"/>
    <w:rsid w:val="384A44CF"/>
    <w:rsid w:val="38832E48"/>
    <w:rsid w:val="3B912DB6"/>
    <w:rsid w:val="3D13618C"/>
    <w:rsid w:val="3D9B3B9C"/>
    <w:rsid w:val="42724F6D"/>
    <w:rsid w:val="43A97E2D"/>
    <w:rsid w:val="44795B7B"/>
    <w:rsid w:val="45A62670"/>
    <w:rsid w:val="48604A4C"/>
    <w:rsid w:val="49B844E2"/>
    <w:rsid w:val="4B9771F8"/>
    <w:rsid w:val="4EAE3FFB"/>
    <w:rsid w:val="52752385"/>
    <w:rsid w:val="590D47D4"/>
    <w:rsid w:val="59D0513E"/>
    <w:rsid w:val="5B317953"/>
    <w:rsid w:val="5B4408C8"/>
    <w:rsid w:val="5B511F23"/>
    <w:rsid w:val="5C42454F"/>
    <w:rsid w:val="5F46651C"/>
    <w:rsid w:val="6046210A"/>
    <w:rsid w:val="60C26415"/>
    <w:rsid w:val="62CD22A6"/>
    <w:rsid w:val="63C37761"/>
    <w:rsid w:val="640566A4"/>
    <w:rsid w:val="643759AB"/>
    <w:rsid w:val="64FF5DE8"/>
    <w:rsid w:val="656905D6"/>
    <w:rsid w:val="665B025D"/>
    <w:rsid w:val="67816412"/>
    <w:rsid w:val="67E12A5F"/>
    <w:rsid w:val="6F5E5691"/>
    <w:rsid w:val="71DD3CF9"/>
    <w:rsid w:val="731B0078"/>
    <w:rsid w:val="74B17BD1"/>
    <w:rsid w:val="750D0241"/>
    <w:rsid w:val="7B5226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434</Words>
  <Characters>2478</Characters>
  <Lines>20</Lines>
  <Paragraphs>5</Paragraphs>
  <TotalTime>15</TotalTime>
  <ScaleCrop>false</ScaleCrop>
  <LinksUpToDate>false</LinksUpToDate>
  <CharactersWithSpaces>2907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2019-02-01T02:42:00Z</dcterms:created>
  <dc:creator>sky</dc:creator>
  <cp:lastModifiedBy>admin</cp:lastModifiedBy>
  <cp:lastPrinted>2019-07-22T08:21:26Z</cp:lastPrinted>
  <dcterms:modified xsi:type="dcterms:W3CDTF">2019-07-22T08:32:36Z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_DocHome">
    <vt:i4>-1644690289</vt:i4>
  </property>
</Properties>
</file>