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color w:val="353937"/>
          <w:kern w:val="0"/>
          <w:sz w:val="28"/>
          <w:szCs w:val="28"/>
        </w:rPr>
      </w:pPr>
      <w:r>
        <w:rPr>
          <w:rFonts w:hint="eastAsia" w:ascii="仿宋_GB2312" w:eastAsia="仿宋_GB2312"/>
          <w:color w:val="353937"/>
          <w:kern w:val="0"/>
          <w:sz w:val="28"/>
          <w:szCs w:val="28"/>
        </w:rPr>
        <w:t>岳</w:t>
      </w:r>
      <w:r>
        <w:rPr>
          <w:rFonts w:ascii="仿宋_GB2312" w:eastAsia="仿宋_GB2312"/>
          <w:color w:val="353937"/>
          <w:kern w:val="0"/>
          <w:sz w:val="28"/>
          <w:szCs w:val="28"/>
        </w:rPr>
        <w:t>环评</w:t>
      </w:r>
      <w:r>
        <w:rPr>
          <w:rFonts w:hint="eastAsia" w:ascii="仿宋_GB2312" w:eastAsia="仿宋_GB2312"/>
          <w:color w:val="353937"/>
          <w:kern w:val="0"/>
          <w:sz w:val="28"/>
          <w:szCs w:val="28"/>
        </w:rPr>
        <w:t xml:space="preserve"> [201</w:t>
      </w:r>
      <w:r>
        <w:rPr>
          <w:rFonts w:ascii="仿宋_GB2312" w:eastAsia="仿宋_GB2312"/>
          <w:color w:val="353937"/>
          <w:kern w:val="0"/>
          <w:sz w:val="28"/>
          <w:szCs w:val="28"/>
        </w:rPr>
        <w:t>9</w:t>
      </w:r>
      <w:r>
        <w:rPr>
          <w:rFonts w:hint="eastAsia" w:ascii="仿宋_GB2312" w:eastAsia="仿宋_GB2312"/>
          <w:color w:val="353937"/>
          <w:kern w:val="0"/>
          <w:sz w:val="28"/>
          <w:szCs w:val="28"/>
        </w:rPr>
        <w:t>]</w:t>
      </w:r>
      <w:del w:id="0" w:author="admin" w:date="2019-08-19T17:48:49Z">
        <w:r>
          <w:rPr>
            <w:rFonts w:hint="default" w:ascii="仿宋_GB2312" w:eastAsia="仿宋_GB2312"/>
            <w:color w:val="353937"/>
            <w:kern w:val="0"/>
            <w:sz w:val="28"/>
            <w:szCs w:val="28"/>
            <w:lang w:val="en-US"/>
          </w:rPr>
          <w:delText xml:space="preserve"> </w:delText>
        </w:r>
      </w:del>
      <w:ins w:id="1" w:author="admin" w:date="2019-08-19T17:48:49Z">
        <w:r>
          <w:rPr>
            <w:rFonts w:hint="eastAsia" w:ascii="仿宋_GB2312" w:eastAsia="仿宋_GB2312"/>
            <w:color w:val="353937"/>
            <w:kern w:val="0"/>
            <w:sz w:val="28"/>
            <w:szCs w:val="28"/>
            <w:lang w:val="en-US" w:eastAsia="zh-CN"/>
          </w:rPr>
          <w:t>1</w:t>
        </w:r>
      </w:ins>
      <w:ins w:id="2" w:author="admin" w:date="2019-08-19T17:48:50Z">
        <w:r>
          <w:rPr>
            <w:rFonts w:hint="eastAsia" w:ascii="仿宋_GB2312" w:eastAsia="仿宋_GB2312"/>
            <w:color w:val="353937"/>
            <w:kern w:val="0"/>
            <w:sz w:val="28"/>
            <w:szCs w:val="28"/>
            <w:lang w:val="en-US" w:eastAsia="zh-CN"/>
          </w:rPr>
          <w:t>27</w:t>
        </w:r>
      </w:ins>
      <w:r>
        <w:rPr>
          <w:rFonts w:hint="eastAsia" w:ascii="仿宋_GB2312" w:eastAsia="仿宋_GB2312"/>
          <w:color w:val="353937"/>
          <w:kern w:val="0"/>
          <w:sz w:val="28"/>
          <w:szCs w:val="28"/>
        </w:rPr>
        <w:t>号</w:t>
      </w:r>
    </w:p>
    <w:p>
      <w:pPr>
        <w:spacing w:line="460" w:lineRule="exact"/>
        <w:jc w:val="center"/>
        <w:rPr>
          <w:rFonts w:ascii="宋体" w:hAnsi="宋体"/>
          <w:b/>
          <w:spacing w:val="-2"/>
          <w:kern w:val="0"/>
          <w:sz w:val="36"/>
          <w:szCs w:val="36"/>
          <w:lang w:val="zh-CN"/>
        </w:rPr>
      </w:pPr>
      <w:r>
        <w:rPr>
          <w:rFonts w:ascii="宋体" w:hAnsi="宋体" w:cs="Times New Roman"/>
          <w:b/>
          <w:sz w:val="36"/>
          <w:szCs w:val="36"/>
        </w:rPr>
        <w:t>关于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湖南优冠体育材料有限公司</w:t>
      </w:r>
      <w:r>
        <w:rPr>
          <w:rFonts w:hint="eastAsia" w:ascii="宋体" w:hAnsi="宋体"/>
          <w:b/>
          <w:spacing w:val="-2"/>
          <w:kern w:val="0"/>
          <w:sz w:val="36"/>
          <w:szCs w:val="36"/>
          <w:lang w:val="zh-CN"/>
        </w:rPr>
        <w:t>年产环氧地坪材料13000吨、人造草坪300万m</w:t>
      </w:r>
      <w:r>
        <w:rPr>
          <w:rFonts w:hint="eastAsia" w:ascii="宋体" w:hAnsi="宋体"/>
          <w:b/>
          <w:spacing w:val="-2"/>
          <w:kern w:val="0"/>
          <w:sz w:val="36"/>
          <w:szCs w:val="36"/>
          <w:vertAlign w:val="superscript"/>
          <w:lang w:val="zh-CN"/>
        </w:rPr>
        <w:t>2</w:t>
      </w:r>
      <w:r>
        <w:rPr>
          <w:rFonts w:hint="eastAsia" w:ascii="宋体" w:hAnsi="宋体"/>
          <w:b/>
          <w:spacing w:val="-2"/>
          <w:kern w:val="0"/>
          <w:sz w:val="36"/>
          <w:szCs w:val="36"/>
          <w:lang w:val="zh-CN"/>
        </w:rPr>
        <w:t>、幼教设备15万件项目</w:t>
      </w:r>
    </w:p>
    <w:p>
      <w:pPr>
        <w:spacing w:line="460" w:lineRule="exact"/>
        <w:jc w:val="center"/>
        <w:rPr>
          <w:rFonts w:ascii="宋体" w:hAnsi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</w:rPr>
        <w:t>环境影响</w:t>
      </w:r>
      <w:r>
        <w:rPr>
          <w:rFonts w:ascii="宋体" w:hAnsi="宋体" w:cs="Times New Roman"/>
          <w:b/>
          <w:sz w:val="36"/>
          <w:szCs w:val="36"/>
        </w:rPr>
        <w:t>报告书的批复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60" w:lineRule="exac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湖南优冠体育材料有限公司：</w:t>
      </w:r>
    </w:p>
    <w:p>
      <w:pPr>
        <w:autoSpaceDE w:val="0"/>
        <w:autoSpaceDN w:val="0"/>
        <w:adjustRightInd w:val="0"/>
        <w:snapToGrid w:val="0"/>
        <w:spacing w:line="4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你公司</w:t>
      </w:r>
      <w:r>
        <w:rPr>
          <w:rFonts w:hint="eastAsia" w:ascii="仿宋" w:hAnsi="仿宋" w:eastAsia="仿宋"/>
          <w:sz w:val="32"/>
          <w:szCs w:val="32"/>
        </w:rPr>
        <w:t>《关于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湖南优冠体育材料有限公司</w:t>
      </w:r>
      <w:r>
        <w:rPr>
          <w:rFonts w:hint="eastAsia" w:ascii="仿宋" w:hAnsi="仿宋" w:eastAsia="仿宋"/>
          <w:sz w:val="32"/>
          <w:szCs w:val="32"/>
        </w:rPr>
        <w:t>年产环氧地坪材料13000吨、人造草坪300万m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、幼教设备15万件项目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办理环评批复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的申请函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》、岳阳市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生态环境局汨罗分局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的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预审意见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已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收悉。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经研究，批复如下：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一、湖南优冠体育材料有限公司拟投资26658.11万元在汨罗高新技术产业开发区弼时片区优冠公司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现有厂区西侧</w:t>
      </w:r>
      <w:bookmarkStart w:id="0" w:name="_GoBack"/>
      <w:bookmarkEnd w:id="0"/>
      <w:r>
        <w:rPr>
          <w:rFonts w:ascii="仿宋" w:hAnsi="仿宋" w:eastAsia="仿宋"/>
          <w:color w:val="000000"/>
          <w:kern w:val="0"/>
          <w:sz w:val="32"/>
          <w:szCs w:val="32"/>
        </w:rPr>
        <w:t>建设</w:t>
      </w:r>
      <w:r>
        <w:rPr>
          <w:rFonts w:hint="eastAsia" w:ascii="仿宋" w:hAnsi="仿宋" w:eastAsia="仿宋"/>
          <w:sz w:val="32"/>
          <w:szCs w:val="32"/>
        </w:rPr>
        <w:t>年产环氧地坪材料13000吨、人造草坪300万m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、幼教设备15万件项目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总占地面积</w:t>
      </w:r>
      <w:r>
        <w:rPr>
          <w:rFonts w:ascii="仿宋" w:hAnsi="仿宋" w:eastAsia="仿宋"/>
          <w:sz w:val="32"/>
          <w:szCs w:val="32"/>
        </w:rPr>
        <w:t>80000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，总</w:t>
      </w:r>
      <w:r>
        <w:rPr>
          <w:rFonts w:ascii="仿宋" w:hAnsi="仿宋" w:eastAsia="仿宋"/>
          <w:sz w:val="32"/>
          <w:szCs w:val="32"/>
        </w:rPr>
        <w:t>建筑面积41936</w:t>
      </w:r>
      <w:r>
        <w:rPr>
          <w:rFonts w:hint="eastAsia" w:ascii="仿宋" w:hAnsi="仿宋" w:eastAsia="仿宋"/>
          <w:sz w:val="32"/>
          <w:szCs w:val="32"/>
        </w:rPr>
        <w:t xml:space="preserve"> 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。项目以塑料粒子/色母粒为原料，通过挤出成丝、水热延展、盘丝收卷、捻丝成股、涂胶烘烤等工序，生产人造草坪300万m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/年；以环氧树脂、各类辅料为原料，通过分散、研磨、搅拌等工序，生产环氧地坪材料13000吨/年；以木方、板材为主要原料，通过锯床、刨、铣、钻、磨、雕花、喷漆、自然晾干等工序，生产木制家具10万件/年；以优质PP、PE颗粒为主要原料，通过注塑、脱模、手工去毛刺等工序，生产塑胶健身器材1万件/年；以钢管、钢材为主要原料，通过机加工、脱脂、喷塑、烘烤固化等工序，生产金属健身器材4万件/年。主要建设内容为：环氧地坪车间1栋、人造</w:t>
      </w:r>
      <w:r>
        <w:rPr>
          <w:rFonts w:ascii="仿宋" w:hAnsi="仿宋" w:eastAsia="仿宋"/>
          <w:sz w:val="32"/>
          <w:szCs w:val="32"/>
        </w:rPr>
        <w:t>草坪车间</w:t>
      </w:r>
      <w:r>
        <w:rPr>
          <w:rFonts w:hint="eastAsia" w:ascii="仿宋" w:hAnsi="仿宋" w:eastAsia="仿宋"/>
          <w:sz w:val="32"/>
          <w:szCs w:val="32"/>
        </w:rPr>
        <w:t>1栋</w:t>
      </w:r>
      <w:r>
        <w:rPr>
          <w:rFonts w:ascii="仿宋" w:hAnsi="仿宋" w:eastAsia="仿宋"/>
          <w:sz w:val="32"/>
          <w:szCs w:val="32"/>
        </w:rPr>
        <w:t>、幼教产品车间3</w:t>
      </w:r>
      <w:r>
        <w:rPr>
          <w:rFonts w:hint="eastAsia" w:ascii="仿宋" w:hAnsi="仿宋" w:eastAsia="仿宋"/>
          <w:sz w:val="32"/>
          <w:szCs w:val="32"/>
        </w:rPr>
        <w:t>栋、</w:t>
      </w:r>
      <w:r>
        <w:rPr>
          <w:rFonts w:ascii="仿宋" w:hAnsi="仿宋" w:eastAsia="仿宋"/>
          <w:sz w:val="32"/>
          <w:szCs w:val="32"/>
        </w:rPr>
        <w:t>临时中转库房</w:t>
      </w:r>
      <w:r>
        <w:rPr>
          <w:rFonts w:hint="eastAsia" w:ascii="仿宋" w:hAnsi="仿宋" w:eastAsia="仿宋"/>
          <w:sz w:val="32"/>
          <w:szCs w:val="32"/>
        </w:rPr>
        <w:t>3栋、锅炉房、设备间、成品库、配套</w:t>
      </w:r>
      <w:r>
        <w:rPr>
          <w:rFonts w:ascii="仿宋" w:hAnsi="仿宋" w:eastAsia="仿宋"/>
          <w:sz w:val="32"/>
          <w:szCs w:val="32"/>
        </w:rPr>
        <w:t>废气处理设施、</w:t>
      </w:r>
      <w:r>
        <w:rPr>
          <w:rFonts w:hint="eastAsia" w:ascii="仿宋" w:hAnsi="仿宋" w:eastAsia="仿宋"/>
          <w:sz w:val="32"/>
          <w:szCs w:val="32"/>
        </w:rPr>
        <w:t>应急</w:t>
      </w:r>
      <w:r>
        <w:rPr>
          <w:rFonts w:ascii="仿宋" w:hAnsi="仿宋" w:eastAsia="仿宋"/>
          <w:sz w:val="32"/>
          <w:szCs w:val="32"/>
        </w:rPr>
        <w:t>事故池、初期雨水池</w:t>
      </w:r>
      <w:r>
        <w:rPr>
          <w:rFonts w:hint="eastAsia" w:ascii="仿宋" w:hAnsi="仿宋" w:eastAsia="仿宋"/>
          <w:sz w:val="32"/>
          <w:szCs w:val="32"/>
        </w:rPr>
        <w:t>等。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根据中机国际工程设计研究院有限责任公司编制的《湖南优冠体育材料有限公司</w:t>
      </w:r>
      <w:r>
        <w:rPr>
          <w:rFonts w:hint="eastAsia" w:ascii="仿宋" w:hAnsi="仿宋" w:eastAsia="仿宋"/>
          <w:sz w:val="32"/>
          <w:szCs w:val="32"/>
        </w:rPr>
        <w:t>年产环氧地坪材料13000吨、人造草坪300万m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、幼教设备15万件项目环境影响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报告书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》（报批稿）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结论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专家审查意见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及岳阳市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生态环境局汨罗分局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的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预审意见</w:t>
      </w:r>
      <w:r>
        <w:rPr>
          <w:rFonts w:ascii="Times New Roman" w:hAnsi="Times New Roman" w:eastAsia="仿宋" w:cs="Times New Roman"/>
          <w:sz w:val="32"/>
          <w:szCs w:val="32"/>
        </w:rPr>
        <w:t>，综合考虑，我局原则同意你公司环境影响报告书中所列建设项目的性质、规模、工艺、地点和环境保护对策措施。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你公司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在工程设计、建设和运行管理中，必须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严格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执行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环保“三同时”制度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，落实报告书要求，并着重做好以下几项工作：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按照“以新带老”的要求，解决现有环境问题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切实做好施工期环境保护工作。尽量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缩短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施工期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合理安排高噪声设备的作业时间，施工期间的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场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界噪声须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满足《建筑施工场界环境噪声排放标准》（GB12523-2011）要求；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使用商品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沥青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、混凝土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采取洒水、覆盖篷布和设置防尘网等防尘措施，减少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施工扬尘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污染；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施工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废水经预处理后回用于施工场地洒水降尘，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不外排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；弃土交由渣土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管理部门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统一处置，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项目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建设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不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单独设取土场、弃土场。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3、</w:t>
      </w:r>
      <w:r>
        <w:rPr>
          <w:rFonts w:ascii="Times New Roman" w:hAnsi="仿宋" w:eastAsia="仿宋" w:cs="Times New Roman"/>
          <w:sz w:val="32"/>
          <w:szCs w:val="32"/>
        </w:rPr>
        <w:t>废水污染防治工作。严格按照“雨污分流、清污分流”的原则规范设计厂区雨水及污水管网</w:t>
      </w:r>
      <w:r>
        <w:rPr>
          <w:rFonts w:hint="eastAsia" w:ascii="Times New Roman" w:hAnsi="仿宋" w:eastAsia="仿宋" w:cs="Times New Roman"/>
          <w:sz w:val="32"/>
          <w:szCs w:val="32"/>
        </w:rPr>
        <w:t>；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初期雨水收集后进入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初期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雨水收集池；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脱脂废水经预处理后回用于厂区地面洒水抑尘不外排；生活污水预处理达《污水综合排放标准》（GB8978-1996）三级标准后排入园区集中式污水处理站处理。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按照分区防控的原则落实报告书提出地下水污染防治措施，做好生产车间、应急池等区域的防腐、防渗工作，</w:t>
      </w:r>
      <w:r>
        <w:rPr>
          <w:rFonts w:hint="eastAsia" w:ascii="仿宋" w:hAnsi="仿宋" w:eastAsia="仿宋" w:cs="仿宋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废气污染防治工作。</w:t>
      </w:r>
      <w:r>
        <w:rPr>
          <w:rFonts w:hint="eastAsia" w:eastAsia="仿宋"/>
          <w:sz w:val="32"/>
          <w:szCs w:val="32"/>
        </w:rPr>
        <w:t>严格控制项目废气污染，加强日常监管，定期对设备、管道、阀门等进行维护和管理，杜绝生产过程中的跑、冒、滴、漏，最大限度减少生产过程中的废气无组织排放，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厂界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颗粒物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应满足《大气污染物综合排放标准》（GB16297-1996）表2无组织排放要求，二甲苯、VOCs应满足《工业企业挥发性有机物排放控制标准》（DB12/524-2014）表5其他行业厂界监控点浓度限值要求，非甲烷总烃应满足《家具制造行业挥发性有机物排放标准》（DB43/1355-2017）表2无组织排放限值要求；人造草坪烘胶炉有机废气经处理达到《工业企业挥发性有机物排放控制标准》（DB12/524-2014）表2中塑料制品制造行业排放要求后，经4根18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m排气筒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（DA12-15）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排放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；环氧树脂工艺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粉尘收集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后经处理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达到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《大气污染物综合排放标准》（GB16297-1996）表2二级标准后，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1根15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m排气筒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（DA16）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排放；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干粉产品工艺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粉尘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经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收集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处理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达到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《水泥工业大气污染物排放标准》（GB4915-2013）表2中散装水泥中转站及水泥制品生产特别排放限值后，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1根15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m排气筒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（DA17）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排放；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喷漆及晾干有机废气收集处理达到《家具制造行业挥发性有机物排放标准》（DB43/1355-2017）表1最高允许排放限值后，由1根15m排气筒（DA18）排放；塑胶健身器材注塑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废气经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处理达《工业企业挥发性有机物排放控制标准》（DB12/524-2014）表2中塑料制品制造行业排放要求后，经1根15m排气筒（DA19）排放；金属健身器材喷塑室粉尘除尘处理后与固化废气一同处理，达《工业企业挥发性有机物排放控制标准》（DB12/524-2014）表2中其他行业排放要求后，经1根15m排气筒（DA20）排放；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锅炉废气经处理达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《锅炉大气污染物排放标准》（GB13271-2014）表3特别排放限值后，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经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1根15m排气筒（DA21）排放。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噪声污染防治工作。采用低噪声设备，合理安排工作时间，对产生噪声的设备和工序进行合理布局，确保厂界噪声达到《工业企业厂界环境噪声排放标准》</w:t>
      </w:r>
      <w:r>
        <w:rPr>
          <w:rFonts w:ascii="Times New Roman" w:hAnsi="Times New Roman" w:eastAsia="仿宋" w:cs="Times New Roman"/>
          <w:sz w:val="32"/>
          <w:szCs w:val="32"/>
        </w:rPr>
        <w:t>(GB12348-2008)</w:t>
      </w:r>
      <w:r>
        <w:rPr>
          <w:rFonts w:ascii="Times New Roman" w:hAnsi="仿宋" w:eastAsia="仿宋" w:cs="Times New Roman"/>
          <w:sz w:val="32"/>
          <w:szCs w:val="32"/>
        </w:rPr>
        <w:t>中的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类标准要求。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、加强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固体废物管理。</w:t>
      </w:r>
      <w:r>
        <w:rPr>
          <w:rFonts w:ascii="Times New Roman" w:hAnsi="仿宋" w:eastAsia="仿宋" w:cs="Times New Roman"/>
          <w:sz w:val="32"/>
          <w:szCs w:val="32"/>
        </w:rPr>
        <w:t>按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无害化、减量化、资源化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原则，做好固体分类收集、暂存工作，建立健全固体废物产生、转运、处置管理台帐。严格按《危险废物贮存污染控制标准（</w:t>
      </w:r>
      <w:r>
        <w:rPr>
          <w:rFonts w:ascii="Times New Roman" w:hAnsi="Times New Roman" w:eastAsia="仿宋" w:cs="Times New Roman"/>
          <w:sz w:val="32"/>
          <w:szCs w:val="32"/>
        </w:rPr>
        <w:t>GB18597-2001</w:t>
      </w:r>
      <w:r>
        <w:rPr>
          <w:rFonts w:ascii="Times New Roman" w:hAnsi="仿宋" w:eastAsia="仿宋" w:cs="Times New Roman"/>
          <w:sz w:val="32"/>
          <w:szCs w:val="32"/>
        </w:rPr>
        <w:t>）》及2013年修改单要求建设危险废物暂存间，废</w:t>
      </w:r>
      <w:r>
        <w:rPr>
          <w:rFonts w:hint="eastAsia" w:ascii="Times New Roman" w:hAnsi="仿宋" w:eastAsia="仿宋" w:cs="Times New Roman"/>
          <w:sz w:val="32"/>
          <w:szCs w:val="32"/>
        </w:rPr>
        <w:t>油脂、</w:t>
      </w:r>
      <w:r>
        <w:rPr>
          <w:rFonts w:ascii="Times New Roman" w:hAnsi="仿宋" w:eastAsia="仿宋" w:cs="Times New Roman"/>
          <w:sz w:val="32"/>
          <w:szCs w:val="32"/>
        </w:rPr>
        <w:t>废</w:t>
      </w:r>
      <w:r>
        <w:rPr>
          <w:rFonts w:hint="eastAsia" w:ascii="Times New Roman" w:hAnsi="仿宋" w:eastAsia="仿宋" w:cs="Times New Roman"/>
          <w:sz w:val="32"/>
          <w:szCs w:val="32"/>
        </w:rPr>
        <w:t>原料桶、</w:t>
      </w:r>
      <w:r>
        <w:rPr>
          <w:rFonts w:ascii="Times New Roman" w:hAnsi="仿宋" w:eastAsia="仿宋" w:cs="Times New Roman"/>
          <w:sz w:val="32"/>
          <w:szCs w:val="32"/>
        </w:rPr>
        <w:t>废</w:t>
      </w:r>
      <w:r>
        <w:rPr>
          <w:rFonts w:hint="eastAsia" w:ascii="Times New Roman" w:hAnsi="仿宋" w:eastAsia="仿宋" w:cs="Times New Roman"/>
          <w:sz w:val="32"/>
          <w:szCs w:val="32"/>
        </w:rPr>
        <w:t>活性炭和设备清洗残垢应送有</w:t>
      </w:r>
      <w:r>
        <w:rPr>
          <w:rFonts w:ascii="Times New Roman" w:hAnsi="仿宋" w:eastAsia="仿宋" w:cs="Times New Roman"/>
          <w:sz w:val="32"/>
          <w:szCs w:val="32"/>
        </w:rPr>
        <w:t>资质的单位处置，</w:t>
      </w:r>
      <w:r>
        <w:rPr>
          <w:rFonts w:hint="eastAsia" w:ascii="Times New Roman" w:hAnsi="仿宋" w:eastAsia="仿宋" w:cs="Times New Roman"/>
          <w:sz w:val="32"/>
          <w:szCs w:val="32"/>
        </w:rPr>
        <w:t>并执行</w:t>
      </w:r>
      <w:r>
        <w:rPr>
          <w:rFonts w:ascii="Times New Roman" w:hAnsi="仿宋" w:eastAsia="仿宋" w:cs="Times New Roman"/>
          <w:sz w:val="32"/>
          <w:szCs w:val="32"/>
        </w:rPr>
        <w:t>转移联单制度；按《一般工业固体废物贮存、处置场污染控制标准》（GB18599-2001）及2013年修改单要求建设、贮存和运输一般固体废物</w:t>
      </w:r>
      <w:r>
        <w:rPr>
          <w:rFonts w:hint="eastAsia" w:ascii="Times New Roman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非危化品废包装材料由厂家回收，不合格品外售综合利用；生活垃圾由环卫部门定期清运处置。</w:t>
      </w:r>
    </w:p>
    <w:p>
      <w:pPr>
        <w:spacing w:line="460" w:lineRule="exact"/>
        <w:ind w:firstLine="64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7、</w:t>
      </w:r>
      <w:r>
        <w:rPr>
          <w:rFonts w:ascii="Times New Roman" w:hAnsi="仿宋" w:eastAsia="仿宋" w:cs="Times New Roman"/>
          <w:sz w:val="32"/>
          <w:szCs w:val="32"/>
        </w:rPr>
        <w:t>加强营运期风险防范。落实各项风险防范措施，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套建设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应急事故池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Times New Roman" w:hAnsi="仿宋" w:eastAsia="仿宋" w:cs="Times New Roman"/>
          <w:sz w:val="32"/>
          <w:szCs w:val="32"/>
        </w:rPr>
        <w:t>加强设施设备的维护和管理，严格按照《突发环境事件应急预案管理暂行办法》要求制定事故环境应急预案，储备风险救助物资并组织演练，杜绝环境风险事故发生。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8、</w:t>
      </w:r>
      <w:r>
        <w:rPr>
          <w:rFonts w:ascii="Times New Roman" w:hAnsi="仿宋" w:eastAsia="仿宋" w:cs="Times New Roman"/>
          <w:sz w:val="32"/>
          <w:szCs w:val="32"/>
        </w:rPr>
        <w:t>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spacing w:line="460" w:lineRule="exact"/>
        <w:ind w:firstLine="640"/>
        <w:rPr>
          <w:rFonts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9、本项目</w:t>
      </w:r>
      <w:r>
        <w:rPr>
          <w:rFonts w:ascii="Times New Roman" w:hAnsi="仿宋" w:eastAsia="仿宋" w:cs="Times New Roman"/>
          <w:sz w:val="32"/>
          <w:szCs w:val="32"/>
        </w:rPr>
        <w:t>新增总量控制指标</w:t>
      </w:r>
      <w:r>
        <w:rPr>
          <w:rFonts w:hint="eastAsia" w:ascii="Times New Roman" w:hAnsi="仿宋" w:eastAsia="仿宋" w:cs="Times New Roman"/>
          <w:sz w:val="32"/>
          <w:szCs w:val="32"/>
        </w:rPr>
        <w:t>为</w:t>
      </w:r>
      <w:r>
        <w:rPr>
          <w:rFonts w:ascii="Times New Roman" w:hAnsi="仿宋" w:eastAsia="仿宋" w:cs="Times New Roman"/>
          <w:sz w:val="32"/>
          <w:szCs w:val="32"/>
        </w:rPr>
        <w:t>：CO</w:t>
      </w:r>
      <w:r>
        <w:rPr>
          <w:rFonts w:ascii="Times New Roman" w:hAnsi="Times New Roman" w:eastAsia="仿宋" w:cs="Times New Roman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sz w:val="32"/>
          <w:szCs w:val="32"/>
        </w:rPr>
        <w:t>≤0.1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ascii="Times New Roman" w:hAnsi="仿宋" w:eastAsia="仿宋" w:cs="Times New Roman"/>
          <w:sz w:val="32"/>
          <w:szCs w:val="32"/>
        </w:rPr>
        <w:t>、</w:t>
      </w:r>
      <w:r>
        <w:rPr>
          <w:rFonts w:hint="eastAsia" w:ascii="Times New Roman" w:hAnsi="仿宋" w:eastAsia="仿宋" w:cs="Times New Roman"/>
          <w:sz w:val="32"/>
          <w:szCs w:val="32"/>
        </w:rPr>
        <w:t>NH</w:t>
      </w:r>
      <w:r>
        <w:rPr>
          <w:rFonts w:hint="eastAsia" w:ascii="Times New Roman" w:hAnsi="仿宋" w:eastAsia="仿宋" w:cs="Times New Roman"/>
          <w:sz w:val="32"/>
          <w:szCs w:val="32"/>
          <w:vertAlign w:val="subscript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-N</w:t>
      </w:r>
      <w:r>
        <w:rPr>
          <w:rFonts w:hint="eastAsia" w:ascii="Times New Roman" w:hAnsi="Times New Roman" w:eastAsia="仿宋" w:cs="Times New Roman"/>
          <w:sz w:val="32"/>
          <w:szCs w:val="32"/>
        </w:rPr>
        <w:t>≤0.1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hint="eastAsia" w:ascii="Times New Roman" w:hAnsi="仿宋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VOCs</w:t>
      </w:r>
      <w:r>
        <w:rPr>
          <w:rFonts w:hint="eastAsia" w:ascii="Times New Roman" w:hAnsi="Times New Roman" w:eastAsia="仿宋" w:cs="Times New Roman"/>
          <w:sz w:val="32"/>
          <w:szCs w:val="32"/>
        </w:rPr>
        <w:t>≤3.5</w:t>
      </w:r>
      <w:r>
        <w:rPr>
          <w:rFonts w:ascii="Times New Roman" w:hAnsi="Times New Roman" w:eastAsia="仿宋" w:cs="Times New Roman"/>
          <w:sz w:val="32"/>
          <w:szCs w:val="32"/>
        </w:rPr>
        <w:t>t/a</w:t>
      </w:r>
      <w:r>
        <w:rPr>
          <w:rFonts w:hint="eastAsia" w:ascii="Times New Roman" w:hAnsi="仿宋" w:eastAsia="仿宋" w:cs="Times New Roman"/>
          <w:sz w:val="32"/>
          <w:szCs w:val="32"/>
        </w:rPr>
        <w:t>。</w:t>
      </w:r>
    </w:p>
    <w:p>
      <w:pPr>
        <w:spacing w:line="4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三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、</w:t>
      </w:r>
      <w:r>
        <w:rPr>
          <w:rFonts w:ascii="Times New Roman" w:hAnsi="仿宋" w:eastAsia="仿宋" w:cs="Times New Roman"/>
          <w:sz w:val="32"/>
          <w:szCs w:val="32"/>
        </w:rPr>
        <w:t>你公司应收到本批复后</w:t>
      </w: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个工作日内，将批复及批准的环评报告文件送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岳阳市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生态环境局汨罗分局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、汨罗高新技术产业开发区管委会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、中机国际工程设计研究院有限责任公司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四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、由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岳阳市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生态环境局汨罗分局</w:t>
      </w:r>
      <w:r>
        <w:rPr>
          <w:rFonts w:ascii="Times New Roman" w:hAnsi="仿宋" w:eastAsia="仿宋" w:cs="Times New Roman"/>
          <w:sz w:val="32"/>
          <w:szCs w:val="32"/>
        </w:rPr>
        <w:t>负责项目建设和运营期的日常环境监管。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ind w:firstLine="5372" w:firstLineChars="1679"/>
        <w:rPr>
          <w:rFonts w:ascii="仿宋" w:hAnsi="仿宋" w:eastAsia="仿宋"/>
          <w:color w:val="000000"/>
          <w:kern w:val="0"/>
          <w:sz w:val="32"/>
          <w:szCs w:val="32"/>
        </w:rPr>
        <w:pPrChange w:id="3" w:author="admin" w:date="2019-08-19T17:51:46Z">
          <w:pPr>
            <w:spacing w:line="460" w:lineRule="exact"/>
            <w:ind w:firstLine="5280" w:firstLineChars="1650"/>
          </w:pPr>
        </w:pPrChange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岳阳市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生态环境局</w:t>
      </w:r>
    </w:p>
    <w:p>
      <w:pPr>
        <w:spacing w:line="460" w:lineRule="exact"/>
        <w:ind w:firstLine="5440" w:firstLineChars="1700"/>
        <w:rPr>
          <w:rFonts w:ascii="仿宋" w:hAnsi="仿宋" w:eastAsia="仿宋"/>
          <w:color w:val="000000"/>
          <w:kern w:val="0"/>
          <w:sz w:val="32"/>
          <w:szCs w:val="32"/>
        </w:rPr>
        <w:pPrChange w:id="4" w:author="admin" w:date="2019-08-19T17:50:42Z">
          <w:pPr>
            <w:spacing w:line="460" w:lineRule="exact"/>
            <w:ind w:firstLine="5600" w:firstLineChars="1750"/>
          </w:pPr>
        </w:pPrChange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2019年</w:t>
      </w:r>
      <w:del w:id="5" w:author="admin" w:date="2019-08-19T17:50:30Z">
        <w:r>
          <w:rPr>
            <w:rFonts w:hint="default" w:ascii="仿宋" w:hAnsi="仿宋" w:eastAsia="仿宋"/>
            <w:color w:val="000000"/>
            <w:kern w:val="0"/>
            <w:sz w:val="32"/>
            <w:szCs w:val="32"/>
            <w:lang w:val="en-US"/>
          </w:rPr>
          <w:delText xml:space="preserve">  </w:delText>
        </w:r>
      </w:del>
      <w:ins w:id="6" w:author="admin" w:date="2019-08-19T17:50:30Z">
        <w:r>
          <w:rPr>
            <w:rFonts w:hint="eastAsia" w:ascii="仿宋" w:hAnsi="仿宋" w:eastAsia="仿宋"/>
            <w:color w:val="000000"/>
            <w:kern w:val="0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del w:id="7" w:author="admin" w:date="2019-08-19T17:50:33Z">
        <w:r>
          <w:rPr>
            <w:rFonts w:hint="default" w:ascii="仿宋" w:hAnsi="仿宋" w:eastAsia="仿宋"/>
            <w:color w:val="000000"/>
            <w:kern w:val="0"/>
            <w:sz w:val="32"/>
            <w:szCs w:val="32"/>
            <w:lang w:val="en-US"/>
          </w:rPr>
          <w:delText xml:space="preserve"> </w:delText>
        </w:r>
      </w:del>
      <w:ins w:id="8" w:author="admin" w:date="2019-08-19T17:50:33Z">
        <w:r>
          <w:rPr>
            <w:rFonts w:hint="eastAsia" w:ascii="仿宋" w:hAnsi="仿宋" w:eastAsia="仿宋"/>
            <w:color w:val="000000"/>
            <w:kern w:val="0"/>
            <w:sz w:val="32"/>
            <w:szCs w:val="32"/>
            <w:lang w:val="en-US" w:eastAsia="zh-CN"/>
          </w:rPr>
          <w:t>19</w:t>
        </w:r>
      </w:ins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>
      <w:pPr>
        <w:spacing w:line="4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4"/>
        <w:tblpPr w:leftFromText="180" w:rightFromText="180" w:vertAnchor="page" w:horzAnchor="margin" w:tblpY="14328"/>
        <w:tblW w:w="885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850" w:type="dxa"/>
          </w:tcPr>
          <w:p>
            <w:pPr>
              <w:spacing w:line="50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抄送</w:t>
            </w: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岳阳市</w:t>
            </w: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生态环境局汨罗分局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、汨罗高新技术产业开发区管委会</w:t>
            </w: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、中机国际工程设计研究院有限责任公司</w:t>
            </w: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1" w:cryptProviderType="rsaAES" w:cryptAlgorithmClass="hash" w:cryptAlgorithmType="typeAny" w:cryptAlgorithmSid="14" w:cryptSpinCount="100000" w:hash="WGl2AG9ka2wjRg/wimaQ2/mnd23AXms7MDFB404P7AO8igbR/AOersMjE7VryKm8s5sdB/aDvGZYmfsCotSalg==" w:salt="Xuk/jnrcXgTAuX5SvQ2sk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B5F"/>
    <w:rsid w:val="001571E5"/>
    <w:rsid w:val="00211B5F"/>
    <w:rsid w:val="3CFB0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1374</Words>
  <Characters>1539</Characters>
  <Lines>64</Lines>
  <Paragraphs>22</Paragraphs>
  <TotalTime>23</TotalTime>
  <ScaleCrop>false</ScaleCrop>
  <LinksUpToDate>false</LinksUpToDate>
  <CharactersWithSpaces>2891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2017-03-26T11:35:00Z</dcterms:created>
  <dc:creator>ZXD</dc:creator>
  <cp:lastModifiedBy>admin</cp:lastModifiedBy>
  <dcterms:modified xsi:type="dcterms:W3CDTF">2019-08-19T09:58:11Z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