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pStyle w:val="10"/>
        <w:spacing w:line="500" w:lineRule="exact"/>
        <w:ind w:firstLine="640"/>
        <w:jc w:val="right"/>
        <w:rPr>
          <w:rFonts w:ascii="仿宋" w:hAnsi="仿宋" w:eastAsia="仿宋" w:cs="仿宋"/>
          <w:sz w:val="32"/>
          <w:szCs w:val="32"/>
        </w:rPr>
      </w:pPr>
      <w:r>
        <w:rPr>
          <w:rFonts w:hint="eastAsia" w:ascii="仿宋" w:hAnsi="仿宋" w:eastAsia="仿宋" w:cs="仿宋"/>
          <w:sz w:val="32"/>
          <w:szCs w:val="32"/>
        </w:rPr>
        <w:t>岳环评 [2019]</w:t>
      </w:r>
      <w:r>
        <w:rPr>
          <w:rFonts w:hint="eastAsia" w:ascii="仿宋" w:hAnsi="仿宋" w:eastAsia="仿宋" w:cs="仿宋"/>
          <w:sz w:val="32"/>
          <w:szCs w:val="32"/>
          <w:lang w:val="en-US" w:eastAsia="zh-CN"/>
        </w:rPr>
        <w:t>142</w:t>
      </w:r>
      <w:r>
        <w:rPr>
          <w:rFonts w:hint="eastAsia" w:ascii="仿宋" w:hAnsi="仿宋" w:eastAsia="仿宋" w:cs="仿宋"/>
          <w:sz w:val="32"/>
          <w:szCs w:val="32"/>
        </w:rPr>
        <w:t>号</w:t>
      </w:r>
    </w:p>
    <w:p>
      <w:pPr>
        <w:spacing w:line="360" w:lineRule="auto"/>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关于中国石油化工股份有限公司长岭分公司280万吨/年催化裂化装置油浆拔头设施改造完善项目</w:t>
      </w:r>
    </w:p>
    <w:p>
      <w:pPr>
        <w:spacing w:line="360" w:lineRule="auto"/>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环境影响报告书的批复</w:t>
      </w:r>
    </w:p>
    <w:p>
      <w:pPr>
        <w:pStyle w:val="10"/>
        <w:spacing w:line="500" w:lineRule="exact"/>
        <w:ind w:firstLine="0" w:firstLineChars="0"/>
        <w:jc w:val="left"/>
        <w:rPr>
          <w:rFonts w:ascii="黑体" w:hAnsi="黑体" w:eastAsia="黑体" w:cs="黑体"/>
          <w:b/>
          <w:sz w:val="36"/>
          <w:szCs w:val="36"/>
        </w:rPr>
      </w:pPr>
    </w:p>
    <w:p>
      <w:pPr>
        <w:pStyle w:val="10"/>
        <w:spacing w:line="500" w:lineRule="exact"/>
        <w:ind w:firstLine="0" w:firstLineChars="0"/>
        <w:jc w:val="left"/>
        <w:rPr>
          <w:rFonts w:ascii="仿宋" w:hAnsi="仿宋" w:eastAsia="仿宋" w:cs="仿宋"/>
          <w:sz w:val="32"/>
          <w:szCs w:val="32"/>
        </w:rPr>
      </w:pPr>
      <w:r>
        <w:rPr>
          <w:rFonts w:hint="eastAsia" w:ascii="仿宋" w:hAnsi="仿宋" w:eastAsia="仿宋" w:cs="仿宋"/>
          <w:sz w:val="32"/>
          <w:szCs w:val="32"/>
        </w:rPr>
        <w:t>中国石油化工股份有限公司长岭分公司：</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你公司《关于申请&lt;中国石油化工股份有限公司长岭分公司280万吨/年催化裂化装置油浆拔头设施改造完善项目环境影响报告书&gt;环评批复的请示》、云溪区环保分局的预审意见及有关附件收悉。经研究，批复如下：</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一、中国石油化工股份有限公司长岭分公司280万吨/年催化裂化装置油浆拔头设施改造完善项目位于云溪区中石化长岭分公司厂内。因长岭分公司燃油品质升级，生产工况发生变化，需要对催化裂化装置油浆拔头设施改造完善，以适应生产需要。项目总投资166.95万元，主要建设内容为：扩大催化裂化装置油浆拔头设施部分管线的管径，增加部分流量计、调节阀等自控设备，更换换热器，增设油浆蒸汽发生器出口管线至焦化装置等，环保、公用及辅助工程均依托现有。根据湖南景玺环保科技有限公司编制的《中国石油化工股份有限公司长岭分公司 280万吨/年催化裂化装置油浆拔头设施改造完善项目环境影响报告书（报批稿）》基本内容、结论、专家评审意见及云溪区环保分局预审意见，综合考虑，我局原则同意你公司环境影响报告书中所列建设项目的性质、规模、工艺、地点和环境保护对策措施。</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二、项目建设和营运期须全面落实专家及环境影响报告书中提出的各项污染防治措施，并应着重注意以下问题：</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1、落实“以新带老”的要求，解决现有环境问题。现有项目设施设备拆除前应妥善处理，不得随意丢弃。</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2、废气污染防治工作。项目应采取密闭生产装置和设备，加强日常监管和维护，定期对设备、机泵、管道、阀门、法兰等进行检测和修复，杜绝生产过程中的跑、冒、滴、漏，最大限度减少生产过程中的废气无组织排放，无组织排放的VOCs应满足《石油炼制工业污染物排放标准》（GB31570-2015）表5厂界标准限值及《挥发性有机物无组织排放控制标准》(GB 37822-2019)中相关要求。项目产生的不凝气经收集后，进入火炬系统气柜，在正常工况下，不凝气经处理后并入燃料气管网，事故工况下，则导入火炬头燃烧。</w:t>
      </w:r>
      <w:bookmarkStart w:id="0" w:name="_GoBack"/>
      <w:bookmarkEnd w:id="0"/>
    </w:p>
    <w:p>
      <w:pPr>
        <w:pStyle w:val="10"/>
        <w:spacing w:line="500" w:lineRule="exact"/>
        <w:ind w:firstLine="640"/>
        <w:rPr>
          <w:rFonts w:ascii="仿宋_GB2312" w:hAnsi="仿宋_GB2312" w:eastAsia="仿宋_GB2312" w:cs="仿宋_GB2312"/>
          <w:spacing w:val="-9"/>
          <w:sz w:val="32"/>
          <w:szCs w:val="32"/>
        </w:rPr>
      </w:pPr>
      <w:r>
        <w:rPr>
          <w:rFonts w:hint="eastAsia" w:ascii="仿宋" w:hAnsi="仿宋" w:eastAsia="仿宋" w:cs="仿宋"/>
          <w:sz w:val="32"/>
          <w:szCs w:val="32"/>
        </w:rPr>
        <w:t>3、废水污染防治工作。严格按照“雨污分流、清污分流”的原则完善厂区雨污水管网，确保项目区废水得到有效收集。污水罐含油污水、地面清洗废水及初期雨水经长岭分公司污水处理厂处理后外排，外排废水在2020年10月31日前应满足</w:t>
      </w:r>
      <w:r>
        <w:rPr>
          <w:rFonts w:hint="eastAsia" w:ascii="仿宋_GB2312" w:hAnsi="仿宋_GB2312" w:eastAsia="仿宋_GB2312" w:cs="仿宋_GB2312"/>
          <w:spacing w:val="-9"/>
          <w:sz w:val="32"/>
          <w:szCs w:val="32"/>
        </w:rPr>
        <w:t>《石油炼制工业污染物排放标准》（GB31570-2015）表1直接排放限值，之后应满足表2特别排放限值中的直接排放限值。</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按照分区防控的原则落实报告书提出地下水污染防治措施，避免由于物料泄漏造成污染物下渗污染地下水；根据《环境影响评价技术导则地下水环境》（HJ610-2016）要求，跟踪监测地下水质情况，确保地下水环境安全。</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4、噪声污染防治工作。采用低噪声设备，采取基础减振等措施控制噪声，确保厂界噪声满足《工业企业厂界环境噪声排放标准》(GB12348-2008)中3类标准要求。</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5、固体废物防治工作。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w:t>
      </w:r>
      <w:r>
        <w:rPr>
          <w:rFonts w:hint="eastAsia" w:ascii="仿宋" w:hAnsi="仿宋" w:eastAsia="仿宋" w:cs="仿宋"/>
          <w:sz w:val="32"/>
          <w:szCs w:val="32"/>
        </w:rPr>
        <w:t>废润滑油等危险废物</w:t>
      </w:r>
      <w:r>
        <w:rPr>
          <w:rFonts w:hint="eastAsia" w:ascii="Times New Roman" w:hAnsi="仿宋" w:eastAsia="仿宋" w:cs="Times New Roman"/>
          <w:sz w:val="32"/>
          <w:szCs w:val="32"/>
        </w:rPr>
        <w:t>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w:t>
      </w:r>
      <w:r>
        <w:rPr>
          <w:rFonts w:hint="eastAsia" w:ascii="仿宋" w:hAnsi="仿宋" w:eastAsia="仿宋" w:cs="仿宋"/>
          <w:sz w:val="32"/>
          <w:szCs w:val="32"/>
        </w:rPr>
        <w:t>收集贮存后交有资质单位处置，</w:t>
      </w:r>
      <w:r>
        <w:rPr>
          <w:rFonts w:hint="eastAsia" w:ascii="Times New Roman" w:hAnsi="仿宋" w:eastAsia="仿宋" w:cs="Times New Roman"/>
          <w:sz w:val="32"/>
          <w:szCs w:val="32"/>
        </w:rPr>
        <w:t>并执行转移联单制度</w:t>
      </w:r>
      <w:r>
        <w:rPr>
          <w:rFonts w:hint="eastAsia" w:ascii="仿宋" w:hAnsi="仿宋" w:eastAsia="仿宋" w:cs="仿宋"/>
          <w:sz w:val="32"/>
          <w:szCs w:val="32"/>
        </w:rPr>
        <w:t>。</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6、加强营运期风险防范。落实各项风险防范措施和管理措施，加强设施设备的维护和管理。严格按照《突发环境事件应急预案管理暂行办法》修改完善突发环境事件应急预案，</w:t>
      </w:r>
      <w:r>
        <w:rPr>
          <w:rFonts w:ascii="Times New Roman" w:hAnsi="Times New Roman" w:eastAsia="仿宋" w:cs="Times New Roman"/>
          <w:sz w:val="32"/>
          <w:szCs w:val="32"/>
        </w:rPr>
        <w:t>储备风险救助物资并组织演练，杜绝环境风险事故发生。</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7、加强环境管理，建立健全的污染防治设施运行管理台帐，设专门的环保人员，确保各项污染防治设施正常运行，各类污染物稳定达标排放。</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三、你公司应在收到本批复后15个工作日内，将批复及批准的环评文件送云溪区环保分局、湖南景玺环保科技有限公司。</w:t>
      </w:r>
    </w:p>
    <w:p>
      <w:pPr>
        <w:pStyle w:val="10"/>
        <w:spacing w:line="500" w:lineRule="exact"/>
        <w:ind w:firstLine="640"/>
        <w:rPr>
          <w:rFonts w:ascii="仿宋" w:hAnsi="仿宋" w:eastAsia="仿宋" w:cs="仿宋"/>
          <w:sz w:val="32"/>
          <w:szCs w:val="32"/>
        </w:rPr>
      </w:pPr>
      <w:r>
        <w:rPr>
          <w:rFonts w:hint="eastAsia" w:ascii="仿宋" w:hAnsi="仿宋" w:eastAsia="仿宋" w:cs="仿宋"/>
          <w:sz w:val="32"/>
          <w:szCs w:val="32"/>
        </w:rPr>
        <w:t>四、请云溪区环保分局负责项目建设和运营期的日常环境监管。</w:t>
      </w:r>
    </w:p>
    <w:p>
      <w:pPr>
        <w:pStyle w:val="10"/>
        <w:spacing w:line="500" w:lineRule="exact"/>
        <w:ind w:firstLine="640"/>
        <w:rPr>
          <w:rFonts w:ascii="仿宋" w:hAnsi="仿宋" w:eastAsia="仿宋" w:cs="仿宋"/>
          <w:sz w:val="32"/>
          <w:szCs w:val="32"/>
        </w:rPr>
      </w:pPr>
    </w:p>
    <w:p>
      <w:pPr>
        <w:pStyle w:val="10"/>
        <w:spacing w:line="500" w:lineRule="exact"/>
        <w:ind w:firstLine="640"/>
        <w:rPr>
          <w:rFonts w:ascii="仿宋" w:hAnsi="仿宋" w:eastAsia="仿宋" w:cs="仿宋"/>
          <w:sz w:val="32"/>
          <w:szCs w:val="32"/>
        </w:rPr>
      </w:pPr>
    </w:p>
    <w:p>
      <w:pPr>
        <w:pStyle w:val="10"/>
        <w:spacing w:line="500" w:lineRule="exact"/>
        <w:ind w:firstLine="640"/>
        <w:jc w:val="center"/>
        <w:rPr>
          <w:rFonts w:ascii="仿宋" w:hAnsi="仿宋" w:eastAsia="仿宋" w:cs="仿宋"/>
          <w:sz w:val="32"/>
          <w:szCs w:val="32"/>
        </w:rPr>
      </w:pPr>
      <w:r>
        <w:rPr>
          <w:rFonts w:hint="eastAsia" w:ascii="仿宋" w:hAnsi="仿宋" w:eastAsia="仿宋" w:cs="仿宋"/>
          <w:sz w:val="32"/>
          <w:szCs w:val="32"/>
        </w:rPr>
        <w:t xml:space="preserve">                      岳阳市生态环境局</w:t>
      </w:r>
    </w:p>
    <w:p>
      <w:pPr>
        <w:pStyle w:val="10"/>
        <w:spacing w:line="500" w:lineRule="exact"/>
        <w:ind w:firstLine="640"/>
        <w:jc w:val="center"/>
        <w:rPr>
          <w:rFonts w:ascii="仿宋" w:hAnsi="仿宋" w:eastAsia="仿宋" w:cs="仿宋"/>
          <w:sz w:val="32"/>
          <w:szCs w:val="32"/>
        </w:rPr>
      </w:pPr>
      <w:r>
        <w:rPr>
          <w:rFonts w:hint="eastAsia" w:ascii="仿宋" w:hAnsi="仿宋" w:eastAsia="仿宋" w:cs="仿宋"/>
          <w:sz w:val="32"/>
          <w:szCs w:val="32"/>
        </w:rPr>
        <w:t xml:space="preserve">                      2019年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tbl>
      <w:tblPr>
        <w:tblStyle w:val="5"/>
        <w:tblpPr w:leftFromText="180" w:rightFromText="180" w:vertAnchor="text" w:horzAnchor="page" w:tblpX="1683" w:tblpY="2736"/>
        <w:tblW w:w="879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9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557" w:hRule="atLeast"/>
        </w:trPr>
        <w:tc>
          <w:tcPr>
            <w:tcW w:w="8793" w:type="dxa"/>
          </w:tcPr>
          <w:p>
            <w:pPr>
              <w:spacing w:after="156" w:afterLines="50" w:line="500" w:lineRule="exact"/>
              <w:ind w:left="924" w:hanging="924" w:hangingChars="300"/>
              <w:jc w:val="left"/>
              <w:rPr>
                <w:rFonts w:ascii="仿宋" w:hAnsi="仿宋" w:eastAsia="仿宋" w:cs="Times New Roman"/>
                <w:spacing w:val="-6"/>
                <w:kern w:val="0"/>
                <w:sz w:val="32"/>
                <w:szCs w:val="32"/>
              </w:rPr>
            </w:pPr>
            <w:r>
              <w:rPr>
                <w:rFonts w:hint="eastAsia" w:ascii="仿宋" w:hAnsi="仿宋" w:eastAsia="仿宋" w:cs="Times New Roman"/>
                <w:spacing w:val="-6"/>
                <w:kern w:val="0"/>
                <w:sz w:val="32"/>
                <w:szCs w:val="32"/>
              </w:rPr>
              <w:t>抄送：云溪区环保分局</w:t>
            </w:r>
            <w:r>
              <w:rPr>
                <w:rFonts w:ascii="仿宋" w:hAnsi="仿宋" w:eastAsia="仿宋" w:cs="Times New Roman"/>
                <w:bCs/>
                <w:spacing w:val="-6"/>
                <w:kern w:val="0"/>
                <w:sz w:val="32"/>
                <w:szCs w:val="32"/>
              </w:rPr>
              <w:t>、</w:t>
            </w:r>
            <w:r>
              <w:rPr>
                <w:rFonts w:hint="eastAsia" w:ascii="仿宋" w:hAnsi="仿宋" w:eastAsia="仿宋" w:cs="_4eff_5b8b_GB2312"/>
                <w:bCs/>
                <w:kern w:val="0"/>
                <w:sz w:val="32"/>
                <w:szCs w:val="32"/>
              </w:rPr>
              <w:t>湖南景玺环保科技有限公司</w:t>
            </w:r>
          </w:p>
        </w:tc>
      </w:tr>
    </w:tbl>
    <w:p>
      <w:pPr>
        <w:pStyle w:val="10"/>
        <w:spacing w:line="500" w:lineRule="exact"/>
        <w:ind w:firstLine="640"/>
        <w:rPr>
          <w:rFonts w:ascii="仿宋" w:hAnsi="仿宋" w:eastAsia="仿宋" w:cs="仿宋"/>
          <w:sz w:val="32"/>
          <w:szCs w:val="32"/>
        </w:rPr>
      </w:pPr>
    </w:p>
    <w:sectPr>
      <w:footerReference r:id="rId3" w:type="default"/>
      <w:pgSz w:w="11906" w:h="16838"/>
      <w:pgMar w:top="1440" w:right="1576" w:bottom="1440" w:left="163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739344"/>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43"/>
    <w:rsid w:val="00014E22"/>
    <w:rsid w:val="00043122"/>
    <w:rsid w:val="00046E69"/>
    <w:rsid w:val="00047FF9"/>
    <w:rsid w:val="00056777"/>
    <w:rsid w:val="00057F9B"/>
    <w:rsid w:val="000B3A00"/>
    <w:rsid w:val="00105582"/>
    <w:rsid w:val="001065F8"/>
    <w:rsid w:val="00106AED"/>
    <w:rsid w:val="001273E3"/>
    <w:rsid w:val="001350E5"/>
    <w:rsid w:val="00136472"/>
    <w:rsid w:val="001852A2"/>
    <w:rsid w:val="00186284"/>
    <w:rsid w:val="00194C59"/>
    <w:rsid w:val="001A7E9C"/>
    <w:rsid w:val="001B5F26"/>
    <w:rsid w:val="001B6D2C"/>
    <w:rsid w:val="00217DC1"/>
    <w:rsid w:val="002242B1"/>
    <w:rsid w:val="002B01E3"/>
    <w:rsid w:val="002B2A0D"/>
    <w:rsid w:val="002C0705"/>
    <w:rsid w:val="002C739B"/>
    <w:rsid w:val="0030014E"/>
    <w:rsid w:val="003103FA"/>
    <w:rsid w:val="003333DB"/>
    <w:rsid w:val="0038301E"/>
    <w:rsid w:val="003968F6"/>
    <w:rsid w:val="003B54AD"/>
    <w:rsid w:val="00433101"/>
    <w:rsid w:val="004549B8"/>
    <w:rsid w:val="004629A1"/>
    <w:rsid w:val="004E07DA"/>
    <w:rsid w:val="004E0CD6"/>
    <w:rsid w:val="004F4D70"/>
    <w:rsid w:val="005103F4"/>
    <w:rsid w:val="00527EC0"/>
    <w:rsid w:val="005476C8"/>
    <w:rsid w:val="00552ACE"/>
    <w:rsid w:val="005853E2"/>
    <w:rsid w:val="005E277D"/>
    <w:rsid w:val="00626763"/>
    <w:rsid w:val="006775A9"/>
    <w:rsid w:val="00695341"/>
    <w:rsid w:val="006C315B"/>
    <w:rsid w:val="006E714F"/>
    <w:rsid w:val="0072213C"/>
    <w:rsid w:val="007338EA"/>
    <w:rsid w:val="00746BB9"/>
    <w:rsid w:val="007556F0"/>
    <w:rsid w:val="00767612"/>
    <w:rsid w:val="00770E85"/>
    <w:rsid w:val="007C19C0"/>
    <w:rsid w:val="007D459C"/>
    <w:rsid w:val="007E5EC7"/>
    <w:rsid w:val="00806F84"/>
    <w:rsid w:val="00811C6D"/>
    <w:rsid w:val="0081265B"/>
    <w:rsid w:val="00822865"/>
    <w:rsid w:val="0083008C"/>
    <w:rsid w:val="00853CC4"/>
    <w:rsid w:val="00882EF7"/>
    <w:rsid w:val="008B319C"/>
    <w:rsid w:val="008C7C51"/>
    <w:rsid w:val="00944F3B"/>
    <w:rsid w:val="00962246"/>
    <w:rsid w:val="009B5439"/>
    <w:rsid w:val="009E1F15"/>
    <w:rsid w:val="009E6ECC"/>
    <w:rsid w:val="00A246CA"/>
    <w:rsid w:val="00A724D9"/>
    <w:rsid w:val="00A81FAC"/>
    <w:rsid w:val="00A83A1D"/>
    <w:rsid w:val="00AD733F"/>
    <w:rsid w:val="00B71904"/>
    <w:rsid w:val="00B93545"/>
    <w:rsid w:val="00BA39DF"/>
    <w:rsid w:val="00BC5F7C"/>
    <w:rsid w:val="00C11D99"/>
    <w:rsid w:val="00C16E85"/>
    <w:rsid w:val="00C22015"/>
    <w:rsid w:val="00C425B9"/>
    <w:rsid w:val="00CA029C"/>
    <w:rsid w:val="00CB3B1D"/>
    <w:rsid w:val="00CD4A4B"/>
    <w:rsid w:val="00CF27ED"/>
    <w:rsid w:val="00D06676"/>
    <w:rsid w:val="00D12768"/>
    <w:rsid w:val="00D1299D"/>
    <w:rsid w:val="00D423A4"/>
    <w:rsid w:val="00D60A95"/>
    <w:rsid w:val="00D9734E"/>
    <w:rsid w:val="00DA6E55"/>
    <w:rsid w:val="00DE55D3"/>
    <w:rsid w:val="00E03188"/>
    <w:rsid w:val="00E12CC1"/>
    <w:rsid w:val="00E30986"/>
    <w:rsid w:val="00E314E3"/>
    <w:rsid w:val="00E4707B"/>
    <w:rsid w:val="00E720A9"/>
    <w:rsid w:val="00EC174D"/>
    <w:rsid w:val="00EC71B7"/>
    <w:rsid w:val="00EE368D"/>
    <w:rsid w:val="00F11843"/>
    <w:rsid w:val="00F16AB1"/>
    <w:rsid w:val="00F271FF"/>
    <w:rsid w:val="00F6093A"/>
    <w:rsid w:val="00F84817"/>
    <w:rsid w:val="00FA778B"/>
    <w:rsid w:val="00FD1F54"/>
    <w:rsid w:val="091A5DD7"/>
    <w:rsid w:val="1ABA75A1"/>
    <w:rsid w:val="5C944709"/>
    <w:rsid w:val="5F590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报告正文 Char"/>
    <w:link w:val="10"/>
    <w:qFormat/>
    <w:uiPriority w:val="0"/>
    <w:rPr>
      <w:rFonts w:ascii="宋体" w:hAnsi="宋体" w:eastAsia="宋体" w:cs="宋体"/>
      <w:sz w:val="24"/>
    </w:rPr>
  </w:style>
  <w:style w:type="paragraph" w:customStyle="1" w:styleId="10">
    <w:name w:val="报告正文"/>
    <w:basedOn w:val="1"/>
    <w:link w:val="9"/>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11">
    <w:name w:val="批注框文本 字符"/>
    <w:basedOn w:val="6"/>
    <w:link w:val="2"/>
    <w:semiHidden/>
    <w:qFormat/>
    <w:uiPriority w:val="99"/>
    <w:rPr>
      <w:rFonts w:asciiTheme="minorHAnsi" w:hAnsiTheme="minorHAnsi" w:eastAsiaTheme="minorEastAsia" w:cstheme="minorBidi"/>
      <w:kern w:val="2"/>
      <w:sz w:val="18"/>
      <w:szCs w:val="18"/>
    </w:rPr>
  </w:style>
  <w:style w:type="paragraph" w:customStyle="1" w:styleId="12">
    <w:name w:val="修订1"/>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845</Words>
  <Characters>896</Characters>
  <Lines>42</Lines>
  <Paragraphs>20</Paragraphs>
  <TotalTime>24</TotalTime>
  <ScaleCrop>false</ScaleCrop>
  <LinksUpToDate>false</LinksUpToDate>
  <CharactersWithSpaces>1721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2019-07-17T07:09:00Z</dcterms:created>
  <dc:creator>admin</dc:creator>
  <cp:lastModifiedBy>admin</cp:lastModifiedBy>
  <cp:lastPrinted>2019-09-19T06:50:49Z</cp:lastPrinted>
  <dcterms:modified xsi:type="dcterms:W3CDTF">2019-09-19T06:56:51Z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