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100" w:beforeAutospacing="1" w:after="100" w:afterAutospacing="1" w:line="600" w:lineRule="exact"/>
        <w:ind w:firstLine="0"/>
        <w:jc w:val="right"/>
        <w:textAlignment w:val="top"/>
        <w:rPr>
          <w:rFonts w:ascii="仿宋" w:hAnsi="仿宋" w:eastAsia="仿宋" w:cs="_4eff_5b8b_GB2312"/>
          <w:bCs/>
          <w:color w:val="FF0000"/>
          <w:sz w:val="30"/>
          <w:szCs w:val="30"/>
          <w:lang w:eastAsia="zh-CN" w:bidi="ar-SA"/>
        </w:rPr>
      </w:pPr>
    </w:p>
    <w:p>
      <w:pPr>
        <w:shd w:val="clear" w:color="auto" w:fill="FFFFFF"/>
        <w:spacing w:after="468" w:afterLines="150" w:line="600" w:lineRule="exact"/>
        <w:ind w:firstLine="0"/>
        <w:jc w:val="right"/>
        <w:textAlignment w:val="top"/>
        <w:rPr>
          <w:rFonts w:ascii="仿宋" w:hAnsi="仿宋" w:eastAsia="仿宋" w:cs="_4eff_5b8b_GB2312"/>
          <w:bCs/>
          <w:color w:val="FF0000"/>
          <w:sz w:val="30"/>
          <w:szCs w:val="30"/>
          <w:lang w:eastAsia="zh-CN" w:bidi="ar-SA"/>
        </w:rPr>
      </w:pPr>
    </w:p>
    <w:p>
      <w:pPr>
        <w:shd w:val="clear" w:color="auto" w:fill="FFFFFF"/>
        <w:spacing w:after="156" w:afterLines="50" w:line="480" w:lineRule="exact"/>
        <w:ind w:firstLine="0"/>
        <w:jc w:val="right"/>
        <w:textAlignment w:val="top"/>
        <w:rPr>
          <w:rFonts w:ascii="仿宋" w:hAnsi="仿宋" w:eastAsia="仿宋" w:cs="_4eff_5b8b_GB2312"/>
          <w:bCs/>
          <w:sz w:val="32"/>
          <w:szCs w:val="32"/>
          <w:lang w:eastAsia="zh-CN" w:bidi="ar-SA"/>
        </w:rPr>
      </w:pP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岳环评 [201</w:t>
      </w:r>
      <w:r>
        <w:rPr>
          <w:rFonts w:hint="eastAsia" w:ascii="仿宋" w:hAnsi="仿宋" w:eastAsia="仿宋" w:cs="_4eff_5b8b_GB2312"/>
          <w:bCs/>
          <w:sz w:val="32"/>
          <w:szCs w:val="32"/>
          <w:lang w:eastAsia="zh-CN" w:bidi="ar-SA"/>
        </w:rPr>
        <w:t>9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]</w:t>
      </w:r>
      <w:r>
        <w:rPr>
          <w:rFonts w:hint="eastAsia" w:ascii="仿宋" w:hAnsi="仿宋" w:eastAsia="仿宋" w:cs="_4eff_5b8b_GB2312"/>
          <w:bCs/>
          <w:sz w:val="32"/>
          <w:szCs w:val="32"/>
          <w:lang w:val="en-US" w:eastAsia="zh-CN" w:bidi="ar-SA"/>
        </w:rPr>
        <w:t>143</w:t>
      </w:r>
      <w:r>
        <w:rPr>
          <w:rFonts w:ascii="仿宋" w:hAnsi="仿宋" w:eastAsia="仿宋" w:cs="_4eff_5b8b_GB2312"/>
          <w:bCs/>
          <w:sz w:val="32"/>
          <w:szCs w:val="32"/>
          <w:lang w:eastAsia="zh-CN" w:bidi="ar-SA"/>
        </w:rPr>
        <w:t>号</w:t>
      </w:r>
    </w:p>
    <w:p>
      <w:pPr>
        <w:shd w:val="clear" w:color="auto" w:fill="FFFFFF"/>
        <w:spacing w:line="480" w:lineRule="exact"/>
        <w:ind w:firstLine="0"/>
        <w:jc w:val="center"/>
        <w:outlineLvl w:val="0"/>
        <w:rPr>
          <w:rFonts w:hint="eastAsia" w:ascii="_9ed1_4f53" w:hAnsi="_9ed1_4f53" w:cs="_9ed1_4f53"/>
          <w:b/>
          <w:bCs/>
          <w:sz w:val="36"/>
          <w:szCs w:val="36"/>
          <w:lang w:eastAsia="zh-CN" w:bidi="ar-SA"/>
        </w:rPr>
      </w:pPr>
      <w:bookmarkStart w:id="0" w:name="OLE_LINK4"/>
      <w:r>
        <w:rPr>
          <w:rFonts w:ascii="_9ed1_4f53" w:hAnsi="_9ed1_4f53" w:cs="_9ed1_4f53"/>
          <w:b/>
          <w:bCs/>
          <w:sz w:val="36"/>
          <w:szCs w:val="36"/>
          <w:lang w:eastAsia="zh-CN" w:bidi="ar-SA"/>
        </w:rPr>
        <w:t>关于</w:t>
      </w:r>
      <w:bookmarkStart w:id="1" w:name="OLE_LINK15"/>
      <w:bookmarkStart w:id="2" w:name="OLE_LINK1"/>
      <w:r>
        <w:rPr>
          <w:rFonts w:ascii="_9ed1_4f53" w:hAnsi="_9ed1_4f53" w:cs="_9ed1_4f53"/>
          <w:b/>
          <w:bCs/>
          <w:sz w:val="36"/>
          <w:szCs w:val="36"/>
          <w:lang w:eastAsia="zh-CN" w:bidi="ar-SA"/>
        </w:rPr>
        <w:t>湖南</w:t>
      </w:r>
      <w:r>
        <w:rPr>
          <w:rFonts w:hint="eastAsia" w:ascii="_9ed1_4f53" w:hAnsi="_9ed1_4f53" w:cs="_9ed1_4f53"/>
          <w:b/>
          <w:bCs/>
          <w:sz w:val="36"/>
          <w:szCs w:val="36"/>
          <w:lang w:eastAsia="zh-CN" w:bidi="ar-SA"/>
        </w:rPr>
        <w:t>省同力循环经济发展</w:t>
      </w:r>
      <w:r>
        <w:rPr>
          <w:rFonts w:ascii="_9ed1_4f53" w:hAnsi="_9ed1_4f53" w:cs="_9ed1_4f53"/>
          <w:b/>
          <w:bCs/>
          <w:sz w:val="36"/>
          <w:szCs w:val="36"/>
          <w:lang w:eastAsia="zh-CN" w:bidi="ar-SA"/>
        </w:rPr>
        <w:t>有限公司</w:t>
      </w:r>
      <w:bookmarkEnd w:id="1"/>
      <w:r>
        <w:rPr>
          <w:rFonts w:ascii="_9ed1_4f53" w:hAnsi="_9ed1_4f53" w:cs="_9ed1_4f53"/>
          <w:b/>
          <w:bCs/>
          <w:sz w:val="36"/>
          <w:szCs w:val="36"/>
          <w:lang w:eastAsia="zh-CN" w:bidi="ar-SA"/>
        </w:rPr>
        <w:t>年拆解1</w:t>
      </w:r>
      <w:r>
        <w:rPr>
          <w:rFonts w:hint="eastAsia" w:ascii="_9ed1_4f53" w:hAnsi="_9ed1_4f53" w:cs="_9ed1_4f53"/>
          <w:b/>
          <w:bCs/>
          <w:sz w:val="36"/>
          <w:szCs w:val="36"/>
          <w:lang w:eastAsia="zh-CN" w:bidi="ar-SA"/>
        </w:rPr>
        <w:t>830</w:t>
      </w:r>
      <w:r>
        <w:rPr>
          <w:rFonts w:ascii="_9ed1_4f53" w:hAnsi="_9ed1_4f53" w:cs="_9ed1_4f53"/>
          <w:b/>
          <w:bCs/>
          <w:sz w:val="36"/>
          <w:szCs w:val="36"/>
          <w:lang w:eastAsia="zh-CN" w:bidi="ar-SA"/>
        </w:rPr>
        <w:t>万</w:t>
      </w:r>
      <w:r>
        <w:rPr>
          <w:rFonts w:hint="eastAsia" w:ascii="_9ed1_4f53" w:hAnsi="_9ed1_4f53" w:cs="_9ed1_4f53"/>
          <w:b/>
          <w:bCs/>
          <w:sz w:val="36"/>
          <w:szCs w:val="36"/>
          <w:lang w:eastAsia="zh-CN" w:bidi="ar-SA"/>
        </w:rPr>
        <w:t>台废弃电器电子产品</w:t>
      </w:r>
      <w:r>
        <w:rPr>
          <w:rFonts w:ascii="_9ed1_4f53" w:hAnsi="_9ed1_4f53" w:cs="_9ed1_4f53"/>
          <w:b/>
          <w:bCs/>
          <w:sz w:val="36"/>
          <w:szCs w:val="36"/>
          <w:lang w:eastAsia="zh-CN" w:bidi="ar-SA"/>
        </w:rPr>
        <w:t>建设项目</w:t>
      </w:r>
      <w:r>
        <w:rPr>
          <w:rFonts w:hint="eastAsia" w:ascii="_9ed1_4f53" w:hAnsi="_9ed1_4f53" w:cs="_9ed1_4f53"/>
          <w:b/>
          <w:bCs/>
          <w:sz w:val="36"/>
          <w:szCs w:val="36"/>
          <w:lang w:eastAsia="zh-CN" w:bidi="ar-SA"/>
        </w:rPr>
        <w:t>环境影响报告书</w:t>
      </w:r>
      <w:bookmarkEnd w:id="2"/>
      <w:r>
        <w:rPr>
          <w:rFonts w:ascii="_9ed1_4f53" w:hAnsi="_9ed1_4f53" w:cs="_9ed1_4f53"/>
          <w:b/>
          <w:bCs/>
          <w:sz w:val="36"/>
          <w:szCs w:val="36"/>
          <w:lang w:eastAsia="zh-CN" w:bidi="ar-SA"/>
        </w:rPr>
        <w:t>的批复</w:t>
      </w:r>
      <w:bookmarkEnd w:id="0"/>
    </w:p>
    <w:p>
      <w:pPr>
        <w:ind w:left="360" w:firstLine="0"/>
        <w:rPr>
          <w:lang w:eastAsia="zh-CN"/>
        </w:rPr>
      </w:pPr>
    </w:p>
    <w:p>
      <w:pPr>
        <w:spacing w:line="520" w:lineRule="exact"/>
        <w:ind w:firstLine="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湖南省同力循环发展有限公司：</w:t>
      </w:r>
    </w:p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你公司《关</w:t>
      </w:r>
      <w:bookmarkStart w:id="8" w:name="_GoBack"/>
      <w:bookmarkEnd w:id="8"/>
      <w:r>
        <w:rPr>
          <w:rFonts w:hint="eastAsia" w:ascii="仿宋" w:hAnsi="仿宋" w:eastAsia="仿宋"/>
          <w:sz w:val="32"/>
          <w:szCs w:val="32"/>
          <w:lang w:eastAsia="zh-CN"/>
        </w:rPr>
        <w:t>于申请办理湖南省同力循环经济发展有限公司年拆解1830万台废弃电器电子产品建设项目环境影响评价审批手续的报告》、岳阳市生态环境局汨罗分局</w:t>
      </w:r>
      <w:r>
        <w:rPr>
          <w:rFonts w:ascii="仿宋" w:hAnsi="仿宋" w:eastAsia="仿宋"/>
          <w:sz w:val="32"/>
          <w:szCs w:val="32"/>
          <w:lang w:eastAsia="zh-CN"/>
        </w:rPr>
        <w:t>预审意见及有关附件收悉。经研究，批复如下：</w:t>
      </w:r>
    </w:p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一、</w:t>
      </w:r>
      <w:bookmarkStart w:id="3" w:name="OLE_LINK2"/>
      <w:bookmarkStart w:id="4" w:name="OLE_LINK17"/>
      <w:r>
        <w:rPr>
          <w:rFonts w:hint="eastAsia" w:ascii="仿宋" w:hAnsi="仿宋" w:eastAsia="仿宋"/>
          <w:sz w:val="32"/>
          <w:szCs w:val="32"/>
          <w:lang w:eastAsia="zh-CN"/>
        </w:rPr>
        <w:t>湖南省同力循环经济发展有限公司拟投资3000万元在汨罗高新技术产业开发区新市片区建设年拆解1830万台废弃电器电子产品建设项目，总占地面积</w:t>
      </w:r>
      <w:r>
        <w:rPr>
          <w:rFonts w:ascii="仿宋" w:hAnsi="仿宋" w:eastAsia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00</w:t>
      </w:r>
      <w:r>
        <w:rPr>
          <w:rFonts w:ascii="仿宋" w:hAnsi="仿宋" w:eastAsia="仿宋"/>
          <w:sz w:val="32"/>
          <w:szCs w:val="32"/>
          <w:lang w:eastAsia="zh-CN"/>
        </w:rPr>
        <w:t>00m</w:t>
      </w:r>
      <w:r>
        <w:rPr>
          <w:rFonts w:ascii="仿宋" w:hAnsi="仿宋" w:eastAsia="仿宋"/>
          <w:sz w:val="32"/>
          <w:szCs w:val="32"/>
          <w:vertAlign w:val="superscript"/>
          <w:lang w:eastAsia="zh-CN"/>
        </w:rPr>
        <w:t>2</w:t>
      </w:r>
      <w:r>
        <w:rPr>
          <w:rFonts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项目以人工拆解为主，可</w:t>
      </w:r>
      <w:r>
        <w:rPr>
          <w:rFonts w:ascii="仿宋" w:hAnsi="仿宋" w:eastAsia="仿宋"/>
          <w:sz w:val="32"/>
          <w:szCs w:val="32"/>
          <w:lang w:eastAsia="zh-CN"/>
        </w:rPr>
        <w:t>拆解</w:t>
      </w:r>
      <w:r>
        <w:rPr>
          <w:rFonts w:hint="eastAsia" w:ascii="仿宋" w:hAnsi="仿宋" w:eastAsia="仿宋"/>
          <w:sz w:val="32"/>
          <w:szCs w:val="32"/>
          <w:lang w:eastAsia="zh-CN"/>
        </w:rPr>
        <w:t>手机1</w:t>
      </w:r>
      <w:r>
        <w:rPr>
          <w:rFonts w:ascii="仿宋" w:hAnsi="仿宋" w:eastAsia="仿宋"/>
          <w:sz w:val="32"/>
          <w:szCs w:val="32"/>
          <w:lang w:eastAsia="zh-CN"/>
        </w:rPr>
        <w:t>500</w:t>
      </w:r>
      <w:r>
        <w:rPr>
          <w:rFonts w:hint="eastAsia" w:ascii="仿宋" w:hAnsi="仿宋" w:eastAsia="仿宋"/>
          <w:sz w:val="32"/>
          <w:szCs w:val="32"/>
          <w:lang w:eastAsia="zh-CN"/>
        </w:rPr>
        <w:t>万台</w:t>
      </w:r>
      <w:r>
        <w:rPr>
          <w:rFonts w:ascii="仿宋" w:hAnsi="仿宋" w:eastAsia="仿宋"/>
          <w:sz w:val="32"/>
          <w:szCs w:val="32"/>
          <w:lang w:eastAsia="zh-CN"/>
        </w:rPr>
        <w:t>/年</w:t>
      </w:r>
      <w:r>
        <w:rPr>
          <w:rFonts w:hint="eastAsia" w:ascii="仿宋" w:hAnsi="仿宋" w:eastAsia="仿宋"/>
          <w:sz w:val="32"/>
          <w:szCs w:val="32"/>
          <w:lang w:eastAsia="zh-CN"/>
        </w:rPr>
        <w:t>，电话</w:t>
      </w:r>
      <w:r>
        <w:rPr>
          <w:rFonts w:ascii="仿宋" w:hAnsi="仿宋" w:eastAsia="仿宋"/>
          <w:sz w:val="32"/>
          <w:szCs w:val="32"/>
          <w:lang w:eastAsia="zh-CN"/>
        </w:rPr>
        <w:t>机</w:t>
      </w:r>
      <w:r>
        <w:rPr>
          <w:rFonts w:hint="eastAsia" w:ascii="仿宋" w:hAnsi="仿宋" w:eastAsia="仿宋"/>
          <w:sz w:val="32"/>
          <w:szCs w:val="32"/>
          <w:lang w:eastAsia="zh-CN"/>
        </w:rPr>
        <w:t>2</w:t>
      </w:r>
      <w:r>
        <w:rPr>
          <w:rFonts w:ascii="仿宋" w:hAnsi="仿宋" w:eastAsia="仿宋"/>
          <w:sz w:val="32"/>
          <w:szCs w:val="32"/>
          <w:lang w:eastAsia="zh-CN"/>
        </w:rPr>
        <w:t>00</w:t>
      </w:r>
      <w:r>
        <w:rPr>
          <w:rFonts w:hint="eastAsia" w:ascii="仿宋" w:hAnsi="仿宋" w:eastAsia="仿宋"/>
          <w:sz w:val="32"/>
          <w:szCs w:val="32"/>
          <w:lang w:eastAsia="zh-CN"/>
        </w:rPr>
        <w:t>万台</w:t>
      </w:r>
      <w:r>
        <w:rPr>
          <w:rFonts w:ascii="仿宋" w:hAnsi="仿宋" w:eastAsia="仿宋"/>
          <w:sz w:val="32"/>
          <w:szCs w:val="32"/>
          <w:lang w:eastAsia="zh-CN"/>
        </w:rPr>
        <w:t>/年</w:t>
      </w:r>
      <w:r>
        <w:rPr>
          <w:rFonts w:hint="eastAsia" w:ascii="仿宋" w:hAnsi="仿宋" w:eastAsia="仿宋"/>
          <w:sz w:val="32"/>
          <w:szCs w:val="32"/>
          <w:lang w:eastAsia="zh-CN"/>
        </w:rPr>
        <w:t>，电热水器、燃气热水器、油烟机各</w:t>
      </w:r>
      <w:r>
        <w:rPr>
          <w:rFonts w:ascii="仿宋" w:hAnsi="仿宋" w:eastAsia="仿宋"/>
          <w:sz w:val="32"/>
          <w:szCs w:val="32"/>
          <w:lang w:eastAsia="zh-CN"/>
        </w:rPr>
        <w:t>30</w:t>
      </w:r>
      <w:r>
        <w:rPr>
          <w:rFonts w:hint="eastAsia" w:ascii="仿宋" w:hAnsi="仿宋" w:eastAsia="仿宋"/>
          <w:sz w:val="32"/>
          <w:szCs w:val="32"/>
          <w:lang w:eastAsia="zh-CN"/>
        </w:rPr>
        <w:t>万台</w:t>
      </w:r>
      <w:r>
        <w:rPr>
          <w:rFonts w:ascii="仿宋" w:hAnsi="仿宋" w:eastAsia="仿宋"/>
          <w:sz w:val="32"/>
          <w:szCs w:val="32"/>
          <w:lang w:eastAsia="zh-CN"/>
        </w:rPr>
        <w:t>/年</w:t>
      </w:r>
      <w:r>
        <w:rPr>
          <w:rFonts w:hint="eastAsia" w:ascii="仿宋" w:hAnsi="仿宋" w:eastAsia="仿宋"/>
          <w:sz w:val="32"/>
          <w:szCs w:val="32"/>
          <w:lang w:eastAsia="zh-CN"/>
        </w:rPr>
        <w:t>，打印机</w:t>
      </w:r>
      <w:r>
        <w:rPr>
          <w:rFonts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复印机</w:t>
      </w:r>
      <w:r>
        <w:rPr>
          <w:rFonts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传真</w:t>
      </w:r>
      <w:r>
        <w:rPr>
          <w:rFonts w:ascii="仿宋" w:hAnsi="仿宋" w:eastAsia="仿宋"/>
          <w:sz w:val="32"/>
          <w:szCs w:val="32"/>
          <w:lang w:eastAsia="zh-CN"/>
        </w:rPr>
        <w:t>机</w:t>
      </w:r>
      <w:r>
        <w:rPr>
          <w:rFonts w:hint="eastAsia" w:ascii="仿宋" w:hAnsi="仿宋" w:eastAsia="仿宋"/>
          <w:sz w:val="32"/>
          <w:szCs w:val="32"/>
          <w:lang w:eastAsia="zh-CN"/>
        </w:rPr>
        <w:t>和监视器</w:t>
      </w:r>
      <w:r>
        <w:rPr>
          <w:rFonts w:ascii="仿宋" w:hAnsi="仿宋" w:eastAsia="仿宋"/>
          <w:sz w:val="32"/>
          <w:szCs w:val="32"/>
          <w:lang w:eastAsia="zh-CN"/>
        </w:rPr>
        <w:t>各</w:t>
      </w:r>
      <w:r>
        <w:rPr>
          <w:rFonts w:hint="eastAsia" w:ascii="仿宋" w:hAnsi="仿宋" w:eastAsia="仿宋"/>
          <w:sz w:val="32"/>
          <w:szCs w:val="32"/>
          <w:lang w:eastAsia="zh-CN"/>
        </w:rPr>
        <w:t>1</w:t>
      </w:r>
      <w:r>
        <w:rPr>
          <w:rFonts w:ascii="仿宋" w:hAnsi="仿宋" w:eastAsia="仿宋"/>
          <w:sz w:val="32"/>
          <w:szCs w:val="32"/>
          <w:lang w:eastAsia="zh-CN"/>
        </w:rPr>
        <w:t>0</w:t>
      </w:r>
      <w:r>
        <w:rPr>
          <w:rFonts w:hint="eastAsia" w:ascii="仿宋" w:hAnsi="仿宋" w:eastAsia="仿宋"/>
          <w:sz w:val="32"/>
          <w:szCs w:val="32"/>
          <w:lang w:eastAsia="zh-CN"/>
        </w:rPr>
        <w:t>万台</w:t>
      </w:r>
      <w:r>
        <w:rPr>
          <w:rFonts w:ascii="仿宋" w:hAnsi="仿宋" w:eastAsia="仿宋"/>
          <w:sz w:val="32"/>
          <w:szCs w:val="32"/>
          <w:lang w:eastAsia="zh-CN"/>
        </w:rPr>
        <w:t>/年</w:t>
      </w:r>
      <w:r>
        <w:rPr>
          <w:rFonts w:hint="eastAsia" w:ascii="仿宋" w:hAnsi="仿宋" w:eastAsia="仿宋"/>
          <w:sz w:val="32"/>
          <w:szCs w:val="32"/>
          <w:lang w:eastAsia="zh-CN"/>
        </w:rPr>
        <w:t>，拆解后的产品经分拣、打包后外售。</w:t>
      </w:r>
      <w:bookmarkEnd w:id="3"/>
      <w:bookmarkEnd w:id="4"/>
      <w:r>
        <w:rPr>
          <w:rFonts w:hint="eastAsia" w:ascii="仿宋" w:hAnsi="仿宋" w:eastAsia="仿宋"/>
          <w:sz w:val="32"/>
          <w:szCs w:val="32"/>
          <w:lang w:eastAsia="zh-CN"/>
        </w:rPr>
        <w:t>项目主要建设内容为：</w:t>
      </w:r>
      <w:r>
        <w:rPr>
          <w:rFonts w:ascii="仿宋" w:hAnsi="仿宋" w:eastAsia="仿宋"/>
          <w:sz w:val="32"/>
          <w:szCs w:val="32"/>
          <w:lang w:eastAsia="zh-CN"/>
        </w:rPr>
        <w:t>拆解</w:t>
      </w:r>
      <w:r>
        <w:rPr>
          <w:rFonts w:hint="eastAsia" w:ascii="仿宋" w:hAnsi="仿宋" w:eastAsia="仿宋"/>
          <w:sz w:val="32"/>
          <w:szCs w:val="32"/>
          <w:lang w:eastAsia="zh-CN"/>
        </w:rPr>
        <w:t>回收</w:t>
      </w:r>
      <w:r>
        <w:rPr>
          <w:rFonts w:ascii="仿宋" w:hAnsi="仿宋" w:eastAsia="仿宋"/>
          <w:sz w:val="32"/>
          <w:szCs w:val="32"/>
          <w:lang w:eastAsia="zh-CN"/>
        </w:rPr>
        <w:t>车间</w:t>
      </w:r>
      <w:r>
        <w:rPr>
          <w:rFonts w:hint="eastAsia" w:ascii="仿宋" w:hAnsi="仿宋" w:eastAsia="仿宋"/>
          <w:sz w:val="32"/>
          <w:szCs w:val="32"/>
          <w:lang w:eastAsia="zh-CN"/>
        </w:rPr>
        <w:t>2</w:t>
      </w:r>
      <w:r>
        <w:rPr>
          <w:rFonts w:ascii="仿宋" w:hAnsi="仿宋" w:eastAsia="仿宋"/>
          <w:sz w:val="32"/>
          <w:szCs w:val="32"/>
          <w:lang w:eastAsia="zh-CN"/>
        </w:rPr>
        <w:t>栋，原料</w:t>
      </w:r>
      <w:r>
        <w:rPr>
          <w:rFonts w:hint="eastAsia" w:ascii="仿宋" w:hAnsi="仿宋" w:eastAsia="仿宋"/>
          <w:sz w:val="32"/>
          <w:szCs w:val="32"/>
          <w:lang w:eastAsia="zh-CN"/>
        </w:rPr>
        <w:t>堆场1</w:t>
      </w:r>
      <w:r>
        <w:rPr>
          <w:rFonts w:ascii="仿宋" w:hAnsi="仿宋" w:eastAsia="仿宋"/>
          <w:sz w:val="32"/>
          <w:szCs w:val="32"/>
          <w:lang w:eastAsia="zh-CN"/>
        </w:rPr>
        <w:t>栋以及办公</w:t>
      </w:r>
      <w:r>
        <w:rPr>
          <w:rFonts w:hint="eastAsia" w:ascii="仿宋" w:hAnsi="仿宋" w:eastAsia="仿宋"/>
          <w:sz w:val="32"/>
          <w:szCs w:val="32"/>
          <w:lang w:eastAsia="zh-CN"/>
        </w:rPr>
        <w:t>住宿</w:t>
      </w:r>
      <w:r>
        <w:rPr>
          <w:rFonts w:ascii="仿宋" w:hAnsi="仿宋" w:eastAsia="仿宋"/>
          <w:sz w:val="32"/>
          <w:szCs w:val="32"/>
          <w:lang w:eastAsia="zh-CN"/>
        </w:rPr>
        <w:t>楼</w:t>
      </w:r>
      <w:r>
        <w:rPr>
          <w:rFonts w:hint="eastAsia" w:ascii="仿宋" w:hAnsi="仿宋" w:eastAsia="仿宋"/>
          <w:sz w:val="32"/>
          <w:szCs w:val="32"/>
          <w:lang w:eastAsia="zh-CN"/>
        </w:rPr>
        <w:t>1</w:t>
      </w:r>
      <w:r>
        <w:rPr>
          <w:rFonts w:ascii="仿宋" w:hAnsi="仿宋" w:eastAsia="仿宋"/>
          <w:sz w:val="32"/>
          <w:szCs w:val="32"/>
          <w:lang w:eastAsia="zh-CN"/>
        </w:rPr>
        <w:t>栋，</w:t>
      </w:r>
      <w:r>
        <w:rPr>
          <w:rFonts w:hint="eastAsia" w:ascii="仿宋" w:hAnsi="仿宋" w:eastAsia="仿宋"/>
          <w:sz w:val="32"/>
          <w:szCs w:val="32"/>
          <w:lang w:eastAsia="zh-CN"/>
        </w:rPr>
        <w:t>配套建设其他公用、储运和环保设施；根据</w:t>
      </w:r>
      <w:bookmarkStart w:id="5" w:name="OLE_LINK16"/>
      <w:r>
        <w:rPr>
          <w:rFonts w:hint="eastAsia" w:ascii="仿宋" w:hAnsi="仿宋" w:eastAsia="仿宋"/>
          <w:sz w:val="32"/>
          <w:szCs w:val="32"/>
          <w:lang w:eastAsia="zh-CN"/>
        </w:rPr>
        <w:t>湖南汇恒环境保护科技发展有限公司</w:t>
      </w:r>
      <w:bookmarkEnd w:id="5"/>
      <w:r>
        <w:rPr>
          <w:rFonts w:hint="eastAsia" w:ascii="仿宋" w:hAnsi="仿宋" w:eastAsia="仿宋"/>
          <w:sz w:val="32"/>
          <w:szCs w:val="32"/>
          <w:lang w:eastAsia="zh-CN"/>
        </w:rPr>
        <w:t>编制的《湖南省同力循环发展有限公司年拆解1830万台废弃电器电子产品建设项目环境影响报告书（报批稿）》</w:t>
      </w:r>
      <w:r>
        <w:rPr>
          <w:rFonts w:ascii="仿宋" w:hAnsi="仿宋" w:eastAsia="仿宋"/>
          <w:sz w:val="32"/>
          <w:szCs w:val="32"/>
          <w:lang w:eastAsia="zh-CN"/>
        </w:rPr>
        <w:t>基本内容、结论、专家评审意见</w:t>
      </w:r>
      <w:r>
        <w:rPr>
          <w:rFonts w:hint="eastAsia" w:ascii="仿宋" w:hAnsi="仿宋" w:eastAsia="仿宋"/>
          <w:sz w:val="32"/>
          <w:szCs w:val="32"/>
          <w:lang w:eastAsia="zh-CN"/>
        </w:rPr>
        <w:t>和岳阳市生态环境局汨罗分局</w:t>
      </w:r>
      <w:r>
        <w:rPr>
          <w:rFonts w:ascii="仿宋" w:hAnsi="仿宋" w:eastAsia="仿宋"/>
          <w:sz w:val="32"/>
          <w:szCs w:val="32"/>
          <w:lang w:eastAsia="zh-CN"/>
        </w:rPr>
        <w:t>预审意见，从环境保护角度考虑，</w:t>
      </w:r>
      <w:r>
        <w:rPr>
          <w:rFonts w:hint="eastAsia" w:ascii="仿宋" w:hAnsi="仿宋" w:eastAsia="仿宋"/>
          <w:sz w:val="32"/>
          <w:szCs w:val="32"/>
          <w:lang w:eastAsia="zh-CN"/>
        </w:rPr>
        <w:t>我局原则同意你公司环境影响报告书中所列建设项目的性质、规模、工艺、地点和环境保护对策措施</w:t>
      </w:r>
      <w:r>
        <w:rPr>
          <w:rFonts w:ascii="仿宋" w:hAnsi="仿宋" w:eastAsia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二、应认真落实专家及环境影响报告书中提出的各项污染防治措施，并着重注意以下问题：</w:t>
      </w:r>
    </w:p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1、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切实做好施工期环境保护工作。尽量缩短施工期，合理安排高噪声设备的作业时间，施工期间的场界噪声须满足《建筑施工场界环境噪声排放标准》(GB12523-2011)相关标准要求；避免大面积开挖与恶劣天气作业，减少水土流失，</w:t>
      </w:r>
      <w:r>
        <w:rPr>
          <w:rFonts w:hint="eastAsia" w:ascii="仿宋" w:hAnsi="仿宋" w:eastAsia="仿宋"/>
          <w:sz w:val="32"/>
          <w:szCs w:val="32"/>
          <w:lang w:eastAsia="zh-CN"/>
        </w:rPr>
        <w:t>对裸露表土及时做好工程及生态防治措施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；使用商品混凝土，采取洒水、篷布覆盖和设置防尘围挡等防尘措施，减少物料装卸、运输、堆放等过程中产生的粉尘对环境污染；施工废水经隔渣、沉淀预处理后回用，禁止外排；建筑垃圾交由当地渣土管理部门统一处置。</w:t>
      </w:r>
    </w:p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bookmarkStart w:id="6" w:name="OLE_LINK18"/>
      <w:r>
        <w:rPr>
          <w:rFonts w:hint="eastAsia" w:ascii="仿宋" w:hAnsi="仿宋" w:eastAsia="仿宋"/>
          <w:sz w:val="32"/>
          <w:szCs w:val="32"/>
          <w:lang w:eastAsia="zh-CN"/>
        </w:rPr>
        <w:t>2、</w:t>
      </w:r>
      <w:bookmarkStart w:id="7" w:name="OLE_LINK3"/>
      <w:r>
        <w:rPr>
          <w:rFonts w:hint="eastAsia" w:ascii="仿宋" w:hAnsi="仿宋" w:eastAsia="仿宋"/>
          <w:sz w:val="32"/>
          <w:szCs w:val="32"/>
          <w:lang w:eastAsia="zh-CN"/>
        </w:rPr>
        <w:t>废水污染防治工作。严格按照</w:t>
      </w:r>
      <w:r>
        <w:rPr>
          <w:rFonts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eastAsia="zh-CN"/>
        </w:rPr>
        <w:t>雨污分流、清污分流</w:t>
      </w:r>
      <w:r>
        <w:rPr>
          <w:rFonts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的要求，建设</w:t>
      </w:r>
      <w:r>
        <w:rPr>
          <w:rFonts w:ascii="仿宋" w:hAnsi="仿宋" w:eastAsia="仿宋"/>
          <w:sz w:val="32"/>
          <w:szCs w:val="32"/>
          <w:lang w:eastAsia="zh-CN"/>
        </w:rPr>
        <w:t>厂区雨污管网</w:t>
      </w:r>
      <w:r>
        <w:rPr>
          <w:rFonts w:hint="eastAsia" w:ascii="仿宋" w:hAnsi="仿宋" w:eastAsia="仿宋"/>
          <w:sz w:val="32"/>
          <w:szCs w:val="32"/>
          <w:lang w:eastAsia="zh-CN"/>
        </w:rPr>
        <w:t>。车间采取干式清扫，无生产废水产生；项目生活污水经处理，满足《污水综合排放标准》（GB8978-1996）表4中三级排放标准和汨罗市城市污水处理厂接管标准后，经园区污水管网排入汨罗市城市污水处理厂处理。</w:t>
      </w:r>
    </w:p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按照分区防控的原则落实报告书提出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ascii="仿宋" w:hAnsi="仿宋" w:eastAsia="仿宋"/>
          <w:sz w:val="32"/>
          <w:szCs w:val="32"/>
          <w:lang w:eastAsia="zh-CN"/>
        </w:rPr>
        <w:t>地下水污染防治措施，做好</w:t>
      </w:r>
      <w:r>
        <w:rPr>
          <w:rFonts w:hint="eastAsia" w:ascii="仿宋" w:hAnsi="仿宋" w:eastAsia="仿宋"/>
          <w:sz w:val="32"/>
          <w:szCs w:val="32"/>
          <w:lang w:eastAsia="zh-CN"/>
        </w:rPr>
        <w:t>生产拆解区、贮存区等</w:t>
      </w:r>
      <w:r>
        <w:rPr>
          <w:rFonts w:ascii="仿宋" w:hAnsi="仿宋" w:eastAsia="仿宋"/>
          <w:sz w:val="32"/>
          <w:szCs w:val="32"/>
          <w:lang w:eastAsia="zh-CN"/>
        </w:rPr>
        <w:t>区域的防雨、防腐、防渗工作，避免由于</w:t>
      </w:r>
      <w:r>
        <w:rPr>
          <w:rFonts w:hint="eastAsia" w:ascii="仿宋" w:hAnsi="仿宋" w:eastAsia="仿宋"/>
          <w:sz w:val="32"/>
          <w:szCs w:val="32"/>
          <w:lang w:eastAsia="zh-CN"/>
        </w:rPr>
        <w:t>防渗层破损造成污染物下渗污染地下水；</w:t>
      </w:r>
      <w:r>
        <w:rPr>
          <w:rFonts w:ascii="仿宋" w:hAnsi="仿宋" w:eastAsia="仿宋"/>
          <w:sz w:val="32"/>
          <w:szCs w:val="32"/>
          <w:lang w:eastAsia="zh-CN"/>
        </w:rPr>
        <w:t>根据《环境影响评价技术导则地下水环境》(HJ610-2016)要求，跟踪监测地下水质情况，确保地下水环境安全。</w:t>
      </w:r>
    </w:p>
    <w:p>
      <w:pPr>
        <w:spacing w:line="520" w:lineRule="exact"/>
        <w:ind w:firstLine="656" w:firstLineChars="205"/>
        <w:jc w:val="both"/>
        <w:rPr>
          <w:rFonts w:ascii="仿宋" w:hAnsi="仿宋" w:eastAsia="仿宋" w:cs="仿宋_GB2312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2</w:t>
      </w:r>
      <w:r>
        <w:rPr>
          <w:rFonts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eastAsia="zh-CN"/>
        </w:rPr>
        <w:t>废气污染防治工作。加强废气收集，最大限度减少生产过程中废气的无组织排放，确保厂界颗粒物满足《大气污染物综合排放标准》(GB16297-1996)中无组织排放监控浓度限值；拆解粉尘经处理达《大气污染物综合排放标准》（GB16297-1996）表2中二级标准要求后通过2根15m高的排气筒排放；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食堂油烟废气经处理后，达到《饮食业油烟排放标准》（GB18483-2001），经专用烟道至屋顶排放。</w:t>
      </w:r>
    </w:p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3</w:t>
      </w:r>
      <w:r>
        <w:rPr>
          <w:rFonts w:ascii="仿宋" w:hAnsi="仿宋" w:eastAsia="仿宋"/>
          <w:sz w:val="32"/>
          <w:szCs w:val="32"/>
          <w:lang w:eastAsia="zh-CN"/>
        </w:rPr>
        <w:t>、噪声污染防治工作。采用低噪声设备，对产生噪声的设备和工序进行合理布局，对主要的</w:t>
      </w:r>
      <w:r>
        <w:rPr>
          <w:rFonts w:hint="eastAsia" w:ascii="仿宋" w:hAnsi="仿宋" w:eastAsia="仿宋"/>
          <w:sz w:val="32"/>
          <w:szCs w:val="32"/>
          <w:lang w:eastAsia="zh-CN"/>
        </w:rPr>
        <w:t>噪声设备</w:t>
      </w:r>
      <w:r>
        <w:rPr>
          <w:rFonts w:ascii="仿宋" w:hAnsi="仿宋" w:eastAsia="仿宋"/>
          <w:sz w:val="32"/>
          <w:szCs w:val="32"/>
          <w:lang w:eastAsia="zh-CN"/>
        </w:rPr>
        <w:t>采取</w:t>
      </w:r>
      <w:r>
        <w:rPr>
          <w:rFonts w:hint="eastAsia" w:ascii="仿宋" w:hAnsi="仿宋" w:eastAsia="仿宋"/>
          <w:sz w:val="32"/>
          <w:szCs w:val="32"/>
          <w:lang w:eastAsia="zh-CN"/>
        </w:rPr>
        <w:t>隔声、</w:t>
      </w:r>
      <w:r>
        <w:rPr>
          <w:rFonts w:ascii="仿宋" w:hAnsi="仿宋" w:eastAsia="仿宋"/>
          <w:sz w:val="32"/>
          <w:szCs w:val="32"/>
          <w:lang w:eastAsia="zh-CN"/>
        </w:rPr>
        <w:t>消声、</w:t>
      </w:r>
      <w:r>
        <w:rPr>
          <w:rFonts w:hint="eastAsia" w:ascii="仿宋" w:hAnsi="仿宋" w:eastAsia="仿宋"/>
          <w:sz w:val="32"/>
          <w:szCs w:val="32"/>
          <w:lang w:eastAsia="zh-CN"/>
        </w:rPr>
        <w:t>减振</w:t>
      </w:r>
      <w:r>
        <w:rPr>
          <w:rFonts w:ascii="仿宋" w:hAnsi="仿宋" w:eastAsia="仿宋"/>
          <w:sz w:val="32"/>
          <w:szCs w:val="32"/>
          <w:lang w:eastAsia="zh-CN"/>
        </w:rPr>
        <w:t>等措施，确保厂界噪声达到《工业企业厂界环境噪声排放标准》(GB12348-2008)中的</w:t>
      </w:r>
      <w:r>
        <w:rPr>
          <w:rFonts w:hint="eastAsia" w:ascii="仿宋" w:hAnsi="仿宋" w:eastAsia="仿宋"/>
          <w:sz w:val="32"/>
          <w:szCs w:val="32"/>
          <w:lang w:eastAsia="zh-CN"/>
        </w:rPr>
        <w:t>3</w:t>
      </w:r>
      <w:r>
        <w:rPr>
          <w:rFonts w:ascii="仿宋" w:hAnsi="仿宋" w:eastAsia="仿宋"/>
          <w:sz w:val="32"/>
          <w:szCs w:val="32"/>
          <w:lang w:eastAsia="zh-CN"/>
        </w:rPr>
        <w:t>类标准要求。</w:t>
      </w:r>
    </w:p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4</w:t>
      </w:r>
      <w:r>
        <w:rPr>
          <w:rFonts w:ascii="仿宋" w:hAnsi="仿宋" w:eastAsia="仿宋"/>
          <w:sz w:val="32"/>
          <w:szCs w:val="32"/>
          <w:lang w:eastAsia="zh-CN"/>
        </w:rPr>
        <w:t>、固体废物防治工作。按“无害化、减量化、资源化”原则，做好固体废物的分类收集和综合利用，完善固体废物产生、</w:t>
      </w:r>
      <w:r>
        <w:rPr>
          <w:rFonts w:hint="eastAsia" w:ascii="仿宋" w:hAnsi="仿宋" w:eastAsia="仿宋"/>
          <w:sz w:val="32"/>
          <w:szCs w:val="32"/>
          <w:lang w:eastAsia="zh-CN"/>
        </w:rPr>
        <w:t>贮存、</w:t>
      </w:r>
      <w:r>
        <w:rPr>
          <w:rFonts w:ascii="仿宋" w:hAnsi="仿宋" w:eastAsia="仿宋"/>
          <w:sz w:val="32"/>
          <w:szCs w:val="32"/>
          <w:lang w:eastAsia="zh-CN"/>
        </w:rPr>
        <w:t>处置管理台账；按照</w:t>
      </w:r>
      <w:r>
        <w:rPr>
          <w:rFonts w:hint="eastAsia" w:ascii="仿宋" w:hAnsi="仿宋" w:eastAsia="仿宋"/>
          <w:sz w:val="32"/>
          <w:szCs w:val="32"/>
          <w:lang w:eastAsia="zh-CN"/>
        </w:rPr>
        <w:t>《危险废物贮存污染控制标准》（GB18597-2001）</w:t>
      </w:r>
      <w:r>
        <w:rPr>
          <w:rFonts w:ascii="仿宋" w:hAnsi="仿宋" w:eastAsia="仿宋"/>
          <w:sz w:val="32"/>
          <w:szCs w:val="32"/>
          <w:lang w:eastAsia="zh-CN"/>
        </w:rPr>
        <w:t>及其修改单中相关要求</w:t>
      </w:r>
      <w:r>
        <w:rPr>
          <w:rFonts w:hint="eastAsia" w:ascii="仿宋" w:hAnsi="仿宋" w:eastAsia="仿宋"/>
          <w:sz w:val="32"/>
          <w:szCs w:val="32"/>
          <w:lang w:eastAsia="zh-CN"/>
        </w:rPr>
        <w:t>建设危险废物暂存间</w:t>
      </w:r>
      <w:r>
        <w:rPr>
          <w:rFonts w:ascii="仿宋" w:hAnsi="仿宋" w:eastAsia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/>
          <w:sz w:val="32"/>
          <w:szCs w:val="32"/>
          <w:lang w:eastAsia="zh-CN"/>
        </w:rPr>
        <w:t>废电池、废线路板属于危险废物，收集贮存后交有处置资质的单位处置，并执行转移联单制度；按照《一般工业固体废物储存、处置场污染控制标准》（GB18599-2001）</w:t>
      </w:r>
      <w:r>
        <w:rPr>
          <w:rFonts w:ascii="仿宋" w:hAnsi="仿宋" w:eastAsia="仿宋"/>
          <w:sz w:val="32"/>
          <w:szCs w:val="32"/>
          <w:lang w:eastAsia="zh-CN"/>
        </w:rPr>
        <w:t>及其修改单中相关要求</w:t>
      </w:r>
      <w:r>
        <w:rPr>
          <w:rFonts w:hint="eastAsia" w:ascii="仿宋" w:hAnsi="仿宋" w:eastAsia="仿宋"/>
          <w:sz w:val="32"/>
          <w:szCs w:val="32"/>
          <w:lang w:eastAsia="zh-CN"/>
        </w:rPr>
        <w:t>建设一般工业固体废物暂存场所，废油脂交有资质的单位处置，除尘器粉尘、拆解废物、</w:t>
      </w:r>
      <w:r>
        <w:rPr>
          <w:rFonts w:ascii="仿宋" w:hAnsi="仿宋" w:eastAsia="仿宋"/>
          <w:sz w:val="32"/>
          <w:szCs w:val="32"/>
          <w:lang w:eastAsia="zh-CN"/>
        </w:rPr>
        <w:t>生活垃圾交由环卫部门统一收集处理。</w:t>
      </w:r>
    </w:p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5</w:t>
      </w:r>
      <w:r>
        <w:rPr>
          <w:rFonts w:ascii="仿宋" w:hAnsi="仿宋" w:eastAsia="仿宋"/>
          <w:sz w:val="32"/>
          <w:szCs w:val="32"/>
          <w:lang w:eastAsia="zh-CN"/>
        </w:rPr>
        <w:t>、加强营运期风险防范。</w:t>
      </w:r>
      <w:r>
        <w:rPr>
          <w:rFonts w:hint="eastAsia" w:ascii="仿宋" w:hAnsi="仿宋" w:eastAsia="仿宋"/>
          <w:sz w:val="32"/>
          <w:szCs w:val="32"/>
          <w:lang w:eastAsia="zh-CN"/>
        </w:rPr>
        <w:t>落实各项风险防范措施，加强设施设备的维护和管理，严格按照《突发环境事件应急预案管理暂行办法》要求制定事故环境应急预案，储备风险救助物资并组织演练，杜绝环境风险事故发生</w:t>
      </w:r>
      <w:r>
        <w:rPr>
          <w:rFonts w:ascii="仿宋" w:hAnsi="仿宋" w:eastAsia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6</w:t>
      </w:r>
      <w:r>
        <w:rPr>
          <w:rFonts w:ascii="仿宋" w:hAnsi="仿宋" w:eastAsia="仿宋"/>
          <w:sz w:val="32"/>
          <w:szCs w:val="32"/>
          <w:lang w:eastAsia="zh-CN"/>
        </w:rPr>
        <w:t>、加强环境管理，建立健全污染防治设施运行管理台帐，</w:t>
      </w:r>
      <w:r>
        <w:rPr>
          <w:rFonts w:hint="eastAsia" w:ascii="仿宋" w:hAnsi="仿宋" w:eastAsia="仿宋"/>
          <w:sz w:val="32"/>
          <w:szCs w:val="32"/>
          <w:lang w:eastAsia="zh-CN"/>
        </w:rPr>
        <w:t>设专门的环保机构，配备专人负责环保工作，</w:t>
      </w:r>
      <w:r>
        <w:rPr>
          <w:rFonts w:ascii="仿宋" w:hAnsi="仿宋" w:eastAsia="仿宋"/>
          <w:sz w:val="32"/>
          <w:szCs w:val="32"/>
          <w:lang w:eastAsia="zh-CN"/>
        </w:rPr>
        <w:t>确保各项污染防治设施的正常运行，各类污染物稳定达标排放。</w:t>
      </w:r>
    </w:p>
    <w:bookmarkEnd w:id="6"/>
    <w:bookmarkEnd w:id="7"/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三、你公司应收到本批复后</w:t>
      </w:r>
      <w:r>
        <w:rPr>
          <w:rFonts w:ascii="仿宋" w:hAnsi="仿宋" w:eastAsia="仿宋"/>
          <w:sz w:val="32"/>
          <w:szCs w:val="32"/>
          <w:lang w:eastAsia="zh-CN"/>
        </w:rPr>
        <w:t>15</w:t>
      </w:r>
      <w:r>
        <w:rPr>
          <w:rFonts w:hint="eastAsia" w:ascii="仿宋" w:hAnsi="仿宋" w:eastAsia="仿宋"/>
          <w:sz w:val="32"/>
          <w:szCs w:val="32"/>
          <w:lang w:eastAsia="zh-CN"/>
        </w:rPr>
        <w:t>个工作日内，将批复及批准的环评报告文件送至岳阳市生态环境局汨罗分局、汨罗高新技术产业开发区管理委员会、湖南汇恒环境保护科技发展有限公司</w:t>
      </w:r>
      <w:r>
        <w:rPr>
          <w:rFonts w:ascii="仿宋" w:hAnsi="仿宋" w:eastAsia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四、</w:t>
      </w:r>
      <w:r>
        <w:rPr>
          <w:rFonts w:ascii="仿宋" w:hAnsi="仿宋" w:eastAsia="仿宋"/>
          <w:sz w:val="32"/>
          <w:szCs w:val="32"/>
          <w:lang w:eastAsia="zh-CN"/>
        </w:rPr>
        <w:t>请</w:t>
      </w:r>
      <w:r>
        <w:rPr>
          <w:rFonts w:hint="eastAsia" w:ascii="仿宋" w:hAnsi="仿宋" w:eastAsia="仿宋"/>
          <w:sz w:val="32"/>
          <w:szCs w:val="32"/>
          <w:lang w:eastAsia="zh-CN"/>
        </w:rPr>
        <w:t>岳阳市生态环境局汨罗分局</w:t>
      </w:r>
      <w:r>
        <w:rPr>
          <w:rFonts w:ascii="仿宋" w:hAnsi="仿宋" w:eastAsia="仿宋"/>
          <w:sz w:val="32"/>
          <w:szCs w:val="32"/>
          <w:lang w:eastAsia="zh-CN"/>
        </w:rPr>
        <w:t>负责项目建设和运营期的日常环境监管。</w:t>
      </w:r>
    </w:p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520" w:lineRule="exact"/>
        <w:ind w:firstLine="640" w:firstLineChars="200"/>
        <w:jc w:val="both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520" w:lineRule="exact"/>
        <w:ind w:firstLine="5321" w:firstLineChars="1663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岳阳市</w:t>
      </w:r>
      <w:r>
        <w:rPr>
          <w:rFonts w:hint="eastAsia" w:ascii="仿宋" w:hAnsi="仿宋" w:eastAsia="仿宋"/>
          <w:sz w:val="32"/>
          <w:szCs w:val="32"/>
          <w:lang w:eastAsia="zh-CN"/>
        </w:rPr>
        <w:t>生态</w:t>
      </w:r>
      <w:r>
        <w:rPr>
          <w:rFonts w:ascii="仿宋" w:hAnsi="仿宋" w:eastAsia="仿宋"/>
          <w:sz w:val="32"/>
          <w:szCs w:val="32"/>
          <w:lang w:eastAsia="zh-CN"/>
        </w:rPr>
        <w:t>环境局</w:t>
      </w:r>
    </w:p>
    <w:p>
      <w:pPr>
        <w:spacing w:line="520" w:lineRule="exact"/>
        <w:ind w:firstLine="5440" w:firstLineChars="1700"/>
        <w:jc w:val="both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z w:val="32"/>
          <w:szCs w:val="32"/>
          <w:lang w:eastAsia="zh-CN"/>
        </w:rPr>
        <w:t>201</w:t>
      </w:r>
      <w:r>
        <w:rPr>
          <w:rFonts w:hint="eastAsia" w:ascii="仿宋" w:hAnsi="仿宋" w:eastAsia="仿宋"/>
          <w:sz w:val="32"/>
          <w:szCs w:val="32"/>
          <w:lang w:eastAsia="zh-CN"/>
        </w:rPr>
        <w:t>9年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ascii="仿宋" w:hAnsi="仿宋" w:eastAsia="仿宋"/>
          <w:sz w:val="32"/>
          <w:szCs w:val="32"/>
          <w:lang w:eastAsia="zh-CN"/>
        </w:rPr>
        <w:t>日</w:t>
      </w:r>
    </w:p>
    <w:p>
      <w:pPr>
        <w:spacing w:line="520" w:lineRule="exact"/>
        <w:ind w:firstLine="5440" w:firstLineChars="1700"/>
        <w:jc w:val="both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520" w:lineRule="exact"/>
        <w:ind w:firstLine="5440" w:firstLineChars="1700"/>
        <w:jc w:val="both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520" w:lineRule="exact"/>
        <w:ind w:firstLine="5440" w:firstLineChars="1700"/>
        <w:jc w:val="both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520" w:lineRule="exact"/>
        <w:ind w:firstLine="5440" w:firstLineChars="1700"/>
        <w:jc w:val="both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520" w:lineRule="exact"/>
        <w:ind w:firstLine="5440" w:firstLineChars="1700"/>
        <w:jc w:val="both"/>
        <w:rPr>
          <w:rFonts w:ascii="仿宋" w:hAnsi="仿宋" w:eastAsia="仿宋"/>
          <w:sz w:val="32"/>
          <w:szCs w:val="32"/>
          <w:lang w:eastAsia="zh-CN"/>
        </w:rPr>
      </w:pPr>
    </w:p>
    <w:p>
      <w:pPr>
        <w:spacing w:line="520" w:lineRule="exact"/>
        <w:ind w:firstLine="5440" w:firstLineChars="1700"/>
        <w:jc w:val="both"/>
        <w:rPr>
          <w:rFonts w:ascii="仿宋" w:hAnsi="仿宋" w:eastAsia="仿宋"/>
          <w:sz w:val="32"/>
          <w:szCs w:val="32"/>
          <w:lang w:eastAsia="zh-CN"/>
        </w:rPr>
      </w:pPr>
    </w:p>
    <w:tbl>
      <w:tblPr>
        <w:tblStyle w:val="17"/>
        <w:tblpPr w:leftFromText="180" w:rightFromText="180" w:vertAnchor="text" w:horzAnchor="page" w:tblpX="1706" w:tblpY="5101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pacing w:line="520" w:lineRule="exact"/>
              <w:ind w:left="829" w:hanging="828" w:hangingChars="259"/>
              <w:jc w:val="both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>抄送: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岳阳市生态环境局汨罗分局、汨罗高新技术产业开发区管理委员会、湖南汇恒环境保护科技发展有限公司</w:t>
            </w:r>
          </w:p>
        </w:tc>
      </w:tr>
    </w:tbl>
    <w:p>
      <w:pPr>
        <w:spacing w:line="520" w:lineRule="exact"/>
        <w:ind w:firstLine="5440" w:firstLineChars="1700"/>
        <w:jc w:val="both"/>
        <w:rPr>
          <w:rFonts w:ascii="仿宋" w:hAnsi="仿宋" w:eastAsia="仿宋"/>
          <w:sz w:val="32"/>
          <w:szCs w:val="32"/>
          <w:lang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588" w:bottom="1361" w:left="164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6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36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8ED"/>
    <w:rsid w:val="00B508ED"/>
    <w:rsid w:val="00D439CA"/>
    <w:rsid w:val="02F62FFA"/>
    <w:rsid w:val="299015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1"/>
    <w:qFormat/>
    <w:uiPriority w:val="9"/>
    <w:pPr>
      <w:pBdr>
        <w:bottom w:val="single" w:color="366091" w:sz="12" w:space="1"/>
      </w:pBdr>
      <w:spacing w:before="600" w:after="80"/>
      <w:ind w:firstLine="0"/>
      <w:outlineLvl w:val="0"/>
    </w:pPr>
    <w:rPr>
      <w:rFonts w:ascii="Cambria" w:hAnsi="Cambria"/>
      <w:b/>
      <w:bCs/>
      <w:color w:val="376092"/>
      <w:sz w:val="24"/>
      <w:szCs w:val="2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pBdr>
        <w:bottom w:val="single" w:color="4F81BD" w:sz="8" w:space="1"/>
      </w:pBdr>
      <w:spacing w:before="200" w:after="80"/>
      <w:ind w:firstLine="0"/>
      <w:outlineLvl w:val="1"/>
    </w:pPr>
    <w:rPr>
      <w:rFonts w:ascii="Cambria" w:hAnsi="Cambria"/>
      <w:color w:val="376092"/>
      <w:sz w:val="24"/>
      <w:szCs w:val="24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pBdr>
        <w:bottom w:val="single" w:color="95B3D7" w:sz="4" w:space="1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pBdr>
        <w:bottom w:val="single" w:color="B8CCE4" w:sz="4" w:space="2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8">
    <w:name w:val="heading 7"/>
    <w:basedOn w:val="1"/>
    <w:next w:val="1"/>
    <w:link w:val="27"/>
    <w:qFormat/>
    <w:uiPriority w:val="9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9">
    <w:name w:val="heading 8"/>
    <w:basedOn w:val="1"/>
    <w:next w:val="1"/>
    <w:link w:val="28"/>
    <w:qFormat/>
    <w:uiPriority w:val="9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10">
    <w:name w:val="heading 9"/>
    <w:basedOn w:val="1"/>
    <w:next w:val="1"/>
    <w:link w:val="29"/>
    <w:qFormat/>
    <w:uiPriority w:val="9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18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b/>
      <w:bCs/>
      <w:sz w:val="18"/>
      <w:szCs w:val="18"/>
    </w:rPr>
  </w:style>
  <w:style w:type="paragraph" w:styleId="12">
    <w:name w:val="Balloon Text"/>
    <w:basedOn w:val="1"/>
    <w:link w:val="49"/>
    <w:qFormat/>
    <w:uiPriority w:val="99"/>
    <w:rPr>
      <w:sz w:val="18"/>
      <w:szCs w:val="18"/>
    </w:rPr>
  </w:style>
  <w:style w:type="paragraph" w:styleId="13">
    <w:name w:val="footer"/>
    <w:basedOn w:val="1"/>
    <w:link w:val="48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6">
    <w:name w:val="Title"/>
    <w:basedOn w:val="1"/>
    <w:next w:val="1"/>
    <w:link w:val="30"/>
    <w:qFormat/>
    <w:uiPriority w:val="10"/>
    <w:pPr>
      <w:pBdr>
        <w:top w:val="single" w:color="A7C0DE" w:sz="8" w:space="10"/>
        <w:bottom w:val="single" w:color="9BBB59" w:sz="24" w:space="15"/>
      </w:pBdr>
      <w:ind w:firstLine="0"/>
      <w:jc w:val="center"/>
    </w:pPr>
    <w:rPr>
      <w:rFonts w:ascii="Cambria" w:hAnsi="Cambria"/>
      <w:i/>
      <w:iCs/>
      <w:color w:val="254061"/>
      <w:sz w:val="60"/>
      <w:szCs w:val="60"/>
    </w:rPr>
  </w:style>
  <w:style w:type="character" w:styleId="19">
    <w:name w:val="Strong"/>
    <w:basedOn w:val="18"/>
    <w:qFormat/>
    <w:uiPriority w:val="22"/>
    <w:rPr>
      <w:b/>
      <w:bCs/>
      <w:spacing w:val="0"/>
    </w:rPr>
  </w:style>
  <w:style w:type="character" w:styleId="20">
    <w:name w:val="Emphasis"/>
    <w:qFormat/>
    <w:uiPriority w:val="20"/>
    <w:rPr>
      <w:b/>
      <w:bCs/>
      <w:i/>
      <w:iCs/>
      <w:color w:val="595959"/>
    </w:rPr>
  </w:style>
  <w:style w:type="character" w:customStyle="1" w:styleId="21">
    <w:name w:val="标题 1 字符"/>
    <w:basedOn w:val="18"/>
    <w:link w:val="2"/>
    <w:qFormat/>
    <w:uiPriority w:val="9"/>
    <w:rPr>
      <w:rFonts w:ascii="Cambria" w:hAnsi="Cambria" w:eastAsia="宋体" w:cs="宋体"/>
      <w:b/>
      <w:bCs/>
      <w:color w:val="376092"/>
      <w:sz w:val="24"/>
      <w:szCs w:val="24"/>
    </w:rPr>
  </w:style>
  <w:style w:type="character" w:customStyle="1" w:styleId="22">
    <w:name w:val="标题 2 字符"/>
    <w:basedOn w:val="18"/>
    <w:link w:val="3"/>
    <w:qFormat/>
    <w:uiPriority w:val="9"/>
    <w:rPr>
      <w:rFonts w:ascii="Cambria" w:hAnsi="Cambria" w:eastAsia="宋体" w:cs="宋体"/>
      <w:color w:val="376092"/>
      <w:sz w:val="24"/>
      <w:szCs w:val="24"/>
    </w:rPr>
  </w:style>
  <w:style w:type="character" w:customStyle="1" w:styleId="23">
    <w:name w:val="标题 3 字符"/>
    <w:basedOn w:val="18"/>
    <w:link w:val="4"/>
    <w:qFormat/>
    <w:uiPriority w:val="9"/>
    <w:rPr>
      <w:rFonts w:ascii="Cambria" w:hAnsi="Cambria" w:eastAsia="宋体" w:cs="宋体"/>
      <w:color w:val="4F81BD"/>
      <w:sz w:val="24"/>
      <w:szCs w:val="24"/>
    </w:rPr>
  </w:style>
  <w:style w:type="character" w:customStyle="1" w:styleId="24">
    <w:name w:val="标题 4 字符"/>
    <w:basedOn w:val="18"/>
    <w:link w:val="5"/>
    <w:qFormat/>
    <w:uiPriority w:val="9"/>
    <w:rPr>
      <w:rFonts w:ascii="Cambria" w:hAnsi="Cambria" w:eastAsia="宋体" w:cs="宋体"/>
      <w:i/>
      <w:iCs/>
      <w:color w:val="4F81BD"/>
      <w:sz w:val="24"/>
      <w:szCs w:val="24"/>
    </w:rPr>
  </w:style>
  <w:style w:type="character" w:customStyle="1" w:styleId="25">
    <w:name w:val="标题 5 字符"/>
    <w:basedOn w:val="18"/>
    <w:link w:val="6"/>
    <w:uiPriority w:val="9"/>
    <w:rPr>
      <w:rFonts w:ascii="Cambria" w:hAnsi="Cambria" w:eastAsia="宋体" w:cs="宋体"/>
      <w:color w:val="4F81BD"/>
    </w:rPr>
  </w:style>
  <w:style w:type="character" w:customStyle="1" w:styleId="26">
    <w:name w:val="标题 6 字符"/>
    <w:basedOn w:val="18"/>
    <w:link w:val="7"/>
    <w:qFormat/>
    <w:uiPriority w:val="9"/>
    <w:rPr>
      <w:rFonts w:ascii="Cambria" w:hAnsi="Cambria" w:eastAsia="宋体" w:cs="宋体"/>
      <w:i/>
      <w:iCs/>
      <w:color w:val="4F81BD"/>
    </w:rPr>
  </w:style>
  <w:style w:type="character" w:customStyle="1" w:styleId="27">
    <w:name w:val="标题 7 字符"/>
    <w:basedOn w:val="18"/>
    <w:link w:val="8"/>
    <w:qFormat/>
    <w:uiPriority w:val="9"/>
    <w:rPr>
      <w:rFonts w:ascii="Cambria" w:hAnsi="Cambria" w:eastAsia="宋体" w:cs="宋体"/>
      <w:b/>
      <w:bCs/>
      <w:color w:val="9BBB59"/>
      <w:sz w:val="20"/>
      <w:szCs w:val="20"/>
    </w:rPr>
  </w:style>
  <w:style w:type="character" w:customStyle="1" w:styleId="28">
    <w:name w:val="标题 8 字符"/>
    <w:basedOn w:val="18"/>
    <w:link w:val="9"/>
    <w:qFormat/>
    <w:uiPriority w:val="9"/>
    <w:rPr>
      <w:rFonts w:ascii="Cambria" w:hAnsi="Cambria" w:eastAsia="宋体" w:cs="宋体"/>
      <w:b/>
      <w:bCs/>
      <w:i/>
      <w:iCs/>
      <w:color w:val="9BBB59"/>
      <w:sz w:val="20"/>
      <w:szCs w:val="20"/>
    </w:rPr>
  </w:style>
  <w:style w:type="character" w:customStyle="1" w:styleId="29">
    <w:name w:val="标题 9 字符"/>
    <w:basedOn w:val="18"/>
    <w:link w:val="10"/>
    <w:qFormat/>
    <w:uiPriority w:val="9"/>
    <w:rPr>
      <w:rFonts w:ascii="Cambria" w:hAnsi="Cambria" w:eastAsia="宋体" w:cs="宋体"/>
      <w:i/>
      <w:iCs/>
      <w:color w:val="9BBB59"/>
      <w:sz w:val="20"/>
      <w:szCs w:val="20"/>
    </w:rPr>
  </w:style>
  <w:style w:type="character" w:customStyle="1" w:styleId="30">
    <w:name w:val="标题 字符"/>
    <w:basedOn w:val="18"/>
    <w:link w:val="16"/>
    <w:qFormat/>
    <w:uiPriority w:val="10"/>
    <w:rPr>
      <w:rFonts w:ascii="Cambria" w:hAnsi="Cambria" w:eastAsia="宋体" w:cs="宋体"/>
      <w:i/>
      <w:iCs/>
      <w:color w:val="254061"/>
      <w:sz w:val="60"/>
      <w:szCs w:val="60"/>
    </w:rPr>
  </w:style>
  <w:style w:type="character" w:customStyle="1" w:styleId="31">
    <w:name w:val="副标题 字符"/>
    <w:basedOn w:val="18"/>
    <w:link w:val="15"/>
    <w:qFormat/>
    <w:uiPriority w:val="11"/>
    <w:rPr>
      <w:rFonts w:ascii="Calibri"/>
      <w:i/>
      <w:iCs/>
      <w:sz w:val="24"/>
      <w:szCs w:val="24"/>
    </w:rPr>
  </w:style>
  <w:style w:type="paragraph" w:styleId="32">
    <w:name w:val="No Spacing"/>
    <w:basedOn w:val="1"/>
    <w:link w:val="33"/>
    <w:qFormat/>
    <w:uiPriority w:val="1"/>
    <w:pPr>
      <w:ind w:firstLine="0"/>
    </w:pPr>
  </w:style>
  <w:style w:type="character" w:customStyle="1" w:styleId="33">
    <w:name w:val="无间隔 字符"/>
    <w:basedOn w:val="18"/>
    <w:link w:val="32"/>
    <w:qFormat/>
    <w:uiPriority w:val="1"/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paragraph" w:styleId="35">
    <w:name w:val="Quote"/>
    <w:basedOn w:val="1"/>
    <w:next w:val="1"/>
    <w:link w:val="36"/>
    <w:qFormat/>
    <w:uiPriority w:val="29"/>
    <w:rPr>
      <w:rFonts w:ascii="Cambria" w:hAnsi="Cambria"/>
      <w:i/>
      <w:iCs/>
      <w:color w:val="595959"/>
    </w:rPr>
  </w:style>
  <w:style w:type="character" w:customStyle="1" w:styleId="36">
    <w:name w:val="引用 字符"/>
    <w:basedOn w:val="18"/>
    <w:link w:val="35"/>
    <w:qFormat/>
    <w:uiPriority w:val="29"/>
    <w:rPr>
      <w:rFonts w:ascii="Cambria" w:hAnsi="Cambria" w:eastAsia="宋体" w:cs="宋体"/>
      <w:i/>
      <w:iCs/>
      <w:color w:val="595959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38">
    <w:name w:val="明显引用 字符"/>
    <w:basedOn w:val="18"/>
    <w:link w:val="37"/>
    <w:qFormat/>
    <w:uiPriority w:val="30"/>
    <w:rPr>
      <w:rFonts w:ascii="Cambria" w:hAnsi="Cambria" w:eastAsia="宋体" w:cs="宋体"/>
      <w:i/>
      <w:iCs/>
      <w:color w:val="FFFFFF"/>
      <w:sz w:val="24"/>
      <w:szCs w:val="24"/>
      <w:shd w:val="clear" w:color="auto" w:fill="4F81BD"/>
    </w:rPr>
  </w:style>
  <w:style w:type="character" w:customStyle="1" w:styleId="39">
    <w:name w:val="不明显强调1"/>
    <w:qFormat/>
    <w:uiPriority w:val="19"/>
    <w:rPr>
      <w:i/>
      <w:iCs/>
      <w:color w:val="595959"/>
    </w:rPr>
  </w:style>
  <w:style w:type="character" w:customStyle="1" w:styleId="40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41">
    <w:name w:val="不明显参考1"/>
    <w:qFormat/>
    <w:uiPriority w:val="31"/>
    <w:rPr>
      <w:color w:val="auto"/>
      <w:u w:val="single" w:color="9BBB59"/>
    </w:rPr>
  </w:style>
  <w:style w:type="character" w:customStyle="1" w:styleId="42">
    <w:name w:val="明显参考1"/>
    <w:basedOn w:val="18"/>
    <w:qFormat/>
    <w:uiPriority w:val="32"/>
    <w:rPr>
      <w:b/>
      <w:bCs/>
      <w:color w:val="77933C"/>
      <w:u w:val="single" w:color="9BBB59"/>
    </w:rPr>
  </w:style>
  <w:style w:type="character" w:customStyle="1" w:styleId="43">
    <w:name w:val="书籍标题1"/>
    <w:basedOn w:val="18"/>
    <w:qFormat/>
    <w:uiPriority w:val="33"/>
    <w:rPr>
      <w:rFonts w:ascii="Cambria" w:hAnsi="Cambria" w:eastAsia="宋体" w:cs="宋体"/>
      <w:b/>
      <w:bCs/>
      <w:i/>
      <w:iCs/>
      <w:color w:val="auto"/>
    </w:rPr>
  </w:style>
  <w:style w:type="paragraph" w:customStyle="1" w:styleId="44">
    <w:name w:val="TOC 标题1"/>
    <w:basedOn w:val="2"/>
    <w:next w:val="1"/>
    <w:qFormat/>
    <w:uiPriority w:val="39"/>
    <w:pPr>
      <w:outlineLvl w:val="9"/>
    </w:pPr>
  </w:style>
  <w:style w:type="paragraph" w:customStyle="1" w:styleId="45">
    <w:name w:val="style10"/>
    <w:basedOn w:val="1"/>
    <w:qFormat/>
    <w:uiPriority w:val="0"/>
    <w:pPr>
      <w:spacing w:before="100" w:beforeAutospacing="1" w:after="100" w:afterAutospacing="1"/>
      <w:ind w:firstLine="0"/>
    </w:pPr>
    <w:rPr>
      <w:rFonts w:ascii="宋体" w:hAnsi="宋体"/>
      <w:sz w:val="24"/>
      <w:szCs w:val="24"/>
      <w:lang w:eastAsia="zh-CN" w:bidi="ar-SA"/>
    </w:rPr>
  </w:style>
  <w:style w:type="paragraph" w:customStyle="1" w:styleId="46">
    <w:name w:val="style9"/>
    <w:basedOn w:val="1"/>
    <w:qFormat/>
    <w:uiPriority w:val="0"/>
    <w:pPr>
      <w:spacing w:before="100" w:beforeAutospacing="1" w:after="100" w:afterAutospacing="1"/>
      <w:ind w:firstLine="0"/>
    </w:pPr>
    <w:rPr>
      <w:rFonts w:ascii="宋体" w:hAnsi="宋体"/>
      <w:sz w:val="24"/>
      <w:szCs w:val="24"/>
      <w:lang w:eastAsia="zh-CN" w:bidi="ar-SA"/>
    </w:rPr>
  </w:style>
  <w:style w:type="character" w:customStyle="1" w:styleId="47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48">
    <w:name w:val="页脚 字符"/>
    <w:basedOn w:val="18"/>
    <w:link w:val="13"/>
    <w:qFormat/>
    <w:uiPriority w:val="99"/>
    <w:rPr>
      <w:sz w:val="18"/>
      <w:szCs w:val="18"/>
    </w:rPr>
  </w:style>
  <w:style w:type="character" w:customStyle="1" w:styleId="49">
    <w:name w:val="批注框文本 字符"/>
    <w:basedOn w:val="18"/>
    <w:link w:val="12"/>
    <w:qFormat/>
    <w:uiPriority w:val="99"/>
    <w:rPr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4</Pages>
  <Words>983</Words>
  <Characters>1053</Characters>
  <Lines>50</Lines>
  <Paragraphs>19</Paragraphs>
  <TotalTime>21</TotalTime>
  <ScaleCrop>false</ScaleCrop>
  <LinksUpToDate>false</LinksUpToDate>
  <CharactersWithSpaces>2017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2018-03-01T02:32:00Z</dcterms:created>
  <dc:creator>Windows 用户</dc:creator>
  <cp:lastModifiedBy>admin</cp:lastModifiedBy>
  <cp:lastPrinted>2019-09-23T03:01:09Z</cp:lastPrinted>
  <dcterms:modified xsi:type="dcterms:W3CDTF">2019-09-23T03:30:37Z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