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lang w:eastAsia="zh-CN"/>
        </w:rPr>
      </w:pPr>
      <w:r>
        <w:rPr>
          <w:rFonts w:hint="eastAsia"/>
          <w:b/>
          <w:sz w:val="44"/>
          <w:szCs w:val="44"/>
          <w:lang w:eastAsia="zh-CN"/>
        </w:rPr>
        <w:t>修改清单</w:t>
      </w:r>
    </w:p>
    <w:tbl>
      <w:tblPr>
        <w:tblStyle w:val="30"/>
        <w:tblW w:w="5203" w:type="pct"/>
        <w:tblInd w:w="-17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857"/>
        <w:gridCol w:w="44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09" w:type="pct"/>
          </w:tcPr>
          <w:p>
            <w:pPr>
              <w:rPr>
                <w:b/>
                <w:sz w:val="24"/>
                <w:szCs w:val="24"/>
                <w:lang w:eastAsia="zh-CN"/>
              </w:rPr>
            </w:pPr>
            <w:r>
              <w:rPr>
                <w:rFonts w:hint="eastAsia"/>
                <w:b/>
                <w:sz w:val="24"/>
                <w:szCs w:val="24"/>
                <w:lang w:eastAsia="zh-CN"/>
              </w:rPr>
              <w:t>专家意见</w:t>
            </w:r>
          </w:p>
        </w:tc>
        <w:tc>
          <w:tcPr>
            <w:tcW w:w="2391" w:type="pct"/>
          </w:tcPr>
          <w:p>
            <w:pPr>
              <w:rPr>
                <w:b/>
                <w:sz w:val="24"/>
                <w:szCs w:val="24"/>
                <w:lang w:eastAsia="zh-CN"/>
              </w:rPr>
            </w:pPr>
            <w:r>
              <w:rPr>
                <w:rFonts w:hint="eastAsia"/>
                <w:b/>
                <w:sz w:val="24"/>
                <w:szCs w:val="24"/>
                <w:lang w:eastAsia="zh-CN"/>
              </w:rPr>
              <w:t>修改内容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1" w:hRule="atLeast"/>
        </w:trPr>
        <w:tc>
          <w:tcPr>
            <w:tcW w:w="2609" w:type="pct"/>
          </w:tcPr>
          <w:p>
            <w:pPr>
              <w:widowControl w:val="0"/>
              <w:numPr>
                <w:ilvl w:val="0"/>
                <w:numId w:val="1"/>
              </w:numPr>
              <w:tabs>
                <w:tab w:val="left" w:pos="993"/>
              </w:tabs>
              <w:spacing w:line="360" w:lineRule="auto"/>
              <w:ind w:left="0" w:firstLine="560" w:firstLineChars="200"/>
              <w:jc w:val="both"/>
              <w:rPr>
                <w:sz w:val="28"/>
                <w:szCs w:val="28"/>
                <w:lang w:eastAsia="zh-CN"/>
              </w:rPr>
            </w:pPr>
            <w:r>
              <w:rPr>
                <w:rFonts w:hint="eastAsia"/>
                <w:sz w:val="28"/>
                <w:szCs w:val="28"/>
                <w:lang w:eastAsia="zh-CN"/>
              </w:rPr>
              <w:t>完善项目由来及建设内容，强化本项目依托华能电厂锅炉及烟气处理等设施的可行性分析，明确项目试验期限。</w:t>
            </w:r>
          </w:p>
          <w:p>
            <w:pPr>
              <w:widowControl w:val="0"/>
              <w:tabs>
                <w:tab w:val="left" w:pos="993"/>
              </w:tabs>
              <w:spacing w:line="360" w:lineRule="auto"/>
              <w:jc w:val="both"/>
              <w:rPr>
                <w:sz w:val="24"/>
                <w:szCs w:val="24"/>
                <w:lang w:eastAsia="zh-CN"/>
              </w:rPr>
            </w:pPr>
          </w:p>
        </w:tc>
        <w:tc>
          <w:tcPr>
            <w:tcW w:w="2391" w:type="pct"/>
          </w:tcPr>
          <w:p>
            <w:pPr>
              <w:rPr>
                <w:sz w:val="24"/>
                <w:szCs w:val="24"/>
                <w:lang w:eastAsia="zh-CN"/>
              </w:rPr>
            </w:pPr>
            <w:r>
              <w:rPr>
                <w:rFonts w:hint="eastAsia"/>
                <w:sz w:val="24"/>
                <w:szCs w:val="24"/>
                <w:lang w:eastAsia="zh-CN"/>
              </w:rPr>
              <w:t>项目由来、项目试验期限详见p7-9；项目建设内容详见p37；本项目依托华能电厂锅炉及烟气处理等设施的可行性分析详见p49-55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6" w:hRule="atLeast"/>
        </w:trPr>
        <w:tc>
          <w:tcPr>
            <w:tcW w:w="2609" w:type="pct"/>
          </w:tcPr>
          <w:p>
            <w:pPr>
              <w:widowControl w:val="0"/>
              <w:tabs>
                <w:tab w:val="left" w:pos="953"/>
                <w:tab w:val="left" w:pos="993"/>
              </w:tabs>
              <w:spacing w:line="360" w:lineRule="auto"/>
              <w:rPr>
                <w:sz w:val="28"/>
                <w:szCs w:val="28"/>
                <w:lang w:eastAsia="zh-CN"/>
              </w:rPr>
            </w:pPr>
            <w:r>
              <w:rPr>
                <w:rFonts w:hint="eastAsia"/>
                <w:sz w:val="24"/>
                <w:szCs w:val="24"/>
                <w:lang w:eastAsia="zh-CN"/>
              </w:rPr>
              <w:t>2、</w:t>
            </w:r>
            <w:r>
              <w:rPr>
                <w:rFonts w:hint="eastAsia"/>
                <w:sz w:val="28"/>
                <w:szCs w:val="28"/>
                <w:lang w:eastAsia="zh-CN"/>
              </w:rPr>
              <w:t>明确项目涉及的污泥和生物质投加量和比例、来源控制要求和运输方式，补充污泥、秸秆等原料成分、热值等资料，结合项目原料投加量及热值，分析项目对华能电厂的影响。</w:t>
            </w:r>
          </w:p>
          <w:p>
            <w:pPr>
              <w:widowControl w:val="0"/>
              <w:tabs>
                <w:tab w:val="left" w:pos="993"/>
              </w:tabs>
              <w:spacing w:line="360" w:lineRule="auto"/>
              <w:jc w:val="both"/>
              <w:rPr>
                <w:sz w:val="24"/>
                <w:szCs w:val="24"/>
                <w:lang w:eastAsia="zh-CN"/>
              </w:rPr>
            </w:pPr>
          </w:p>
        </w:tc>
        <w:tc>
          <w:tcPr>
            <w:tcW w:w="2391" w:type="pct"/>
          </w:tcPr>
          <w:p>
            <w:pPr>
              <w:rPr>
                <w:sz w:val="24"/>
                <w:szCs w:val="24"/>
                <w:lang w:eastAsia="zh-CN"/>
              </w:rPr>
            </w:pPr>
            <w:r>
              <w:rPr>
                <w:rFonts w:hint="eastAsia"/>
                <w:sz w:val="28"/>
                <w:szCs w:val="28"/>
                <w:lang w:eastAsia="zh-CN"/>
              </w:rPr>
              <w:t>污泥和生物质投加量和比例详见p49；污泥、秸秆等原料成分、热值等资料详见p41-43；结合项目原料投加量及热值，分析项目对华能电厂的影响详见p50-55；运输方式详见p39-40。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09" w:type="pct"/>
          </w:tcPr>
          <w:p>
            <w:pPr>
              <w:widowControl w:val="0"/>
              <w:tabs>
                <w:tab w:val="left" w:pos="953"/>
                <w:tab w:val="left" w:pos="993"/>
              </w:tabs>
              <w:spacing w:line="360" w:lineRule="auto"/>
              <w:jc w:val="both"/>
              <w:rPr>
                <w:sz w:val="28"/>
                <w:szCs w:val="28"/>
                <w:lang w:eastAsia="zh-CN"/>
              </w:rPr>
            </w:pPr>
            <w:r>
              <w:rPr>
                <w:rFonts w:hint="eastAsia"/>
                <w:sz w:val="24"/>
                <w:szCs w:val="24"/>
                <w:lang w:eastAsia="zh-CN"/>
              </w:rPr>
              <w:t>3、</w:t>
            </w:r>
            <w:r>
              <w:rPr>
                <w:rFonts w:hint="eastAsia"/>
                <w:sz w:val="28"/>
                <w:szCs w:val="28"/>
                <w:lang w:eastAsia="zh-CN"/>
              </w:rPr>
              <w:t>完善项目工艺流程及产污节点，明确污泥干燥高温烟气来源节点及干燥后的含水率、物料掺烧和输送方式。</w:t>
            </w:r>
          </w:p>
          <w:p>
            <w:pPr>
              <w:widowControl w:val="0"/>
              <w:tabs>
                <w:tab w:val="left" w:pos="993"/>
              </w:tabs>
              <w:spacing w:line="360" w:lineRule="auto"/>
              <w:jc w:val="both"/>
              <w:rPr>
                <w:sz w:val="24"/>
                <w:szCs w:val="24"/>
                <w:lang w:eastAsia="zh-CN"/>
              </w:rPr>
            </w:pPr>
          </w:p>
        </w:tc>
        <w:tc>
          <w:tcPr>
            <w:tcW w:w="2391" w:type="pct"/>
          </w:tcPr>
          <w:p>
            <w:pPr>
              <w:rPr>
                <w:b/>
                <w:sz w:val="24"/>
                <w:szCs w:val="24"/>
                <w:lang w:eastAsia="zh-CN"/>
              </w:rPr>
            </w:pPr>
            <w:r>
              <w:rPr>
                <w:rFonts w:hint="eastAsia"/>
                <w:sz w:val="28"/>
                <w:szCs w:val="28"/>
                <w:lang w:eastAsia="zh-CN"/>
              </w:rPr>
              <w:t>项目工艺流程及产污节点，明确污泥干燥高温烟气来源节点及干燥后的含水率、物料掺烧和输送方式详见p39-41。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09" w:type="pct"/>
          </w:tcPr>
          <w:p>
            <w:pPr>
              <w:widowControl w:val="0"/>
              <w:tabs>
                <w:tab w:val="left" w:pos="953"/>
                <w:tab w:val="left" w:pos="993"/>
              </w:tabs>
              <w:spacing w:line="360" w:lineRule="auto"/>
              <w:jc w:val="both"/>
              <w:rPr>
                <w:sz w:val="28"/>
                <w:szCs w:val="28"/>
                <w:lang w:eastAsia="zh-CN"/>
              </w:rPr>
            </w:pPr>
            <w:r>
              <w:rPr>
                <w:rFonts w:hint="eastAsia"/>
                <w:sz w:val="24"/>
                <w:szCs w:val="24"/>
                <w:lang w:eastAsia="zh-CN"/>
              </w:rPr>
              <w:t>4、</w:t>
            </w:r>
            <w:r>
              <w:rPr>
                <w:rFonts w:hint="eastAsia"/>
                <w:sz w:val="28"/>
                <w:szCs w:val="28"/>
                <w:lang w:eastAsia="zh-CN"/>
              </w:rPr>
              <w:t xml:space="preserve">完善环境空气、地表水等环境质量现状评价，结合项目特点校核各环境要素评价等级，完善项目烟气污染物特征因子及废气排放标准。 </w:t>
            </w:r>
          </w:p>
          <w:p>
            <w:pPr>
              <w:widowControl w:val="0"/>
              <w:tabs>
                <w:tab w:val="left" w:pos="993"/>
              </w:tabs>
              <w:spacing w:line="360" w:lineRule="auto"/>
              <w:jc w:val="both"/>
              <w:rPr>
                <w:sz w:val="24"/>
                <w:szCs w:val="24"/>
                <w:lang w:eastAsia="zh-CN"/>
              </w:rPr>
            </w:pPr>
          </w:p>
        </w:tc>
        <w:tc>
          <w:tcPr>
            <w:tcW w:w="2391" w:type="pct"/>
          </w:tcPr>
          <w:p>
            <w:pPr>
              <w:widowControl w:val="0"/>
              <w:tabs>
                <w:tab w:val="left" w:pos="993"/>
              </w:tabs>
              <w:spacing w:line="360" w:lineRule="auto"/>
              <w:jc w:val="both"/>
              <w:rPr>
                <w:b/>
                <w:sz w:val="24"/>
                <w:szCs w:val="24"/>
                <w:lang w:eastAsia="zh-CN"/>
              </w:rPr>
            </w:pPr>
            <w:r>
              <w:rPr>
                <w:rFonts w:hint="eastAsia"/>
                <w:sz w:val="28"/>
                <w:szCs w:val="28"/>
                <w:lang w:eastAsia="zh-CN"/>
              </w:rPr>
              <w:t>环境空气、地表水等环境质量现状评价详见p62-67；各环境要素评价等级p23-27；项目烟气污染物特征因子及废气排放标准详见p22。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09" w:type="pct"/>
          </w:tcPr>
          <w:p>
            <w:pPr>
              <w:widowControl w:val="0"/>
              <w:tabs>
                <w:tab w:val="left" w:pos="953"/>
                <w:tab w:val="left" w:pos="993"/>
              </w:tabs>
              <w:spacing w:line="360" w:lineRule="auto"/>
              <w:jc w:val="both"/>
              <w:rPr>
                <w:sz w:val="28"/>
                <w:szCs w:val="28"/>
                <w:lang w:eastAsia="zh-CN"/>
              </w:rPr>
            </w:pPr>
            <w:r>
              <w:rPr>
                <w:rFonts w:hint="eastAsia"/>
                <w:sz w:val="24"/>
                <w:szCs w:val="24"/>
                <w:lang w:eastAsia="zh-CN"/>
              </w:rPr>
              <w:t>5、</w:t>
            </w:r>
            <w:r>
              <w:rPr>
                <w:rFonts w:hint="eastAsia"/>
                <w:sz w:val="28"/>
                <w:szCs w:val="28"/>
                <w:lang w:eastAsia="zh-CN"/>
              </w:rPr>
              <w:t>根据原料投加运行方式，核实本项目新增废气、固废等各类污染物排放量及依托相关设施处理的可靠性。</w:t>
            </w:r>
          </w:p>
          <w:p>
            <w:pPr>
              <w:widowControl w:val="0"/>
              <w:tabs>
                <w:tab w:val="left" w:pos="993"/>
              </w:tabs>
              <w:spacing w:line="360" w:lineRule="auto"/>
              <w:jc w:val="both"/>
              <w:rPr>
                <w:sz w:val="24"/>
                <w:szCs w:val="24"/>
                <w:lang w:eastAsia="zh-CN"/>
              </w:rPr>
            </w:pPr>
          </w:p>
          <w:p>
            <w:pPr>
              <w:rPr>
                <w:sz w:val="24"/>
                <w:szCs w:val="24"/>
                <w:lang w:eastAsia="zh-CN"/>
              </w:rPr>
            </w:pPr>
          </w:p>
        </w:tc>
        <w:tc>
          <w:tcPr>
            <w:tcW w:w="2391" w:type="pct"/>
          </w:tcPr>
          <w:p>
            <w:pPr>
              <w:rPr>
                <w:b/>
                <w:sz w:val="24"/>
                <w:szCs w:val="24"/>
                <w:lang w:eastAsia="zh-CN"/>
              </w:rPr>
            </w:pPr>
            <w:r>
              <w:rPr>
                <w:rFonts w:hint="eastAsia"/>
                <w:sz w:val="28"/>
                <w:szCs w:val="28"/>
                <w:lang w:eastAsia="zh-CN"/>
              </w:rPr>
              <w:t>根据原料投加运行方式，核实本项目新增废气、固废等各类污染物排放量及依托相关设施处理的可靠性详见p49-55.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609" w:type="pct"/>
          </w:tcPr>
          <w:p>
            <w:pPr>
              <w:widowControl w:val="0"/>
              <w:tabs>
                <w:tab w:val="left" w:pos="953"/>
                <w:tab w:val="left" w:pos="993"/>
              </w:tabs>
              <w:spacing w:line="360" w:lineRule="auto"/>
              <w:jc w:val="both"/>
              <w:rPr>
                <w:sz w:val="28"/>
                <w:szCs w:val="28"/>
                <w:lang w:eastAsia="zh-CN"/>
              </w:rPr>
            </w:pPr>
            <w:r>
              <w:rPr>
                <w:rFonts w:hint="eastAsia"/>
                <w:sz w:val="24"/>
                <w:szCs w:val="24"/>
                <w:lang w:eastAsia="zh-CN"/>
              </w:rPr>
              <w:t>6、</w:t>
            </w:r>
            <w:r>
              <w:rPr>
                <w:sz w:val="28"/>
                <w:szCs w:val="28"/>
                <w:lang w:eastAsia="zh-CN"/>
              </w:rPr>
              <w:t>明确项目总量来源</w:t>
            </w:r>
            <w:r>
              <w:rPr>
                <w:rFonts w:hint="eastAsia"/>
                <w:sz w:val="28"/>
                <w:szCs w:val="28"/>
                <w:lang w:eastAsia="zh-CN"/>
              </w:rPr>
              <w:t>，完善环境监测计划、监测</w:t>
            </w:r>
            <w:r>
              <w:rPr>
                <w:sz w:val="28"/>
                <w:szCs w:val="28"/>
                <w:lang w:eastAsia="zh-CN"/>
              </w:rPr>
              <w:t>点位图</w:t>
            </w:r>
            <w:r>
              <w:rPr>
                <w:rFonts w:hint="eastAsia"/>
                <w:sz w:val="28"/>
                <w:szCs w:val="28"/>
                <w:lang w:eastAsia="zh-CN"/>
              </w:rPr>
              <w:t>等</w:t>
            </w:r>
            <w:r>
              <w:rPr>
                <w:sz w:val="28"/>
                <w:szCs w:val="28"/>
                <w:lang w:eastAsia="zh-CN"/>
              </w:rPr>
              <w:t>相关图件及编制依据</w:t>
            </w:r>
            <w:r>
              <w:rPr>
                <w:rFonts w:hint="eastAsia"/>
                <w:sz w:val="28"/>
                <w:szCs w:val="28"/>
                <w:lang w:eastAsia="zh-CN"/>
              </w:rPr>
              <w:t>，</w:t>
            </w:r>
            <w:r>
              <w:rPr>
                <w:sz w:val="28"/>
                <w:szCs w:val="28"/>
                <w:lang w:eastAsia="zh-CN"/>
              </w:rPr>
              <w:t>补充华能岳阳电厂相关意见</w:t>
            </w:r>
            <w:r>
              <w:rPr>
                <w:rFonts w:hint="eastAsia"/>
                <w:sz w:val="28"/>
                <w:szCs w:val="28"/>
                <w:lang w:eastAsia="zh-CN"/>
              </w:rPr>
              <w:t>。</w:t>
            </w:r>
          </w:p>
          <w:p>
            <w:pPr>
              <w:widowControl w:val="0"/>
              <w:tabs>
                <w:tab w:val="left" w:pos="993"/>
              </w:tabs>
              <w:spacing w:line="360" w:lineRule="auto"/>
              <w:jc w:val="both"/>
              <w:rPr>
                <w:sz w:val="24"/>
                <w:szCs w:val="24"/>
                <w:lang w:eastAsia="zh-CN"/>
              </w:rPr>
            </w:pPr>
          </w:p>
        </w:tc>
        <w:tc>
          <w:tcPr>
            <w:tcW w:w="2391" w:type="pct"/>
          </w:tcPr>
          <w:p>
            <w:pPr>
              <w:rPr>
                <w:sz w:val="24"/>
                <w:szCs w:val="24"/>
                <w:lang w:eastAsia="zh-CN"/>
              </w:rPr>
            </w:pPr>
            <w:r>
              <w:rPr>
                <w:rFonts w:hint="eastAsia"/>
                <w:sz w:val="28"/>
                <w:szCs w:val="28"/>
                <w:lang w:eastAsia="zh-CN"/>
              </w:rPr>
              <w:t>总量来源、环境监测计划详见p108；监测</w:t>
            </w:r>
            <w:r>
              <w:rPr>
                <w:sz w:val="28"/>
                <w:szCs w:val="28"/>
                <w:lang w:eastAsia="zh-CN"/>
              </w:rPr>
              <w:t>点位图</w:t>
            </w:r>
            <w:r>
              <w:rPr>
                <w:rFonts w:hint="eastAsia"/>
                <w:sz w:val="28"/>
                <w:szCs w:val="28"/>
                <w:lang w:eastAsia="zh-CN"/>
              </w:rPr>
              <w:t>等</w:t>
            </w:r>
            <w:r>
              <w:rPr>
                <w:sz w:val="28"/>
                <w:szCs w:val="28"/>
                <w:lang w:eastAsia="zh-CN"/>
              </w:rPr>
              <w:t>相关图件</w:t>
            </w:r>
            <w:r>
              <w:rPr>
                <w:rFonts w:hint="eastAsia"/>
                <w:sz w:val="28"/>
                <w:szCs w:val="28"/>
                <w:lang w:eastAsia="zh-CN"/>
              </w:rPr>
              <w:t>见附图；</w:t>
            </w:r>
            <w:r>
              <w:rPr>
                <w:sz w:val="28"/>
                <w:szCs w:val="28"/>
                <w:lang w:eastAsia="zh-CN"/>
              </w:rPr>
              <w:t>编制依据</w:t>
            </w:r>
            <w:r>
              <w:rPr>
                <w:rFonts w:hint="eastAsia"/>
                <w:sz w:val="28"/>
                <w:szCs w:val="28"/>
                <w:lang w:eastAsia="zh-CN"/>
              </w:rPr>
              <w:t>详见p15-17。</w:t>
            </w:r>
          </w:p>
        </w:tc>
      </w:tr>
    </w:tbl>
    <w:p>
      <w:pPr>
        <w:jc w:val="center"/>
        <w:rPr>
          <w:b/>
          <w:sz w:val="24"/>
          <w:szCs w:val="2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p>
    <w:p>
      <w:pPr>
        <w:rPr>
          <w:rFonts w:asciiTheme="minorEastAsia" w:hAnsiTheme="minorEastAsia" w:cstheme="minorEastAsia"/>
          <w:b/>
          <w:sz w:val="44"/>
          <w:szCs w:val="44"/>
          <w:lang w:eastAsia="zh-CN"/>
        </w:rPr>
      </w:pPr>
    </w:p>
    <w:p>
      <w:pPr>
        <w:jc w:val="center"/>
        <w:rPr>
          <w:rFonts w:asciiTheme="minorEastAsia" w:hAnsiTheme="minorEastAsia" w:cstheme="minorEastAsia"/>
          <w:b/>
          <w:sz w:val="44"/>
          <w:szCs w:val="44"/>
          <w:lang w:eastAsia="zh-CN"/>
        </w:rPr>
      </w:pPr>
      <w:r>
        <w:rPr>
          <w:rFonts w:hint="eastAsia" w:asciiTheme="minorEastAsia" w:hAnsiTheme="minorEastAsia" w:cstheme="minorEastAsia"/>
          <w:b/>
          <w:sz w:val="44"/>
          <w:szCs w:val="44"/>
          <w:lang w:eastAsia="zh-CN"/>
        </w:rPr>
        <w:t>燃煤电厂污泥及生物质干燥炭化输送</w:t>
      </w:r>
    </w:p>
    <w:p>
      <w:pPr>
        <w:jc w:val="center"/>
        <w:rPr>
          <w:rFonts w:asciiTheme="minorEastAsia" w:hAnsiTheme="minorEastAsia" w:cstheme="minorEastAsia"/>
          <w:b/>
          <w:sz w:val="44"/>
          <w:szCs w:val="44"/>
          <w:lang w:eastAsia="zh-CN"/>
        </w:rPr>
      </w:pPr>
      <w:r>
        <w:rPr>
          <w:rFonts w:hint="eastAsia" w:asciiTheme="minorEastAsia" w:hAnsiTheme="minorEastAsia" w:cstheme="minorEastAsia"/>
          <w:b/>
          <w:sz w:val="44"/>
          <w:szCs w:val="44"/>
          <w:lang w:eastAsia="zh-CN"/>
        </w:rPr>
        <w:t>一体化处理系统关键技术研发</w:t>
      </w:r>
      <w:r>
        <w:rPr>
          <w:rFonts w:asciiTheme="minorEastAsia" w:hAnsiTheme="minorEastAsia" w:cstheme="minorEastAsia"/>
          <w:b/>
          <w:sz w:val="44"/>
          <w:szCs w:val="44"/>
          <w:lang w:eastAsia="zh-CN"/>
        </w:rPr>
        <w:t>项目</w:t>
      </w:r>
    </w:p>
    <w:p>
      <w:pPr>
        <w:kinsoku w:val="0"/>
        <w:overflowPunct w:val="0"/>
        <w:spacing w:line="360" w:lineRule="auto"/>
        <w:jc w:val="center"/>
        <w:rPr>
          <w:rFonts w:ascii="Times New Roman" w:hAnsi="Times New Roman" w:cs="Times New Roman"/>
          <w:b/>
          <w:sz w:val="84"/>
          <w:szCs w:val="84"/>
          <w:lang w:eastAsia="zh-CN"/>
        </w:rPr>
      </w:pPr>
      <w:r>
        <w:rPr>
          <w:rFonts w:ascii="Times New Roman" w:hAnsi="Times New Roman" w:cs="Times New Roman"/>
          <w:b/>
          <w:sz w:val="84"/>
          <w:szCs w:val="84"/>
          <w:lang w:eastAsia="zh-CN"/>
        </w:rPr>
        <w:t>环境影响报告书</w:t>
      </w:r>
    </w:p>
    <w:p>
      <w:pPr>
        <w:spacing w:line="360" w:lineRule="auto"/>
        <w:jc w:val="center"/>
        <w:rPr>
          <w:rFonts w:ascii="Times New Roman" w:hAnsi="Times New Roman" w:cs="Times New Roman"/>
          <w:b/>
          <w:sz w:val="48"/>
          <w:szCs w:val="52"/>
          <w:lang w:eastAsia="zh-CN"/>
        </w:rPr>
      </w:pPr>
      <w:r>
        <w:rPr>
          <w:rFonts w:ascii="Times New Roman" w:hAnsi="Times New Roman" w:cs="Times New Roman"/>
          <w:b/>
          <w:sz w:val="48"/>
          <w:szCs w:val="52"/>
          <w:lang w:eastAsia="zh-CN"/>
        </w:rPr>
        <w:t>（</w:t>
      </w:r>
      <w:r>
        <w:rPr>
          <w:rFonts w:hint="eastAsia" w:ascii="Times New Roman" w:hAnsi="Times New Roman" w:cs="Times New Roman"/>
          <w:b/>
          <w:sz w:val="48"/>
          <w:szCs w:val="52"/>
          <w:lang w:eastAsia="zh-CN"/>
        </w:rPr>
        <w:t>报批</w:t>
      </w:r>
      <w:r>
        <w:rPr>
          <w:rFonts w:ascii="Times New Roman" w:hAnsi="Times New Roman" w:cs="Times New Roman"/>
          <w:b/>
          <w:sz w:val="48"/>
          <w:szCs w:val="52"/>
          <w:lang w:eastAsia="zh-CN"/>
        </w:rPr>
        <w:t>稿）</w:t>
      </w:r>
    </w:p>
    <w:p>
      <w:pPr>
        <w:kinsoku w:val="0"/>
        <w:overflowPunct w:val="0"/>
        <w:ind w:firstLine="1446"/>
        <w:rPr>
          <w:rFonts w:ascii="Times New Roman" w:hAnsi="Times New Roman" w:cs="Times New Roman"/>
          <w:b/>
          <w:bCs/>
          <w:sz w:val="72"/>
          <w:lang w:eastAsia="zh-CN"/>
        </w:rPr>
      </w:pPr>
    </w:p>
    <w:p>
      <w:pPr>
        <w:kinsoku w:val="0"/>
        <w:overflowPunct w:val="0"/>
        <w:ind w:firstLine="1446"/>
        <w:rPr>
          <w:rFonts w:ascii="Times New Roman" w:hAnsi="Times New Roman" w:cs="Times New Roman"/>
          <w:b/>
          <w:bCs/>
          <w:sz w:val="72"/>
          <w:lang w:eastAsia="zh-CN"/>
        </w:rPr>
      </w:pPr>
    </w:p>
    <w:p>
      <w:pPr>
        <w:kinsoku w:val="0"/>
        <w:overflowPunct w:val="0"/>
        <w:rPr>
          <w:rFonts w:ascii="Times New Roman" w:hAnsi="Times New Roman" w:cs="Times New Roman"/>
          <w:b/>
          <w:bCs/>
          <w:sz w:val="72"/>
          <w:lang w:eastAsia="zh-CN"/>
        </w:rPr>
      </w:pPr>
    </w:p>
    <w:p>
      <w:pPr>
        <w:kinsoku w:val="0"/>
        <w:overflowPunct w:val="0"/>
        <w:ind w:firstLine="1446"/>
        <w:rPr>
          <w:rFonts w:ascii="Times New Roman" w:hAnsi="Times New Roman" w:cs="Times New Roman"/>
          <w:b/>
          <w:bCs/>
          <w:sz w:val="72"/>
          <w:lang w:eastAsia="zh-CN"/>
        </w:rPr>
      </w:pPr>
    </w:p>
    <w:p>
      <w:pPr>
        <w:kinsoku w:val="0"/>
        <w:overflowPunct w:val="0"/>
        <w:spacing w:line="360" w:lineRule="auto"/>
        <w:ind w:firstLine="1285" w:firstLineChars="400"/>
        <w:rPr>
          <w:rFonts w:ascii="Times New Roman" w:hAnsi="Times New Roman" w:cs="Times New Roman"/>
          <w:b/>
          <w:sz w:val="32"/>
          <w:szCs w:val="32"/>
          <w:shd w:val="clear" w:color="auto" w:fill="FFFFFF"/>
          <w:lang w:eastAsia="zh-CN"/>
        </w:rPr>
      </w:pPr>
      <w:r>
        <w:rPr>
          <w:rFonts w:ascii="Times New Roman" w:hAnsi="Times New Roman" w:cs="Times New Roman"/>
          <w:b/>
          <w:sz w:val="32"/>
          <w:szCs w:val="32"/>
          <w:lang w:eastAsia="zh-CN"/>
        </w:rPr>
        <w:t>建设单位：</w:t>
      </w:r>
      <w:r>
        <w:rPr>
          <w:rFonts w:hint="eastAsia" w:ascii="Times New Roman" w:hAnsi="Times New Roman" w:cs="Times New Roman"/>
          <w:b/>
          <w:sz w:val="32"/>
          <w:szCs w:val="32"/>
          <w:lang w:eastAsia="zh-CN"/>
        </w:rPr>
        <w:t>西安西热锅炉环保工程</w:t>
      </w:r>
      <w:r>
        <w:rPr>
          <w:rFonts w:ascii="Times New Roman" w:hAnsi="Times New Roman" w:cs="Times New Roman"/>
          <w:b/>
          <w:sz w:val="32"/>
          <w:szCs w:val="32"/>
          <w:shd w:val="clear" w:color="auto" w:fill="FFFFFF"/>
          <w:lang w:eastAsia="zh-CN"/>
        </w:rPr>
        <w:t>有限公司</w:t>
      </w:r>
    </w:p>
    <w:p>
      <w:pPr>
        <w:kinsoku w:val="0"/>
        <w:overflowPunct w:val="0"/>
        <w:spacing w:line="360" w:lineRule="auto"/>
        <w:ind w:firstLine="1285" w:firstLineChars="400"/>
        <w:rPr>
          <w:rFonts w:ascii="Times New Roman" w:hAnsi="Times New Roman" w:cs="Times New Roman"/>
          <w:b/>
          <w:sz w:val="32"/>
          <w:szCs w:val="32"/>
          <w:lang w:eastAsia="zh-CN"/>
        </w:rPr>
      </w:pPr>
      <w:r>
        <w:rPr>
          <w:rFonts w:ascii="Times New Roman" w:hAnsi="Times New Roman" w:cs="Times New Roman"/>
          <w:b/>
          <w:sz w:val="32"/>
          <w:szCs w:val="32"/>
          <w:lang w:eastAsia="zh-CN"/>
        </w:rPr>
        <w:t>编制单位：</w:t>
      </w:r>
      <w:r>
        <w:rPr>
          <w:rFonts w:ascii="Times New Roman" w:hAnsi="Times New Roman" w:cs="Times New Roman"/>
          <w:b/>
          <w:snapToGrid w:val="0"/>
          <w:sz w:val="32"/>
          <w:szCs w:val="32"/>
          <w:lang w:eastAsia="zh-CN"/>
        </w:rPr>
        <w:t>湖南环腾环保工程有限公司</w:t>
      </w:r>
    </w:p>
    <w:p>
      <w:pPr>
        <w:spacing w:line="360" w:lineRule="auto"/>
        <w:ind w:firstLine="3593" w:firstLineChars="1123"/>
        <w:rPr>
          <w:rFonts w:ascii="Times New Roman" w:hAnsi="Times New Roman" w:cs="Times New Roman"/>
          <w:sz w:val="30"/>
          <w:szCs w:val="30"/>
          <w:lang w:eastAsia="zh-CN"/>
        </w:rPr>
        <w:sectPr>
          <w:footerReference r:id="rId6" w:type="first"/>
          <w:footerReference r:id="rId4" w:type="default"/>
          <w:headerReference r:id="rId3" w:type="even"/>
          <w:footerReference r:id="rId5" w:type="even"/>
          <w:pgSz w:w="11906" w:h="16838"/>
          <w:pgMar w:top="1701" w:right="1588" w:bottom="1985" w:left="1588" w:header="851" w:footer="1134" w:gutter="0"/>
          <w:pgNumType w:fmt="upperRoman" w:start="1"/>
          <w:cols w:space="720" w:num="1"/>
          <w:titlePg/>
          <w:docGrid w:type="lines" w:linePitch="312" w:charSpace="0"/>
        </w:sectPr>
      </w:pPr>
      <w:r>
        <w:rPr>
          <w:rFonts w:ascii="Times New Roman" w:hAnsi="Times New Roman" w:cs="Times New Roman"/>
          <w:sz w:val="32"/>
          <w:szCs w:val="32"/>
        </w:rPr>
        <w:t>201</w:t>
      </w:r>
      <w:r>
        <w:rPr>
          <w:rFonts w:ascii="Times New Roman" w:hAnsi="Times New Roman" w:cs="Times New Roman"/>
          <w:sz w:val="32"/>
          <w:szCs w:val="32"/>
          <w:lang w:eastAsia="zh-CN"/>
        </w:rPr>
        <w:t>9</w:t>
      </w:r>
      <w:r>
        <w:rPr>
          <w:rFonts w:ascii="Times New Roman" w:hAnsi="Times New Roman" w:cs="Times New Roman"/>
          <w:sz w:val="32"/>
          <w:szCs w:val="32"/>
        </w:rPr>
        <w:t>年</w:t>
      </w:r>
      <w:r>
        <w:rPr>
          <w:rFonts w:hint="eastAsia" w:ascii="Times New Roman" w:hAnsi="Times New Roman" w:cs="Times New Roman"/>
          <w:sz w:val="32"/>
          <w:szCs w:val="32"/>
          <w:lang w:eastAsia="zh-CN"/>
        </w:rPr>
        <w:t>10月</w:t>
      </w:r>
    </w:p>
    <w:p>
      <w:pPr>
        <w:pStyle w:val="5"/>
        <w:widowControl w:val="0"/>
        <w:tabs>
          <w:tab w:val="left" w:pos="-3900"/>
          <w:tab w:val="left" w:pos="0"/>
        </w:tabs>
        <w:wordWrap w:val="0"/>
        <w:adjustRightInd w:val="0"/>
        <w:snapToGrid w:val="0"/>
        <w:spacing w:beforeLines="50" w:afterLines="50" w:line="360" w:lineRule="auto"/>
        <w:rPr>
          <w:lang w:eastAsia="zh-CN"/>
        </w:rPr>
      </w:pPr>
    </w:p>
    <w:sdt>
      <w:sdtPr>
        <w:rPr>
          <w:rFonts w:eastAsia="宋体" w:asciiTheme="minorHAnsi" w:hAnsiTheme="minorHAnsi" w:cstheme="minorBidi"/>
          <w:b w:val="0"/>
          <w:bCs w:val="0"/>
          <w:color w:val="auto"/>
          <w:sz w:val="22"/>
          <w:szCs w:val="22"/>
          <w:lang w:val="zh-CN" w:eastAsia="en-US"/>
        </w:rPr>
        <w:id w:val="11018665"/>
        <w:docPartObj>
          <w:docPartGallery w:val="Table of Contents"/>
          <w:docPartUnique/>
        </w:docPartObj>
      </w:sdtPr>
      <w:sdtEndPr>
        <w:rPr>
          <w:rFonts w:eastAsia="宋体" w:asciiTheme="minorHAnsi" w:hAnsiTheme="minorHAnsi" w:cstheme="minorBidi"/>
          <w:b w:val="0"/>
          <w:bCs w:val="0"/>
          <w:color w:val="auto"/>
          <w:sz w:val="22"/>
          <w:szCs w:val="22"/>
          <w:lang w:val="en-US" w:eastAsia="en-US"/>
        </w:rPr>
      </w:sdtEndPr>
      <w:sdtContent>
        <w:p>
          <w:pPr>
            <w:pStyle w:val="81"/>
            <w:jc w:val="center"/>
            <w:rPr>
              <w:color w:val="auto"/>
            </w:rPr>
          </w:pPr>
          <w:r>
            <w:rPr>
              <w:color w:val="auto"/>
              <w:lang w:val="zh-CN"/>
            </w:rPr>
            <w:t>目录</w:t>
          </w:r>
        </w:p>
        <w:p>
          <w:pPr>
            <w:pStyle w:val="22"/>
            <w:tabs>
              <w:tab w:val="right" w:leader="dot" w:pos="8892"/>
            </w:tabs>
            <w:rPr>
              <w:rFonts w:eastAsiaTheme="minorEastAsia"/>
            </w:rPr>
          </w:pPr>
          <w:r>
            <w:rPr>
              <w:lang w:eastAsia="zh-CN"/>
            </w:rPr>
            <w:fldChar w:fldCharType="begin"/>
          </w:r>
          <w:r>
            <w:rPr>
              <w:lang w:eastAsia="zh-CN"/>
            </w:rPr>
            <w:instrText xml:space="preserve"> TOC \o "1-3" \h \z \u </w:instrText>
          </w:r>
          <w:r>
            <w:rPr>
              <w:lang w:eastAsia="zh-CN"/>
            </w:rPr>
            <w:fldChar w:fldCharType="separate"/>
          </w:r>
          <w:r>
            <w:fldChar w:fldCharType="begin"/>
          </w:r>
          <w:r>
            <w:instrText xml:space="preserve"> HYPERLINK \l "_Toc24969716" </w:instrText>
          </w:r>
          <w:r>
            <w:fldChar w:fldCharType="separate"/>
          </w:r>
          <w:r>
            <w:rPr>
              <w:rStyle w:val="34"/>
              <w:rFonts w:ascii="宋体" w:hAnsi="宋体"/>
              <w:lang w:eastAsia="zh-CN"/>
            </w:rPr>
            <w:t>1.</w:t>
          </w:r>
          <w:r>
            <w:rPr>
              <w:rStyle w:val="34"/>
              <w:rFonts w:hint="eastAsia" w:ascii="宋体" w:hAnsi="宋体"/>
              <w:lang w:eastAsia="zh-CN"/>
            </w:rPr>
            <w:t>概述</w:t>
          </w:r>
          <w:r>
            <w:tab/>
          </w:r>
          <w:r>
            <w:fldChar w:fldCharType="begin"/>
          </w:r>
          <w:r>
            <w:instrText xml:space="preserve"> PAGEREF _Toc24969716 \h </w:instrText>
          </w:r>
          <w:r>
            <w:fldChar w:fldCharType="separate"/>
          </w:r>
          <w:r>
            <w:t>7</w:t>
          </w:r>
          <w:r>
            <w:fldChar w:fldCharType="end"/>
          </w:r>
          <w:r>
            <w:fldChar w:fldCharType="end"/>
          </w:r>
        </w:p>
        <w:p>
          <w:pPr>
            <w:pStyle w:val="25"/>
            <w:tabs>
              <w:tab w:val="right" w:leader="dot" w:pos="8892"/>
            </w:tabs>
            <w:rPr>
              <w:rFonts w:eastAsiaTheme="minorEastAsia"/>
            </w:rPr>
          </w:pPr>
          <w:r>
            <w:fldChar w:fldCharType="begin"/>
          </w:r>
          <w:r>
            <w:instrText xml:space="preserve"> HYPERLINK \l "_Toc24969717" </w:instrText>
          </w:r>
          <w:r>
            <w:fldChar w:fldCharType="separate"/>
          </w:r>
          <w:r>
            <w:rPr>
              <w:rStyle w:val="34"/>
              <w:rFonts w:ascii="宋体" w:hAnsi="宋体"/>
              <w:lang w:eastAsia="zh-CN"/>
            </w:rPr>
            <w:t>1.1</w:t>
          </w:r>
          <w:r>
            <w:rPr>
              <w:rStyle w:val="34"/>
              <w:rFonts w:hint="eastAsia" w:ascii="宋体" w:hAnsi="宋体"/>
              <w:lang w:eastAsia="zh-CN"/>
            </w:rPr>
            <w:t>项目由来</w:t>
          </w:r>
          <w:r>
            <w:tab/>
          </w:r>
          <w:r>
            <w:fldChar w:fldCharType="begin"/>
          </w:r>
          <w:r>
            <w:instrText xml:space="preserve"> PAGEREF _Toc24969717 \h </w:instrText>
          </w:r>
          <w:r>
            <w:fldChar w:fldCharType="separate"/>
          </w:r>
          <w:r>
            <w:t>7</w:t>
          </w:r>
          <w:r>
            <w:fldChar w:fldCharType="end"/>
          </w:r>
          <w:r>
            <w:fldChar w:fldCharType="end"/>
          </w:r>
        </w:p>
        <w:p>
          <w:pPr>
            <w:pStyle w:val="25"/>
            <w:tabs>
              <w:tab w:val="right" w:leader="dot" w:pos="8892"/>
            </w:tabs>
            <w:rPr>
              <w:rFonts w:eastAsiaTheme="minorEastAsia"/>
            </w:rPr>
          </w:pPr>
          <w:r>
            <w:fldChar w:fldCharType="begin"/>
          </w:r>
          <w:r>
            <w:instrText xml:space="preserve"> HYPERLINK \l "_Toc24969718" </w:instrText>
          </w:r>
          <w:r>
            <w:fldChar w:fldCharType="separate"/>
          </w:r>
          <w:r>
            <w:rPr>
              <w:rStyle w:val="34"/>
              <w:rFonts w:ascii="宋体" w:hAnsi="宋体"/>
              <w:lang w:eastAsia="zh-CN"/>
            </w:rPr>
            <w:t>1.2</w:t>
          </w:r>
          <w:r>
            <w:rPr>
              <w:rStyle w:val="34"/>
              <w:rFonts w:hint="eastAsia" w:ascii="宋体" w:hAnsi="宋体"/>
              <w:lang w:eastAsia="zh-CN"/>
            </w:rPr>
            <w:t>环境影响评价工作程序</w:t>
          </w:r>
          <w:r>
            <w:tab/>
          </w:r>
          <w:r>
            <w:fldChar w:fldCharType="begin"/>
          </w:r>
          <w:r>
            <w:instrText xml:space="preserve"> PAGEREF _Toc24969718 \h </w:instrText>
          </w:r>
          <w:r>
            <w:fldChar w:fldCharType="separate"/>
          </w:r>
          <w:r>
            <w:t>9</w:t>
          </w:r>
          <w:r>
            <w:fldChar w:fldCharType="end"/>
          </w:r>
          <w:r>
            <w:fldChar w:fldCharType="end"/>
          </w:r>
        </w:p>
        <w:p>
          <w:pPr>
            <w:pStyle w:val="25"/>
            <w:tabs>
              <w:tab w:val="right" w:leader="dot" w:pos="8892"/>
            </w:tabs>
            <w:rPr>
              <w:rFonts w:eastAsiaTheme="minorEastAsia"/>
            </w:rPr>
          </w:pPr>
          <w:r>
            <w:fldChar w:fldCharType="begin"/>
          </w:r>
          <w:r>
            <w:instrText xml:space="preserve"> HYPERLINK \l "_Toc24969719" </w:instrText>
          </w:r>
          <w:r>
            <w:fldChar w:fldCharType="separate"/>
          </w:r>
          <w:r>
            <w:rPr>
              <w:rStyle w:val="34"/>
              <w:rFonts w:ascii="宋体" w:hAnsi="宋体"/>
              <w:lang w:eastAsia="zh-CN"/>
            </w:rPr>
            <w:t>1.3</w:t>
          </w:r>
          <w:r>
            <w:rPr>
              <w:rStyle w:val="34"/>
              <w:rFonts w:hint="eastAsia" w:ascii="宋体" w:hAnsi="宋体"/>
              <w:lang w:eastAsia="zh-CN"/>
            </w:rPr>
            <w:t>项目的必要性</w:t>
          </w:r>
          <w:r>
            <w:tab/>
          </w:r>
          <w:r>
            <w:fldChar w:fldCharType="begin"/>
          </w:r>
          <w:r>
            <w:instrText xml:space="preserve"> PAGEREF _Toc24969719 \h </w:instrText>
          </w:r>
          <w:r>
            <w:fldChar w:fldCharType="separate"/>
          </w:r>
          <w:r>
            <w:t>11</w:t>
          </w:r>
          <w:r>
            <w:fldChar w:fldCharType="end"/>
          </w:r>
          <w:r>
            <w:fldChar w:fldCharType="end"/>
          </w:r>
        </w:p>
        <w:p>
          <w:pPr>
            <w:pStyle w:val="25"/>
            <w:tabs>
              <w:tab w:val="right" w:leader="dot" w:pos="8892"/>
            </w:tabs>
            <w:rPr>
              <w:rFonts w:eastAsiaTheme="minorEastAsia"/>
            </w:rPr>
          </w:pPr>
          <w:r>
            <w:fldChar w:fldCharType="begin"/>
          </w:r>
          <w:r>
            <w:instrText xml:space="preserve"> HYPERLINK \l "_Toc24969720" </w:instrText>
          </w:r>
          <w:r>
            <w:fldChar w:fldCharType="separate"/>
          </w:r>
          <w:r>
            <w:rPr>
              <w:rStyle w:val="34"/>
              <w:rFonts w:ascii="宋体" w:hAnsi="宋体"/>
              <w:lang w:eastAsia="zh-CN"/>
            </w:rPr>
            <w:t>1.4</w:t>
          </w:r>
          <w:r>
            <w:rPr>
              <w:rStyle w:val="34"/>
              <w:rFonts w:hint="eastAsia" w:ascii="宋体" w:hAnsi="宋体"/>
              <w:lang w:eastAsia="zh-CN"/>
            </w:rPr>
            <w:t>研发目标</w:t>
          </w:r>
          <w:r>
            <w:tab/>
          </w:r>
          <w:r>
            <w:fldChar w:fldCharType="begin"/>
          </w:r>
          <w:r>
            <w:instrText xml:space="preserve"> PAGEREF _Toc24969720 \h </w:instrText>
          </w:r>
          <w:r>
            <w:fldChar w:fldCharType="separate"/>
          </w:r>
          <w:r>
            <w:t>11</w:t>
          </w:r>
          <w:r>
            <w:fldChar w:fldCharType="end"/>
          </w:r>
          <w:r>
            <w:fldChar w:fldCharType="end"/>
          </w:r>
        </w:p>
        <w:p>
          <w:pPr>
            <w:pStyle w:val="25"/>
            <w:tabs>
              <w:tab w:val="right" w:leader="dot" w:pos="8892"/>
            </w:tabs>
            <w:rPr>
              <w:rFonts w:eastAsiaTheme="minorEastAsia"/>
            </w:rPr>
          </w:pPr>
          <w:r>
            <w:fldChar w:fldCharType="begin"/>
          </w:r>
          <w:r>
            <w:instrText xml:space="preserve"> HYPERLINK \l "_Toc24969721" </w:instrText>
          </w:r>
          <w:r>
            <w:fldChar w:fldCharType="separate"/>
          </w:r>
          <w:r>
            <w:rPr>
              <w:rStyle w:val="34"/>
              <w:rFonts w:ascii="宋体" w:hAnsi="宋体"/>
              <w:lang w:eastAsia="zh-CN"/>
            </w:rPr>
            <w:t>1.5</w:t>
          </w:r>
          <w:r>
            <w:rPr>
              <w:rStyle w:val="34"/>
              <w:rFonts w:hint="eastAsia" w:ascii="宋体" w:hAnsi="宋体"/>
              <w:lang w:eastAsia="zh-CN"/>
            </w:rPr>
            <w:t>项目特点</w:t>
          </w:r>
          <w:r>
            <w:tab/>
          </w:r>
          <w:r>
            <w:fldChar w:fldCharType="begin"/>
          </w:r>
          <w:r>
            <w:instrText xml:space="preserve"> PAGEREF _Toc24969721 \h </w:instrText>
          </w:r>
          <w:r>
            <w:fldChar w:fldCharType="separate"/>
          </w:r>
          <w:r>
            <w:t>11</w:t>
          </w:r>
          <w:r>
            <w:fldChar w:fldCharType="end"/>
          </w:r>
          <w:r>
            <w:fldChar w:fldCharType="end"/>
          </w:r>
        </w:p>
        <w:p>
          <w:pPr>
            <w:pStyle w:val="25"/>
            <w:tabs>
              <w:tab w:val="right" w:leader="dot" w:pos="8892"/>
            </w:tabs>
            <w:rPr>
              <w:rFonts w:eastAsiaTheme="minorEastAsia"/>
            </w:rPr>
          </w:pPr>
          <w:r>
            <w:fldChar w:fldCharType="begin"/>
          </w:r>
          <w:r>
            <w:instrText xml:space="preserve"> HYPERLINK \l "_Toc24969722" </w:instrText>
          </w:r>
          <w:r>
            <w:fldChar w:fldCharType="separate"/>
          </w:r>
          <w:r>
            <w:rPr>
              <w:rStyle w:val="34"/>
              <w:rFonts w:ascii="宋体" w:hAnsi="宋体"/>
              <w:lang w:eastAsia="zh-CN"/>
            </w:rPr>
            <w:t>1.6</w:t>
          </w:r>
          <w:r>
            <w:rPr>
              <w:rStyle w:val="34"/>
              <w:rFonts w:hint="eastAsia" w:ascii="宋体" w:hAnsi="宋体"/>
              <w:lang w:eastAsia="zh-CN"/>
            </w:rPr>
            <w:t>与</w:t>
          </w:r>
          <w:r>
            <w:rPr>
              <w:rStyle w:val="34"/>
              <w:rFonts w:ascii="宋体" w:hAnsi="宋体"/>
              <w:lang w:eastAsia="zh-CN"/>
            </w:rPr>
            <w:t>“</w:t>
          </w:r>
          <w:r>
            <w:rPr>
              <w:rStyle w:val="34"/>
              <w:rFonts w:hint="eastAsia" w:ascii="宋体" w:hAnsi="宋体"/>
              <w:lang w:eastAsia="zh-CN"/>
            </w:rPr>
            <w:t>三线一单</w:t>
          </w:r>
          <w:r>
            <w:rPr>
              <w:rStyle w:val="34"/>
              <w:rFonts w:ascii="宋体" w:hAnsi="宋体"/>
              <w:lang w:eastAsia="zh-CN"/>
            </w:rPr>
            <w:t>”</w:t>
          </w:r>
          <w:r>
            <w:rPr>
              <w:rStyle w:val="34"/>
              <w:rFonts w:hint="eastAsia" w:ascii="宋体" w:hAnsi="宋体"/>
              <w:lang w:eastAsia="zh-CN"/>
            </w:rPr>
            <w:t>的符合性分析</w:t>
          </w:r>
          <w:r>
            <w:tab/>
          </w:r>
          <w:r>
            <w:fldChar w:fldCharType="begin"/>
          </w:r>
          <w:r>
            <w:instrText xml:space="preserve"> PAGEREF _Toc24969722 \h </w:instrText>
          </w:r>
          <w:r>
            <w:fldChar w:fldCharType="separate"/>
          </w:r>
          <w:r>
            <w:t>12</w:t>
          </w:r>
          <w:r>
            <w:fldChar w:fldCharType="end"/>
          </w:r>
          <w:r>
            <w:fldChar w:fldCharType="end"/>
          </w:r>
        </w:p>
        <w:p>
          <w:pPr>
            <w:pStyle w:val="25"/>
            <w:tabs>
              <w:tab w:val="right" w:leader="dot" w:pos="8892"/>
            </w:tabs>
            <w:rPr>
              <w:rFonts w:eastAsiaTheme="minorEastAsia"/>
            </w:rPr>
          </w:pPr>
          <w:r>
            <w:fldChar w:fldCharType="begin"/>
          </w:r>
          <w:r>
            <w:instrText xml:space="preserve"> HYPERLINK \l "_Toc24969723" </w:instrText>
          </w:r>
          <w:r>
            <w:fldChar w:fldCharType="separate"/>
          </w:r>
          <w:r>
            <w:rPr>
              <w:rStyle w:val="34"/>
              <w:rFonts w:ascii="宋体" w:hAnsi="宋体"/>
              <w:lang w:eastAsia="zh-CN"/>
            </w:rPr>
            <w:t>1.7</w:t>
          </w:r>
          <w:r>
            <w:rPr>
              <w:rStyle w:val="34"/>
              <w:rFonts w:hint="eastAsia" w:ascii="宋体" w:hAnsi="宋体"/>
              <w:lang w:eastAsia="zh-CN"/>
            </w:rPr>
            <w:t>关注的主要环境问题</w:t>
          </w:r>
          <w:r>
            <w:tab/>
          </w:r>
          <w:r>
            <w:fldChar w:fldCharType="begin"/>
          </w:r>
          <w:r>
            <w:instrText xml:space="preserve"> PAGEREF _Toc24969723 \h </w:instrText>
          </w:r>
          <w:r>
            <w:fldChar w:fldCharType="separate"/>
          </w:r>
          <w:r>
            <w:t>14</w:t>
          </w:r>
          <w:r>
            <w:fldChar w:fldCharType="end"/>
          </w:r>
          <w:r>
            <w:fldChar w:fldCharType="end"/>
          </w:r>
        </w:p>
        <w:p>
          <w:pPr>
            <w:pStyle w:val="25"/>
            <w:tabs>
              <w:tab w:val="right" w:leader="dot" w:pos="8892"/>
            </w:tabs>
            <w:rPr>
              <w:rFonts w:eastAsiaTheme="minorEastAsia"/>
            </w:rPr>
          </w:pPr>
          <w:r>
            <w:fldChar w:fldCharType="begin"/>
          </w:r>
          <w:r>
            <w:instrText xml:space="preserve"> HYPERLINK \l "_Toc24969724" </w:instrText>
          </w:r>
          <w:r>
            <w:fldChar w:fldCharType="separate"/>
          </w:r>
          <w:r>
            <w:rPr>
              <w:rStyle w:val="34"/>
              <w:rFonts w:ascii="宋体" w:hAnsi="宋体"/>
              <w:lang w:eastAsia="zh-CN"/>
            </w:rPr>
            <w:t>1.8</w:t>
          </w:r>
          <w:r>
            <w:rPr>
              <w:rStyle w:val="34"/>
              <w:rFonts w:hint="eastAsia" w:ascii="宋体" w:hAnsi="宋体"/>
              <w:lang w:eastAsia="zh-CN"/>
            </w:rPr>
            <w:t>主要结论</w:t>
          </w:r>
          <w:r>
            <w:tab/>
          </w:r>
          <w:r>
            <w:fldChar w:fldCharType="begin"/>
          </w:r>
          <w:r>
            <w:instrText xml:space="preserve"> PAGEREF _Toc24969724 \h </w:instrText>
          </w:r>
          <w:r>
            <w:fldChar w:fldCharType="separate"/>
          </w:r>
          <w:r>
            <w:t>14</w:t>
          </w:r>
          <w:r>
            <w:fldChar w:fldCharType="end"/>
          </w:r>
          <w:r>
            <w:fldChar w:fldCharType="end"/>
          </w:r>
        </w:p>
        <w:p>
          <w:pPr>
            <w:pStyle w:val="22"/>
            <w:tabs>
              <w:tab w:val="right" w:leader="dot" w:pos="8892"/>
            </w:tabs>
            <w:rPr>
              <w:rFonts w:eastAsiaTheme="minorEastAsia"/>
            </w:rPr>
          </w:pPr>
          <w:r>
            <w:fldChar w:fldCharType="begin"/>
          </w:r>
          <w:r>
            <w:instrText xml:space="preserve"> HYPERLINK \l "_Toc24969725" </w:instrText>
          </w:r>
          <w:r>
            <w:fldChar w:fldCharType="separate"/>
          </w:r>
          <w:r>
            <w:rPr>
              <w:rStyle w:val="34"/>
              <w:rFonts w:ascii="宋体" w:hAnsi="宋体"/>
              <w:lang w:eastAsia="zh-CN"/>
            </w:rPr>
            <w:t>2.</w:t>
          </w:r>
          <w:r>
            <w:rPr>
              <w:rStyle w:val="34"/>
              <w:rFonts w:hint="eastAsia" w:ascii="宋体" w:hAnsi="宋体"/>
              <w:lang w:eastAsia="zh-CN"/>
            </w:rPr>
            <w:t>总则</w:t>
          </w:r>
          <w:r>
            <w:tab/>
          </w:r>
          <w:r>
            <w:fldChar w:fldCharType="begin"/>
          </w:r>
          <w:r>
            <w:instrText xml:space="preserve"> PAGEREF _Toc24969725 \h </w:instrText>
          </w:r>
          <w:r>
            <w:fldChar w:fldCharType="separate"/>
          </w:r>
          <w:r>
            <w:t>15</w:t>
          </w:r>
          <w:r>
            <w:fldChar w:fldCharType="end"/>
          </w:r>
          <w:r>
            <w:fldChar w:fldCharType="end"/>
          </w:r>
        </w:p>
        <w:p>
          <w:pPr>
            <w:pStyle w:val="25"/>
            <w:tabs>
              <w:tab w:val="right" w:leader="dot" w:pos="8892"/>
            </w:tabs>
            <w:rPr>
              <w:rFonts w:eastAsiaTheme="minorEastAsia"/>
            </w:rPr>
          </w:pPr>
          <w:r>
            <w:fldChar w:fldCharType="begin"/>
          </w:r>
          <w:r>
            <w:instrText xml:space="preserve"> HYPERLINK \l "_Toc24969726" </w:instrText>
          </w:r>
          <w:r>
            <w:fldChar w:fldCharType="separate"/>
          </w:r>
          <w:r>
            <w:rPr>
              <w:rStyle w:val="34"/>
              <w:rFonts w:ascii="宋体" w:hAnsi="宋体"/>
              <w:lang w:eastAsia="zh-CN"/>
            </w:rPr>
            <w:t>2.1</w:t>
          </w:r>
          <w:r>
            <w:rPr>
              <w:rStyle w:val="34"/>
              <w:rFonts w:hint="eastAsia" w:ascii="宋体" w:hAnsi="宋体"/>
              <w:lang w:eastAsia="zh-CN"/>
            </w:rPr>
            <w:t>编制依据</w:t>
          </w:r>
          <w:r>
            <w:tab/>
          </w:r>
          <w:r>
            <w:fldChar w:fldCharType="begin"/>
          </w:r>
          <w:r>
            <w:instrText xml:space="preserve"> PAGEREF _Toc24969726 \h </w:instrText>
          </w:r>
          <w:r>
            <w:fldChar w:fldCharType="separate"/>
          </w:r>
          <w:r>
            <w:t>15</w:t>
          </w:r>
          <w:r>
            <w:fldChar w:fldCharType="end"/>
          </w:r>
          <w:r>
            <w:fldChar w:fldCharType="end"/>
          </w:r>
        </w:p>
        <w:p>
          <w:pPr>
            <w:pStyle w:val="25"/>
            <w:tabs>
              <w:tab w:val="right" w:leader="dot" w:pos="8892"/>
            </w:tabs>
            <w:rPr>
              <w:rFonts w:eastAsiaTheme="minorEastAsia"/>
            </w:rPr>
          </w:pPr>
          <w:r>
            <w:fldChar w:fldCharType="begin"/>
          </w:r>
          <w:r>
            <w:instrText xml:space="preserve"> HYPERLINK \l "_Toc24969730" </w:instrText>
          </w:r>
          <w:r>
            <w:fldChar w:fldCharType="separate"/>
          </w:r>
          <w:r>
            <w:rPr>
              <w:rStyle w:val="34"/>
              <w:rFonts w:ascii="宋体" w:hAnsi="宋体"/>
              <w:lang w:eastAsia="zh-CN"/>
            </w:rPr>
            <w:t>2.2</w:t>
          </w:r>
          <w:r>
            <w:rPr>
              <w:rStyle w:val="34"/>
              <w:rFonts w:hint="eastAsia" w:ascii="宋体" w:hAnsi="宋体"/>
              <w:lang w:eastAsia="zh-CN"/>
            </w:rPr>
            <w:t>环境影响识别和评价因子筛选</w:t>
          </w:r>
          <w:r>
            <w:tab/>
          </w:r>
          <w:r>
            <w:fldChar w:fldCharType="begin"/>
          </w:r>
          <w:r>
            <w:instrText xml:space="preserve"> PAGEREF _Toc24969730 \h </w:instrText>
          </w:r>
          <w:r>
            <w:fldChar w:fldCharType="separate"/>
          </w:r>
          <w:r>
            <w:t>18</w:t>
          </w:r>
          <w:r>
            <w:fldChar w:fldCharType="end"/>
          </w:r>
          <w:r>
            <w:fldChar w:fldCharType="end"/>
          </w:r>
        </w:p>
        <w:p>
          <w:pPr>
            <w:pStyle w:val="25"/>
            <w:tabs>
              <w:tab w:val="right" w:leader="dot" w:pos="8892"/>
            </w:tabs>
            <w:rPr>
              <w:rFonts w:eastAsiaTheme="minorEastAsia"/>
            </w:rPr>
          </w:pPr>
          <w:r>
            <w:fldChar w:fldCharType="begin"/>
          </w:r>
          <w:r>
            <w:instrText xml:space="preserve"> HYPERLINK \l "_Toc24969733" </w:instrText>
          </w:r>
          <w:r>
            <w:fldChar w:fldCharType="separate"/>
          </w:r>
          <w:r>
            <w:rPr>
              <w:rStyle w:val="34"/>
              <w:rFonts w:ascii="宋体" w:hAnsi="宋体"/>
              <w:lang w:eastAsia="zh-CN"/>
            </w:rPr>
            <w:t>2.3</w:t>
          </w:r>
          <w:r>
            <w:rPr>
              <w:rStyle w:val="34"/>
              <w:rFonts w:hint="eastAsia" w:ascii="宋体" w:hAnsi="宋体"/>
              <w:lang w:eastAsia="zh-CN"/>
            </w:rPr>
            <w:t>环境功能区划及评价标准</w:t>
          </w:r>
          <w:r>
            <w:tab/>
          </w:r>
          <w:r>
            <w:fldChar w:fldCharType="begin"/>
          </w:r>
          <w:r>
            <w:instrText xml:space="preserve"> PAGEREF _Toc24969733 \h </w:instrText>
          </w:r>
          <w:r>
            <w:fldChar w:fldCharType="separate"/>
          </w:r>
          <w:r>
            <w:t>19</w:t>
          </w:r>
          <w:r>
            <w:fldChar w:fldCharType="end"/>
          </w:r>
          <w:r>
            <w:fldChar w:fldCharType="end"/>
          </w:r>
        </w:p>
        <w:p>
          <w:pPr>
            <w:pStyle w:val="25"/>
            <w:tabs>
              <w:tab w:val="right" w:leader="dot" w:pos="8892"/>
            </w:tabs>
            <w:rPr>
              <w:rFonts w:eastAsiaTheme="minorEastAsia"/>
            </w:rPr>
          </w:pPr>
          <w:r>
            <w:fldChar w:fldCharType="begin"/>
          </w:r>
          <w:r>
            <w:instrText xml:space="preserve"> HYPERLINK \l "_Toc24969736" </w:instrText>
          </w:r>
          <w:r>
            <w:fldChar w:fldCharType="separate"/>
          </w:r>
          <w:r>
            <w:rPr>
              <w:rStyle w:val="34"/>
              <w:rFonts w:ascii="宋体" w:hAnsi="宋体"/>
              <w:lang w:eastAsia="zh-CN"/>
            </w:rPr>
            <w:t>2.4</w:t>
          </w:r>
          <w:r>
            <w:rPr>
              <w:rStyle w:val="34"/>
              <w:rFonts w:hint="eastAsia" w:ascii="宋体" w:hAnsi="宋体"/>
              <w:lang w:eastAsia="zh-CN"/>
            </w:rPr>
            <w:t>评价工作等级及评价范围</w:t>
          </w:r>
          <w:r>
            <w:tab/>
          </w:r>
          <w:r>
            <w:fldChar w:fldCharType="begin"/>
          </w:r>
          <w:r>
            <w:instrText xml:space="preserve"> PAGEREF _Toc24969736 \h </w:instrText>
          </w:r>
          <w:r>
            <w:fldChar w:fldCharType="separate"/>
          </w:r>
          <w:r>
            <w:t>24</w:t>
          </w:r>
          <w:r>
            <w:fldChar w:fldCharType="end"/>
          </w:r>
          <w:r>
            <w:fldChar w:fldCharType="end"/>
          </w:r>
        </w:p>
        <w:p>
          <w:pPr>
            <w:pStyle w:val="25"/>
            <w:tabs>
              <w:tab w:val="right" w:leader="dot" w:pos="8892"/>
            </w:tabs>
            <w:rPr>
              <w:rFonts w:eastAsiaTheme="minorEastAsia"/>
            </w:rPr>
          </w:pPr>
          <w:r>
            <w:fldChar w:fldCharType="begin"/>
          </w:r>
          <w:r>
            <w:instrText xml:space="preserve"> HYPERLINK \l "_Toc24969737" </w:instrText>
          </w:r>
          <w:r>
            <w:fldChar w:fldCharType="separate"/>
          </w:r>
          <w:r>
            <w:rPr>
              <w:rStyle w:val="34"/>
              <w:rFonts w:ascii="宋体" w:hAnsi="宋体"/>
              <w:lang w:eastAsia="zh-CN"/>
            </w:rPr>
            <w:t>2.5</w:t>
          </w:r>
          <w:r>
            <w:rPr>
              <w:rStyle w:val="34"/>
              <w:rFonts w:hint="eastAsia" w:ascii="宋体" w:hAnsi="宋体"/>
              <w:lang w:eastAsia="zh-CN"/>
            </w:rPr>
            <w:t>主要环境保护目标（列出名单及保护级别）：</w:t>
          </w:r>
          <w:r>
            <w:tab/>
          </w:r>
          <w:r>
            <w:fldChar w:fldCharType="begin"/>
          </w:r>
          <w:r>
            <w:instrText xml:space="preserve"> PAGEREF _Toc24969737 \h </w:instrText>
          </w:r>
          <w:r>
            <w:fldChar w:fldCharType="separate"/>
          </w:r>
          <w:r>
            <w:t>27</w:t>
          </w:r>
          <w:r>
            <w:fldChar w:fldCharType="end"/>
          </w:r>
          <w:r>
            <w:fldChar w:fldCharType="end"/>
          </w:r>
        </w:p>
        <w:p>
          <w:pPr>
            <w:pStyle w:val="22"/>
            <w:tabs>
              <w:tab w:val="right" w:leader="dot" w:pos="8892"/>
            </w:tabs>
            <w:rPr>
              <w:rFonts w:eastAsiaTheme="minorEastAsia"/>
            </w:rPr>
          </w:pPr>
          <w:r>
            <w:fldChar w:fldCharType="begin"/>
          </w:r>
          <w:r>
            <w:instrText xml:space="preserve"> HYPERLINK \l "_Toc24969738" </w:instrText>
          </w:r>
          <w:r>
            <w:fldChar w:fldCharType="separate"/>
          </w:r>
          <w:r>
            <w:rPr>
              <w:rStyle w:val="34"/>
              <w:rFonts w:ascii="宋体" w:hAnsi="宋体"/>
              <w:lang w:eastAsia="zh-CN"/>
            </w:rPr>
            <w:t>3.</w:t>
          </w:r>
          <w:r>
            <w:rPr>
              <w:rStyle w:val="34"/>
              <w:rFonts w:hint="eastAsia" w:ascii="宋体" w:hAnsi="宋体"/>
              <w:lang w:eastAsia="zh-CN"/>
            </w:rPr>
            <w:t>工程分析</w:t>
          </w:r>
          <w:r>
            <w:tab/>
          </w:r>
          <w:r>
            <w:fldChar w:fldCharType="begin"/>
          </w:r>
          <w:r>
            <w:instrText xml:space="preserve"> PAGEREF _Toc24969738 \h </w:instrText>
          </w:r>
          <w:r>
            <w:fldChar w:fldCharType="separate"/>
          </w:r>
          <w:r>
            <w:t>30</w:t>
          </w:r>
          <w:r>
            <w:fldChar w:fldCharType="end"/>
          </w:r>
          <w:r>
            <w:fldChar w:fldCharType="end"/>
          </w:r>
        </w:p>
        <w:p>
          <w:pPr>
            <w:pStyle w:val="25"/>
            <w:tabs>
              <w:tab w:val="right" w:leader="dot" w:pos="8892"/>
            </w:tabs>
            <w:rPr>
              <w:rFonts w:eastAsiaTheme="minorEastAsia"/>
            </w:rPr>
          </w:pPr>
          <w:r>
            <w:fldChar w:fldCharType="begin"/>
          </w:r>
          <w:r>
            <w:instrText xml:space="preserve"> HYPERLINK \l "_Toc24969739" </w:instrText>
          </w:r>
          <w:r>
            <w:fldChar w:fldCharType="separate"/>
          </w:r>
          <w:r>
            <w:rPr>
              <w:rStyle w:val="34"/>
              <w:rFonts w:ascii="宋体" w:hAnsi="宋体"/>
              <w:lang w:eastAsia="zh-CN"/>
            </w:rPr>
            <w:t>3.1</w:t>
          </w:r>
          <w:r>
            <w:rPr>
              <w:rStyle w:val="34"/>
              <w:rFonts w:hint="eastAsia" w:ascii="宋体" w:hAnsi="宋体"/>
              <w:lang w:eastAsia="zh-CN"/>
            </w:rPr>
            <w:t>依托工程基本内容</w:t>
          </w:r>
          <w:r>
            <w:tab/>
          </w:r>
          <w:r>
            <w:fldChar w:fldCharType="begin"/>
          </w:r>
          <w:r>
            <w:instrText xml:space="preserve"> PAGEREF _Toc24969739 \h </w:instrText>
          </w:r>
          <w:r>
            <w:fldChar w:fldCharType="separate"/>
          </w:r>
          <w:r>
            <w:t>30</w:t>
          </w:r>
          <w:r>
            <w:fldChar w:fldCharType="end"/>
          </w:r>
          <w:r>
            <w:fldChar w:fldCharType="end"/>
          </w:r>
        </w:p>
        <w:p>
          <w:pPr>
            <w:pStyle w:val="25"/>
            <w:tabs>
              <w:tab w:val="right" w:leader="dot" w:pos="8892"/>
            </w:tabs>
            <w:rPr>
              <w:rFonts w:eastAsiaTheme="minorEastAsia"/>
            </w:rPr>
          </w:pPr>
          <w:r>
            <w:fldChar w:fldCharType="begin"/>
          </w:r>
          <w:r>
            <w:instrText xml:space="preserve"> HYPERLINK \l "_Toc24969740" </w:instrText>
          </w:r>
          <w:r>
            <w:fldChar w:fldCharType="separate"/>
          </w:r>
          <w:r>
            <w:rPr>
              <w:rStyle w:val="34"/>
              <w:rFonts w:ascii="宋体" w:hAnsi="宋体"/>
              <w:lang w:eastAsia="zh-CN"/>
            </w:rPr>
            <w:t>3.2</w:t>
          </w:r>
          <w:r>
            <w:rPr>
              <w:rStyle w:val="34"/>
              <w:rFonts w:hint="eastAsia" w:ascii="宋体" w:hAnsi="宋体"/>
              <w:lang w:eastAsia="zh-CN"/>
            </w:rPr>
            <w:t>依托工程环保治理措施</w:t>
          </w:r>
          <w:r>
            <w:tab/>
          </w:r>
          <w:r>
            <w:fldChar w:fldCharType="begin"/>
          </w:r>
          <w:r>
            <w:instrText xml:space="preserve"> PAGEREF _Toc24969740 \h </w:instrText>
          </w:r>
          <w:r>
            <w:fldChar w:fldCharType="separate"/>
          </w:r>
          <w:r>
            <w:t>31</w:t>
          </w:r>
          <w:r>
            <w:fldChar w:fldCharType="end"/>
          </w:r>
          <w:r>
            <w:fldChar w:fldCharType="end"/>
          </w:r>
        </w:p>
        <w:p>
          <w:pPr>
            <w:pStyle w:val="25"/>
            <w:tabs>
              <w:tab w:val="right" w:leader="dot" w:pos="8892"/>
            </w:tabs>
            <w:rPr>
              <w:rFonts w:eastAsiaTheme="minorEastAsia"/>
            </w:rPr>
          </w:pPr>
          <w:r>
            <w:fldChar w:fldCharType="begin"/>
          </w:r>
          <w:r>
            <w:instrText xml:space="preserve"> HYPERLINK \l "_Toc24969745" </w:instrText>
          </w:r>
          <w:r>
            <w:fldChar w:fldCharType="separate"/>
          </w:r>
          <w:r>
            <w:rPr>
              <w:rStyle w:val="34"/>
              <w:rFonts w:ascii="宋体" w:hAnsi="宋体"/>
              <w:lang w:eastAsia="zh-CN"/>
            </w:rPr>
            <w:t>3.3</w:t>
          </w:r>
          <w:r>
            <w:rPr>
              <w:rStyle w:val="34"/>
              <w:rFonts w:hint="eastAsia" w:ascii="宋体" w:hAnsi="宋体"/>
              <w:lang w:eastAsia="zh-CN"/>
            </w:rPr>
            <w:t>拟建项目基本情况</w:t>
          </w:r>
          <w:r>
            <w:tab/>
          </w:r>
          <w:r>
            <w:fldChar w:fldCharType="begin"/>
          </w:r>
          <w:r>
            <w:instrText xml:space="preserve"> PAGEREF _Toc24969745 \h </w:instrText>
          </w:r>
          <w:r>
            <w:fldChar w:fldCharType="separate"/>
          </w:r>
          <w:r>
            <w:t>36</w:t>
          </w:r>
          <w:r>
            <w:fldChar w:fldCharType="end"/>
          </w:r>
          <w:r>
            <w:fldChar w:fldCharType="end"/>
          </w:r>
        </w:p>
        <w:p>
          <w:pPr>
            <w:pStyle w:val="25"/>
            <w:tabs>
              <w:tab w:val="right" w:leader="dot" w:pos="8892"/>
            </w:tabs>
            <w:rPr>
              <w:rFonts w:eastAsiaTheme="minorEastAsia"/>
            </w:rPr>
          </w:pPr>
          <w:r>
            <w:fldChar w:fldCharType="begin"/>
          </w:r>
          <w:r>
            <w:instrText xml:space="preserve"> HYPERLINK \l "_Toc24969748" </w:instrText>
          </w:r>
          <w:r>
            <w:fldChar w:fldCharType="separate"/>
          </w:r>
          <w:r>
            <w:rPr>
              <w:rStyle w:val="34"/>
              <w:rFonts w:ascii="宋体" w:hAnsi="宋体"/>
              <w:lang w:eastAsia="zh-CN"/>
            </w:rPr>
            <w:t>3.4</w:t>
          </w:r>
          <w:r>
            <w:rPr>
              <w:rStyle w:val="34"/>
              <w:rFonts w:hint="eastAsia" w:ascii="宋体" w:hAnsi="宋体"/>
              <w:lang w:eastAsia="zh-CN"/>
            </w:rPr>
            <w:t>总平面布置</w:t>
          </w:r>
          <w:r>
            <w:tab/>
          </w:r>
          <w:r>
            <w:fldChar w:fldCharType="begin"/>
          </w:r>
          <w:r>
            <w:instrText xml:space="preserve"> PAGEREF _Toc24969748 \h </w:instrText>
          </w:r>
          <w:r>
            <w:fldChar w:fldCharType="separate"/>
          </w:r>
          <w:r>
            <w:t>38</w:t>
          </w:r>
          <w:r>
            <w:fldChar w:fldCharType="end"/>
          </w:r>
          <w:r>
            <w:fldChar w:fldCharType="end"/>
          </w:r>
        </w:p>
        <w:p>
          <w:pPr>
            <w:pStyle w:val="25"/>
            <w:tabs>
              <w:tab w:val="right" w:leader="dot" w:pos="8892"/>
            </w:tabs>
            <w:rPr>
              <w:rFonts w:eastAsiaTheme="minorEastAsia"/>
            </w:rPr>
          </w:pPr>
          <w:r>
            <w:fldChar w:fldCharType="begin"/>
          </w:r>
          <w:r>
            <w:instrText xml:space="preserve"> HYPERLINK \l "_Toc24969749" </w:instrText>
          </w:r>
          <w:r>
            <w:fldChar w:fldCharType="separate"/>
          </w:r>
          <w:r>
            <w:rPr>
              <w:rStyle w:val="34"/>
              <w:rFonts w:ascii="宋体" w:hAnsi="宋体"/>
              <w:lang w:eastAsia="zh-CN"/>
            </w:rPr>
            <w:t>3.5</w:t>
          </w:r>
          <w:r>
            <w:rPr>
              <w:rStyle w:val="34"/>
              <w:rFonts w:hint="eastAsia" w:ascii="宋体" w:hAnsi="宋体"/>
              <w:lang w:eastAsia="zh-CN"/>
            </w:rPr>
            <w:t>主要生产设备清单</w:t>
          </w:r>
          <w:r>
            <w:tab/>
          </w:r>
          <w:r>
            <w:fldChar w:fldCharType="begin"/>
          </w:r>
          <w:r>
            <w:instrText xml:space="preserve"> PAGEREF _Toc24969749 \h </w:instrText>
          </w:r>
          <w:r>
            <w:fldChar w:fldCharType="separate"/>
          </w:r>
          <w:r>
            <w:t>39</w:t>
          </w:r>
          <w:r>
            <w:fldChar w:fldCharType="end"/>
          </w:r>
          <w:r>
            <w:fldChar w:fldCharType="end"/>
          </w:r>
        </w:p>
        <w:p>
          <w:pPr>
            <w:pStyle w:val="25"/>
            <w:tabs>
              <w:tab w:val="right" w:leader="dot" w:pos="8892"/>
            </w:tabs>
            <w:rPr>
              <w:rFonts w:eastAsiaTheme="minorEastAsia"/>
            </w:rPr>
          </w:pPr>
          <w:r>
            <w:fldChar w:fldCharType="begin"/>
          </w:r>
          <w:r>
            <w:instrText xml:space="preserve"> HYPERLINK \l "_Toc24969750" </w:instrText>
          </w:r>
          <w:r>
            <w:fldChar w:fldCharType="separate"/>
          </w:r>
          <w:r>
            <w:rPr>
              <w:rStyle w:val="34"/>
              <w:rFonts w:ascii="宋体" w:hAnsi="宋体"/>
              <w:lang w:eastAsia="zh-CN"/>
            </w:rPr>
            <w:t xml:space="preserve">3.6 </w:t>
          </w:r>
          <w:r>
            <w:rPr>
              <w:rStyle w:val="34"/>
              <w:rFonts w:hint="eastAsia" w:ascii="宋体" w:hAnsi="宋体"/>
              <w:lang w:eastAsia="zh-CN"/>
            </w:rPr>
            <w:t>项目工艺流程及产污节点</w:t>
          </w:r>
          <w:r>
            <w:tab/>
          </w:r>
          <w:r>
            <w:fldChar w:fldCharType="begin"/>
          </w:r>
          <w:r>
            <w:instrText xml:space="preserve"> PAGEREF _Toc24969750 \h </w:instrText>
          </w:r>
          <w:r>
            <w:fldChar w:fldCharType="separate"/>
          </w:r>
          <w:r>
            <w:t>40</w:t>
          </w:r>
          <w:r>
            <w:fldChar w:fldCharType="end"/>
          </w:r>
          <w:r>
            <w:fldChar w:fldCharType="end"/>
          </w:r>
        </w:p>
        <w:p>
          <w:pPr>
            <w:pStyle w:val="25"/>
            <w:tabs>
              <w:tab w:val="right" w:leader="dot" w:pos="8892"/>
            </w:tabs>
            <w:rPr>
              <w:rFonts w:eastAsiaTheme="minorEastAsia"/>
            </w:rPr>
          </w:pPr>
          <w:r>
            <w:fldChar w:fldCharType="begin"/>
          </w:r>
          <w:r>
            <w:instrText xml:space="preserve"> HYPERLINK \l "_Toc24969752" </w:instrText>
          </w:r>
          <w:r>
            <w:fldChar w:fldCharType="separate"/>
          </w:r>
          <w:r>
            <w:rPr>
              <w:rStyle w:val="34"/>
              <w:rFonts w:ascii="宋体" w:hAnsi="宋体"/>
              <w:lang w:eastAsia="zh-CN"/>
            </w:rPr>
            <w:t>3.7</w:t>
          </w:r>
          <w:r>
            <w:rPr>
              <w:rStyle w:val="34"/>
              <w:rFonts w:hint="eastAsia" w:ascii="宋体" w:hAnsi="宋体"/>
              <w:lang w:eastAsia="zh-CN"/>
            </w:rPr>
            <w:t>原辅材料及资源能源消耗</w:t>
          </w:r>
          <w:r>
            <w:tab/>
          </w:r>
          <w:r>
            <w:fldChar w:fldCharType="begin"/>
          </w:r>
          <w:r>
            <w:instrText xml:space="preserve"> PAGEREF _Toc24969752 \h </w:instrText>
          </w:r>
          <w:r>
            <w:fldChar w:fldCharType="separate"/>
          </w:r>
          <w:r>
            <w:t>41</w:t>
          </w:r>
          <w:r>
            <w:fldChar w:fldCharType="end"/>
          </w:r>
          <w:r>
            <w:fldChar w:fldCharType="end"/>
          </w:r>
        </w:p>
        <w:p>
          <w:pPr>
            <w:pStyle w:val="25"/>
            <w:tabs>
              <w:tab w:val="right" w:leader="dot" w:pos="8892"/>
            </w:tabs>
            <w:rPr>
              <w:rFonts w:eastAsiaTheme="minorEastAsia"/>
            </w:rPr>
          </w:pPr>
          <w:r>
            <w:fldChar w:fldCharType="begin"/>
          </w:r>
          <w:r>
            <w:instrText xml:space="preserve"> HYPERLINK \l "_Toc24969753" </w:instrText>
          </w:r>
          <w:r>
            <w:fldChar w:fldCharType="separate"/>
          </w:r>
          <w:r>
            <w:rPr>
              <w:rStyle w:val="34"/>
              <w:rFonts w:ascii="宋体" w:hAnsi="宋体"/>
              <w:lang w:eastAsia="zh-CN"/>
            </w:rPr>
            <w:t>3.8</w:t>
          </w:r>
          <w:r>
            <w:rPr>
              <w:rStyle w:val="34"/>
              <w:rFonts w:hint="eastAsia" w:ascii="宋体" w:hAnsi="宋体"/>
              <w:lang w:eastAsia="zh-CN"/>
            </w:rPr>
            <w:t>本项目依托华能岳阳电厂三期超超临界锅炉用于处置污泥方案的合理性</w:t>
          </w:r>
          <w:r>
            <w:tab/>
          </w:r>
          <w:r>
            <w:fldChar w:fldCharType="begin"/>
          </w:r>
          <w:r>
            <w:instrText xml:space="preserve"> PAGEREF _Toc24969753 \h </w:instrText>
          </w:r>
          <w:r>
            <w:fldChar w:fldCharType="separate"/>
          </w:r>
          <w:r>
            <w:t>47</w:t>
          </w:r>
          <w:r>
            <w:fldChar w:fldCharType="end"/>
          </w:r>
          <w:r>
            <w:fldChar w:fldCharType="end"/>
          </w:r>
        </w:p>
        <w:p>
          <w:pPr>
            <w:pStyle w:val="25"/>
            <w:tabs>
              <w:tab w:val="right" w:leader="dot" w:pos="8892"/>
            </w:tabs>
            <w:rPr>
              <w:rFonts w:eastAsiaTheme="minorEastAsia"/>
            </w:rPr>
          </w:pPr>
          <w:r>
            <w:fldChar w:fldCharType="begin"/>
          </w:r>
          <w:r>
            <w:instrText xml:space="preserve"> HYPERLINK \l "_Toc24969754" </w:instrText>
          </w:r>
          <w:r>
            <w:fldChar w:fldCharType="separate"/>
          </w:r>
          <w:r>
            <w:rPr>
              <w:rStyle w:val="34"/>
              <w:rFonts w:ascii="宋体" w:hAnsi="宋体"/>
              <w:lang w:eastAsia="zh-CN"/>
            </w:rPr>
            <w:t>3.9</w:t>
          </w:r>
          <w:r>
            <w:rPr>
              <w:rStyle w:val="34"/>
              <w:rFonts w:hint="eastAsia" w:ascii="宋体" w:hAnsi="宋体"/>
              <w:lang w:eastAsia="zh-CN"/>
            </w:rPr>
            <w:t>本项目公用工程依托情况</w:t>
          </w:r>
          <w:r>
            <w:tab/>
          </w:r>
          <w:r>
            <w:fldChar w:fldCharType="begin"/>
          </w:r>
          <w:r>
            <w:instrText xml:space="preserve"> PAGEREF _Toc24969754 \h </w:instrText>
          </w:r>
          <w:r>
            <w:fldChar w:fldCharType="separate"/>
          </w:r>
          <w:r>
            <w:t>55</w:t>
          </w:r>
          <w:r>
            <w:fldChar w:fldCharType="end"/>
          </w:r>
          <w:r>
            <w:fldChar w:fldCharType="end"/>
          </w:r>
        </w:p>
        <w:p>
          <w:pPr>
            <w:pStyle w:val="22"/>
            <w:tabs>
              <w:tab w:val="right" w:leader="dot" w:pos="8892"/>
            </w:tabs>
            <w:rPr>
              <w:rFonts w:eastAsiaTheme="minorEastAsia"/>
            </w:rPr>
          </w:pPr>
          <w:r>
            <w:fldChar w:fldCharType="begin"/>
          </w:r>
          <w:r>
            <w:instrText xml:space="preserve"> HYPERLINK \l "_Toc24969755" </w:instrText>
          </w:r>
          <w:r>
            <w:fldChar w:fldCharType="separate"/>
          </w:r>
          <w:r>
            <w:rPr>
              <w:rStyle w:val="34"/>
              <w:rFonts w:ascii="宋体" w:hAnsi="宋体"/>
              <w:lang w:eastAsia="zh-CN"/>
            </w:rPr>
            <w:t>4.</w:t>
          </w:r>
          <w:r>
            <w:rPr>
              <w:rStyle w:val="34"/>
              <w:rFonts w:hint="eastAsia" w:ascii="宋体" w:hAnsi="宋体"/>
              <w:lang w:eastAsia="zh-CN"/>
            </w:rPr>
            <w:t>环境现状调查与评价</w:t>
          </w:r>
          <w:r>
            <w:tab/>
          </w:r>
          <w:r>
            <w:fldChar w:fldCharType="begin"/>
          </w:r>
          <w:r>
            <w:instrText xml:space="preserve"> PAGEREF _Toc24969755 \h </w:instrText>
          </w:r>
          <w:r>
            <w:fldChar w:fldCharType="separate"/>
          </w:r>
          <w:r>
            <w:t>56</w:t>
          </w:r>
          <w:r>
            <w:fldChar w:fldCharType="end"/>
          </w:r>
          <w:r>
            <w:fldChar w:fldCharType="end"/>
          </w:r>
        </w:p>
        <w:p>
          <w:pPr>
            <w:pStyle w:val="25"/>
            <w:tabs>
              <w:tab w:val="right" w:leader="dot" w:pos="8892"/>
            </w:tabs>
            <w:rPr>
              <w:rFonts w:eastAsiaTheme="minorEastAsia"/>
            </w:rPr>
          </w:pPr>
          <w:r>
            <w:fldChar w:fldCharType="begin"/>
          </w:r>
          <w:r>
            <w:instrText xml:space="preserve"> HYPERLINK \l "_Toc24969756" </w:instrText>
          </w:r>
          <w:r>
            <w:fldChar w:fldCharType="separate"/>
          </w:r>
          <w:r>
            <w:rPr>
              <w:rStyle w:val="34"/>
              <w:rFonts w:ascii="宋体" w:hAnsi="宋体"/>
              <w:lang w:eastAsia="zh-CN"/>
            </w:rPr>
            <w:t xml:space="preserve">4.1 </w:t>
          </w:r>
          <w:r>
            <w:rPr>
              <w:rStyle w:val="34"/>
              <w:rFonts w:hint="eastAsia" w:ascii="宋体" w:hAnsi="宋体"/>
              <w:lang w:eastAsia="zh-CN"/>
            </w:rPr>
            <w:t>自然环境现状调查</w:t>
          </w:r>
          <w:r>
            <w:tab/>
          </w:r>
          <w:r>
            <w:fldChar w:fldCharType="begin"/>
          </w:r>
          <w:r>
            <w:instrText xml:space="preserve"> PAGEREF _Toc24969756 \h </w:instrText>
          </w:r>
          <w:r>
            <w:fldChar w:fldCharType="separate"/>
          </w:r>
          <w:r>
            <w:t>56</w:t>
          </w:r>
          <w:r>
            <w:fldChar w:fldCharType="end"/>
          </w:r>
          <w:r>
            <w:fldChar w:fldCharType="end"/>
          </w:r>
        </w:p>
        <w:p>
          <w:pPr>
            <w:pStyle w:val="25"/>
            <w:tabs>
              <w:tab w:val="right" w:leader="dot" w:pos="8892"/>
            </w:tabs>
            <w:rPr>
              <w:rFonts w:eastAsiaTheme="minorEastAsia"/>
            </w:rPr>
          </w:pPr>
          <w:r>
            <w:fldChar w:fldCharType="begin"/>
          </w:r>
          <w:r>
            <w:instrText xml:space="preserve"> HYPERLINK \l "_Toc24969757" </w:instrText>
          </w:r>
          <w:r>
            <w:fldChar w:fldCharType="separate"/>
          </w:r>
          <w:r>
            <w:rPr>
              <w:rStyle w:val="34"/>
              <w:rFonts w:ascii="宋体" w:hAnsi="宋体"/>
              <w:lang w:eastAsia="zh-CN"/>
            </w:rPr>
            <w:t>4.2</w:t>
          </w:r>
          <w:r>
            <w:rPr>
              <w:rStyle w:val="34"/>
              <w:rFonts w:hint="eastAsia" w:ascii="宋体" w:hAnsi="宋体"/>
              <w:lang w:eastAsia="zh-CN"/>
            </w:rPr>
            <w:t>社会环境</w:t>
          </w:r>
          <w:r>
            <w:tab/>
          </w:r>
          <w:r>
            <w:fldChar w:fldCharType="begin"/>
          </w:r>
          <w:r>
            <w:instrText xml:space="preserve"> PAGEREF _Toc24969757 \h </w:instrText>
          </w:r>
          <w:r>
            <w:fldChar w:fldCharType="separate"/>
          </w:r>
          <w:r>
            <w:t>61</w:t>
          </w:r>
          <w:r>
            <w:fldChar w:fldCharType="end"/>
          </w:r>
          <w:r>
            <w:fldChar w:fldCharType="end"/>
          </w:r>
        </w:p>
        <w:p>
          <w:pPr>
            <w:pStyle w:val="25"/>
            <w:tabs>
              <w:tab w:val="right" w:leader="dot" w:pos="8892"/>
            </w:tabs>
            <w:rPr>
              <w:rFonts w:eastAsiaTheme="minorEastAsia"/>
            </w:rPr>
          </w:pPr>
          <w:r>
            <w:fldChar w:fldCharType="begin"/>
          </w:r>
          <w:r>
            <w:instrText xml:space="preserve"> HYPERLINK \l "_Toc24969758" </w:instrText>
          </w:r>
          <w:r>
            <w:fldChar w:fldCharType="separate"/>
          </w:r>
          <w:r>
            <w:rPr>
              <w:rStyle w:val="34"/>
              <w:rFonts w:ascii="宋体" w:hAnsi="宋体"/>
              <w:lang w:eastAsia="zh-CN"/>
            </w:rPr>
            <w:t>4.3</w:t>
          </w:r>
          <w:r>
            <w:rPr>
              <w:rStyle w:val="34"/>
              <w:rFonts w:hint="eastAsia" w:ascii="宋体" w:hAnsi="宋体"/>
              <w:lang w:eastAsia="zh-CN"/>
            </w:rPr>
            <w:t>环境质量现状调查与评价</w:t>
          </w:r>
          <w:r>
            <w:tab/>
          </w:r>
          <w:r>
            <w:fldChar w:fldCharType="begin"/>
          </w:r>
          <w:r>
            <w:instrText xml:space="preserve"> PAGEREF _Toc24969758 \h </w:instrText>
          </w:r>
          <w:r>
            <w:fldChar w:fldCharType="separate"/>
          </w:r>
          <w:r>
            <w:t>62</w:t>
          </w:r>
          <w:r>
            <w:fldChar w:fldCharType="end"/>
          </w:r>
          <w:r>
            <w:fldChar w:fldCharType="end"/>
          </w:r>
        </w:p>
        <w:p>
          <w:pPr>
            <w:pStyle w:val="22"/>
            <w:tabs>
              <w:tab w:val="right" w:leader="dot" w:pos="8892"/>
            </w:tabs>
            <w:rPr>
              <w:rFonts w:eastAsiaTheme="minorEastAsia"/>
            </w:rPr>
          </w:pPr>
          <w:r>
            <w:fldChar w:fldCharType="begin"/>
          </w:r>
          <w:r>
            <w:instrText xml:space="preserve"> HYPERLINK \l "_Toc24969759" </w:instrText>
          </w:r>
          <w:r>
            <w:fldChar w:fldCharType="separate"/>
          </w:r>
          <w:r>
            <w:rPr>
              <w:rStyle w:val="34"/>
              <w:rFonts w:ascii="宋体" w:hAnsi="宋体"/>
              <w:lang w:eastAsia="zh-CN"/>
            </w:rPr>
            <w:t>5.</w:t>
          </w:r>
          <w:r>
            <w:rPr>
              <w:rStyle w:val="34"/>
              <w:rFonts w:hint="eastAsia" w:ascii="宋体" w:hAnsi="宋体"/>
              <w:lang w:eastAsia="zh-CN"/>
            </w:rPr>
            <w:t>环境影响预测与评价</w:t>
          </w:r>
          <w:r>
            <w:tab/>
          </w:r>
          <w:r>
            <w:fldChar w:fldCharType="begin"/>
          </w:r>
          <w:r>
            <w:instrText xml:space="preserve"> PAGEREF _Toc24969759 \h </w:instrText>
          </w:r>
          <w:r>
            <w:fldChar w:fldCharType="separate"/>
          </w:r>
          <w:r>
            <w:t>70</w:t>
          </w:r>
          <w:r>
            <w:fldChar w:fldCharType="end"/>
          </w:r>
          <w:r>
            <w:fldChar w:fldCharType="end"/>
          </w:r>
        </w:p>
        <w:p>
          <w:pPr>
            <w:pStyle w:val="25"/>
            <w:tabs>
              <w:tab w:val="right" w:leader="dot" w:pos="8892"/>
            </w:tabs>
            <w:rPr>
              <w:rFonts w:eastAsiaTheme="minorEastAsia"/>
            </w:rPr>
          </w:pPr>
          <w:r>
            <w:fldChar w:fldCharType="begin"/>
          </w:r>
          <w:r>
            <w:instrText xml:space="preserve"> HYPERLINK \l "_Toc24969760" </w:instrText>
          </w:r>
          <w:r>
            <w:fldChar w:fldCharType="separate"/>
          </w:r>
          <w:r>
            <w:rPr>
              <w:rStyle w:val="34"/>
              <w:rFonts w:ascii="宋体" w:hAnsi="宋体"/>
              <w:lang w:eastAsia="zh-CN"/>
            </w:rPr>
            <w:t>5.1</w:t>
          </w:r>
          <w:r>
            <w:rPr>
              <w:rStyle w:val="34"/>
              <w:rFonts w:hint="eastAsia" w:ascii="宋体" w:hAnsi="宋体"/>
              <w:lang w:eastAsia="zh-CN"/>
            </w:rPr>
            <w:t>施工期环境影响预测与评价</w:t>
          </w:r>
          <w:r>
            <w:tab/>
          </w:r>
          <w:r>
            <w:fldChar w:fldCharType="begin"/>
          </w:r>
          <w:r>
            <w:instrText xml:space="preserve"> PAGEREF _Toc24969760 \h </w:instrText>
          </w:r>
          <w:r>
            <w:fldChar w:fldCharType="separate"/>
          </w:r>
          <w:r>
            <w:t>70</w:t>
          </w:r>
          <w:r>
            <w:fldChar w:fldCharType="end"/>
          </w:r>
          <w:r>
            <w:fldChar w:fldCharType="end"/>
          </w:r>
        </w:p>
        <w:p>
          <w:pPr>
            <w:pStyle w:val="25"/>
            <w:tabs>
              <w:tab w:val="right" w:leader="dot" w:pos="8892"/>
            </w:tabs>
            <w:rPr>
              <w:rFonts w:eastAsiaTheme="minorEastAsia"/>
            </w:rPr>
          </w:pPr>
          <w:r>
            <w:fldChar w:fldCharType="begin"/>
          </w:r>
          <w:r>
            <w:instrText xml:space="preserve"> HYPERLINK \l "_Toc24969762" </w:instrText>
          </w:r>
          <w:r>
            <w:fldChar w:fldCharType="separate"/>
          </w:r>
          <w:r>
            <w:rPr>
              <w:rStyle w:val="34"/>
              <w:rFonts w:ascii="宋体" w:hAnsi="宋体"/>
              <w:lang w:eastAsia="zh-CN"/>
            </w:rPr>
            <w:t>5.2</w:t>
          </w:r>
          <w:r>
            <w:rPr>
              <w:rStyle w:val="34"/>
              <w:rFonts w:hint="eastAsia" w:ascii="宋体" w:hAnsi="宋体"/>
              <w:lang w:eastAsia="zh-CN"/>
            </w:rPr>
            <w:t>运行期环境影响预测与评价</w:t>
          </w:r>
          <w:r>
            <w:tab/>
          </w:r>
          <w:r>
            <w:fldChar w:fldCharType="begin"/>
          </w:r>
          <w:r>
            <w:instrText xml:space="preserve"> PAGEREF _Toc24969762 \h </w:instrText>
          </w:r>
          <w:r>
            <w:fldChar w:fldCharType="separate"/>
          </w:r>
          <w:r>
            <w:t>71</w:t>
          </w:r>
          <w:r>
            <w:fldChar w:fldCharType="end"/>
          </w:r>
          <w:r>
            <w:fldChar w:fldCharType="end"/>
          </w:r>
        </w:p>
        <w:p>
          <w:pPr>
            <w:pStyle w:val="22"/>
            <w:tabs>
              <w:tab w:val="right" w:leader="dot" w:pos="8892"/>
            </w:tabs>
            <w:rPr>
              <w:rFonts w:eastAsiaTheme="minorEastAsia"/>
            </w:rPr>
          </w:pPr>
          <w:r>
            <w:fldChar w:fldCharType="begin"/>
          </w:r>
          <w:r>
            <w:instrText xml:space="preserve"> HYPERLINK \l "_Toc24969774" </w:instrText>
          </w:r>
          <w:r>
            <w:fldChar w:fldCharType="separate"/>
          </w:r>
          <w:r>
            <w:rPr>
              <w:rStyle w:val="34"/>
              <w:rFonts w:ascii="宋体" w:hAnsi="宋体"/>
              <w:lang w:eastAsia="zh-CN"/>
            </w:rPr>
            <w:t>6</w:t>
          </w:r>
          <w:r>
            <w:rPr>
              <w:rStyle w:val="34"/>
              <w:rFonts w:hint="eastAsia" w:ascii="宋体" w:hAnsi="宋体"/>
              <w:lang w:eastAsia="zh-CN"/>
            </w:rPr>
            <w:t>环境风险评价</w:t>
          </w:r>
          <w:r>
            <w:tab/>
          </w:r>
          <w:r>
            <w:fldChar w:fldCharType="begin"/>
          </w:r>
          <w:r>
            <w:instrText xml:space="preserve"> PAGEREF _Toc24969774 \h </w:instrText>
          </w:r>
          <w:r>
            <w:fldChar w:fldCharType="separate"/>
          </w:r>
          <w:r>
            <w:t>80</w:t>
          </w:r>
          <w:r>
            <w:fldChar w:fldCharType="end"/>
          </w:r>
          <w:r>
            <w:fldChar w:fldCharType="end"/>
          </w:r>
        </w:p>
        <w:p>
          <w:pPr>
            <w:pStyle w:val="25"/>
            <w:tabs>
              <w:tab w:val="right" w:leader="dot" w:pos="8892"/>
            </w:tabs>
            <w:rPr>
              <w:rFonts w:eastAsiaTheme="minorEastAsia"/>
            </w:rPr>
          </w:pPr>
          <w:r>
            <w:fldChar w:fldCharType="begin"/>
          </w:r>
          <w:r>
            <w:instrText xml:space="preserve"> HYPERLINK \l "_Toc24969775" </w:instrText>
          </w:r>
          <w:r>
            <w:fldChar w:fldCharType="separate"/>
          </w:r>
          <w:r>
            <w:rPr>
              <w:rStyle w:val="34"/>
              <w:rFonts w:ascii="宋体" w:hAnsi="宋体"/>
              <w:lang w:eastAsia="zh-CN"/>
            </w:rPr>
            <w:t>6. 1</w:t>
          </w:r>
          <w:r>
            <w:rPr>
              <w:rStyle w:val="34"/>
              <w:rFonts w:hint="eastAsia" w:ascii="宋体" w:hAnsi="宋体"/>
              <w:lang w:eastAsia="zh-CN"/>
            </w:rPr>
            <w:t>环境风险识别</w:t>
          </w:r>
          <w:r>
            <w:tab/>
          </w:r>
          <w:r>
            <w:fldChar w:fldCharType="begin"/>
          </w:r>
          <w:r>
            <w:instrText xml:space="preserve"> PAGEREF _Toc24969775 \h </w:instrText>
          </w:r>
          <w:r>
            <w:fldChar w:fldCharType="separate"/>
          </w:r>
          <w:r>
            <w:t>80</w:t>
          </w:r>
          <w:r>
            <w:fldChar w:fldCharType="end"/>
          </w:r>
          <w:r>
            <w:fldChar w:fldCharType="end"/>
          </w:r>
        </w:p>
        <w:p>
          <w:pPr>
            <w:pStyle w:val="25"/>
            <w:tabs>
              <w:tab w:val="right" w:leader="dot" w:pos="8892"/>
            </w:tabs>
            <w:rPr>
              <w:rFonts w:eastAsiaTheme="minorEastAsia"/>
            </w:rPr>
          </w:pPr>
          <w:r>
            <w:fldChar w:fldCharType="begin"/>
          </w:r>
          <w:r>
            <w:instrText xml:space="preserve"> HYPERLINK \l "_Toc24969776" </w:instrText>
          </w:r>
          <w:r>
            <w:fldChar w:fldCharType="separate"/>
          </w:r>
          <w:r>
            <w:rPr>
              <w:rStyle w:val="34"/>
              <w:rFonts w:ascii="宋体" w:hAnsi="宋体"/>
              <w:lang w:eastAsia="zh-CN"/>
            </w:rPr>
            <w:t>6. 2</w:t>
          </w:r>
          <w:r>
            <w:rPr>
              <w:rStyle w:val="34"/>
              <w:rFonts w:hint="eastAsia" w:ascii="宋体" w:hAnsi="宋体"/>
              <w:lang w:eastAsia="zh-CN"/>
            </w:rPr>
            <w:t>物质危险性识别</w:t>
          </w:r>
          <w:r>
            <w:tab/>
          </w:r>
          <w:r>
            <w:fldChar w:fldCharType="begin"/>
          </w:r>
          <w:r>
            <w:instrText xml:space="preserve"> PAGEREF _Toc24969776 \h </w:instrText>
          </w:r>
          <w:r>
            <w:fldChar w:fldCharType="separate"/>
          </w:r>
          <w:r>
            <w:t>80</w:t>
          </w:r>
          <w:r>
            <w:fldChar w:fldCharType="end"/>
          </w:r>
          <w:r>
            <w:fldChar w:fldCharType="end"/>
          </w:r>
        </w:p>
        <w:p>
          <w:pPr>
            <w:pStyle w:val="25"/>
            <w:tabs>
              <w:tab w:val="right" w:leader="dot" w:pos="8892"/>
            </w:tabs>
            <w:rPr>
              <w:rFonts w:eastAsiaTheme="minorEastAsia"/>
            </w:rPr>
          </w:pPr>
          <w:r>
            <w:fldChar w:fldCharType="begin"/>
          </w:r>
          <w:r>
            <w:instrText xml:space="preserve"> HYPERLINK \l "_Toc24969777" </w:instrText>
          </w:r>
          <w:r>
            <w:fldChar w:fldCharType="separate"/>
          </w:r>
          <w:r>
            <w:rPr>
              <w:rStyle w:val="34"/>
              <w:rFonts w:ascii="宋体" w:hAnsi="宋体"/>
              <w:lang w:eastAsia="zh-CN"/>
            </w:rPr>
            <w:t>6.3</w:t>
          </w:r>
          <w:r>
            <w:rPr>
              <w:rStyle w:val="34"/>
              <w:rFonts w:hint="eastAsia" w:ascii="宋体" w:hAnsi="宋体"/>
              <w:lang w:eastAsia="zh-CN"/>
            </w:rPr>
            <w:t>生产设施风险识别</w:t>
          </w:r>
          <w:r>
            <w:tab/>
          </w:r>
          <w:r>
            <w:fldChar w:fldCharType="begin"/>
          </w:r>
          <w:r>
            <w:instrText xml:space="preserve"> PAGEREF _Toc24969777 \h </w:instrText>
          </w:r>
          <w:r>
            <w:fldChar w:fldCharType="separate"/>
          </w:r>
          <w:r>
            <w:t>85</w:t>
          </w:r>
          <w:r>
            <w:fldChar w:fldCharType="end"/>
          </w:r>
          <w:r>
            <w:fldChar w:fldCharType="end"/>
          </w:r>
        </w:p>
        <w:p>
          <w:pPr>
            <w:pStyle w:val="25"/>
            <w:tabs>
              <w:tab w:val="right" w:leader="dot" w:pos="8892"/>
            </w:tabs>
            <w:rPr>
              <w:rFonts w:eastAsiaTheme="minorEastAsia"/>
            </w:rPr>
          </w:pPr>
          <w:r>
            <w:fldChar w:fldCharType="begin"/>
          </w:r>
          <w:r>
            <w:instrText xml:space="preserve"> HYPERLINK \l "_Toc24969778" </w:instrText>
          </w:r>
          <w:r>
            <w:fldChar w:fldCharType="separate"/>
          </w:r>
          <w:r>
            <w:rPr>
              <w:rStyle w:val="34"/>
              <w:rFonts w:ascii="宋体" w:hAnsi="宋体"/>
              <w:lang w:eastAsia="zh-CN"/>
            </w:rPr>
            <w:t>6.4</w:t>
          </w:r>
          <w:r>
            <w:rPr>
              <w:rStyle w:val="34"/>
              <w:rFonts w:hint="eastAsia" w:ascii="宋体" w:hAnsi="宋体"/>
              <w:lang w:eastAsia="zh-CN"/>
            </w:rPr>
            <w:t>重大危险源识别</w:t>
          </w:r>
          <w:r>
            <w:tab/>
          </w:r>
          <w:r>
            <w:fldChar w:fldCharType="begin"/>
          </w:r>
          <w:r>
            <w:instrText xml:space="preserve"> PAGEREF _Toc24969778 \h </w:instrText>
          </w:r>
          <w:r>
            <w:fldChar w:fldCharType="separate"/>
          </w:r>
          <w:r>
            <w:t>85</w:t>
          </w:r>
          <w:r>
            <w:fldChar w:fldCharType="end"/>
          </w:r>
          <w:r>
            <w:fldChar w:fldCharType="end"/>
          </w:r>
        </w:p>
        <w:p>
          <w:pPr>
            <w:pStyle w:val="25"/>
            <w:tabs>
              <w:tab w:val="right" w:leader="dot" w:pos="8892"/>
            </w:tabs>
            <w:rPr>
              <w:rFonts w:eastAsiaTheme="minorEastAsia"/>
            </w:rPr>
          </w:pPr>
          <w:r>
            <w:fldChar w:fldCharType="begin"/>
          </w:r>
          <w:r>
            <w:instrText xml:space="preserve"> HYPERLINK \l "_Toc24969779" </w:instrText>
          </w:r>
          <w:r>
            <w:fldChar w:fldCharType="separate"/>
          </w:r>
          <w:r>
            <w:rPr>
              <w:rStyle w:val="34"/>
              <w:rFonts w:ascii="宋体" w:hAnsi="宋体"/>
              <w:lang w:eastAsia="zh-CN"/>
            </w:rPr>
            <w:t>6.5</w:t>
          </w:r>
          <w:r>
            <w:rPr>
              <w:rStyle w:val="34"/>
              <w:rFonts w:hint="eastAsia" w:ascii="宋体" w:hAnsi="宋体"/>
              <w:lang w:eastAsia="zh-CN"/>
            </w:rPr>
            <w:t>评价等级</w:t>
          </w:r>
          <w:r>
            <w:tab/>
          </w:r>
          <w:r>
            <w:fldChar w:fldCharType="begin"/>
          </w:r>
          <w:r>
            <w:instrText xml:space="preserve"> PAGEREF _Toc24969779 \h </w:instrText>
          </w:r>
          <w:r>
            <w:fldChar w:fldCharType="separate"/>
          </w:r>
          <w:r>
            <w:t>86</w:t>
          </w:r>
          <w:r>
            <w:fldChar w:fldCharType="end"/>
          </w:r>
          <w:r>
            <w:fldChar w:fldCharType="end"/>
          </w:r>
        </w:p>
        <w:p>
          <w:pPr>
            <w:pStyle w:val="25"/>
            <w:tabs>
              <w:tab w:val="right" w:leader="dot" w:pos="8892"/>
            </w:tabs>
            <w:rPr>
              <w:rFonts w:eastAsiaTheme="minorEastAsia"/>
            </w:rPr>
          </w:pPr>
          <w:r>
            <w:fldChar w:fldCharType="begin"/>
          </w:r>
          <w:r>
            <w:instrText xml:space="preserve"> HYPERLINK \l "_Toc24969780" </w:instrText>
          </w:r>
          <w:r>
            <w:fldChar w:fldCharType="separate"/>
          </w:r>
          <w:r>
            <w:rPr>
              <w:rStyle w:val="34"/>
              <w:rFonts w:ascii="宋体" w:hAnsi="宋体"/>
              <w:lang w:eastAsia="zh-CN"/>
            </w:rPr>
            <w:t>6.6</w:t>
          </w:r>
          <w:r>
            <w:rPr>
              <w:rStyle w:val="34"/>
              <w:rFonts w:hint="eastAsia" w:ascii="宋体" w:hAnsi="宋体"/>
              <w:lang w:eastAsia="zh-CN"/>
            </w:rPr>
            <w:t>风险评价</w:t>
          </w:r>
          <w:r>
            <w:tab/>
          </w:r>
          <w:r>
            <w:fldChar w:fldCharType="begin"/>
          </w:r>
          <w:r>
            <w:instrText xml:space="preserve"> PAGEREF _Toc24969780 \h </w:instrText>
          </w:r>
          <w:r>
            <w:fldChar w:fldCharType="separate"/>
          </w:r>
          <w:r>
            <w:t>87</w:t>
          </w:r>
          <w:r>
            <w:fldChar w:fldCharType="end"/>
          </w:r>
          <w:r>
            <w:fldChar w:fldCharType="end"/>
          </w:r>
        </w:p>
        <w:p>
          <w:pPr>
            <w:pStyle w:val="25"/>
            <w:tabs>
              <w:tab w:val="right" w:leader="dot" w:pos="8892"/>
            </w:tabs>
            <w:rPr>
              <w:rFonts w:eastAsiaTheme="minorEastAsia"/>
            </w:rPr>
          </w:pPr>
          <w:r>
            <w:fldChar w:fldCharType="begin"/>
          </w:r>
          <w:r>
            <w:instrText xml:space="preserve"> HYPERLINK \l "_Toc24969781" </w:instrText>
          </w:r>
          <w:r>
            <w:fldChar w:fldCharType="separate"/>
          </w:r>
          <w:r>
            <w:rPr>
              <w:rStyle w:val="34"/>
              <w:rFonts w:ascii="宋体" w:hAnsi="宋体"/>
              <w:lang w:eastAsia="zh-CN"/>
            </w:rPr>
            <w:t>6.7</w:t>
          </w:r>
          <w:r>
            <w:rPr>
              <w:rStyle w:val="34"/>
              <w:rFonts w:hint="eastAsia" w:ascii="宋体" w:hAnsi="宋体"/>
              <w:lang w:eastAsia="zh-CN"/>
            </w:rPr>
            <w:t>风险管理</w:t>
          </w:r>
          <w:r>
            <w:tab/>
          </w:r>
          <w:r>
            <w:fldChar w:fldCharType="begin"/>
          </w:r>
          <w:r>
            <w:instrText xml:space="preserve"> PAGEREF _Toc24969781 \h </w:instrText>
          </w:r>
          <w:r>
            <w:fldChar w:fldCharType="separate"/>
          </w:r>
          <w:r>
            <w:t>91</w:t>
          </w:r>
          <w:r>
            <w:fldChar w:fldCharType="end"/>
          </w:r>
          <w:r>
            <w:fldChar w:fldCharType="end"/>
          </w:r>
        </w:p>
        <w:p>
          <w:pPr>
            <w:pStyle w:val="25"/>
            <w:tabs>
              <w:tab w:val="right" w:leader="dot" w:pos="8892"/>
            </w:tabs>
            <w:rPr>
              <w:rFonts w:eastAsiaTheme="minorEastAsia"/>
            </w:rPr>
          </w:pPr>
          <w:r>
            <w:fldChar w:fldCharType="begin"/>
          </w:r>
          <w:r>
            <w:instrText xml:space="preserve"> HYPERLINK \l "_Toc24969782" </w:instrText>
          </w:r>
          <w:r>
            <w:fldChar w:fldCharType="separate"/>
          </w:r>
          <w:r>
            <w:rPr>
              <w:rStyle w:val="34"/>
              <w:rFonts w:ascii="宋体" w:hAnsi="宋体"/>
              <w:lang w:eastAsia="zh-CN"/>
            </w:rPr>
            <w:t xml:space="preserve">6.8 </w:t>
          </w:r>
          <w:r>
            <w:rPr>
              <w:rStyle w:val="34"/>
              <w:rFonts w:hint="eastAsia" w:ascii="宋体" w:hAnsi="宋体"/>
              <w:lang w:eastAsia="zh-CN"/>
            </w:rPr>
            <w:t>风险评价结论</w:t>
          </w:r>
          <w:r>
            <w:tab/>
          </w:r>
          <w:r>
            <w:fldChar w:fldCharType="begin"/>
          </w:r>
          <w:r>
            <w:instrText xml:space="preserve"> PAGEREF _Toc24969782 \h </w:instrText>
          </w:r>
          <w:r>
            <w:fldChar w:fldCharType="separate"/>
          </w:r>
          <w:r>
            <w:t>96</w:t>
          </w:r>
          <w:r>
            <w:fldChar w:fldCharType="end"/>
          </w:r>
          <w:r>
            <w:fldChar w:fldCharType="end"/>
          </w:r>
        </w:p>
        <w:p>
          <w:pPr>
            <w:pStyle w:val="22"/>
            <w:tabs>
              <w:tab w:val="right" w:leader="dot" w:pos="8892"/>
            </w:tabs>
            <w:rPr>
              <w:rFonts w:eastAsiaTheme="minorEastAsia"/>
            </w:rPr>
          </w:pPr>
          <w:r>
            <w:fldChar w:fldCharType="begin"/>
          </w:r>
          <w:r>
            <w:instrText xml:space="preserve"> HYPERLINK \l "_Toc24969783" </w:instrText>
          </w:r>
          <w:r>
            <w:fldChar w:fldCharType="separate"/>
          </w:r>
          <w:r>
            <w:rPr>
              <w:rStyle w:val="34"/>
              <w:rFonts w:ascii="宋体" w:hAnsi="宋体"/>
              <w:lang w:eastAsia="zh-CN"/>
            </w:rPr>
            <w:t xml:space="preserve">7. </w:t>
          </w:r>
          <w:r>
            <w:rPr>
              <w:rStyle w:val="34"/>
              <w:rFonts w:hint="eastAsia" w:ascii="宋体" w:hAnsi="宋体"/>
              <w:lang w:eastAsia="zh-CN"/>
            </w:rPr>
            <w:t>环保措施及其可行性论证</w:t>
          </w:r>
          <w:r>
            <w:tab/>
          </w:r>
          <w:r>
            <w:fldChar w:fldCharType="begin"/>
          </w:r>
          <w:r>
            <w:instrText xml:space="preserve"> PAGEREF _Toc24969783 \h </w:instrText>
          </w:r>
          <w:r>
            <w:fldChar w:fldCharType="separate"/>
          </w:r>
          <w:r>
            <w:t>97</w:t>
          </w:r>
          <w:r>
            <w:fldChar w:fldCharType="end"/>
          </w:r>
          <w:r>
            <w:fldChar w:fldCharType="end"/>
          </w:r>
        </w:p>
        <w:p>
          <w:pPr>
            <w:pStyle w:val="25"/>
            <w:tabs>
              <w:tab w:val="right" w:leader="dot" w:pos="8892"/>
            </w:tabs>
            <w:rPr>
              <w:rFonts w:eastAsiaTheme="minorEastAsia"/>
            </w:rPr>
          </w:pPr>
          <w:r>
            <w:fldChar w:fldCharType="begin"/>
          </w:r>
          <w:r>
            <w:instrText xml:space="preserve"> HYPERLINK \l "_Toc24969784" </w:instrText>
          </w:r>
          <w:r>
            <w:fldChar w:fldCharType="separate"/>
          </w:r>
          <w:r>
            <w:rPr>
              <w:rStyle w:val="34"/>
              <w:rFonts w:ascii="宋体" w:hAnsi="宋体"/>
              <w:lang w:eastAsia="zh-CN"/>
            </w:rPr>
            <w:t xml:space="preserve">7.1 </w:t>
          </w:r>
          <w:r>
            <w:rPr>
              <w:rStyle w:val="34"/>
              <w:rFonts w:hint="eastAsia" w:ascii="宋体" w:hAnsi="宋体"/>
              <w:lang w:eastAsia="zh-CN"/>
            </w:rPr>
            <w:t>废气治理措施及其可行性分析</w:t>
          </w:r>
          <w:r>
            <w:tab/>
          </w:r>
          <w:r>
            <w:fldChar w:fldCharType="begin"/>
          </w:r>
          <w:r>
            <w:instrText xml:space="preserve"> PAGEREF _Toc24969784 \h </w:instrText>
          </w:r>
          <w:r>
            <w:fldChar w:fldCharType="separate"/>
          </w:r>
          <w:r>
            <w:t>97</w:t>
          </w:r>
          <w:r>
            <w:fldChar w:fldCharType="end"/>
          </w:r>
          <w:r>
            <w:fldChar w:fldCharType="end"/>
          </w:r>
        </w:p>
        <w:p>
          <w:pPr>
            <w:pStyle w:val="25"/>
            <w:tabs>
              <w:tab w:val="right" w:leader="dot" w:pos="8892"/>
            </w:tabs>
            <w:rPr>
              <w:rFonts w:eastAsiaTheme="minorEastAsia"/>
            </w:rPr>
          </w:pPr>
          <w:r>
            <w:fldChar w:fldCharType="begin"/>
          </w:r>
          <w:r>
            <w:instrText xml:space="preserve"> HYPERLINK \l "_Toc24969785" </w:instrText>
          </w:r>
          <w:r>
            <w:fldChar w:fldCharType="separate"/>
          </w:r>
          <w:r>
            <w:rPr>
              <w:rStyle w:val="34"/>
              <w:rFonts w:ascii="宋体" w:hAnsi="宋体"/>
              <w:lang w:eastAsia="zh-CN"/>
            </w:rPr>
            <w:t>7.3</w:t>
          </w:r>
          <w:r>
            <w:rPr>
              <w:rStyle w:val="34"/>
              <w:rFonts w:hint="eastAsia" w:ascii="宋体" w:hAnsi="宋体"/>
              <w:lang w:eastAsia="zh-CN"/>
            </w:rPr>
            <w:t>固废处理措施可行性</w:t>
          </w:r>
          <w:r>
            <w:tab/>
          </w:r>
          <w:r>
            <w:fldChar w:fldCharType="begin"/>
          </w:r>
          <w:r>
            <w:instrText xml:space="preserve"> PAGEREF _Toc24969785 \h </w:instrText>
          </w:r>
          <w:r>
            <w:fldChar w:fldCharType="separate"/>
          </w:r>
          <w:r>
            <w:t>98</w:t>
          </w:r>
          <w:r>
            <w:fldChar w:fldCharType="end"/>
          </w:r>
          <w:r>
            <w:fldChar w:fldCharType="end"/>
          </w:r>
        </w:p>
        <w:p>
          <w:pPr>
            <w:pStyle w:val="25"/>
            <w:tabs>
              <w:tab w:val="right" w:leader="dot" w:pos="8892"/>
            </w:tabs>
            <w:rPr>
              <w:rFonts w:eastAsiaTheme="minorEastAsia"/>
            </w:rPr>
          </w:pPr>
          <w:r>
            <w:fldChar w:fldCharType="begin"/>
          </w:r>
          <w:r>
            <w:instrText xml:space="preserve"> HYPERLINK \l "_Toc24969786" </w:instrText>
          </w:r>
          <w:r>
            <w:fldChar w:fldCharType="separate"/>
          </w:r>
          <w:r>
            <w:rPr>
              <w:rStyle w:val="34"/>
              <w:rFonts w:ascii="宋体" w:hAnsi="宋体"/>
              <w:lang w:eastAsia="zh-CN"/>
            </w:rPr>
            <w:t>7.4</w:t>
          </w:r>
          <w:r>
            <w:rPr>
              <w:rStyle w:val="34"/>
              <w:rFonts w:hint="eastAsia" w:ascii="宋体" w:hAnsi="宋体"/>
              <w:lang w:eastAsia="zh-CN"/>
            </w:rPr>
            <w:t>噪声防治措施可行性</w:t>
          </w:r>
          <w:r>
            <w:tab/>
          </w:r>
          <w:r>
            <w:fldChar w:fldCharType="begin"/>
          </w:r>
          <w:r>
            <w:instrText xml:space="preserve"> PAGEREF _Toc24969786 \h </w:instrText>
          </w:r>
          <w:r>
            <w:fldChar w:fldCharType="separate"/>
          </w:r>
          <w:r>
            <w:t>98</w:t>
          </w:r>
          <w:r>
            <w:fldChar w:fldCharType="end"/>
          </w:r>
          <w:r>
            <w:fldChar w:fldCharType="end"/>
          </w:r>
        </w:p>
        <w:p>
          <w:pPr>
            <w:pStyle w:val="22"/>
            <w:tabs>
              <w:tab w:val="right" w:leader="dot" w:pos="8892"/>
            </w:tabs>
            <w:rPr>
              <w:rFonts w:eastAsiaTheme="minorEastAsia"/>
            </w:rPr>
          </w:pPr>
          <w:r>
            <w:fldChar w:fldCharType="begin"/>
          </w:r>
          <w:r>
            <w:instrText xml:space="preserve"> HYPERLINK \l "_Toc24969787" </w:instrText>
          </w:r>
          <w:r>
            <w:fldChar w:fldCharType="separate"/>
          </w:r>
          <w:r>
            <w:rPr>
              <w:rStyle w:val="34"/>
              <w:rFonts w:ascii="宋体" w:hAnsi="宋体"/>
              <w:lang w:eastAsia="zh-CN"/>
            </w:rPr>
            <w:t>8.</w:t>
          </w:r>
          <w:r>
            <w:rPr>
              <w:rStyle w:val="34"/>
              <w:rFonts w:hint="eastAsia" w:ascii="宋体" w:hAnsi="宋体"/>
              <w:lang w:eastAsia="zh-CN"/>
            </w:rPr>
            <w:t>清洁生产分析</w:t>
          </w:r>
          <w:r>
            <w:tab/>
          </w:r>
          <w:r>
            <w:fldChar w:fldCharType="begin"/>
          </w:r>
          <w:r>
            <w:instrText xml:space="preserve"> PAGEREF _Toc24969787 \h </w:instrText>
          </w:r>
          <w:r>
            <w:fldChar w:fldCharType="separate"/>
          </w:r>
          <w:r>
            <w:t>101</w:t>
          </w:r>
          <w:r>
            <w:fldChar w:fldCharType="end"/>
          </w:r>
          <w:r>
            <w:fldChar w:fldCharType="end"/>
          </w:r>
        </w:p>
        <w:p>
          <w:pPr>
            <w:pStyle w:val="25"/>
            <w:tabs>
              <w:tab w:val="right" w:leader="dot" w:pos="8892"/>
            </w:tabs>
            <w:rPr>
              <w:rFonts w:eastAsiaTheme="minorEastAsia"/>
            </w:rPr>
          </w:pPr>
          <w:r>
            <w:fldChar w:fldCharType="begin"/>
          </w:r>
          <w:r>
            <w:instrText xml:space="preserve"> HYPERLINK \l "_Toc24969788" </w:instrText>
          </w:r>
          <w:r>
            <w:fldChar w:fldCharType="separate"/>
          </w:r>
          <w:r>
            <w:rPr>
              <w:rStyle w:val="34"/>
              <w:rFonts w:ascii="宋体" w:hAnsi="宋体"/>
              <w:lang w:eastAsia="zh-CN"/>
            </w:rPr>
            <w:t>8.1</w:t>
          </w:r>
          <w:r>
            <w:rPr>
              <w:rStyle w:val="34"/>
              <w:rFonts w:hint="eastAsia" w:ascii="宋体" w:hAnsi="宋体"/>
              <w:lang w:eastAsia="zh-CN"/>
            </w:rPr>
            <w:t>生产工艺与装备</w:t>
          </w:r>
          <w:r>
            <w:tab/>
          </w:r>
          <w:r>
            <w:fldChar w:fldCharType="begin"/>
          </w:r>
          <w:r>
            <w:instrText xml:space="preserve"> PAGEREF _Toc24969788 \h </w:instrText>
          </w:r>
          <w:r>
            <w:fldChar w:fldCharType="separate"/>
          </w:r>
          <w:r>
            <w:t>101</w:t>
          </w:r>
          <w:r>
            <w:fldChar w:fldCharType="end"/>
          </w:r>
          <w:r>
            <w:fldChar w:fldCharType="end"/>
          </w:r>
        </w:p>
        <w:p>
          <w:pPr>
            <w:pStyle w:val="25"/>
            <w:tabs>
              <w:tab w:val="right" w:leader="dot" w:pos="8892"/>
            </w:tabs>
            <w:rPr>
              <w:rFonts w:eastAsiaTheme="minorEastAsia"/>
            </w:rPr>
          </w:pPr>
          <w:r>
            <w:fldChar w:fldCharType="begin"/>
          </w:r>
          <w:r>
            <w:instrText xml:space="preserve"> HYPERLINK \l "_Toc24969789" </w:instrText>
          </w:r>
          <w:r>
            <w:fldChar w:fldCharType="separate"/>
          </w:r>
          <w:r>
            <w:rPr>
              <w:rStyle w:val="34"/>
              <w:rFonts w:ascii="宋体" w:hAnsi="宋体"/>
              <w:lang w:eastAsia="zh-CN"/>
            </w:rPr>
            <w:t>8.2</w:t>
          </w:r>
          <w:r>
            <w:rPr>
              <w:rStyle w:val="34"/>
              <w:rFonts w:hint="eastAsia" w:ascii="宋体" w:hAnsi="宋体"/>
              <w:lang w:eastAsia="zh-CN"/>
            </w:rPr>
            <w:t>城市污泥一体化处理工艺原理如下</w:t>
          </w:r>
          <w:r>
            <w:tab/>
          </w:r>
          <w:r>
            <w:fldChar w:fldCharType="begin"/>
          </w:r>
          <w:r>
            <w:instrText xml:space="preserve"> PAGEREF _Toc24969789 \h </w:instrText>
          </w:r>
          <w:r>
            <w:fldChar w:fldCharType="separate"/>
          </w:r>
          <w:r>
            <w:t>102</w:t>
          </w:r>
          <w:r>
            <w:fldChar w:fldCharType="end"/>
          </w:r>
          <w:r>
            <w:fldChar w:fldCharType="end"/>
          </w:r>
        </w:p>
        <w:p>
          <w:pPr>
            <w:pStyle w:val="25"/>
            <w:tabs>
              <w:tab w:val="right" w:leader="dot" w:pos="8892"/>
            </w:tabs>
            <w:rPr>
              <w:rFonts w:eastAsiaTheme="minorEastAsia"/>
            </w:rPr>
          </w:pPr>
          <w:r>
            <w:fldChar w:fldCharType="begin"/>
          </w:r>
          <w:r>
            <w:instrText xml:space="preserve"> HYPERLINK \l "_Toc24969790" </w:instrText>
          </w:r>
          <w:r>
            <w:fldChar w:fldCharType="separate"/>
          </w:r>
          <w:r>
            <w:rPr>
              <w:rStyle w:val="34"/>
              <w:rFonts w:ascii="宋体" w:hAnsi="宋体"/>
              <w:lang w:eastAsia="zh-CN"/>
            </w:rPr>
            <w:t xml:space="preserve">8.3 </w:t>
          </w:r>
          <w:r>
            <w:rPr>
              <w:rStyle w:val="34"/>
              <w:rFonts w:hint="eastAsia" w:ascii="宋体" w:hAnsi="宋体"/>
              <w:lang w:eastAsia="zh-CN"/>
            </w:rPr>
            <w:t>污泥一体化处理技术特点</w:t>
          </w:r>
          <w:r>
            <w:tab/>
          </w:r>
          <w:r>
            <w:fldChar w:fldCharType="begin"/>
          </w:r>
          <w:r>
            <w:instrText xml:space="preserve"> PAGEREF _Toc24969790 \h </w:instrText>
          </w:r>
          <w:r>
            <w:fldChar w:fldCharType="separate"/>
          </w:r>
          <w:r>
            <w:t>103</w:t>
          </w:r>
          <w:r>
            <w:fldChar w:fldCharType="end"/>
          </w:r>
          <w:r>
            <w:fldChar w:fldCharType="end"/>
          </w:r>
        </w:p>
        <w:p>
          <w:pPr>
            <w:pStyle w:val="25"/>
            <w:tabs>
              <w:tab w:val="right" w:leader="dot" w:pos="8892"/>
            </w:tabs>
            <w:rPr>
              <w:rFonts w:eastAsiaTheme="minorEastAsia"/>
            </w:rPr>
          </w:pPr>
          <w:r>
            <w:fldChar w:fldCharType="begin"/>
          </w:r>
          <w:r>
            <w:instrText xml:space="preserve"> HYPERLINK \l "_Toc24969791" </w:instrText>
          </w:r>
          <w:r>
            <w:fldChar w:fldCharType="separate"/>
          </w:r>
          <w:r>
            <w:rPr>
              <w:rStyle w:val="34"/>
              <w:rFonts w:ascii="宋体" w:hAnsi="宋体"/>
              <w:lang w:eastAsia="zh-CN"/>
            </w:rPr>
            <w:t xml:space="preserve">8.4 </w:t>
          </w:r>
          <w:r>
            <w:rPr>
              <w:rStyle w:val="34"/>
              <w:rFonts w:hint="eastAsia" w:ascii="宋体" w:hAnsi="宋体"/>
              <w:lang w:eastAsia="zh-CN"/>
            </w:rPr>
            <w:t>华能岳阳电厂污泥一体化处理系统参数</w:t>
          </w:r>
          <w:r>
            <w:tab/>
          </w:r>
          <w:r>
            <w:fldChar w:fldCharType="begin"/>
          </w:r>
          <w:r>
            <w:instrText xml:space="preserve"> PAGEREF _Toc24969791 \h </w:instrText>
          </w:r>
          <w:r>
            <w:fldChar w:fldCharType="separate"/>
          </w:r>
          <w:r>
            <w:t>103</w:t>
          </w:r>
          <w:r>
            <w:fldChar w:fldCharType="end"/>
          </w:r>
          <w:r>
            <w:fldChar w:fldCharType="end"/>
          </w:r>
        </w:p>
        <w:p>
          <w:pPr>
            <w:pStyle w:val="25"/>
            <w:tabs>
              <w:tab w:val="right" w:leader="dot" w:pos="8892"/>
            </w:tabs>
            <w:rPr>
              <w:rFonts w:eastAsiaTheme="minorEastAsia"/>
            </w:rPr>
          </w:pPr>
          <w:r>
            <w:fldChar w:fldCharType="begin"/>
          </w:r>
          <w:r>
            <w:instrText xml:space="preserve"> HYPERLINK \l "_Toc24969792" </w:instrText>
          </w:r>
          <w:r>
            <w:fldChar w:fldCharType="separate"/>
          </w:r>
          <w:r>
            <w:rPr>
              <w:rStyle w:val="34"/>
              <w:rFonts w:ascii="宋体" w:hAnsi="宋体"/>
              <w:lang w:eastAsia="zh-CN"/>
            </w:rPr>
            <w:t>8.5</w:t>
          </w:r>
          <w:r>
            <w:rPr>
              <w:rStyle w:val="34"/>
              <w:rFonts w:hint="eastAsia" w:ascii="宋体" w:hAnsi="宋体"/>
              <w:lang w:eastAsia="zh-CN"/>
            </w:rPr>
            <w:t>废物综合利用</w:t>
          </w:r>
          <w:r>
            <w:tab/>
          </w:r>
          <w:r>
            <w:fldChar w:fldCharType="begin"/>
          </w:r>
          <w:r>
            <w:instrText xml:space="preserve"> PAGEREF _Toc24969792 \h </w:instrText>
          </w:r>
          <w:r>
            <w:fldChar w:fldCharType="separate"/>
          </w:r>
          <w:r>
            <w:t>103</w:t>
          </w:r>
          <w:r>
            <w:fldChar w:fldCharType="end"/>
          </w:r>
          <w:r>
            <w:fldChar w:fldCharType="end"/>
          </w:r>
        </w:p>
        <w:p>
          <w:pPr>
            <w:pStyle w:val="25"/>
            <w:tabs>
              <w:tab w:val="right" w:leader="dot" w:pos="8892"/>
            </w:tabs>
            <w:rPr>
              <w:rFonts w:eastAsiaTheme="minorEastAsia"/>
            </w:rPr>
          </w:pPr>
          <w:r>
            <w:fldChar w:fldCharType="begin"/>
          </w:r>
          <w:r>
            <w:instrText xml:space="preserve"> HYPERLINK \l "_Toc24969793" </w:instrText>
          </w:r>
          <w:r>
            <w:fldChar w:fldCharType="separate"/>
          </w:r>
          <w:r>
            <w:rPr>
              <w:rStyle w:val="34"/>
              <w:rFonts w:ascii="宋体" w:hAnsi="宋体"/>
              <w:lang w:eastAsia="zh-CN"/>
            </w:rPr>
            <w:t>8.6</w:t>
          </w:r>
          <w:r>
            <w:rPr>
              <w:rStyle w:val="34"/>
              <w:rFonts w:hint="eastAsia" w:ascii="宋体" w:hAnsi="宋体"/>
              <w:lang w:eastAsia="zh-CN"/>
            </w:rPr>
            <w:t>环境管理要求</w:t>
          </w:r>
          <w:r>
            <w:tab/>
          </w:r>
          <w:r>
            <w:fldChar w:fldCharType="begin"/>
          </w:r>
          <w:r>
            <w:instrText xml:space="preserve"> PAGEREF _Toc24969793 \h </w:instrText>
          </w:r>
          <w:r>
            <w:fldChar w:fldCharType="separate"/>
          </w:r>
          <w:r>
            <w:t>103</w:t>
          </w:r>
          <w:r>
            <w:fldChar w:fldCharType="end"/>
          </w:r>
          <w:r>
            <w:fldChar w:fldCharType="end"/>
          </w:r>
        </w:p>
        <w:p>
          <w:pPr>
            <w:pStyle w:val="22"/>
            <w:tabs>
              <w:tab w:val="right" w:leader="dot" w:pos="8892"/>
            </w:tabs>
            <w:rPr>
              <w:rFonts w:eastAsiaTheme="minorEastAsia"/>
            </w:rPr>
          </w:pPr>
          <w:r>
            <w:fldChar w:fldCharType="begin"/>
          </w:r>
          <w:r>
            <w:instrText xml:space="preserve"> HYPERLINK \l "_Toc24969794" </w:instrText>
          </w:r>
          <w:r>
            <w:fldChar w:fldCharType="separate"/>
          </w:r>
          <w:r>
            <w:rPr>
              <w:rStyle w:val="34"/>
              <w:rFonts w:ascii="宋体" w:hAnsi="宋体"/>
              <w:lang w:eastAsia="zh-CN"/>
            </w:rPr>
            <w:t xml:space="preserve">9. </w:t>
          </w:r>
          <w:r>
            <w:rPr>
              <w:rStyle w:val="34"/>
              <w:rFonts w:hint="eastAsia" w:ascii="宋体" w:hAnsi="宋体"/>
              <w:lang w:eastAsia="zh-CN"/>
            </w:rPr>
            <w:t>环境经济损益分析</w:t>
          </w:r>
          <w:r>
            <w:tab/>
          </w:r>
          <w:r>
            <w:fldChar w:fldCharType="begin"/>
          </w:r>
          <w:r>
            <w:instrText xml:space="preserve"> PAGEREF _Toc24969794 \h </w:instrText>
          </w:r>
          <w:r>
            <w:fldChar w:fldCharType="separate"/>
          </w:r>
          <w:r>
            <w:t>104</w:t>
          </w:r>
          <w:r>
            <w:fldChar w:fldCharType="end"/>
          </w:r>
          <w:r>
            <w:fldChar w:fldCharType="end"/>
          </w:r>
        </w:p>
        <w:p>
          <w:pPr>
            <w:pStyle w:val="25"/>
            <w:tabs>
              <w:tab w:val="right" w:leader="dot" w:pos="8892"/>
            </w:tabs>
            <w:rPr>
              <w:rFonts w:eastAsiaTheme="minorEastAsia"/>
            </w:rPr>
          </w:pPr>
          <w:r>
            <w:fldChar w:fldCharType="begin"/>
          </w:r>
          <w:r>
            <w:instrText xml:space="preserve"> HYPERLINK \l "_Toc24969795" </w:instrText>
          </w:r>
          <w:r>
            <w:fldChar w:fldCharType="separate"/>
          </w:r>
          <w:r>
            <w:rPr>
              <w:rStyle w:val="34"/>
              <w:rFonts w:ascii="宋体" w:hAnsi="宋体"/>
              <w:lang w:eastAsia="zh-CN"/>
            </w:rPr>
            <w:t>9.1</w:t>
          </w:r>
          <w:r>
            <w:rPr>
              <w:rStyle w:val="34"/>
              <w:rFonts w:hint="eastAsia" w:ascii="宋体" w:hAnsi="宋体"/>
              <w:lang w:eastAsia="zh-CN"/>
            </w:rPr>
            <w:t>环境效益</w:t>
          </w:r>
          <w:r>
            <w:tab/>
          </w:r>
          <w:r>
            <w:fldChar w:fldCharType="begin"/>
          </w:r>
          <w:r>
            <w:instrText xml:space="preserve"> PAGEREF _Toc24969795 \h </w:instrText>
          </w:r>
          <w:r>
            <w:fldChar w:fldCharType="separate"/>
          </w:r>
          <w:r>
            <w:t>104</w:t>
          </w:r>
          <w:r>
            <w:fldChar w:fldCharType="end"/>
          </w:r>
          <w:r>
            <w:fldChar w:fldCharType="end"/>
          </w:r>
        </w:p>
        <w:p>
          <w:pPr>
            <w:pStyle w:val="25"/>
            <w:tabs>
              <w:tab w:val="right" w:leader="dot" w:pos="8892"/>
            </w:tabs>
            <w:rPr>
              <w:rFonts w:eastAsiaTheme="minorEastAsia"/>
            </w:rPr>
          </w:pPr>
          <w:r>
            <w:fldChar w:fldCharType="begin"/>
          </w:r>
          <w:r>
            <w:instrText xml:space="preserve"> HYPERLINK \l "_Toc24969798" </w:instrText>
          </w:r>
          <w:r>
            <w:fldChar w:fldCharType="separate"/>
          </w:r>
          <w:r>
            <w:rPr>
              <w:rStyle w:val="34"/>
              <w:rFonts w:ascii="宋体" w:hAnsi="宋体"/>
              <w:lang w:eastAsia="zh-CN"/>
            </w:rPr>
            <w:t>9.2</w:t>
          </w:r>
          <w:r>
            <w:rPr>
              <w:rStyle w:val="34"/>
              <w:rFonts w:hint="eastAsia" w:ascii="宋体" w:hAnsi="宋体"/>
              <w:lang w:eastAsia="zh-CN"/>
            </w:rPr>
            <w:t>社会效益</w:t>
          </w:r>
          <w:r>
            <w:tab/>
          </w:r>
          <w:r>
            <w:fldChar w:fldCharType="begin"/>
          </w:r>
          <w:r>
            <w:instrText xml:space="preserve"> PAGEREF _Toc24969798 \h </w:instrText>
          </w:r>
          <w:r>
            <w:fldChar w:fldCharType="separate"/>
          </w:r>
          <w:r>
            <w:t>105</w:t>
          </w:r>
          <w:r>
            <w:fldChar w:fldCharType="end"/>
          </w:r>
          <w:r>
            <w:fldChar w:fldCharType="end"/>
          </w:r>
        </w:p>
        <w:p>
          <w:pPr>
            <w:pStyle w:val="25"/>
            <w:tabs>
              <w:tab w:val="right" w:leader="dot" w:pos="8892"/>
            </w:tabs>
            <w:rPr>
              <w:rFonts w:eastAsiaTheme="minorEastAsia"/>
            </w:rPr>
          </w:pPr>
          <w:r>
            <w:fldChar w:fldCharType="begin"/>
          </w:r>
          <w:r>
            <w:instrText xml:space="preserve"> HYPERLINK \l "_Toc24969799" </w:instrText>
          </w:r>
          <w:r>
            <w:fldChar w:fldCharType="separate"/>
          </w:r>
          <w:r>
            <w:rPr>
              <w:rStyle w:val="34"/>
              <w:rFonts w:ascii="宋体" w:hAnsi="宋体"/>
              <w:lang w:eastAsia="zh-CN"/>
            </w:rPr>
            <w:t>9.3</w:t>
          </w:r>
          <w:r>
            <w:rPr>
              <w:rStyle w:val="34"/>
              <w:rFonts w:hint="eastAsia" w:ascii="宋体" w:hAnsi="宋体"/>
              <w:lang w:eastAsia="zh-CN"/>
            </w:rPr>
            <w:t>经济效益</w:t>
          </w:r>
          <w:r>
            <w:tab/>
          </w:r>
          <w:r>
            <w:fldChar w:fldCharType="begin"/>
          </w:r>
          <w:r>
            <w:instrText xml:space="preserve"> PAGEREF _Toc24969799 \h </w:instrText>
          </w:r>
          <w:r>
            <w:fldChar w:fldCharType="separate"/>
          </w:r>
          <w:r>
            <w:t>105</w:t>
          </w:r>
          <w:r>
            <w:fldChar w:fldCharType="end"/>
          </w:r>
          <w:r>
            <w:fldChar w:fldCharType="end"/>
          </w:r>
        </w:p>
        <w:p>
          <w:pPr>
            <w:pStyle w:val="22"/>
            <w:tabs>
              <w:tab w:val="right" w:leader="dot" w:pos="8892"/>
            </w:tabs>
            <w:rPr>
              <w:rFonts w:eastAsiaTheme="minorEastAsia"/>
            </w:rPr>
          </w:pPr>
          <w:r>
            <w:fldChar w:fldCharType="begin"/>
          </w:r>
          <w:r>
            <w:instrText xml:space="preserve"> HYPERLINK \l "_Toc24969802" </w:instrText>
          </w:r>
          <w:r>
            <w:fldChar w:fldCharType="separate"/>
          </w:r>
          <w:r>
            <w:rPr>
              <w:rStyle w:val="34"/>
              <w:rFonts w:ascii="宋体" w:hAnsi="宋体"/>
              <w:lang w:eastAsia="zh-CN"/>
            </w:rPr>
            <w:t>10.</w:t>
          </w:r>
          <w:r>
            <w:rPr>
              <w:rStyle w:val="34"/>
              <w:rFonts w:hint="eastAsia" w:ascii="宋体" w:hAnsi="宋体"/>
              <w:lang w:eastAsia="zh-CN"/>
            </w:rPr>
            <w:t>环境管理与环境监测</w:t>
          </w:r>
          <w:r>
            <w:tab/>
          </w:r>
          <w:r>
            <w:fldChar w:fldCharType="begin"/>
          </w:r>
          <w:r>
            <w:instrText xml:space="preserve"> PAGEREF _Toc24969802 \h </w:instrText>
          </w:r>
          <w:r>
            <w:fldChar w:fldCharType="separate"/>
          </w:r>
          <w:r>
            <w:t>107</w:t>
          </w:r>
          <w:r>
            <w:fldChar w:fldCharType="end"/>
          </w:r>
          <w:r>
            <w:fldChar w:fldCharType="end"/>
          </w:r>
        </w:p>
        <w:p>
          <w:pPr>
            <w:pStyle w:val="25"/>
            <w:tabs>
              <w:tab w:val="right" w:leader="dot" w:pos="8892"/>
            </w:tabs>
            <w:rPr>
              <w:rFonts w:eastAsiaTheme="minorEastAsia"/>
            </w:rPr>
          </w:pPr>
          <w:r>
            <w:fldChar w:fldCharType="begin"/>
          </w:r>
          <w:r>
            <w:instrText xml:space="preserve"> HYPERLINK \l "_Toc24969803" </w:instrText>
          </w:r>
          <w:r>
            <w:fldChar w:fldCharType="separate"/>
          </w:r>
          <w:r>
            <w:rPr>
              <w:rStyle w:val="34"/>
              <w:rFonts w:ascii="宋体" w:hAnsi="宋体"/>
              <w:lang w:eastAsia="zh-CN"/>
            </w:rPr>
            <w:t>10.1</w:t>
          </w:r>
          <w:r>
            <w:rPr>
              <w:rStyle w:val="34"/>
              <w:rFonts w:hint="eastAsia" w:ascii="宋体" w:hAnsi="宋体"/>
              <w:lang w:eastAsia="zh-CN"/>
            </w:rPr>
            <w:t>环境管理</w:t>
          </w:r>
          <w:r>
            <w:tab/>
          </w:r>
          <w:r>
            <w:fldChar w:fldCharType="begin"/>
          </w:r>
          <w:r>
            <w:instrText xml:space="preserve"> PAGEREF _Toc24969803 \h </w:instrText>
          </w:r>
          <w:r>
            <w:fldChar w:fldCharType="separate"/>
          </w:r>
          <w:r>
            <w:t>107</w:t>
          </w:r>
          <w:r>
            <w:fldChar w:fldCharType="end"/>
          </w:r>
          <w:r>
            <w:fldChar w:fldCharType="end"/>
          </w:r>
        </w:p>
        <w:p>
          <w:pPr>
            <w:pStyle w:val="25"/>
            <w:tabs>
              <w:tab w:val="right" w:leader="dot" w:pos="8892"/>
            </w:tabs>
            <w:rPr>
              <w:rFonts w:eastAsiaTheme="minorEastAsia"/>
            </w:rPr>
          </w:pPr>
          <w:r>
            <w:fldChar w:fldCharType="begin"/>
          </w:r>
          <w:r>
            <w:instrText xml:space="preserve"> HYPERLINK \l "_Toc24969804" </w:instrText>
          </w:r>
          <w:r>
            <w:fldChar w:fldCharType="separate"/>
          </w:r>
          <w:r>
            <w:rPr>
              <w:rStyle w:val="34"/>
              <w:rFonts w:ascii="宋体" w:hAnsi="宋体"/>
              <w:lang w:eastAsia="zh-CN"/>
            </w:rPr>
            <w:t>10.2</w:t>
          </w:r>
          <w:r>
            <w:rPr>
              <w:rStyle w:val="34"/>
              <w:rFonts w:hint="eastAsia" w:ascii="宋体" w:hAnsi="宋体"/>
              <w:lang w:eastAsia="zh-CN"/>
            </w:rPr>
            <w:t>污染物总量控制指标分析</w:t>
          </w:r>
          <w:r>
            <w:tab/>
          </w:r>
          <w:r>
            <w:fldChar w:fldCharType="begin"/>
          </w:r>
          <w:r>
            <w:instrText xml:space="preserve"> PAGEREF _Toc24969804 \h </w:instrText>
          </w:r>
          <w:r>
            <w:fldChar w:fldCharType="separate"/>
          </w:r>
          <w:r>
            <w:t>108</w:t>
          </w:r>
          <w:r>
            <w:fldChar w:fldCharType="end"/>
          </w:r>
          <w:r>
            <w:fldChar w:fldCharType="end"/>
          </w:r>
        </w:p>
        <w:p>
          <w:pPr>
            <w:pStyle w:val="25"/>
            <w:tabs>
              <w:tab w:val="right" w:leader="dot" w:pos="8892"/>
            </w:tabs>
            <w:rPr>
              <w:rFonts w:eastAsiaTheme="minorEastAsia"/>
            </w:rPr>
          </w:pPr>
          <w:r>
            <w:fldChar w:fldCharType="begin"/>
          </w:r>
          <w:r>
            <w:instrText xml:space="preserve"> HYPERLINK \l "_Toc24969805" </w:instrText>
          </w:r>
          <w:r>
            <w:fldChar w:fldCharType="separate"/>
          </w:r>
          <w:r>
            <w:rPr>
              <w:rStyle w:val="34"/>
              <w:rFonts w:ascii="宋体" w:hAnsi="宋体"/>
              <w:lang w:eastAsia="zh-CN"/>
            </w:rPr>
            <w:t>10.3</w:t>
          </w:r>
          <w:r>
            <w:rPr>
              <w:rStyle w:val="34"/>
              <w:rFonts w:hint="eastAsia" w:ascii="宋体" w:hAnsi="宋体"/>
              <w:lang w:eastAsia="zh-CN"/>
            </w:rPr>
            <w:t>环境监测计划</w:t>
          </w:r>
          <w:r>
            <w:tab/>
          </w:r>
          <w:r>
            <w:fldChar w:fldCharType="begin"/>
          </w:r>
          <w:r>
            <w:instrText xml:space="preserve"> PAGEREF _Toc24969805 \h </w:instrText>
          </w:r>
          <w:r>
            <w:fldChar w:fldCharType="separate"/>
          </w:r>
          <w:r>
            <w:t>108</w:t>
          </w:r>
          <w:r>
            <w:fldChar w:fldCharType="end"/>
          </w:r>
          <w:r>
            <w:fldChar w:fldCharType="end"/>
          </w:r>
        </w:p>
        <w:p>
          <w:pPr>
            <w:pStyle w:val="22"/>
            <w:tabs>
              <w:tab w:val="right" w:leader="dot" w:pos="8892"/>
            </w:tabs>
            <w:rPr>
              <w:rFonts w:eastAsiaTheme="minorEastAsia"/>
            </w:rPr>
          </w:pPr>
          <w:r>
            <w:fldChar w:fldCharType="begin"/>
          </w:r>
          <w:r>
            <w:instrText xml:space="preserve"> HYPERLINK \l "_Toc24969806" </w:instrText>
          </w:r>
          <w:r>
            <w:fldChar w:fldCharType="separate"/>
          </w:r>
          <w:r>
            <w:rPr>
              <w:rStyle w:val="34"/>
              <w:rFonts w:ascii="宋体" w:hAnsi="宋体"/>
              <w:lang w:eastAsia="zh-CN"/>
            </w:rPr>
            <w:t>11.</w:t>
          </w:r>
          <w:r>
            <w:rPr>
              <w:rStyle w:val="34"/>
              <w:rFonts w:hint="eastAsia" w:ascii="宋体" w:hAnsi="宋体"/>
              <w:lang w:eastAsia="zh-CN"/>
            </w:rPr>
            <w:t>环境影响评价结论</w:t>
          </w:r>
          <w:r>
            <w:tab/>
          </w:r>
          <w:r>
            <w:fldChar w:fldCharType="begin"/>
          </w:r>
          <w:r>
            <w:instrText xml:space="preserve"> PAGEREF _Toc24969806 \h </w:instrText>
          </w:r>
          <w:r>
            <w:fldChar w:fldCharType="separate"/>
          </w:r>
          <w:r>
            <w:t>110</w:t>
          </w:r>
          <w:r>
            <w:fldChar w:fldCharType="end"/>
          </w:r>
          <w:r>
            <w:fldChar w:fldCharType="end"/>
          </w:r>
        </w:p>
        <w:p>
          <w:pPr>
            <w:pStyle w:val="25"/>
            <w:tabs>
              <w:tab w:val="right" w:leader="dot" w:pos="8892"/>
            </w:tabs>
            <w:rPr>
              <w:rFonts w:eastAsiaTheme="minorEastAsia"/>
            </w:rPr>
          </w:pPr>
          <w:r>
            <w:fldChar w:fldCharType="begin"/>
          </w:r>
          <w:r>
            <w:instrText xml:space="preserve"> HYPERLINK \l "_Toc24969807" </w:instrText>
          </w:r>
          <w:r>
            <w:fldChar w:fldCharType="separate"/>
          </w:r>
          <w:r>
            <w:rPr>
              <w:rStyle w:val="34"/>
              <w:rFonts w:ascii="宋体" w:hAnsi="宋体"/>
              <w:lang w:eastAsia="zh-CN"/>
            </w:rPr>
            <w:t>11.1</w:t>
          </w:r>
          <w:r>
            <w:rPr>
              <w:rStyle w:val="34"/>
              <w:rFonts w:hint="eastAsia" w:ascii="宋体" w:hAnsi="宋体"/>
              <w:lang w:eastAsia="zh-CN"/>
            </w:rPr>
            <w:t>项目基本情况</w:t>
          </w:r>
          <w:r>
            <w:tab/>
          </w:r>
          <w:r>
            <w:fldChar w:fldCharType="begin"/>
          </w:r>
          <w:r>
            <w:instrText xml:space="preserve"> PAGEREF _Toc24969807 \h </w:instrText>
          </w:r>
          <w:r>
            <w:fldChar w:fldCharType="separate"/>
          </w:r>
          <w:r>
            <w:t>110</w:t>
          </w:r>
          <w:r>
            <w:fldChar w:fldCharType="end"/>
          </w:r>
          <w:r>
            <w:fldChar w:fldCharType="end"/>
          </w:r>
        </w:p>
        <w:p>
          <w:pPr>
            <w:pStyle w:val="25"/>
            <w:tabs>
              <w:tab w:val="right" w:leader="dot" w:pos="8892"/>
            </w:tabs>
            <w:rPr>
              <w:rFonts w:eastAsiaTheme="minorEastAsia"/>
            </w:rPr>
          </w:pPr>
          <w:r>
            <w:fldChar w:fldCharType="begin"/>
          </w:r>
          <w:r>
            <w:instrText xml:space="preserve"> HYPERLINK \l "_Toc24969808" </w:instrText>
          </w:r>
          <w:r>
            <w:fldChar w:fldCharType="separate"/>
          </w:r>
          <w:r>
            <w:rPr>
              <w:rStyle w:val="34"/>
              <w:rFonts w:ascii="宋体" w:hAnsi="宋体"/>
              <w:lang w:eastAsia="zh-CN"/>
            </w:rPr>
            <w:t>11.2</w:t>
          </w:r>
          <w:r>
            <w:rPr>
              <w:rStyle w:val="34"/>
              <w:rFonts w:hint="eastAsia" w:ascii="宋体" w:hAnsi="宋体"/>
              <w:lang w:eastAsia="zh-CN"/>
            </w:rPr>
            <w:t>项目建设产业政策及规划符合性</w:t>
          </w:r>
          <w:r>
            <w:tab/>
          </w:r>
          <w:r>
            <w:fldChar w:fldCharType="begin"/>
          </w:r>
          <w:r>
            <w:instrText xml:space="preserve"> PAGEREF _Toc24969808 \h </w:instrText>
          </w:r>
          <w:r>
            <w:fldChar w:fldCharType="separate"/>
          </w:r>
          <w:r>
            <w:t>110</w:t>
          </w:r>
          <w:r>
            <w:fldChar w:fldCharType="end"/>
          </w:r>
          <w:r>
            <w:fldChar w:fldCharType="end"/>
          </w:r>
        </w:p>
        <w:p>
          <w:pPr>
            <w:pStyle w:val="25"/>
            <w:tabs>
              <w:tab w:val="right" w:leader="dot" w:pos="8892"/>
            </w:tabs>
            <w:rPr>
              <w:rFonts w:eastAsiaTheme="minorEastAsia"/>
            </w:rPr>
          </w:pPr>
          <w:r>
            <w:fldChar w:fldCharType="begin"/>
          </w:r>
          <w:r>
            <w:instrText xml:space="preserve"> HYPERLINK \l "_Toc24969809" </w:instrText>
          </w:r>
          <w:r>
            <w:fldChar w:fldCharType="separate"/>
          </w:r>
          <w:r>
            <w:rPr>
              <w:rStyle w:val="34"/>
              <w:rFonts w:ascii="宋体" w:hAnsi="宋体"/>
              <w:lang w:eastAsia="zh-CN"/>
            </w:rPr>
            <w:t>11.3</w:t>
          </w:r>
          <w:r>
            <w:rPr>
              <w:rStyle w:val="34"/>
              <w:rFonts w:hint="eastAsia" w:ascii="宋体" w:hAnsi="宋体"/>
              <w:lang w:eastAsia="zh-CN"/>
            </w:rPr>
            <w:t>项目周围地区环境质量现状</w:t>
          </w:r>
          <w:r>
            <w:tab/>
          </w:r>
          <w:r>
            <w:fldChar w:fldCharType="begin"/>
          </w:r>
          <w:r>
            <w:instrText xml:space="preserve"> PAGEREF _Toc24969809 \h </w:instrText>
          </w:r>
          <w:r>
            <w:fldChar w:fldCharType="separate"/>
          </w:r>
          <w:r>
            <w:t>111</w:t>
          </w:r>
          <w:r>
            <w:fldChar w:fldCharType="end"/>
          </w:r>
          <w:r>
            <w:fldChar w:fldCharType="end"/>
          </w:r>
        </w:p>
        <w:p>
          <w:pPr>
            <w:pStyle w:val="25"/>
            <w:tabs>
              <w:tab w:val="right" w:leader="dot" w:pos="8892"/>
            </w:tabs>
            <w:rPr>
              <w:rFonts w:eastAsiaTheme="minorEastAsia"/>
            </w:rPr>
          </w:pPr>
          <w:r>
            <w:fldChar w:fldCharType="begin"/>
          </w:r>
          <w:r>
            <w:instrText xml:space="preserve"> HYPERLINK \l "_Toc24969810" </w:instrText>
          </w:r>
          <w:r>
            <w:fldChar w:fldCharType="separate"/>
          </w:r>
          <w:r>
            <w:rPr>
              <w:rStyle w:val="34"/>
              <w:rFonts w:ascii="宋体" w:hAnsi="宋体"/>
              <w:lang w:eastAsia="zh-CN"/>
            </w:rPr>
            <w:t>11.4</w:t>
          </w:r>
          <w:r>
            <w:rPr>
              <w:rStyle w:val="34"/>
              <w:rFonts w:hint="eastAsia" w:ascii="宋体" w:hAnsi="宋体"/>
              <w:lang w:eastAsia="zh-CN"/>
            </w:rPr>
            <w:t>环境影响预测与评价</w:t>
          </w:r>
          <w:r>
            <w:tab/>
          </w:r>
          <w:r>
            <w:fldChar w:fldCharType="begin"/>
          </w:r>
          <w:r>
            <w:instrText xml:space="preserve"> PAGEREF _Toc24969810 \h </w:instrText>
          </w:r>
          <w:r>
            <w:fldChar w:fldCharType="separate"/>
          </w:r>
          <w:r>
            <w:t>111</w:t>
          </w:r>
          <w:r>
            <w:fldChar w:fldCharType="end"/>
          </w:r>
          <w:r>
            <w:fldChar w:fldCharType="end"/>
          </w:r>
        </w:p>
        <w:p>
          <w:pPr>
            <w:pStyle w:val="25"/>
            <w:tabs>
              <w:tab w:val="right" w:leader="dot" w:pos="8892"/>
            </w:tabs>
            <w:rPr>
              <w:rFonts w:eastAsiaTheme="minorEastAsia"/>
            </w:rPr>
          </w:pPr>
          <w:r>
            <w:fldChar w:fldCharType="begin"/>
          </w:r>
          <w:r>
            <w:instrText xml:space="preserve"> HYPERLINK \l "_Toc24969811" </w:instrText>
          </w:r>
          <w:r>
            <w:fldChar w:fldCharType="separate"/>
          </w:r>
          <w:r>
            <w:rPr>
              <w:rStyle w:val="34"/>
              <w:rFonts w:ascii="宋体" w:hAnsi="宋体"/>
              <w:lang w:eastAsia="zh-CN"/>
            </w:rPr>
            <w:t>11.5</w:t>
          </w:r>
          <w:r>
            <w:rPr>
              <w:rStyle w:val="34"/>
              <w:rFonts w:hint="eastAsia" w:ascii="宋体" w:hAnsi="宋体"/>
              <w:lang w:eastAsia="zh-CN"/>
            </w:rPr>
            <w:t>环保措施</w:t>
          </w:r>
          <w:r>
            <w:tab/>
          </w:r>
          <w:r>
            <w:fldChar w:fldCharType="begin"/>
          </w:r>
          <w:r>
            <w:instrText xml:space="preserve"> PAGEREF _Toc24969811 \h </w:instrText>
          </w:r>
          <w:r>
            <w:fldChar w:fldCharType="separate"/>
          </w:r>
          <w:r>
            <w:t>112</w:t>
          </w:r>
          <w:r>
            <w:fldChar w:fldCharType="end"/>
          </w:r>
          <w:r>
            <w:fldChar w:fldCharType="end"/>
          </w:r>
        </w:p>
        <w:p>
          <w:pPr>
            <w:pStyle w:val="25"/>
            <w:tabs>
              <w:tab w:val="right" w:leader="dot" w:pos="8892"/>
            </w:tabs>
            <w:rPr>
              <w:rFonts w:eastAsiaTheme="minorEastAsia"/>
            </w:rPr>
          </w:pPr>
          <w:r>
            <w:fldChar w:fldCharType="begin"/>
          </w:r>
          <w:r>
            <w:instrText xml:space="preserve"> HYPERLINK \l "_Toc24969812" </w:instrText>
          </w:r>
          <w:r>
            <w:fldChar w:fldCharType="separate"/>
          </w:r>
          <w:r>
            <w:rPr>
              <w:rStyle w:val="34"/>
              <w:rFonts w:ascii="宋体" w:hAnsi="宋体"/>
              <w:lang w:eastAsia="zh-CN"/>
            </w:rPr>
            <w:t>11.6</w:t>
          </w:r>
          <w:r>
            <w:rPr>
              <w:rStyle w:val="34"/>
              <w:rFonts w:hint="eastAsia" w:ascii="宋体" w:hAnsi="宋体"/>
              <w:lang w:eastAsia="zh-CN"/>
            </w:rPr>
            <w:t>总量控制</w:t>
          </w:r>
          <w:r>
            <w:tab/>
          </w:r>
          <w:r>
            <w:fldChar w:fldCharType="begin"/>
          </w:r>
          <w:r>
            <w:instrText xml:space="preserve"> PAGEREF _Toc24969812 \h </w:instrText>
          </w:r>
          <w:r>
            <w:fldChar w:fldCharType="separate"/>
          </w:r>
          <w:r>
            <w:t>114</w:t>
          </w:r>
          <w:r>
            <w:fldChar w:fldCharType="end"/>
          </w:r>
          <w:r>
            <w:fldChar w:fldCharType="end"/>
          </w:r>
        </w:p>
        <w:p>
          <w:pPr>
            <w:pStyle w:val="25"/>
            <w:tabs>
              <w:tab w:val="right" w:leader="dot" w:pos="8892"/>
            </w:tabs>
            <w:rPr>
              <w:rFonts w:eastAsiaTheme="minorEastAsia"/>
            </w:rPr>
          </w:pPr>
          <w:r>
            <w:fldChar w:fldCharType="begin"/>
          </w:r>
          <w:r>
            <w:instrText xml:space="preserve"> HYPERLINK \l "_Toc24969813" </w:instrText>
          </w:r>
          <w:r>
            <w:fldChar w:fldCharType="separate"/>
          </w:r>
          <w:r>
            <w:rPr>
              <w:rStyle w:val="34"/>
              <w:rFonts w:ascii="宋体" w:hAnsi="宋体"/>
              <w:lang w:eastAsia="zh-CN"/>
            </w:rPr>
            <w:t>11.7</w:t>
          </w:r>
          <w:r>
            <w:rPr>
              <w:rStyle w:val="34"/>
              <w:rFonts w:hint="eastAsia" w:ascii="宋体" w:hAnsi="宋体"/>
              <w:lang w:eastAsia="zh-CN"/>
            </w:rPr>
            <w:t>结论与建议</w:t>
          </w:r>
          <w:r>
            <w:tab/>
          </w:r>
          <w:r>
            <w:fldChar w:fldCharType="begin"/>
          </w:r>
          <w:r>
            <w:instrText xml:space="preserve"> PAGEREF _Toc24969813 \h </w:instrText>
          </w:r>
          <w:r>
            <w:fldChar w:fldCharType="separate"/>
          </w:r>
          <w:r>
            <w:t>114</w:t>
          </w:r>
          <w:r>
            <w:fldChar w:fldCharType="end"/>
          </w:r>
          <w:r>
            <w:fldChar w:fldCharType="end"/>
          </w:r>
        </w:p>
        <w:p>
          <w:pPr>
            <w:rPr>
              <w:lang w:eastAsia="zh-CN"/>
            </w:rPr>
          </w:pPr>
          <w:r>
            <w:rPr>
              <w:lang w:eastAsia="zh-CN"/>
            </w:rPr>
            <w:fldChar w:fldCharType="end"/>
          </w:r>
        </w:p>
      </w:sdtContent>
    </w:sdt>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一、附图：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附图 1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项目</w:t>
      </w:r>
      <w:r>
        <w:rPr>
          <w:rFonts w:hint="eastAsia" w:ascii="Times New Roman" w:hAnsi="Times New Roman" w:cs="Times New Roman"/>
          <w:sz w:val="24"/>
          <w:szCs w:val="24"/>
          <w:lang w:eastAsia="zh-CN"/>
        </w:rPr>
        <w:t>环保目标</w:t>
      </w:r>
      <w:r>
        <w:rPr>
          <w:rFonts w:ascii="Times New Roman" w:hAnsi="Times New Roman" w:cs="Times New Roman"/>
          <w:sz w:val="24"/>
          <w:szCs w:val="24"/>
          <w:lang w:eastAsia="zh-CN"/>
        </w:rPr>
        <w:t xml:space="preserve">分布图；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附图 2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项目总平面布置图</w:t>
      </w:r>
      <w:r>
        <w:rPr>
          <w:rFonts w:hint="eastAsia" w:ascii="Times New Roman" w:hAnsi="Times New Roman" w:cs="Times New Roman"/>
          <w:sz w:val="24"/>
          <w:szCs w:val="24"/>
          <w:lang w:eastAsia="zh-CN"/>
        </w:rPr>
        <w:t>；</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附图 3  项目地理位置图；</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附图 4  </w:t>
      </w:r>
      <w:r>
        <w:rPr>
          <w:rFonts w:hint="eastAsia" w:ascii="Times New Roman" w:hAnsi="Times New Roman" w:cs="Times New Roman"/>
          <w:sz w:val="24"/>
          <w:szCs w:val="24"/>
          <w:lang w:eastAsia="zh-CN"/>
        </w:rPr>
        <w:t>环境空气监测点位图；</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附图 5  环境</w:t>
      </w:r>
      <w:r>
        <w:rPr>
          <w:rFonts w:hint="eastAsia" w:ascii="Times New Roman" w:hAnsi="Times New Roman" w:cs="Times New Roman"/>
          <w:sz w:val="24"/>
          <w:szCs w:val="24"/>
          <w:lang w:eastAsia="zh-CN"/>
        </w:rPr>
        <w:t>噪声</w:t>
      </w:r>
      <w:r>
        <w:rPr>
          <w:rFonts w:ascii="Times New Roman" w:hAnsi="Times New Roman" w:cs="Times New Roman"/>
          <w:sz w:val="24"/>
          <w:szCs w:val="24"/>
          <w:lang w:eastAsia="zh-CN"/>
        </w:rPr>
        <w:t>监测点位图</w:t>
      </w:r>
      <w:r>
        <w:rPr>
          <w:rFonts w:hint="eastAsia" w:ascii="Times New Roman" w:hAnsi="Times New Roman" w:cs="Times New Roman"/>
          <w:sz w:val="24"/>
          <w:szCs w:val="24"/>
          <w:lang w:eastAsia="zh-CN"/>
        </w:rPr>
        <w:t>。</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二、附件：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附件 1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环评委托书；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附件 2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评价标准执行函；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附件 3 </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环境现状监测质保单</w:t>
      </w:r>
      <w:r>
        <w:rPr>
          <w:rFonts w:hint="eastAsia" w:ascii="Times New Roman" w:hAnsi="Times New Roman" w:cs="Times New Roman"/>
          <w:sz w:val="24"/>
          <w:szCs w:val="24"/>
          <w:lang w:eastAsia="zh-CN"/>
        </w:rPr>
        <w:t>及检测报告知；</w:t>
      </w:r>
    </w:p>
    <w:p>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lang w:eastAsia="zh-CN"/>
        </w:rPr>
        <w:t>附件4  合作协议。</w:t>
      </w:r>
      <w:r>
        <w:rPr>
          <w:rFonts w:ascii="Times New Roman" w:hAnsi="Times New Roman" w:cs="Times New Roman"/>
          <w:sz w:val="24"/>
          <w:szCs w:val="24"/>
          <w:lang w:eastAsia="zh-CN"/>
        </w:rPr>
        <w:t xml:space="preserve">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 xml:space="preserve">三、附表： </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附表1　</w:t>
      </w:r>
      <w:r>
        <w:rPr>
          <w:rFonts w:hint="eastAsia" w:ascii="Times New Roman" w:hAnsi="Times New Roman" w:cs="Times New Roman"/>
          <w:sz w:val="24"/>
          <w:szCs w:val="24"/>
          <w:lang w:eastAsia="zh-CN"/>
        </w:rPr>
        <w:t>土壤</w:t>
      </w:r>
      <w:r>
        <w:rPr>
          <w:rFonts w:ascii="Times New Roman" w:hAnsi="Times New Roman" w:cs="Times New Roman"/>
          <w:sz w:val="24"/>
          <w:szCs w:val="24"/>
          <w:lang w:eastAsia="zh-CN"/>
        </w:rPr>
        <w:t>环境影响自查表；</w:t>
      </w:r>
    </w:p>
    <w:p>
      <w:pPr>
        <w:spacing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附表</w:t>
      </w:r>
      <w:r>
        <w:rPr>
          <w:rFonts w:hint="eastAsia" w:ascii="Times New Roman" w:hAnsi="Times New Roman" w:cs="Times New Roman"/>
          <w:sz w:val="24"/>
          <w:szCs w:val="24"/>
          <w:lang w:eastAsia="zh-CN"/>
        </w:rPr>
        <w:t xml:space="preserve">2   </w:t>
      </w:r>
      <w:r>
        <w:rPr>
          <w:rFonts w:ascii="Times New Roman" w:hAnsi="Times New Roman" w:cs="Times New Roman"/>
          <w:sz w:val="24"/>
          <w:szCs w:val="24"/>
          <w:lang w:eastAsia="zh-CN"/>
        </w:rPr>
        <w:t>大气环境影响自查表；</w:t>
      </w:r>
    </w:p>
    <w:p>
      <w:pPr>
        <w:spacing w:line="360" w:lineRule="auto"/>
        <w:rPr>
          <w:rFonts w:ascii="Times New Roman" w:hAnsi="Times New Roman" w:cs="Times New Roman"/>
          <w:sz w:val="24"/>
          <w:szCs w:val="24"/>
          <w:lang w:eastAsia="zh-CN"/>
        </w:rPr>
      </w:pPr>
      <w:r>
        <w:rPr>
          <w:rFonts w:hint="eastAsia" w:ascii="Times New Roman" w:hAnsi="Times New Roman" w:cs="Times New Roman"/>
          <w:sz w:val="24"/>
          <w:szCs w:val="24"/>
          <w:lang w:eastAsia="zh-CN"/>
        </w:rPr>
        <w:t>附表3   环境风险简单分析内容表；</w:t>
      </w:r>
    </w:p>
    <w:p>
      <w:pPr>
        <w:spacing w:line="360" w:lineRule="auto"/>
        <w:rPr>
          <w:rFonts w:ascii="Times New Roman" w:hAnsi="Times New Roman" w:cs="Times New Roman"/>
          <w:sz w:val="24"/>
          <w:szCs w:val="24"/>
          <w:lang w:eastAsia="zh-CN"/>
        </w:rPr>
        <w:sectPr>
          <w:footerReference r:id="rId7" w:type="default"/>
          <w:pgSz w:w="11907" w:h="16840"/>
          <w:pgMar w:top="1474" w:right="1531" w:bottom="1418" w:left="1474" w:header="284" w:footer="851" w:gutter="0"/>
          <w:cols w:space="720" w:num="1"/>
          <w:docGrid w:linePitch="312" w:charSpace="0"/>
        </w:sectPr>
      </w:pPr>
      <w:r>
        <w:rPr>
          <w:rFonts w:ascii="Times New Roman" w:hAnsi="Times New Roman" w:cs="Times New Roman"/>
          <w:sz w:val="24"/>
          <w:szCs w:val="24"/>
          <w:lang w:eastAsia="zh-CN"/>
        </w:rPr>
        <w:t>附表</w:t>
      </w:r>
      <w:r>
        <w:rPr>
          <w:rFonts w:hint="eastAsia" w:ascii="Times New Roman" w:hAnsi="Times New Roman" w:cs="Times New Roman"/>
          <w:sz w:val="24"/>
          <w:szCs w:val="24"/>
          <w:lang w:eastAsia="zh-CN"/>
        </w:rPr>
        <w:t>4</w:t>
      </w:r>
      <w:r>
        <w:rPr>
          <w:rFonts w:ascii="Times New Roman" w:hAnsi="Times New Roman" w:cs="Times New Roman"/>
          <w:sz w:val="24"/>
          <w:szCs w:val="24"/>
          <w:lang w:eastAsia="zh-CN"/>
        </w:rPr>
        <w:t>　</w:t>
      </w:r>
      <w:r>
        <w:rPr>
          <w:rFonts w:hint="eastAsia" w:ascii="Times New Roman" w:hAnsi="Times New Roman" w:cs="Times New Roman"/>
          <w:sz w:val="24"/>
          <w:szCs w:val="24"/>
          <w:lang w:eastAsia="zh-CN"/>
        </w:rPr>
        <w:t>建设项目环评审批基础信息表。</w:t>
      </w: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0" w:name="_Toc24969716"/>
      <w:bookmarkStart w:id="1" w:name="_Toc22202716"/>
      <w:bookmarkStart w:id="2" w:name="_Toc22202012"/>
      <w:bookmarkStart w:id="3" w:name="_Toc22202304"/>
      <w:bookmarkStart w:id="4" w:name="_Toc22199664"/>
      <w:bookmarkStart w:id="5" w:name="_Toc22200299"/>
      <w:bookmarkStart w:id="6" w:name="_Toc22200966"/>
      <w:r>
        <w:rPr>
          <w:rFonts w:hint="eastAsia" w:ascii="宋体" w:hAnsi="宋体" w:eastAsia="宋体"/>
          <w:sz w:val="44"/>
          <w:szCs w:val="44"/>
          <w:lang w:eastAsia="zh-CN"/>
        </w:rPr>
        <w:t>1.概述</w:t>
      </w:r>
      <w:bookmarkEnd w:id="0"/>
      <w:bookmarkEnd w:id="1"/>
      <w:bookmarkEnd w:id="2"/>
      <w:bookmarkEnd w:id="3"/>
      <w:bookmarkEnd w:id="4"/>
      <w:bookmarkEnd w:id="5"/>
      <w:bookmarkEnd w:id="6"/>
      <w:bookmarkStart w:id="7" w:name="_Toc22198813"/>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8" w:name="_Toc22202305"/>
      <w:bookmarkStart w:id="9" w:name="_Toc22200967"/>
      <w:bookmarkStart w:id="10" w:name="_Toc24969717"/>
      <w:bookmarkStart w:id="11" w:name="_Toc22202717"/>
      <w:bookmarkStart w:id="12" w:name="_Toc22199665"/>
      <w:bookmarkStart w:id="13" w:name="_Toc22200300"/>
      <w:bookmarkStart w:id="14" w:name="_Toc22199176"/>
      <w:bookmarkStart w:id="15" w:name="_Toc22202013"/>
      <w:r>
        <w:rPr>
          <w:rFonts w:hint="eastAsia" w:ascii="宋体" w:hAnsi="宋体" w:eastAsia="宋体"/>
          <w:color w:val="000000" w:themeColor="text1"/>
          <w:lang w:eastAsia="zh-CN"/>
        </w:rPr>
        <w:t>1.1项目由来</w:t>
      </w:r>
      <w:bookmarkEnd w:id="7"/>
      <w:bookmarkEnd w:id="8"/>
      <w:bookmarkEnd w:id="9"/>
      <w:bookmarkEnd w:id="10"/>
      <w:bookmarkEnd w:id="11"/>
      <w:bookmarkEnd w:id="12"/>
      <w:bookmarkEnd w:id="13"/>
      <w:bookmarkEnd w:id="14"/>
      <w:bookmarkEnd w:id="15"/>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西安</w:t>
      </w:r>
      <w:r>
        <w:rPr>
          <w:rFonts w:hint="eastAsia" w:eastAsia="宋体" w:asciiTheme="minorEastAsia" w:hAnsiTheme="minorEastAsia" w:cstheme="minorEastAsia"/>
          <w:lang w:eastAsia="zh-CN"/>
        </w:rPr>
        <w:t>热工研究院</w:t>
      </w:r>
      <w:r>
        <w:rPr>
          <w:rFonts w:eastAsia="宋体" w:asciiTheme="minorEastAsia" w:hAnsiTheme="minorEastAsia" w:cstheme="minorEastAsia"/>
          <w:lang w:eastAsia="zh-CN"/>
        </w:rPr>
        <w:t>有限公司（简称热工院，英文缩写为TPRI）是原国家电力公司直属的唯一从事发电厂热能动力科学技术研究与开发的科研机构。电力体制改革后，热工院成为由</w:t>
      </w:r>
      <w:r>
        <w:fldChar w:fldCharType="begin"/>
      </w:r>
      <w:r>
        <w:instrText xml:space="preserve"> HYPERLINK "https://baike.baidu.com/item/%E4%B8%AD%E5%9B%BD%E5%8D%8E%E8%83%BD%E9%9B%86%E5%9B%A2%E5%85%AC%E5%8F%B8/1337823" \t "_blank" </w:instrText>
      </w:r>
      <w:r>
        <w:fldChar w:fldCharType="separate"/>
      </w:r>
      <w:r>
        <w:rPr>
          <w:rFonts w:eastAsia="宋体" w:asciiTheme="minorEastAsia" w:hAnsiTheme="minorEastAsia" w:cstheme="minorEastAsia"/>
          <w:lang w:eastAsia="zh-CN"/>
        </w:rPr>
        <w:t>中国华能集团公司</w:t>
      </w:r>
      <w:r>
        <w:rPr>
          <w:rFonts w:eastAsia="宋体" w:asciiTheme="minorEastAsia" w:hAnsiTheme="minorEastAsia" w:cstheme="minorEastAsia"/>
          <w:lang w:eastAsia="zh-CN"/>
        </w:rPr>
        <w:fldChar w:fldCharType="end"/>
      </w:r>
      <w:r>
        <w:rPr>
          <w:rFonts w:eastAsia="宋体" w:asciiTheme="minorEastAsia" w:hAnsiTheme="minorEastAsia" w:cstheme="minorEastAsia"/>
          <w:lang w:eastAsia="zh-CN"/>
        </w:rPr>
        <w:t>控股，</w:t>
      </w:r>
      <w:r>
        <w:fldChar w:fldCharType="begin"/>
      </w:r>
      <w:r>
        <w:instrText xml:space="preserve"> HYPERLINK "https://baike.baidu.com/item/%E4%B8%AD%E5%9B%BD%E5%A4%A7%E5%94%90%E9%9B%86%E5%9B%A2%E5%85%AC%E5%8F%B8/1337971" \t "_blank" </w:instrText>
      </w:r>
      <w:r>
        <w:fldChar w:fldCharType="separate"/>
      </w:r>
      <w:r>
        <w:rPr>
          <w:rFonts w:eastAsia="宋体" w:asciiTheme="minorEastAsia" w:hAnsiTheme="minorEastAsia" w:cstheme="minorEastAsia"/>
          <w:lang w:eastAsia="zh-CN"/>
        </w:rPr>
        <w:t>中国大唐集团公司</w:t>
      </w:r>
      <w:r>
        <w:rPr>
          <w:rFonts w:eastAsia="宋体" w:asciiTheme="minorEastAsia" w:hAnsiTheme="minorEastAsia" w:cstheme="minorEastAsia"/>
          <w:lang w:eastAsia="zh-CN"/>
        </w:rPr>
        <w:fldChar w:fldCharType="end"/>
      </w:r>
      <w:r>
        <w:rPr>
          <w:rFonts w:eastAsia="宋体" w:asciiTheme="minorEastAsia" w:hAnsiTheme="minorEastAsia" w:cstheme="minorEastAsia"/>
          <w:lang w:eastAsia="zh-CN"/>
        </w:rPr>
        <w:t>、</w:t>
      </w:r>
      <w:r>
        <w:fldChar w:fldCharType="begin"/>
      </w:r>
      <w:r>
        <w:instrText xml:space="preserve"> HYPERLINK "https://baike.baidu.com/item/%E4%B8%AD%E5%9B%BD%E5%8D%8E%E7%94%B5%E9%9B%86%E5%9B%A2%E5%85%AC%E5%8F%B8/1338147" \t "_blank" </w:instrText>
      </w:r>
      <w:r>
        <w:fldChar w:fldCharType="separate"/>
      </w:r>
      <w:r>
        <w:rPr>
          <w:rFonts w:eastAsia="宋体" w:asciiTheme="minorEastAsia" w:hAnsiTheme="minorEastAsia" w:cstheme="minorEastAsia"/>
          <w:lang w:eastAsia="zh-CN"/>
        </w:rPr>
        <w:t>中国华电集团公司</w:t>
      </w:r>
      <w:r>
        <w:rPr>
          <w:rFonts w:eastAsia="宋体" w:asciiTheme="minorEastAsia" w:hAnsiTheme="minorEastAsia" w:cstheme="minorEastAsia"/>
          <w:lang w:eastAsia="zh-CN"/>
        </w:rPr>
        <w:fldChar w:fldCharType="end"/>
      </w:r>
      <w:r>
        <w:rPr>
          <w:rFonts w:eastAsia="宋体" w:asciiTheme="minorEastAsia" w:hAnsiTheme="minorEastAsia" w:cstheme="minorEastAsia"/>
          <w:lang w:eastAsia="zh-CN"/>
        </w:rPr>
        <w:t>、</w:t>
      </w:r>
      <w:r>
        <w:fldChar w:fldCharType="begin"/>
      </w:r>
      <w:r>
        <w:instrText xml:space="preserve"> HYPERLINK "https://baike.baidu.com/item/%E4%B8%AD%E5%9B%BD%E5%9B%BD%E7%94%B5%E9%9B%86%E5%9B%A2%E5%85%AC%E5%8F%B8/1293255" \t "_blank" </w:instrText>
      </w:r>
      <w:r>
        <w:fldChar w:fldCharType="separate"/>
      </w:r>
      <w:r>
        <w:rPr>
          <w:rFonts w:eastAsia="宋体" w:asciiTheme="minorEastAsia" w:hAnsiTheme="minorEastAsia" w:cstheme="minorEastAsia"/>
          <w:lang w:eastAsia="zh-CN"/>
        </w:rPr>
        <w:t>中国国电集团公司</w:t>
      </w:r>
      <w:r>
        <w:rPr>
          <w:rFonts w:eastAsia="宋体" w:asciiTheme="minorEastAsia" w:hAnsiTheme="minorEastAsia" w:cstheme="minorEastAsia"/>
          <w:lang w:eastAsia="zh-CN"/>
        </w:rPr>
        <w:fldChar w:fldCharType="end"/>
      </w:r>
      <w:r>
        <w:rPr>
          <w:rFonts w:eastAsia="宋体" w:asciiTheme="minorEastAsia" w:hAnsiTheme="minorEastAsia" w:cstheme="minorEastAsia"/>
          <w:lang w:eastAsia="zh-CN"/>
        </w:rPr>
        <w:t>、</w:t>
      </w:r>
      <w:r>
        <w:fldChar w:fldCharType="begin"/>
      </w:r>
      <w:r>
        <w:instrText xml:space="preserve"> HYPERLINK "https://baike.baidu.com/item/%E4%B8%AD%E5%9B%BD%E7%94%B5%E5%8A%9B%E6%8A%95%E8%B5%84%E9%9B%86%E5%9B%A2%E5%85%AC%E5%8F%B8/1338559" \t "_blank" </w:instrText>
      </w:r>
      <w:r>
        <w:fldChar w:fldCharType="separate"/>
      </w:r>
      <w:r>
        <w:rPr>
          <w:rFonts w:eastAsia="宋体" w:asciiTheme="minorEastAsia" w:hAnsiTheme="minorEastAsia" w:cstheme="minorEastAsia"/>
          <w:lang w:eastAsia="zh-CN"/>
        </w:rPr>
        <w:t>中国电力投资集团公司</w:t>
      </w:r>
      <w:r>
        <w:rPr>
          <w:rFonts w:eastAsia="宋体" w:asciiTheme="minorEastAsia" w:hAnsiTheme="minorEastAsia" w:cstheme="minorEastAsia"/>
          <w:lang w:eastAsia="zh-CN"/>
        </w:rPr>
        <w:fldChar w:fldCharType="end"/>
      </w:r>
      <w:r>
        <w:rPr>
          <w:rFonts w:eastAsia="宋体" w:asciiTheme="minorEastAsia" w:hAnsiTheme="minorEastAsia" w:cstheme="minorEastAsia"/>
          <w:lang w:eastAsia="zh-CN"/>
        </w:rPr>
        <w:t>参股的有限公司。现有正式员工657人，其中享受国务院政府特殊津贴专家65人，硕士及博士学位人员157人，教授级高级工程师73人，高级工程师144人，专业技术人员占全院员工总数的85%以上</w:t>
      </w:r>
      <w:r>
        <w:rPr>
          <w:rFonts w:hint="eastAsia" w:eastAsia="宋体" w:asciiTheme="minorEastAsia" w:hAnsiTheme="minorEastAsia" w:cstheme="minorEastAsia"/>
          <w:lang w:eastAsia="zh-CN"/>
        </w:rPr>
        <w:t>。</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西安西热锅炉环保工程有限公司于2012年初由西安热工研究院有限公司和华能集团技术创新中心共同出资组建，是重点服务于火力发电行业的环保型科技企业。</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西安西热锅炉环保工程有限公司具有燃煤锅炉环保设备的工程设计及工程承包资质，通过了质量、环境以及职业健康管理体系认证；公司主要从事燃煤锅炉低氮燃烧、烟气脱硫、烟气脱硝、烟气除尘、电站风机、制粉设备、锅炉节能等领域技术开发、技术服务、生产销售、工程总承包等业务，是国内唯一可为火电厂提供锅炉环保工程领域系统整体优化及集成方案的企业。研发的燃煤锅炉烟气污染物一体化协同脱除技术已成为国内燃煤锅炉超低排放的主流技术。</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以控股公司——西安热工研究院有限公司为依托，西安西热锅炉环保工程有限公司凭借其雄厚的技术力量，科学的管理，在锅炉环保工程领域处于行业领先地位，引领锅炉环保技术的发展。</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西安西热锅炉环保工程有限公司现有员工340余人，其中博士20人、硕士120余人；具有高级职称的员工有41人、中级职称94人；持有注册资质人员8人。</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bookmarkStart w:id="16" w:name="_Toc21814214"/>
      <w:bookmarkStart w:id="17" w:name="_Toc21814393"/>
      <w:bookmarkStart w:id="18" w:name="_Toc21815001"/>
      <w:bookmarkStart w:id="19" w:name="_Toc22151155"/>
      <w:bookmarkStart w:id="20" w:name="_Toc22198312"/>
      <w:bookmarkStart w:id="21" w:name="_Toc21814346"/>
      <w:bookmarkStart w:id="22" w:name="_Toc22150978"/>
      <w:bookmarkStart w:id="23" w:name="_Toc22198194"/>
      <w:r>
        <w:rPr>
          <w:rFonts w:hint="eastAsia" w:eastAsia="宋体" w:asciiTheme="minorEastAsia" w:hAnsiTheme="minorEastAsia" w:cstheme="minorEastAsia"/>
          <w:lang w:eastAsia="zh-CN"/>
        </w:rPr>
        <w:t>西安西热锅炉环保工程有限公司拥有自主知识产权、创新技术路线的城市污泥一体化处理系统。污泥一体化处理技术特点：</w:t>
      </w:r>
      <w:bookmarkEnd w:id="16"/>
      <w:bookmarkEnd w:id="17"/>
      <w:bookmarkEnd w:id="18"/>
      <w:bookmarkEnd w:id="19"/>
      <w:bookmarkEnd w:id="20"/>
      <w:bookmarkEnd w:id="21"/>
      <w:bookmarkEnd w:id="22"/>
      <w:bookmarkEnd w:id="23"/>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bookmarkStart w:id="24" w:name="_Toc22198195"/>
      <w:bookmarkStart w:id="25" w:name="_Toc22198419"/>
      <w:bookmarkStart w:id="26" w:name="_Toc22198313"/>
      <w:bookmarkStart w:id="27" w:name="_Toc22151156"/>
      <w:bookmarkStart w:id="28" w:name="_Toc21815002"/>
      <w:bookmarkStart w:id="29" w:name="_Toc21814394"/>
      <w:bookmarkStart w:id="30" w:name="_Toc22150979"/>
      <w:bookmarkStart w:id="31" w:name="_Toc21814215"/>
      <w:bookmarkStart w:id="32" w:name="_Toc21814347"/>
      <w:r>
        <w:rPr>
          <w:rFonts w:hint="eastAsia" w:eastAsia="宋体" w:asciiTheme="minorEastAsia" w:hAnsiTheme="minorEastAsia" w:cstheme="minorEastAsia"/>
          <w:lang w:eastAsia="zh-CN"/>
        </w:rPr>
        <w:t>1）既可以处理城市污泥、还可以处理废水、生物质。系统简单，占地面积小，投资运行成本低。</w:t>
      </w:r>
      <w:bookmarkEnd w:id="24"/>
      <w:bookmarkEnd w:id="25"/>
      <w:bookmarkEnd w:id="26"/>
      <w:bookmarkEnd w:id="27"/>
      <w:bookmarkEnd w:id="28"/>
      <w:bookmarkEnd w:id="29"/>
      <w:bookmarkEnd w:id="30"/>
      <w:bookmarkEnd w:id="31"/>
      <w:bookmarkEnd w:id="32"/>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2）充分利用燃煤电厂锅炉炉膛燃烧温度高（高达1200℃以上）的特点，可有效处理污泥中携带细菌、微生物等有害物质，同时可以防止二噁英等有害物质的生成。</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3）利用燃煤电厂现有的脱硫、脱硝、除尘等烟气净化设备，可有效的对污泥焚烧燃烧产生的污染物进行净化处理。</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4）流程短，设备少，整个系统均处于密闭和负压状态下，整个系统的出口连接锅炉高温炉膛和尾部烟道，而处理产物中间不需要倒运，因此从根本上杜绝对外的泄露，不对环境造成二次污染。</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华能集团岳阳电厂位于湖南省北部的岳阳市，城陵矶东北面，占地约358公顷，距</w:t>
      </w:r>
      <w:r>
        <w:fldChar w:fldCharType="begin"/>
      </w:r>
      <w:r>
        <w:instrText xml:space="preserve"> HYPERLINK "https://ditu.so.com/?k=%E5%B8%82%E4%B8%AD%E5%BF%8314%E5%85%AC%E9%87%8C&amp;src=wenda_address" \t "_blank" </w:instrText>
      </w:r>
      <w:r>
        <w:fldChar w:fldCharType="separate"/>
      </w:r>
      <w:r>
        <w:rPr>
          <w:rFonts w:hint="eastAsia" w:eastAsia="宋体" w:asciiTheme="minorEastAsia" w:hAnsiTheme="minorEastAsia" w:cstheme="minorEastAsia"/>
          <w:lang w:eastAsia="zh-CN"/>
        </w:rPr>
        <w:t>市中心14公里</w:t>
      </w:r>
      <w:r>
        <w:rPr>
          <w:rFonts w:hint="eastAsia" w:eastAsia="宋体" w:asciiTheme="minorEastAsia" w:hAnsiTheme="minorEastAsia" w:cstheme="minorEastAsia"/>
          <w:lang w:eastAsia="zh-CN"/>
        </w:rPr>
        <w:fldChar w:fldCharType="end"/>
      </w:r>
      <w:r>
        <w:rPr>
          <w:rFonts w:hint="eastAsia" w:eastAsia="宋体" w:asciiTheme="minorEastAsia" w:hAnsiTheme="minorEastAsia" w:cstheme="minorEastAsia"/>
          <w:lang w:eastAsia="zh-CN"/>
        </w:rPr>
        <w:t>，北靠长江，南依京广铁路，包括一期工程2×362.5MW、二期工程2×300MW、三期工程2×600MW六台套机组总装机2525MW。</w:t>
      </w:r>
    </w:p>
    <w:p>
      <w:pPr>
        <w:pStyle w:val="27"/>
        <w:shd w:val="clear" w:color="auto" w:fill="FFFFFF"/>
        <w:spacing w:before="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lang w:eastAsia="zh-CN"/>
        </w:rPr>
        <w:t>华能岳阳电厂三期两台超超临界煤粉锅炉通过低氮燃烧工艺产生的烟气经配套脱硝系统、电除尘器除尘后，再经过脱硫处理，净烟气通过 240m 高烟囱排放。根据 2018年全年烟气在线监测数据，烟气排放口颗粒物排放浓度约2.53mg/m³， SO</w:t>
      </w:r>
      <w:r>
        <w:rPr>
          <w:rFonts w:hint="eastAsia" w:ascii="宋体" w:hAnsi="宋体" w:eastAsia="宋体" w:cs="宋体"/>
          <w:vertAlign w:val="subscript"/>
          <w:lang w:eastAsia="zh-CN"/>
        </w:rPr>
        <w:t>2</w:t>
      </w:r>
      <w:r>
        <w:rPr>
          <w:rFonts w:hint="eastAsia" w:ascii="宋体" w:hAnsi="宋体" w:eastAsia="宋体" w:cs="宋体"/>
          <w:lang w:eastAsia="zh-CN"/>
        </w:rPr>
        <w:t xml:space="preserve"> 排放浓度约为 16.17mg/m³，NOx 排放浓度32.14mg/m³，烟气中汞及其化合物排放浓度为0.00014mg/m³（</w:t>
      </w:r>
      <w:r>
        <w:rPr>
          <w:rFonts w:hint="eastAsia" w:eastAsia="宋体"/>
          <w:color w:val="000000" w:themeColor="text1"/>
          <w:lang w:eastAsia="zh-CN"/>
        </w:rPr>
        <w:t>湖南佳蓝检测有限公司</w:t>
      </w:r>
      <w:r>
        <w:rPr>
          <w:rFonts w:hint="eastAsia" w:ascii="宋体" w:hAnsi="宋体" w:eastAsia="宋体" w:cs="宋体"/>
          <w:lang w:eastAsia="zh-CN"/>
        </w:rPr>
        <w:t>2019年9月5日检测的结果），远低于《火电厂大气污染物排放标准》（GB13223-2011）和《全面实施燃煤电厂超低排放和节能改造工作方案》要求的颗粒物排放浓度10.00mg/m³ SO</w:t>
      </w:r>
      <w:r>
        <w:rPr>
          <w:rFonts w:hint="eastAsia" w:ascii="宋体" w:hAnsi="宋体" w:eastAsia="宋体" w:cs="宋体"/>
          <w:vertAlign w:val="subscript"/>
          <w:lang w:eastAsia="zh-CN"/>
        </w:rPr>
        <w:t xml:space="preserve">2 </w:t>
      </w:r>
      <w:r>
        <w:rPr>
          <w:rFonts w:hint="eastAsia" w:ascii="宋体" w:hAnsi="宋体" w:eastAsia="宋体" w:cs="宋体"/>
          <w:lang w:eastAsia="zh-CN"/>
        </w:rPr>
        <w:t>排放浓度为35.00mg/m³，NOx 排放浓度50.00mg/m³，汞及其化合物排放浓度为0.03mg/m³。由此可知，华能岳阳电厂的烟气处理技术先进，处理能力有较大冗余。</w:t>
      </w:r>
    </w:p>
    <w:p>
      <w:pPr>
        <w:pStyle w:val="27"/>
        <w:shd w:val="clear" w:color="auto" w:fill="FFFFFF"/>
        <w:spacing w:before="0" w:beforeAutospacing="0" w:after="0" w:afterAutospacing="0" w:line="360" w:lineRule="auto"/>
        <w:ind w:firstLine="480" w:firstLineChars="200"/>
        <w:rPr>
          <w:rFonts w:ascii="宋体" w:hAnsi="宋体" w:eastAsia="宋体" w:cs="宋体"/>
          <w:lang w:eastAsia="zh-CN"/>
        </w:rPr>
      </w:pPr>
    </w:p>
    <w:p>
      <w:pPr>
        <w:kinsoku w:val="0"/>
        <w:overflowPunct w:val="0"/>
        <w:spacing w:line="360" w:lineRule="auto"/>
        <w:rPr>
          <w:rFonts w:asciiTheme="minorEastAsia" w:hAnsiTheme="minorEastAsia" w:cstheme="minorEastAsia"/>
          <w:sz w:val="24"/>
          <w:szCs w:val="24"/>
          <w:u w:val="wave"/>
          <w:lang w:eastAsia="zh-CN"/>
        </w:rPr>
      </w:pPr>
      <w:r>
        <w:rPr>
          <w:rFonts w:hint="eastAsia" w:ascii="宋体" w:hAnsi="宋体"/>
          <w:color w:val="000000" w:themeColor="text1"/>
          <w:sz w:val="24"/>
          <w:szCs w:val="24"/>
          <w:shd w:val="clear" w:color="auto" w:fill="F4F4F4"/>
          <w:lang w:eastAsia="zh-CN"/>
        </w:rPr>
        <w:t xml:space="preserve">    </w:t>
      </w:r>
      <w:r>
        <w:rPr>
          <w:rFonts w:hint="eastAsia" w:asciiTheme="minorEastAsia" w:hAnsiTheme="minorEastAsia" w:cstheme="minorEastAsia"/>
          <w:sz w:val="24"/>
          <w:szCs w:val="24"/>
          <w:lang w:eastAsia="zh-CN"/>
        </w:rPr>
        <w:t>我国水和污水处理每年产生污泥数千万吨，污泥处置途径主要是填埋和焚烧，随着填埋处置方式逐步被禁止，焚烧将成为污泥处置的最主要途径。西安西热锅炉环保工程有限公司依托华能岳阳电厂三期超超临界锅炉及其先进的尾气净化系统建设一套燃煤电厂污泥及生物质干燥炭化输送一体化处理系统关键技术试验装置，研究污泥及生物质干燥炭化输送一体化的工艺参数及污泥及生物质干燥炭化输送一体化设备的结构和关键尺寸参数，验证系统和关键设备的设计能力；并在此基础上研发300t/d工程设计方案。</w:t>
      </w:r>
      <w:r>
        <w:rPr>
          <w:rFonts w:hint="eastAsia" w:asciiTheme="minorEastAsia" w:hAnsiTheme="minorEastAsia" w:cstheme="minorEastAsia"/>
          <w:sz w:val="24"/>
          <w:szCs w:val="24"/>
          <w:u w:val="wave"/>
          <w:lang w:eastAsia="zh-CN"/>
        </w:rPr>
        <w:t>试验装置设计污泥处理能力100t/d，预计运行两年。</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依据《中华人民共和国环境</w:t>
      </w:r>
      <w:r>
        <w:rPr>
          <w:rFonts w:hint="eastAsia" w:eastAsia="宋体" w:asciiTheme="minorEastAsia" w:hAnsiTheme="minorEastAsia" w:cstheme="minorEastAsia"/>
          <w:lang w:eastAsia="zh-CN"/>
        </w:rPr>
        <w:t>保护</w:t>
      </w:r>
      <w:r>
        <w:rPr>
          <w:rFonts w:eastAsia="宋体" w:asciiTheme="minorEastAsia" w:hAnsiTheme="minorEastAsia" w:cstheme="minorEastAsia"/>
          <w:lang w:eastAsia="zh-CN"/>
        </w:rPr>
        <w:t>法》、《中华人民共和国环境影响评价法》、《建设项目环境保护管理条例》国务院</w:t>
      </w:r>
      <w:r>
        <w:rPr>
          <w:rFonts w:hint="eastAsia" w:eastAsia="宋体" w:asciiTheme="minorEastAsia" w:hAnsiTheme="minorEastAsia" w:cstheme="minorEastAsia"/>
          <w:lang w:eastAsia="zh-CN"/>
        </w:rPr>
        <w:t>令（682号）文件的要求，</w:t>
      </w:r>
      <w:r>
        <w:rPr>
          <w:rFonts w:eastAsia="宋体" w:asciiTheme="minorEastAsia" w:hAnsiTheme="minorEastAsia" w:cstheme="minorEastAsia"/>
          <w:lang w:eastAsia="zh-CN"/>
        </w:rPr>
        <w:t>西安西热锅炉环保工程有限公司</w:t>
      </w:r>
      <w:r>
        <w:rPr>
          <w:rFonts w:hint="eastAsia" w:eastAsia="宋体" w:asciiTheme="minorEastAsia" w:hAnsiTheme="minorEastAsia" w:cstheme="minorEastAsia"/>
          <w:lang w:eastAsia="zh-CN"/>
        </w:rPr>
        <w:t>委托我公司承担该项目的环境影响评价工作。根据《</w:t>
      </w:r>
      <w:bookmarkStart w:id="33" w:name="OLE_LINK12"/>
      <w:r>
        <w:rPr>
          <w:rFonts w:hint="eastAsia" w:eastAsia="宋体" w:asciiTheme="minorEastAsia" w:hAnsiTheme="minorEastAsia" w:cstheme="minorEastAsia"/>
          <w:lang w:eastAsia="zh-CN"/>
        </w:rPr>
        <w:t>建设项目环境影响评价分类管理名录</w:t>
      </w:r>
      <w:bookmarkEnd w:id="33"/>
      <w:r>
        <w:rPr>
          <w:rFonts w:hint="eastAsia" w:eastAsia="宋体" w:asciiTheme="minorEastAsia" w:hAnsiTheme="minorEastAsia" w:cstheme="minorEastAsia"/>
          <w:lang w:eastAsia="zh-CN"/>
        </w:rPr>
        <w:t>》三十四、环境治理业</w:t>
      </w:r>
      <w:r>
        <w:rPr>
          <w:rFonts w:eastAsia="宋体" w:asciiTheme="minorEastAsia" w:hAnsiTheme="minorEastAsia" w:cstheme="minorEastAsia"/>
          <w:lang w:eastAsia="zh-CN"/>
        </w:rPr>
        <w:t>10</w:t>
      </w:r>
      <w:r>
        <w:rPr>
          <w:rFonts w:hint="eastAsia" w:eastAsia="宋体" w:asciiTheme="minorEastAsia" w:hAnsiTheme="minorEastAsia" w:cstheme="minorEastAsia"/>
          <w:lang w:eastAsia="zh-CN"/>
        </w:rPr>
        <w:t>1</w:t>
      </w:r>
      <w:r>
        <w:rPr>
          <w:rFonts w:eastAsia="宋体" w:asciiTheme="minorEastAsia" w:hAnsiTheme="minorEastAsia" w:cstheme="minorEastAsia"/>
          <w:lang w:eastAsia="zh-CN"/>
        </w:rPr>
        <w:t>一般工业固体废物（含</w:t>
      </w:r>
      <w:r>
        <w:rPr>
          <w:rFonts w:hint="eastAsia" w:eastAsia="宋体" w:asciiTheme="minorEastAsia" w:hAnsiTheme="minorEastAsia" w:cstheme="minorEastAsia"/>
          <w:lang w:eastAsia="zh-CN"/>
        </w:rPr>
        <w:t>污泥</w:t>
      </w:r>
      <w:r>
        <w:rPr>
          <w:rFonts w:eastAsia="宋体" w:asciiTheme="minorEastAsia" w:hAnsiTheme="minorEastAsia" w:cstheme="minorEastAsia"/>
          <w:lang w:eastAsia="zh-CN"/>
        </w:rPr>
        <w:t>）处置及综合利用</w:t>
      </w:r>
      <w:r>
        <w:rPr>
          <w:rFonts w:hint="eastAsia" w:eastAsia="宋体" w:asciiTheme="minorEastAsia" w:hAnsiTheme="minorEastAsia" w:cstheme="minorEastAsia"/>
          <w:lang w:eastAsia="zh-CN"/>
        </w:rPr>
        <w:t>采取填埋或焚烧方式的均做报告书。我公司</w:t>
      </w:r>
      <w:r>
        <w:rPr>
          <w:rFonts w:eastAsia="宋体" w:asciiTheme="minorEastAsia" w:hAnsiTheme="minorEastAsia" w:cstheme="minorEastAsia"/>
          <w:lang w:eastAsia="zh-CN"/>
        </w:rPr>
        <w:t>在资料收集分析、研究、现场踏勘和委托相关监测单位进行环境质量现状监测基础上，依据环评技术导则等技术规范的要求，通过对有关资料的调研、整理、计算、分析，编制了本环境影响报告书。</w:t>
      </w:r>
      <w:bookmarkStart w:id="34" w:name="_Toc4081204"/>
      <w:bookmarkStart w:id="35" w:name="_Toc9941"/>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36" w:name="_Toc21814216"/>
      <w:bookmarkStart w:id="37" w:name="_Toc21814348"/>
      <w:bookmarkStart w:id="38" w:name="_Toc21814395"/>
      <w:bookmarkStart w:id="39" w:name="_Toc21815003"/>
      <w:bookmarkStart w:id="40" w:name="_Toc22150980"/>
      <w:bookmarkStart w:id="41" w:name="_Toc22151157"/>
      <w:bookmarkStart w:id="42" w:name="_Toc22198420"/>
      <w:bookmarkStart w:id="43" w:name="_Toc22198314"/>
      <w:bookmarkStart w:id="44" w:name="_Toc22198196"/>
      <w:bookmarkStart w:id="45" w:name="_Toc22199177"/>
      <w:bookmarkStart w:id="46" w:name="_Toc22198523"/>
      <w:bookmarkStart w:id="47" w:name="_Toc22198814"/>
      <w:bookmarkStart w:id="48" w:name="_Toc22199666"/>
      <w:bookmarkStart w:id="49" w:name="_Toc22200301"/>
      <w:bookmarkStart w:id="50" w:name="_Toc22200968"/>
      <w:bookmarkStart w:id="51" w:name="_Toc22202718"/>
      <w:bookmarkStart w:id="52" w:name="_Toc22202306"/>
      <w:bookmarkStart w:id="53" w:name="_Toc22202014"/>
      <w:bookmarkStart w:id="54" w:name="_Toc24969718"/>
      <w:r>
        <w:rPr>
          <w:rFonts w:hint="eastAsia" w:ascii="宋体" w:hAnsi="宋体" w:eastAsia="宋体"/>
          <w:color w:val="000000" w:themeColor="text1"/>
          <w:lang w:eastAsia="zh-CN"/>
        </w:rPr>
        <w:t>1.2</w:t>
      </w:r>
      <w:r>
        <w:rPr>
          <w:rFonts w:ascii="宋体" w:hAnsi="宋体" w:eastAsia="宋体"/>
          <w:color w:val="000000" w:themeColor="text1"/>
          <w:lang w:eastAsia="zh-CN"/>
        </w:rPr>
        <w:t>环境影响评价工作程序</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本次环境影响评价工作分为三个阶段，即调查分析和工作方案制定阶段，分析论证和预测评价阶段，环境影响报告书编制阶段，具体流程见</w:t>
      </w:r>
      <w:r>
        <w:fldChar w:fldCharType="begin"/>
      </w:r>
      <w:r>
        <w:instrText xml:space="preserve"> REF _Ref433787445 \h  \* MERGEFORMAT </w:instrText>
      </w:r>
      <w:r>
        <w:fldChar w:fldCharType="separate"/>
      </w:r>
      <w:r>
        <w:rPr>
          <w:rFonts w:eastAsia="宋体" w:asciiTheme="minorEastAsia" w:hAnsiTheme="minorEastAsia" w:cstheme="minorEastAsia"/>
          <w:b/>
          <w:lang w:eastAsia="zh-CN"/>
        </w:rPr>
        <w:t>图</w:t>
      </w:r>
      <w:r>
        <w:rPr>
          <w:rFonts w:hint="eastAsia" w:eastAsia="宋体" w:asciiTheme="minorEastAsia" w:hAnsiTheme="minorEastAsia" w:cstheme="minorEastAsia"/>
          <w:b/>
          <w:lang w:eastAsia="zh-CN"/>
        </w:rPr>
        <w:t>1.2</w:t>
      </w:r>
      <w:r>
        <w:rPr>
          <w:rFonts w:eastAsia="宋体" w:asciiTheme="minorEastAsia" w:hAnsiTheme="minorEastAsia" w:cstheme="minorEastAsia"/>
          <w:b/>
          <w:lang w:eastAsia="zh-CN"/>
        </w:rPr>
        <w:noBreakHyphen/>
      </w:r>
      <w:r>
        <w:rPr>
          <w:rFonts w:eastAsia="宋体" w:asciiTheme="minorEastAsia" w:hAnsiTheme="minorEastAsia" w:cstheme="minorEastAsia"/>
          <w:b/>
          <w:lang w:eastAsia="zh-CN"/>
        </w:rPr>
        <w:t>1</w:t>
      </w:r>
      <w:r>
        <w:rPr>
          <w:rFonts w:eastAsia="宋体" w:asciiTheme="minorEastAsia" w:hAnsiTheme="minorEastAsia" w:cstheme="minorEastAsia"/>
          <w:b/>
          <w:lang w:eastAsia="zh-CN"/>
        </w:rPr>
        <w:fldChar w:fldCharType="end"/>
      </w:r>
      <w:r>
        <w:rPr>
          <w:rFonts w:eastAsia="宋体" w:asciiTheme="minorEastAsia" w:hAnsiTheme="minorEastAsia" w:cstheme="minorEastAsia"/>
          <w:lang w:eastAsia="zh-CN"/>
        </w:rPr>
        <w:t>。</w:t>
      </w:r>
    </w:p>
    <w:p>
      <w:pPr>
        <w:pStyle w:val="16"/>
        <w:wordWrap w:val="0"/>
        <w:jc w:val="left"/>
        <w:rPr>
          <w:rFonts w:ascii="Times New Roman" w:hAnsi="Times New Roman" w:eastAsiaTheme="minorEastAsia"/>
          <w:b/>
          <w:spacing w:val="-2"/>
        </w:rPr>
      </w:pPr>
      <w:r>
        <w:rPr>
          <w:rFonts w:ascii="Times New Roman" w:hAnsi="Times New Roman"/>
        </w:rPr>
        <w:object>
          <v:shape id="_x0000_i1025" o:spt="75" type="#_x0000_t75" style="height:535.5pt;width:436.5pt;" o:ole="t" filled="f" o:preferrelative="t" stroked="f" coordsize="21600,21600">
            <v:path/>
            <v:fill on="f" focussize="0,0"/>
            <v:stroke on="f" joinstyle="miter"/>
            <v:imagedata r:id="rId12" o:title=""/>
            <o:lock v:ext="edit" aspectratio="t"/>
            <w10:wrap type="none"/>
            <w10:anchorlock/>
          </v:shape>
          <o:OLEObject Type="Embed" ProgID="Visio.Drawing.11" ShapeID="_x0000_i1025" DrawAspect="Content" ObjectID="_1468075725" r:id="rId11">
            <o:LockedField>false</o:LockedField>
          </o:OLEObject>
        </w:object>
      </w:r>
    </w:p>
    <w:p>
      <w:pPr>
        <w:pStyle w:val="10"/>
        <w:wordWrap w:val="0"/>
        <w:spacing w:line="360" w:lineRule="auto"/>
        <w:rPr>
          <w:rFonts w:ascii="宋体" w:hAnsi="宋体" w:cs="宋体"/>
          <w:spacing w:val="-2"/>
          <w:szCs w:val="24"/>
        </w:rPr>
      </w:pPr>
      <w:bookmarkStart w:id="55" w:name="_Ref433787445"/>
      <w:r>
        <w:t>图</w:t>
      </w:r>
      <w:r>
        <w:rPr>
          <w:rFonts w:hint="eastAsia"/>
        </w:rPr>
        <w:t>1.2</w:t>
      </w:r>
      <w:r>
        <w:noBreakHyphen/>
      </w:r>
      <w:r>
        <w:fldChar w:fldCharType="begin"/>
      </w:r>
      <w:r>
        <w:instrText xml:space="preserve"> SEQ 图 \* ARABIC \s 2 </w:instrText>
      </w:r>
      <w:r>
        <w:fldChar w:fldCharType="separate"/>
      </w:r>
      <w:r>
        <w:t>1</w:t>
      </w:r>
      <w:r>
        <w:fldChar w:fldCharType="end"/>
      </w:r>
      <w:bookmarkEnd w:id="55"/>
      <w:r>
        <w:rPr>
          <w:rFonts w:hint="eastAsia" w:ascii="宋体" w:hAnsi="宋体" w:cs="宋体"/>
          <w:spacing w:val="-2"/>
          <w:szCs w:val="24"/>
        </w:rPr>
        <w:t>建设项目环境影响评价工作程序图</w:t>
      </w:r>
      <w:bookmarkStart w:id="56" w:name="_Toc22202719"/>
      <w:bookmarkStart w:id="57" w:name="_Toc22202307"/>
      <w:bookmarkStart w:id="58" w:name="_Toc22202015"/>
      <w:bookmarkStart w:id="59" w:name="_Toc22200969"/>
      <w:bookmarkStart w:id="60" w:name="_Toc22200302"/>
      <w:bookmarkStart w:id="61" w:name="_Toc22199667"/>
      <w:bookmarkStart w:id="62" w:name="_Toc22199178"/>
      <w:bookmarkStart w:id="63" w:name="_Toc22198815"/>
    </w:p>
    <w:p>
      <w:pPr>
        <w:rPr>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4" w:name="_Toc24969719"/>
      <w:r>
        <w:rPr>
          <w:rFonts w:hint="eastAsia" w:ascii="宋体" w:hAnsi="宋体" w:eastAsia="宋体"/>
          <w:color w:val="000000" w:themeColor="text1"/>
          <w:lang w:eastAsia="zh-CN"/>
        </w:rPr>
        <w:t>1.3项目的必要性</w:t>
      </w:r>
      <w:bookmarkEnd w:id="56"/>
      <w:bookmarkEnd w:id="57"/>
      <w:bookmarkEnd w:id="58"/>
      <w:bookmarkEnd w:id="59"/>
      <w:bookmarkEnd w:id="60"/>
      <w:bookmarkEnd w:id="61"/>
      <w:bookmarkEnd w:id="62"/>
      <w:bookmarkEnd w:id="63"/>
      <w:bookmarkEnd w:id="64"/>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根据《</w:t>
      </w:r>
      <w:r>
        <w:rPr>
          <w:rFonts w:eastAsia="宋体" w:asciiTheme="minorEastAsia" w:hAnsiTheme="minorEastAsia" w:cstheme="minorEastAsia"/>
          <w:lang w:eastAsia="zh-CN"/>
        </w:rPr>
        <w:t>城市污水处理及污染防治技术政策</w:t>
      </w:r>
      <w:r>
        <w:rPr>
          <w:rFonts w:hint="eastAsia" w:eastAsia="宋体" w:asciiTheme="minorEastAsia" w:hAnsiTheme="minorEastAsia" w:cstheme="minorEastAsia"/>
          <w:lang w:eastAsia="zh-CN"/>
        </w:rPr>
        <w:t>》，我国城市污水处理率要大幅提高，由此将产生更多的污泥，当前污泥处置的途径主要是卫生填埋和焚烧两种方式，随着环保要求的不断提高，目前填埋污泥的处理方式已逐渐被禁止，因此，合理、环保地处置污泥成为急需解决的问题。住房和城乡建设部、（原）环境保护部、科学技术部联合发布的《城镇污水处理厂污泥处理处置及污染防治技术政策（试行）》（建城〔</w:t>
      </w:r>
      <w:r>
        <w:rPr>
          <w:rFonts w:eastAsia="宋体" w:asciiTheme="minorEastAsia" w:hAnsiTheme="minorEastAsia" w:cstheme="minorEastAsia"/>
          <w:lang w:eastAsia="zh-CN"/>
        </w:rPr>
        <w:t>2009〕23</w:t>
      </w:r>
      <w:r>
        <w:rPr>
          <w:rFonts w:hint="eastAsia" w:eastAsia="宋体" w:asciiTheme="minorEastAsia" w:hAnsiTheme="minorEastAsia" w:cstheme="minorEastAsia"/>
          <w:lang w:eastAsia="zh-CN"/>
        </w:rPr>
        <w:t>号，</w:t>
      </w:r>
      <w:r>
        <w:rPr>
          <w:rFonts w:eastAsia="宋体" w:asciiTheme="minorEastAsia" w:hAnsiTheme="minorEastAsia" w:cstheme="minorEastAsia"/>
          <w:lang w:eastAsia="zh-CN"/>
        </w:rPr>
        <w:t>2009-02-18</w:t>
      </w:r>
      <w:r>
        <w:rPr>
          <w:rFonts w:hint="eastAsia" w:eastAsia="宋体" w:asciiTheme="minorEastAsia" w:hAnsiTheme="minorEastAsia" w:cstheme="minorEastAsia"/>
          <w:lang w:eastAsia="zh-CN"/>
        </w:rPr>
        <w:t>实施）中提出</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经济较为发达的大中城市，可采用污泥焚烧工艺。鼓励采用干化焚烧的联用方式，提高污泥的热能利用效率；鼓励污泥焚烧厂与垃圾焚烧厂合建；在有条件的地区，鼓励污泥作为低质燃料在火力发电厂焚烧炉、水泥窑或砖窑中混合焚烧</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因此燃煤电厂污泥及</w:t>
      </w:r>
      <w:r>
        <w:rPr>
          <w:rFonts w:hint="eastAsia" w:eastAsia="宋体" w:asciiTheme="minorEastAsia" w:hAnsiTheme="minorEastAsia" w:cstheme="minorEastAsia"/>
          <w:color w:val="000000" w:themeColor="text1"/>
          <w:lang w:eastAsia="zh-CN"/>
        </w:rPr>
        <w:t>生物质干燥炭化</w:t>
      </w:r>
      <w:r>
        <w:rPr>
          <w:rFonts w:hint="eastAsia" w:eastAsia="宋体" w:asciiTheme="minorEastAsia" w:hAnsiTheme="minorEastAsia" w:cstheme="minorEastAsia"/>
          <w:lang w:eastAsia="zh-CN"/>
        </w:rPr>
        <w:t>输送一体化处理系统关键技术研发是国家政策鼓励进行研究探索的污泥处置方法。</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5" w:name="_Toc22200303"/>
      <w:bookmarkStart w:id="66" w:name="_Toc24969720"/>
      <w:bookmarkStart w:id="67" w:name="_Toc22199668"/>
      <w:bookmarkStart w:id="68" w:name="_Toc22198816"/>
      <w:bookmarkStart w:id="69" w:name="_Toc22199179"/>
      <w:bookmarkStart w:id="70" w:name="_Toc22202308"/>
      <w:bookmarkStart w:id="71" w:name="_Toc22202720"/>
      <w:bookmarkStart w:id="72" w:name="_Toc22200970"/>
      <w:bookmarkStart w:id="73" w:name="_Toc22202016"/>
      <w:r>
        <w:rPr>
          <w:rFonts w:hint="eastAsia" w:ascii="宋体" w:hAnsi="宋体" w:eastAsia="宋体"/>
          <w:color w:val="000000" w:themeColor="text1"/>
          <w:lang w:eastAsia="zh-CN"/>
        </w:rPr>
        <w:t>1.4研发目标</w:t>
      </w:r>
      <w:bookmarkEnd w:id="65"/>
      <w:bookmarkEnd w:id="66"/>
      <w:bookmarkEnd w:id="67"/>
      <w:bookmarkEnd w:id="68"/>
      <w:bookmarkEnd w:id="69"/>
      <w:bookmarkEnd w:id="70"/>
      <w:bookmarkEnd w:id="71"/>
      <w:bookmarkEnd w:id="72"/>
      <w:bookmarkEnd w:id="73"/>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1.研究污泥和不同生物质的干馏产物气/固态成分规律；</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2.通过平衡计算和数值模拟等手段了解不同类型污泥和生物质定型干燥、炭化、输送一体化处理工艺参数确定一体化设备的结构和关键尺寸参数；</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3.建立100t/d干燥炭化输送一体化中试试验台，开展中试试验，验证系统和关键设备的设计能力；</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4.研发300t/d工程和干燥炭化输送一体化设备设计方案；</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5.提出针对电厂污水零排放后污泥处置技术，研发300t/d的干燥炭化输送一体化技术。</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74" w:name="_Toc22198817"/>
      <w:bookmarkStart w:id="75" w:name="_Toc22199180"/>
      <w:bookmarkStart w:id="76" w:name="_Toc22199669"/>
      <w:bookmarkStart w:id="77" w:name="_Toc22200304"/>
      <w:bookmarkStart w:id="78" w:name="_Toc22202309"/>
      <w:bookmarkStart w:id="79" w:name="_Toc22202017"/>
      <w:bookmarkStart w:id="80" w:name="_Toc22200971"/>
      <w:bookmarkStart w:id="81" w:name="_Toc22202721"/>
      <w:bookmarkStart w:id="82" w:name="_Toc24969721"/>
      <w:r>
        <w:rPr>
          <w:rFonts w:hint="eastAsia" w:ascii="宋体" w:hAnsi="宋体" w:eastAsia="宋体"/>
          <w:color w:val="000000" w:themeColor="text1"/>
          <w:lang w:eastAsia="zh-CN"/>
        </w:rPr>
        <w:t>1.5项目特点</w:t>
      </w:r>
      <w:bookmarkEnd w:id="74"/>
      <w:bookmarkEnd w:id="75"/>
      <w:bookmarkEnd w:id="76"/>
      <w:bookmarkEnd w:id="77"/>
      <w:bookmarkEnd w:id="78"/>
      <w:bookmarkEnd w:id="79"/>
      <w:bookmarkEnd w:id="80"/>
      <w:bookmarkEnd w:id="81"/>
      <w:bookmarkEnd w:id="82"/>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本项目是研究水和污水处理产生的污泥及生物质掺烧到燃煤锅炉的工艺参数和设备技术参数，项目具有以下特点：</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1.本项目是污泥及生物质的处理方法研发项目，属于环保项目；</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2.本项目是依托华能岳阳电厂三期超超临界锅炉的掺烧试验，掺烧量少，且三期超超临界炉本身有脱硫脱硝除尘等环保措施，掺烧产生的烟气经过三期超超临界炉本身有脱硫脱硝除尘等环保措施处理后对环境影响较小。</w:t>
      </w:r>
      <w:bookmarkStart w:id="83" w:name="_Toc18935"/>
      <w:bookmarkStart w:id="84" w:name="_Toc4081206"/>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85" w:name="_Toc24969722"/>
      <w:bookmarkStart w:id="86" w:name="_Toc22150981"/>
      <w:bookmarkStart w:id="87" w:name="_Toc21815004"/>
      <w:bookmarkStart w:id="88" w:name="_Toc21814217"/>
      <w:bookmarkStart w:id="89" w:name="_Toc21814396"/>
      <w:bookmarkStart w:id="90" w:name="_Toc21814349"/>
      <w:bookmarkStart w:id="91" w:name="_Toc18277494"/>
      <w:bookmarkStart w:id="92" w:name="_Toc22198315"/>
      <w:bookmarkStart w:id="93" w:name="_Toc22198197"/>
      <w:bookmarkStart w:id="94" w:name="_Toc22151158"/>
      <w:bookmarkStart w:id="95" w:name="_Toc22198818"/>
      <w:bookmarkStart w:id="96" w:name="_Toc22198421"/>
      <w:bookmarkStart w:id="97" w:name="_Toc22198524"/>
      <w:bookmarkStart w:id="98" w:name="_Toc22199181"/>
      <w:bookmarkStart w:id="99" w:name="_Toc22199670"/>
      <w:bookmarkStart w:id="100" w:name="_Toc22200305"/>
      <w:bookmarkStart w:id="101" w:name="_Toc22200972"/>
      <w:bookmarkStart w:id="102" w:name="_Toc22202310"/>
      <w:bookmarkStart w:id="103" w:name="_Toc22202018"/>
      <w:bookmarkStart w:id="104" w:name="_Toc22202722"/>
      <w:r>
        <w:rPr>
          <w:rFonts w:hint="eastAsia" w:ascii="宋体" w:hAnsi="宋体" w:eastAsia="宋体"/>
          <w:color w:val="000000" w:themeColor="text1"/>
          <w:lang w:eastAsia="zh-CN"/>
        </w:rPr>
        <w:t>1.6</w:t>
      </w:r>
      <w:r>
        <w:rPr>
          <w:rFonts w:ascii="宋体" w:hAnsi="宋体" w:eastAsia="宋体"/>
          <w:color w:val="000000" w:themeColor="text1"/>
          <w:lang w:eastAsia="zh-CN"/>
        </w:rPr>
        <w:t>与“三线一单”的符合性分析</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（1）生态保护红线的相符性分析</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根据湖南省政府公布关于印发《湖南省生态保护红线》的通知（湘政发〔</w:t>
      </w:r>
      <w:r>
        <w:rPr>
          <w:rFonts w:eastAsia="宋体" w:asciiTheme="minorEastAsia" w:hAnsiTheme="minorEastAsia" w:cstheme="minorEastAsia"/>
          <w:lang w:eastAsia="zh-CN"/>
        </w:rPr>
        <w:t>2018〕20</w:t>
      </w:r>
      <w:r>
        <w:rPr>
          <w:rFonts w:hint="eastAsia" w:eastAsia="宋体" w:asciiTheme="minorEastAsia" w:hAnsiTheme="minorEastAsia" w:cstheme="minorEastAsia"/>
          <w:lang w:eastAsia="zh-CN"/>
        </w:rPr>
        <w:t>号），湖南省生态保护红线划定面积为</w:t>
      </w:r>
      <w:r>
        <w:rPr>
          <w:rFonts w:eastAsia="宋体" w:asciiTheme="minorEastAsia" w:hAnsiTheme="minorEastAsia" w:cstheme="minorEastAsia"/>
          <w:lang w:eastAsia="zh-CN"/>
        </w:rPr>
        <w:t>4.28</w:t>
      </w:r>
      <w:r>
        <w:rPr>
          <w:rFonts w:hint="eastAsia" w:eastAsia="宋体" w:asciiTheme="minorEastAsia" w:hAnsiTheme="minorEastAsia" w:cstheme="minorEastAsia"/>
          <w:lang w:eastAsia="zh-CN"/>
        </w:rPr>
        <w:t>万</w:t>
      </w:r>
      <w:r>
        <w:rPr>
          <w:rFonts w:eastAsia="宋体" w:asciiTheme="minorEastAsia" w:hAnsiTheme="minorEastAsia" w:cstheme="minorEastAsia"/>
          <w:lang w:eastAsia="zh-CN"/>
        </w:rPr>
        <w:t>km2</w:t>
      </w:r>
      <w:r>
        <w:rPr>
          <w:rFonts w:hint="eastAsia" w:eastAsia="宋体" w:asciiTheme="minorEastAsia" w:hAnsiTheme="minorEastAsia" w:cstheme="minorEastAsia"/>
          <w:lang w:eastAsia="zh-CN"/>
        </w:rPr>
        <w:t>，占全省国土面积的</w:t>
      </w:r>
      <w:r>
        <w:rPr>
          <w:rFonts w:eastAsia="宋体" w:asciiTheme="minorEastAsia" w:hAnsiTheme="minorEastAsia" w:cstheme="minorEastAsia"/>
          <w:lang w:eastAsia="zh-CN"/>
        </w:rPr>
        <w:t>20.23%</w:t>
      </w:r>
      <w:r>
        <w:rPr>
          <w:rFonts w:hint="eastAsia" w:eastAsia="宋体" w:asciiTheme="minorEastAsia" w:hAnsiTheme="minorEastAsia" w:cstheme="minorEastAsia"/>
          <w:lang w:eastAsia="zh-CN"/>
        </w:rPr>
        <w:t>。全省生态保护红线空间格局为</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一湖三山四水</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一湖</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为洞庭湖（要包括东洞庭湖、南洞庭湖、横岭湖、西洞庭湖等自然保护区和长江岸线主），主要生态功能为生物多样性维护、洪水调蓄。</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三山</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包括武陵</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雪峰山脉生态屏障，主要生态功能为生物多样性维护与水土保持；罗霄</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幕阜山脉生态屏障，主要生态功能为生物多样性维护、水源涵养和水土保持；南岭山脉生态屏障，主要生态功能为水源涵养和生物多样性维护，其中南岭山脉生态屏障是南方丘陵山地带的重要组成部分。</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四水</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为湘资沅澧</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湘江、资水、沅江、澧水</w:t>
      </w:r>
      <w:r>
        <w:rPr>
          <w:rFonts w:eastAsia="宋体" w:asciiTheme="minorEastAsia" w:hAnsiTheme="minorEastAsia" w:cstheme="minorEastAsia"/>
          <w:lang w:eastAsia="zh-CN"/>
        </w:rPr>
        <w:t>)</w:t>
      </w:r>
      <w:r>
        <w:rPr>
          <w:rFonts w:hint="eastAsia" w:eastAsia="宋体" w:asciiTheme="minorEastAsia" w:hAnsiTheme="minorEastAsia" w:cstheme="minorEastAsia"/>
          <w:lang w:eastAsia="zh-CN"/>
        </w:rPr>
        <w:t>的源头区及重要水域。本项目依托的华能岳阳电厂位于岳阳北部工业走廊，不在生态红线一类管控区范围内。</w:t>
      </w:r>
      <w:r>
        <w:rPr>
          <w:rFonts w:ascii="宋体" w:hAnsi="宋体" w:eastAsia="宋体"/>
          <w:color w:val="000000"/>
          <w:szCs w:val="21"/>
          <w:lang w:eastAsia="zh-CN"/>
        </w:rPr>
        <w:t>项目建设不涉及自然保护区、风景名胜区、地质公园等敏感区，本项目拟建地为建设用地，不涉及生态红线。</w:t>
      </w:r>
      <w:r>
        <w:rPr>
          <w:rFonts w:hint="eastAsia" w:eastAsia="宋体" w:asciiTheme="minorEastAsia" w:hAnsiTheme="minorEastAsia" w:cstheme="minorEastAsia"/>
          <w:lang w:eastAsia="zh-CN"/>
        </w:rPr>
        <w:t>本项目建成后，将帮助我们了解不同类型污泥和生物质定型干燥、炭化、输送一体化处理工艺参数确定一体化设备的结构和关键尺寸参数；为污泥处置提供一条合理可行的途径，极大缓解污泥处置占用大量土地的矛盾，因此本项目的建设是符合生态保护红线要求的。</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（2）与环境质量底线的相符性分析</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本项目所在区域大气环境质量达到《环境空气质量标准》（GB3095-2012）二级标准，声环境质量达到《声环境质量标准》（GB3096-2008）中</w:t>
      </w:r>
      <w:r>
        <w:rPr>
          <w:rFonts w:hint="eastAsia" w:eastAsia="宋体" w:asciiTheme="minorEastAsia" w:hAnsiTheme="minorEastAsia" w:cstheme="minorEastAsia"/>
          <w:lang w:eastAsia="zh-CN"/>
        </w:rPr>
        <w:t>2</w:t>
      </w:r>
      <w:r>
        <w:rPr>
          <w:rFonts w:eastAsia="宋体" w:asciiTheme="minorEastAsia" w:hAnsiTheme="minorEastAsia" w:cstheme="minorEastAsia"/>
          <w:lang w:eastAsia="zh-CN"/>
        </w:rPr>
        <w:t>类标准，区域地表水部分满足《地表水环境质量标准》（GB3038-2002）中Ⅲ类水标准。区域地下水部分满足《地下水质量标准》（GB/T14848-2017）III类标准。</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1）项目与大气环境功能的相符性分析：</w:t>
      </w:r>
    </w:p>
    <w:p>
      <w:pPr>
        <w:pStyle w:val="13"/>
        <w:kinsoku w:val="0"/>
        <w:overflowPunct w:val="0"/>
        <w:spacing w:line="364" w:lineRule="auto"/>
        <w:ind w:right="-53" w:firstLine="480"/>
        <w:rPr>
          <w:sz w:val="24"/>
          <w:lang w:eastAsia="zh-CN"/>
        </w:rPr>
      </w:pPr>
      <w:r>
        <w:rPr>
          <w:rFonts w:asciiTheme="minorEastAsia" w:hAnsiTheme="minorEastAsia" w:cstheme="minorEastAsia"/>
          <w:sz w:val="24"/>
          <w:szCs w:val="24"/>
          <w:lang w:eastAsia="zh-CN"/>
        </w:rPr>
        <w:t>项目所在区域大气环境为</w:t>
      </w:r>
      <w:r>
        <w:rPr>
          <w:rFonts w:hint="eastAsia" w:asciiTheme="minorEastAsia" w:hAnsiTheme="minorEastAsia" w:cstheme="minorEastAsia"/>
          <w:sz w:val="24"/>
          <w:szCs w:val="24"/>
          <w:lang w:eastAsia="zh-CN"/>
        </w:rPr>
        <w:t>二</w:t>
      </w:r>
      <w:r>
        <w:rPr>
          <w:rFonts w:asciiTheme="minorEastAsia" w:hAnsiTheme="minorEastAsia" w:cstheme="minorEastAsia"/>
          <w:sz w:val="24"/>
          <w:szCs w:val="24"/>
          <w:lang w:eastAsia="zh-CN"/>
        </w:rPr>
        <w:t>类区。项目的大气污染物排放主要为</w:t>
      </w:r>
      <w:r>
        <w:rPr>
          <w:rFonts w:hint="eastAsia" w:asciiTheme="minorEastAsia" w:hAnsiTheme="minorEastAsia" w:cstheme="minorEastAsia"/>
          <w:sz w:val="24"/>
          <w:szCs w:val="24"/>
          <w:lang w:eastAsia="zh-CN"/>
        </w:rPr>
        <w:t>颗粒物、二氧化硫、氮氧化物</w:t>
      </w:r>
      <w:r>
        <w:rPr>
          <w:rFonts w:asciiTheme="minorEastAsia" w:hAnsiTheme="minorEastAsia" w:cstheme="minorEastAsia"/>
          <w:sz w:val="24"/>
          <w:szCs w:val="24"/>
          <w:lang w:eastAsia="zh-CN"/>
        </w:rPr>
        <w:t>等，根据大气环境</w:t>
      </w:r>
      <w:r>
        <w:rPr>
          <w:rFonts w:hint="eastAsia" w:asciiTheme="minorEastAsia" w:hAnsiTheme="minorEastAsia" w:cstheme="minorEastAsia"/>
          <w:sz w:val="24"/>
          <w:szCs w:val="24"/>
          <w:lang w:eastAsia="zh-CN"/>
        </w:rPr>
        <w:t>质量现状调查</w:t>
      </w:r>
      <w:r>
        <w:rPr>
          <w:rFonts w:asciiTheme="minorEastAsia" w:hAnsiTheme="minorEastAsia" w:cstheme="minorEastAsia"/>
          <w:sz w:val="24"/>
          <w:szCs w:val="24"/>
          <w:lang w:eastAsia="zh-CN"/>
        </w:rPr>
        <w:t>结果</w:t>
      </w:r>
      <w:r>
        <w:rPr>
          <w:rFonts w:hint="eastAsia" w:asciiTheme="minorEastAsia" w:hAnsiTheme="minorEastAsia" w:cstheme="minorEastAsia"/>
          <w:sz w:val="24"/>
          <w:szCs w:val="24"/>
          <w:lang w:eastAsia="zh-CN"/>
        </w:rPr>
        <w:t>本项目所在地为环境空气质量不达标区</w:t>
      </w:r>
      <w:r>
        <w:rPr>
          <w:rFonts w:asciiTheme="minorEastAsia" w:hAnsiTheme="minorEastAsia" w:cstheme="minorEastAsia"/>
          <w:lang w:eastAsia="zh-CN"/>
        </w:rPr>
        <w:t>，</w:t>
      </w:r>
      <w:r>
        <w:rPr>
          <w:rFonts w:hint="eastAsia"/>
          <w:spacing w:val="2"/>
          <w:sz w:val="24"/>
          <w:lang w:eastAsia="zh-CN"/>
        </w:rPr>
        <w:t>根</w:t>
      </w:r>
      <w:r>
        <w:rPr>
          <w:rFonts w:hint="eastAsia"/>
          <w:sz w:val="24"/>
          <w:lang w:eastAsia="zh-CN"/>
        </w:rPr>
        <w:t>据《岳阳市贯彻落实</w:t>
      </w:r>
      <w:r>
        <w:rPr>
          <w:rFonts w:eastAsia="Times New Roman"/>
          <w:spacing w:val="5"/>
          <w:sz w:val="24"/>
          <w:lang w:eastAsia="zh-CN"/>
        </w:rPr>
        <w:t>&lt;</w:t>
      </w:r>
      <w:r>
        <w:rPr>
          <w:rFonts w:hint="eastAsia"/>
          <w:sz w:val="24"/>
          <w:lang w:eastAsia="zh-CN"/>
        </w:rPr>
        <w:t>大气污染防治行动计划</w:t>
      </w:r>
      <w:r>
        <w:rPr>
          <w:rFonts w:eastAsia="Times New Roman"/>
          <w:sz w:val="24"/>
          <w:lang w:eastAsia="zh-CN"/>
        </w:rPr>
        <w:t>&gt;</w:t>
      </w:r>
      <w:r>
        <w:rPr>
          <w:rFonts w:hint="eastAsia"/>
          <w:sz w:val="24"/>
          <w:lang w:eastAsia="zh-CN"/>
        </w:rPr>
        <w:t>实施方案》的通知，岳阳市近期采取产业和能源结构调整措施、大气污染治理的措施等一系列措施，岳阳市岳阳楼区空气质量正在逐步改善。</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本项目大气污染物对区域环境空气质量影响较小，符合大气环境功能区的要求。</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2）项目与地表水环境功能的相符性分析：</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本项目</w:t>
      </w:r>
      <w:r>
        <w:rPr>
          <w:rFonts w:hint="eastAsia" w:eastAsia="宋体" w:asciiTheme="minorEastAsia" w:hAnsiTheme="minorEastAsia" w:cstheme="minorEastAsia"/>
          <w:lang w:eastAsia="zh-CN"/>
        </w:rPr>
        <w:t>污水经华能岳阳电厂污水处理场处理后全部回用，不外排，</w:t>
      </w:r>
      <w:r>
        <w:rPr>
          <w:rFonts w:eastAsia="宋体" w:asciiTheme="minorEastAsia" w:hAnsiTheme="minorEastAsia" w:cstheme="minorEastAsia"/>
          <w:lang w:eastAsia="zh-CN"/>
        </w:rPr>
        <w:t>符合《中华人民共和国水污染防治法》的有关规定。</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3）项目与声环境功能的相符性分析：</w:t>
      </w:r>
    </w:p>
    <w:p>
      <w:pPr>
        <w:pStyle w:val="27"/>
        <w:shd w:val="clear" w:color="auto" w:fill="FFFFFF"/>
        <w:spacing w:before="0" w:beforeAutospacing="0" w:after="0" w:afterAutospacing="0" w:line="360" w:lineRule="auto"/>
        <w:ind w:right="-53"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本项目</w:t>
      </w:r>
      <w:r>
        <w:rPr>
          <w:rFonts w:hint="eastAsia" w:eastAsia="宋体" w:asciiTheme="minorEastAsia" w:hAnsiTheme="minorEastAsia" w:cstheme="minorEastAsia"/>
          <w:lang w:eastAsia="zh-CN"/>
        </w:rPr>
        <w:t>位于华能岳阳电厂内，周边是工业用地，</w:t>
      </w:r>
      <w:r>
        <w:rPr>
          <w:rFonts w:eastAsia="宋体" w:asciiTheme="minorEastAsia" w:hAnsiTheme="minorEastAsia" w:cstheme="minorEastAsia"/>
          <w:lang w:eastAsia="zh-CN"/>
        </w:rPr>
        <w:t>为</w:t>
      </w:r>
      <w:r>
        <w:rPr>
          <w:rFonts w:hint="eastAsia" w:eastAsia="宋体" w:asciiTheme="minorEastAsia" w:hAnsiTheme="minorEastAsia" w:cstheme="minorEastAsia"/>
          <w:lang w:eastAsia="zh-CN"/>
        </w:rPr>
        <w:t>3</w:t>
      </w:r>
      <w:r>
        <w:rPr>
          <w:rFonts w:eastAsia="宋体" w:asciiTheme="minorEastAsia" w:hAnsiTheme="minorEastAsia" w:cstheme="minorEastAsia"/>
          <w:lang w:eastAsia="zh-CN"/>
        </w:rPr>
        <w:t>类声环境功能区。根据声环境预测结果，本项目建成后对周围的声环境影响较小，不会改变周围</w:t>
      </w:r>
      <w:r>
        <w:rPr>
          <w:rFonts w:hint="eastAsia" w:eastAsia="宋体" w:asciiTheme="minorEastAsia" w:hAnsiTheme="minorEastAsia" w:cstheme="minorEastAsia"/>
          <w:lang w:eastAsia="zh-CN"/>
        </w:rPr>
        <w:t>声</w:t>
      </w:r>
      <w:r>
        <w:rPr>
          <w:rFonts w:eastAsia="宋体" w:asciiTheme="minorEastAsia" w:hAnsiTheme="minorEastAsia" w:cstheme="minorEastAsia"/>
          <w:lang w:eastAsia="zh-CN"/>
        </w:rPr>
        <w:t>环境的功能属性，因此本项目的建设符合声环境功能区要求。</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总之，</w:t>
      </w:r>
      <w:r>
        <w:rPr>
          <w:rFonts w:eastAsia="宋体" w:asciiTheme="minorEastAsia" w:hAnsiTheme="minorEastAsia" w:cstheme="minorEastAsia"/>
          <w:lang w:eastAsia="zh-CN"/>
        </w:rPr>
        <w:t>本</w:t>
      </w:r>
      <w:r>
        <w:rPr>
          <w:rFonts w:hint="eastAsia" w:eastAsia="宋体" w:asciiTheme="minorEastAsia" w:hAnsiTheme="minorEastAsia" w:cstheme="minorEastAsia"/>
          <w:lang w:eastAsia="zh-CN"/>
        </w:rPr>
        <w:t>项目</w:t>
      </w:r>
      <w:r>
        <w:rPr>
          <w:rFonts w:eastAsia="宋体" w:asciiTheme="minorEastAsia" w:hAnsiTheme="minorEastAsia" w:cstheme="minorEastAsia"/>
          <w:lang w:eastAsia="zh-CN"/>
        </w:rPr>
        <w:t>的建设</w:t>
      </w:r>
      <w:r>
        <w:rPr>
          <w:rFonts w:hint="eastAsia" w:eastAsia="宋体" w:asciiTheme="minorEastAsia" w:hAnsiTheme="minorEastAsia" w:cstheme="minorEastAsia"/>
          <w:lang w:eastAsia="zh-CN"/>
        </w:rPr>
        <w:t>不会影响</w:t>
      </w:r>
      <w:r>
        <w:rPr>
          <w:rFonts w:eastAsia="宋体" w:asciiTheme="minorEastAsia" w:hAnsiTheme="minorEastAsia" w:cstheme="minorEastAsia"/>
          <w:lang w:eastAsia="zh-CN"/>
        </w:rPr>
        <w:t>当地环境质量，不会破坏质量底线。</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（3）与资源利用上线的对照分析</w:t>
      </w:r>
    </w:p>
    <w:p>
      <w:pPr>
        <w:pStyle w:val="94"/>
        <w:ind w:firstLine="480"/>
        <w:rPr>
          <w:rFonts w:asciiTheme="minorEastAsia" w:hAnsiTheme="minorEastAsia" w:cstheme="minorEastAsia"/>
          <w:lang w:eastAsia="zh-CN"/>
        </w:rPr>
      </w:pPr>
      <w:r>
        <w:rPr>
          <w:rFonts w:asciiTheme="minorEastAsia" w:hAnsiTheme="minorEastAsia" w:cstheme="minorEastAsia"/>
          <w:lang w:eastAsia="zh-CN"/>
        </w:rPr>
        <w:t>项目</w:t>
      </w:r>
      <w:r>
        <w:rPr>
          <w:rFonts w:hint="eastAsia" w:asciiTheme="minorEastAsia" w:hAnsiTheme="minorEastAsia" w:cstheme="minorEastAsia"/>
          <w:lang w:eastAsia="zh-CN"/>
        </w:rPr>
        <w:t>位于华能岳阳电厂内，</w:t>
      </w:r>
      <w:r>
        <w:rPr>
          <w:rFonts w:cs="Times New Roman"/>
          <w:szCs w:val="22"/>
          <w:lang w:eastAsia="zh-CN"/>
        </w:rPr>
        <w:t>项目所在地属于工业用地，不涉及基本农田</w:t>
      </w:r>
      <w:r>
        <w:rPr>
          <w:rFonts w:asciiTheme="minorEastAsia" w:hAnsiTheme="minorEastAsia" w:cstheme="minorEastAsia"/>
          <w:lang w:eastAsia="zh-CN"/>
        </w:rPr>
        <w:t>。本项目</w:t>
      </w:r>
      <w:r>
        <w:rPr>
          <w:rFonts w:hint="eastAsia" w:asciiTheme="minorEastAsia" w:hAnsiTheme="minorEastAsia" w:cstheme="minorEastAsia"/>
          <w:lang w:eastAsia="zh-CN"/>
        </w:rPr>
        <w:t>是利用华能拥有自主知识产权、创新技术路线的城市污泥一体化处理系统依托华能岳阳电厂超超临界锅炉建设燃煤电厂污泥及生物质干燥炭化输送一体化关键技术试验装置</w:t>
      </w:r>
      <w:r>
        <w:rPr>
          <w:rFonts w:asciiTheme="minorEastAsia" w:hAnsiTheme="minorEastAsia" w:cstheme="minorEastAsia"/>
          <w:lang w:eastAsia="zh-CN"/>
        </w:rPr>
        <w:t>，</w:t>
      </w:r>
      <w:r>
        <w:rPr>
          <w:rFonts w:hint="eastAsia" w:asciiTheme="minorEastAsia" w:hAnsiTheme="minorEastAsia" w:cstheme="minorEastAsia"/>
          <w:lang w:eastAsia="zh-CN"/>
        </w:rPr>
        <w:t>项目</w:t>
      </w:r>
      <w:r>
        <w:rPr>
          <w:rFonts w:asciiTheme="minorEastAsia" w:hAnsiTheme="minorEastAsia" w:cstheme="minorEastAsia"/>
          <w:lang w:eastAsia="zh-CN"/>
        </w:rPr>
        <w:t>的建设不新增用地，</w:t>
      </w:r>
      <w:r>
        <w:rPr>
          <w:rFonts w:hint="eastAsia" w:asciiTheme="minorEastAsia" w:hAnsiTheme="minorEastAsia" w:cstheme="minorEastAsia"/>
          <w:lang w:eastAsia="zh-CN"/>
        </w:rPr>
        <w:t>并且</w:t>
      </w:r>
      <w:r>
        <w:rPr>
          <w:rFonts w:asciiTheme="minorEastAsia" w:hAnsiTheme="minorEastAsia" w:cstheme="minorEastAsia"/>
          <w:lang w:eastAsia="zh-CN"/>
        </w:rPr>
        <w:t>可以大大减少</w:t>
      </w:r>
      <w:r>
        <w:rPr>
          <w:rFonts w:hint="eastAsia" w:asciiTheme="minorEastAsia" w:hAnsiTheme="minorEastAsia" w:cstheme="minorEastAsia"/>
          <w:lang w:eastAsia="zh-CN"/>
        </w:rPr>
        <w:t>污泥处置占用土地。因此本项目</w:t>
      </w:r>
      <w:r>
        <w:rPr>
          <w:rFonts w:cs="Times New Roman"/>
          <w:szCs w:val="22"/>
          <w:lang w:eastAsia="zh-CN"/>
        </w:rPr>
        <w:t>土地资源消耗符合要求</w:t>
      </w:r>
      <w:r>
        <w:rPr>
          <w:rFonts w:asciiTheme="minorEastAsia" w:hAnsiTheme="minorEastAsia" w:cstheme="minorEastAsia"/>
          <w:lang w:eastAsia="zh-CN"/>
        </w:rPr>
        <w:t>。</w:t>
      </w:r>
      <w:r>
        <w:rPr>
          <w:rFonts w:cs="Times New Roman"/>
          <w:szCs w:val="22"/>
          <w:lang w:eastAsia="zh-CN"/>
        </w:rPr>
        <w:t>本项目新鲜水</w:t>
      </w:r>
      <w:r>
        <w:rPr>
          <w:rFonts w:hint="eastAsia" w:cs="Times New Roman"/>
          <w:szCs w:val="22"/>
          <w:lang w:eastAsia="zh-CN"/>
        </w:rPr>
        <w:t>和电能</w:t>
      </w:r>
      <w:r>
        <w:rPr>
          <w:rFonts w:cs="Times New Roman"/>
          <w:szCs w:val="22"/>
          <w:lang w:eastAsia="zh-CN"/>
        </w:rPr>
        <w:t>用量较少，主要依托</w:t>
      </w:r>
      <w:r>
        <w:rPr>
          <w:rFonts w:hint="eastAsia" w:cs="Times New Roman"/>
          <w:szCs w:val="22"/>
          <w:lang w:eastAsia="zh-CN"/>
        </w:rPr>
        <w:t>华能岳阳电厂现有水</w:t>
      </w:r>
      <w:r>
        <w:rPr>
          <w:rFonts w:cs="Times New Roman"/>
          <w:szCs w:val="22"/>
          <w:lang w:eastAsia="zh-CN"/>
        </w:rPr>
        <w:t>电网</w:t>
      </w:r>
      <w:r>
        <w:rPr>
          <w:rFonts w:hint="eastAsia" w:cs="Times New Roman"/>
          <w:szCs w:val="22"/>
          <w:lang w:eastAsia="zh-CN"/>
        </w:rPr>
        <w:t>提供</w:t>
      </w:r>
      <w:r>
        <w:rPr>
          <w:rFonts w:cs="Times New Roman"/>
          <w:szCs w:val="22"/>
          <w:lang w:eastAsia="zh-CN"/>
        </w:rPr>
        <w:t>；</w:t>
      </w:r>
      <w:r>
        <w:rPr>
          <w:rFonts w:hint="eastAsia" w:cs="Times New Roman"/>
          <w:szCs w:val="22"/>
          <w:lang w:eastAsia="zh-CN"/>
        </w:rPr>
        <w:t>本项目污泥及生物质掺烧均可替代少量燃煤</w:t>
      </w:r>
      <w:r>
        <w:rPr>
          <w:rFonts w:cs="Times New Roman"/>
          <w:szCs w:val="22"/>
          <w:lang w:eastAsia="zh-CN"/>
        </w:rPr>
        <w:t>。因此，项目资源利用</w:t>
      </w:r>
      <w:r>
        <w:rPr>
          <w:rFonts w:asciiTheme="minorEastAsia" w:hAnsiTheme="minorEastAsia" w:cstheme="minorEastAsia"/>
          <w:lang w:eastAsia="zh-CN"/>
        </w:rPr>
        <w:t>符合资源利用上线的要求。</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（4）与环境准入负面清单的符合性</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eastAsia="宋体" w:asciiTheme="minorEastAsia" w:hAnsiTheme="minorEastAsia" w:cstheme="minorEastAsia"/>
          <w:lang w:eastAsia="zh-CN"/>
        </w:rPr>
        <w:t>本</w:t>
      </w:r>
      <w:r>
        <w:rPr>
          <w:rFonts w:hint="eastAsia" w:eastAsia="宋体" w:asciiTheme="minorEastAsia" w:hAnsiTheme="minorEastAsia" w:cstheme="minorEastAsia"/>
          <w:lang w:eastAsia="zh-CN"/>
        </w:rPr>
        <w:t>项目</w:t>
      </w:r>
      <w:r>
        <w:rPr>
          <w:rFonts w:eastAsia="宋体" w:asciiTheme="minorEastAsia" w:hAnsiTheme="minorEastAsia" w:cstheme="minorEastAsia"/>
          <w:lang w:eastAsia="zh-CN"/>
        </w:rPr>
        <w:t>属于</w:t>
      </w:r>
      <w:r>
        <w:rPr>
          <w:rFonts w:hint="eastAsia" w:eastAsia="宋体" w:asciiTheme="minorEastAsia" w:hAnsiTheme="minorEastAsia" w:cstheme="minorEastAsia"/>
          <w:lang w:eastAsia="zh-CN"/>
        </w:rPr>
        <w:t>城镇污水处理厂污泥及生物质处置的研发项目</w:t>
      </w:r>
      <w:r>
        <w:rPr>
          <w:rFonts w:eastAsia="宋体" w:asciiTheme="minorEastAsia" w:hAnsiTheme="minorEastAsia" w:cstheme="minorEastAsia"/>
          <w:lang w:eastAsia="zh-CN"/>
        </w:rPr>
        <w:t>，不属于区域环境准入负面清单建设项目。</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05" w:name="_Toc24969723"/>
      <w:bookmarkStart w:id="106" w:name="_Toc22198819"/>
      <w:bookmarkStart w:id="107" w:name="_Toc22200306"/>
      <w:bookmarkStart w:id="108" w:name="_Toc22202311"/>
      <w:bookmarkStart w:id="109" w:name="_Toc22202019"/>
      <w:bookmarkStart w:id="110" w:name="_Toc22200973"/>
      <w:bookmarkStart w:id="111" w:name="_Toc22199671"/>
      <w:bookmarkStart w:id="112" w:name="_Toc22202723"/>
      <w:bookmarkStart w:id="113" w:name="_Toc22199182"/>
      <w:r>
        <w:rPr>
          <w:rFonts w:hint="eastAsia" w:ascii="宋体" w:hAnsi="宋体" w:eastAsia="宋体"/>
          <w:color w:val="000000" w:themeColor="text1"/>
          <w:lang w:eastAsia="zh-CN"/>
        </w:rPr>
        <w:t>1.7关注的主要环境问题</w:t>
      </w:r>
      <w:bookmarkEnd w:id="83"/>
      <w:bookmarkEnd w:id="84"/>
      <w:bookmarkEnd w:id="105"/>
      <w:bookmarkEnd w:id="106"/>
      <w:bookmarkEnd w:id="107"/>
      <w:bookmarkEnd w:id="108"/>
      <w:bookmarkEnd w:id="109"/>
      <w:bookmarkEnd w:id="110"/>
      <w:bookmarkEnd w:id="111"/>
      <w:bookmarkEnd w:id="112"/>
      <w:bookmarkEnd w:id="113"/>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1. 污泥及生物质运输储存过程中污泥臭气对环境空气质量的影响；</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2. 污泥及生物质干燥炭化输送一体化设备产生的噪声对声环境质量的影响；</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3. 污泥及生物质焚烧产生的固废对环境质量的影响；</w:t>
      </w:r>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4. 污泥及生物质焚烧产生的废气对环境空气质量的影响。</w:t>
      </w:r>
    </w:p>
    <w:p>
      <w:pPr>
        <w:pStyle w:val="5"/>
        <w:widowControl w:val="0"/>
        <w:tabs>
          <w:tab w:val="left" w:pos="-3900"/>
          <w:tab w:val="left" w:pos="0"/>
        </w:tabs>
        <w:wordWrap w:val="0"/>
        <w:adjustRightInd w:val="0"/>
        <w:snapToGrid w:val="0"/>
        <w:spacing w:before="0" w:line="240" w:lineRule="auto"/>
        <w:rPr>
          <w:rFonts w:eastAsia="宋体"/>
          <w:color w:val="000000" w:themeColor="text1"/>
          <w:lang w:eastAsia="zh-CN"/>
        </w:rPr>
      </w:pPr>
      <w:bookmarkStart w:id="114" w:name="_Toc22198820"/>
      <w:bookmarkStart w:id="115" w:name="_Toc22199183"/>
      <w:bookmarkStart w:id="116" w:name="_Toc22199672"/>
      <w:bookmarkStart w:id="117" w:name="_Toc22200307"/>
      <w:bookmarkStart w:id="118" w:name="_Toc22200974"/>
      <w:bookmarkStart w:id="119" w:name="_Toc22202020"/>
      <w:bookmarkStart w:id="120" w:name="_Toc22202724"/>
      <w:bookmarkStart w:id="121" w:name="_Toc22202312"/>
    </w:p>
    <w:p>
      <w:pPr>
        <w:rPr>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22" w:name="_Toc24969724"/>
      <w:r>
        <w:rPr>
          <w:rFonts w:hint="eastAsia" w:ascii="宋体" w:hAnsi="宋体" w:eastAsia="宋体"/>
          <w:color w:val="000000" w:themeColor="text1"/>
          <w:lang w:eastAsia="zh-CN"/>
        </w:rPr>
        <w:t>1.8主要结论</w:t>
      </w:r>
      <w:bookmarkEnd w:id="114"/>
      <w:bookmarkEnd w:id="115"/>
      <w:bookmarkEnd w:id="116"/>
      <w:bookmarkEnd w:id="117"/>
      <w:bookmarkEnd w:id="118"/>
      <w:bookmarkEnd w:id="119"/>
      <w:bookmarkEnd w:id="120"/>
      <w:bookmarkEnd w:id="121"/>
      <w:bookmarkEnd w:id="122"/>
    </w:p>
    <w:p>
      <w:pPr>
        <w:pStyle w:val="27"/>
        <w:shd w:val="clear" w:color="auto" w:fill="FFFFFF"/>
        <w:spacing w:before="0" w:beforeAutospacing="0" w:after="0" w:afterAutospacing="0" w:line="360" w:lineRule="auto"/>
        <w:ind w:firstLine="480" w:firstLineChars="200"/>
        <w:rPr>
          <w:rFonts w:eastAsia="宋体" w:asciiTheme="minorEastAsia" w:hAnsiTheme="minorEastAsia" w:cstheme="minorEastAsia"/>
          <w:lang w:eastAsia="zh-CN"/>
        </w:rPr>
      </w:pPr>
      <w:r>
        <w:rPr>
          <w:rFonts w:hint="eastAsia" w:eastAsia="宋体" w:asciiTheme="minorEastAsia" w:hAnsiTheme="minorEastAsia" w:cstheme="minorEastAsia"/>
          <w:lang w:eastAsia="zh-CN"/>
        </w:rPr>
        <w:t>西安西热锅炉环保工程有限公司燃煤电厂污泥及生物质干燥炭化输送一体化项目是国家政策鼓励进行的污泥处置方法的研究项目，建设内容主要包括污泥储罐的建造和干燥炭化输送一体化设备的制造安装。</w:t>
      </w:r>
      <w:r>
        <w:rPr>
          <w:rFonts w:eastAsia="宋体" w:asciiTheme="minorEastAsia" w:hAnsiTheme="minorEastAsia" w:cstheme="minorEastAsia"/>
          <w:lang w:eastAsia="zh-CN"/>
        </w:rPr>
        <w:t>项目建设应加强管理，严格执行“三同时”制度，在落实本报告提出的环境保护措施的前提下，废水、废气及噪声可达标排放，</w:t>
      </w:r>
      <w:r>
        <w:rPr>
          <w:rFonts w:hint="eastAsia" w:eastAsia="宋体" w:asciiTheme="minorEastAsia" w:hAnsiTheme="minorEastAsia" w:cstheme="minorEastAsia"/>
          <w:lang w:eastAsia="zh-CN"/>
        </w:rPr>
        <w:t>固废可以得到有效妥善处置，</w:t>
      </w:r>
      <w:r>
        <w:rPr>
          <w:rFonts w:eastAsia="宋体" w:asciiTheme="minorEastAsia" w:hAnsiTheme="minorEastAsia" w:cstheme="minorEastAsia"/>
          <w:lang w:eastAsia="zh-CN"/>
        </w:rPr>
        <w:t>环境风险可控。从环境保护的角度分析，项目建设可行。</w:t>
      </w:r>
      <w:bookmarkStart w:id="123" w:name="_Toc11556"/>
      <w:bookmarkStart w:id="124" w:name="_Toc4081208"/>
      <w:bookmarkStart w:id="125" w:name="_Toc21814218"/>
      <w:bookmarkStart w:id="126" w:name="_Toc21814350"/>
      <w:bookmarkStart w:id="127" w:name="_Toc21814397"/>
      <w:bookmarkStart w:id="128" w:name="_Toc21815005"/>
      <w:bookmarkStart w:id="129" w:name="_Ref237165699"/>
      <w:r>
        <w:rPr>
          <w:rFonts w:hint="eastAsia" w:eastAsia="宋体" w:asciiTheme="minorEastAsia" w:hAnsiTheme="minorEastAsia" w:cstheme="minorEastAsia"/>
          <w:lang w:eastAsia="zh-CN"/>
        </w:rPr>
        <w:t xml:space="preserve"> </w:t>
      </w:r>
    </w:p>
    <w:p>
      <w:pPr>
        <w:pStyle w:val="29"/>
        <w:wordWrap w:val="0"/>
        <w:ind w:firstLine="480"/>
      </w:pPr>
    </w:p>
    <w:p>
      <w:pPr>
        <w:pStyle w:val="29"/>
        <w:wordWrap w:val="0"/>
        <w:ind w:firstLine="480"/>
      </w:pPr>
    </w:p>
    <w:p>
      <w:pPr>
        <w:pStyle w:val="29"/>
        <w:wordWrap w:val="0"/>
        <w:ind w:firstLine="480"/>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eastAsia="宋体"/>
          <w:sz w:val="36"/>
          <w:szCs w:val="36"/>
          <w:lang w:eastAsia="zh-CN"/>
        </w:rPr>
      </w:pPr>
      <w:bookmarkStart w:id="130" w:name="_Toc22202725"/>
      <w:bookmarkStart w:id="131" w:name="_Toc22202313"/>
      <w:bookmarkStart w:id="132" w:name="_Toc22202021"/>
      <w:bookmarkStart w:id="133" w:name="_Toc22200975"/>
      <w:bookmarkStart w:id="134" w:name="_Toc22200308"/>
      <w:bookmarkStart w:id="135" w:name="_Toc22199184"/>
      <w:bookmarkStart w:id="136" w:name="_Toc22199673"/>
      <w:bookmarkStart w:id="137" w:name="_Toc22198821"/>
      <w:bookmarkStart w:id="138" w:name="_Toc22198525"/>
      <w:bookmarkStart w:id="139" w:name="_Toc22198422"/>
      <w:bookmarkStart w:id="140" w:name="_Toc22198316"/>
      <w:bookmarkStart w:id="141" w:name="_Toc22198198"/>
      <w:bookmarkStart w:id="142" w:name="_Toc22151159"/>
      <w:bookmarkStart w:id="143" w:name="_Toc22150982"/>
    </w:p>
    <w:p>
      <w:pPr>
        <w:pStyle w:val="4"/>
        <w:keepNext/>
        <w:keepLines/>
        <w:widowControl w:val="0"/>
        <w:tabs>
          <w:tab w:val="left" w:pos="432"/>
        </w:tabs>
        <w:wordWrap w:val="0"/>
        <w:adjustRightInd w:val="0"/>
        <w:snapToGrid w:val="0"/>
        <w:spacing w:before="120" w:beforeAutospacing="0" w:after="120" w:afterAutospacing="0" w:line="360" w:lineRule="auto"/>
        <w:jc w:val="center"/>
        <w:rPr>
          <w:rFonts w:eastAsia="宋体"/>
          <w:sz w:val="36"/>
          <w:szCs w:val="36"/>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eastAsia="宋体"/>
          <w:sz w:val="36"/>
          <w:szCs w:val="36"/>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eastAsia="宋体"/>
          <w:sz w:val="36"/>
          <w:szCs w:val="36"/>
          <w:lang w:eastAsia="zh-CN"/>
        </w:rPr>
      </w:pPr>
    </w:p>
    <w:p>
      <w:pPr>
        <w:pStyle w:val="4"/>
        <w:keepNext/>
        <w:keepLines/>
        <w:widowControl w:val="0"/>
        <w:tabs>
          <w:tab w:val="left" w:pos="432"/>
        </w:tabs>
        <w:wordWrap w:val="0"/>
        <w:adjustRightInd w:val="0"/>
        <w:snapToGrid w:val="0"/>
        <w:spacing w:before="0" w:beforeAutospacing="0" w:after="0" w:afterAutospacing="0" w:line="360" w:lineRule="auto"/>
        <w:jc w:val="center"/>
        <w:rPr>
          <w:rFonts w:eastAsia="宋体"/>
          <w:sz w:val="36"/>
          <w:szCs w:val="36"/>
          <w:lang w:eastAsia="zh-CN"/>
        </w:rPr>
      </w:pPr>
    </w:p>
    <w:p>
      <w:pPr>
        <w:rPr>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144" w:name="_Toc24969725"/>
      <w:r>
        <w:rPr>
          <w:rFonts w:hint="eastAsia" w:ascii="宋体" w:hAnsi="宋体" w:eastAsia="宋体"/>
          <w:sz w:val="44"/>
          <w:szCs w:val="44"/>
          <w:lang w:eastAsia="zh-CN"/>
        </w:rPr>
        <w:t>2.</w:t>
      </w:r>
      <w:r>
        <w:rPr>
          <w:rFonts w:ascii="宋体" w:hAnsi="宋体" w:eastAsia="宋体"/>
          <w:sz w:val="44"/>
          <w:szCs w:val="44"/>
          <w:lang w:eastAsia="zh-CN"/>
        </w:rPr>
        <w:t>总则</w:t>
      </w:r>
      <w:bookmarkEnd w:id="123"/>
      <w:bookmarkEnd w:id="124"/>
      <w:bookmarkEnd w:id="125"/>
      <w:bookmarkEnd w:id="126"/>
      <w:bookmarkEnd w:id="127"/>
      <w:bookmarkEnd w:id="12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bookmarkEnd w:id="129"/>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45" w:name="_Toc13154"/>
      <w:bookmarkStart w:id="146" w:name="_Toc4081209"/>
      <w:bookmarkStart w:id="147" w:name="_Toc219258487"/>
      <w:bookmarkStart w:id="148" w:name="_Toc220122757"/>
      <w:bookmarkStart w:id="149" w:name="_Toc21814351"/>
      <w:bookmarkStart w:id="150" w:name="_Toc21814398"/>
      <w:bookmarkStart w:id="151" w:name="_Toc21814219"/>
      <w:bookmarkStart w:id="152" w:name="_Toc21815006"/>
      <w:bookmarkStart w:id="153" w:name="_Toc22150983"/>
      <w:bookmarkStart w:id="154" w:name="_Toc22151160"/>
      <w:bookmarkStart w:id="155" w:name="_Toc22198199"/>
      <w:bookmarkStart w:id="156" w:name="_Toc22198317"/>
      <w:bookmarkStart w:id="157" w:name="_Toc22198423"/>
      <w:bookmarkStart w:id="158" w:name="_Toc22198526"/>
      <w:bookmarkStart w:id="159" w:name="_Toc22198822"/>
      <w:bookmarkStart w:id="160" w:name="_Toc22199185"/>
      <w:bookmarkStart w:id="161" w:name="_Toc22199674"/>
      <w:bookmarkStart w:id="162" w:name="_Toc22200309"/>
      <w:bookmarkStart w:id="163" w:name="_Toc22200976"/>
      <w:bookmarkStart w:id="164" w:name="_Toc22202022"/>
      <w:bookmarkStart w:id="165" w:name="_Toc22202314"/>
      <w:bookmarkStart w:id="166" w:name="_Toc22202726"/>
      <w:bookmarkStart w:id="167" w:name="_Toc24969726"/>
      <w:r>
        <w:rPr>
          <w:rFonts w:hint="eastAsia" w:ascii="宋体" w:hAnsi="宋体" w:eastAsia="宋体"/>
          <w:color w:val="000000" w:themeColor="text1"/>
          <w:lang w:eastAsia="zh-CN"/>
        </w:rPr>
        <w:t>2.1</w:t>
      </w:r>
      <w:r>
        <w:rPr>
          <w:rFonts w:ascii="宋体" w:hAnsi="宋体" w:eastAsia="宋体"/>
          <w:color w:val="000000" w:themeColor="text1"/>
          <w:lang w:eastAsia="zh-CN"/>
        </w:rPr>
        <w:t>编制依据</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pStyle w:val="6"/>
        <w:widowControl w:val="0"/>
        <w:tabs>
          <w:tab w:val="left" w:pos="-3680"/>
          <w:tab w:val="left" w:pos="953"/>
        </w:tabs>
        <w:wordWrap w:val="0"/>
        <w:adjustRightInd w:val="0"/>
        <w:snapToGrid w:val="0"/>
        <w:spacing w:beforeLines="50" w:afterLines="50" w:line="360" w:lineRule="auto"/>
        <w:rPr>
          <w:rFonts w:ascii="宋体" w:hAnsi="宋体" w:eastAsia="宋体"/>
          <w:color w:val="000000" w:themeColor="text1"/>
          <w:sz w:val="24"/>
          <w:szCs w:val="24"/>
          <w:lang w:eastAsia="zh-CN"/>
        </w:rPr>
      </w:pPr>
      <w:bookmarkStart w:id="168" w:name="_Toc22202727"/>
      <w:bookmarkStart w:id="169" w:name="_Toc22202315"/>
      <w:bookmarkStart w:id="170" w:name="_Toc22202023"/>
      <w:bookmarkStart w:id="171" w:name="_Toc22200977"/>
      <w:bookmarkStart w:id="172" w:name="_Toc22199675"/>
      <w:bookmarkStart w:id="173" w:name="_Toc22200310"/>
      <w:bookmarkStart w:id="174" w:name="_Toc22199186"/>
      <w:bookmarkStart w:id="175" w:name="_Toc22198823"/>
      <w:bookmarkStart w:id="176" w:name="_Toc22198527"/>
      <w:bookmarkStart w:id="177" w:name="_Toc22198424"/>
      <w:bookmarkStart w:id="178" w:name="_Toc22198318"/>
      <w:bookmarkStart w:id="179" w:name="_Toc22198200"/>
      <w:bookmarkStart w:id="180" w:name="_Toc22151161"/>
      <w:bookmarkStart w:id="181" w:name="_Toc21815007"/>
      <w:bookmarkStart w:id="182" w:name="_Toc22150984"/>
      <w:bookmarkStart w:id="183" w:name="_Toc21814399"/>
      <w:bookmarkStart w:id="184" w:name="_Toc21814352"/>
      <w:bookmarkStart w:id="185" w:name="_Toc21814220"/>
      <w:bookmarkStart w:id="186" w:name="_Toc24969727"/>
      <w:r>
        <w:rPr>
          <w:rFonts w:hint="eastAsia" w:ascii="宋体" w:hAnsi="宋体" w:eastAsia="宋体"/>
          <w:color w:val="000000" w:themeColor="text1"/>
          <w:sz w:val="24"/>
          <w:szCs w:val="24"/>
          <w:lang w:eastAsia="zh-CN"/>
        </w:rPr>
        <w:t>2.1.1</w:t>
      </w:r>
      <w:r>
        <w:rPr>
          <w:rFonts w:ascii="宋体" w:hAnsi="宋体" w:eastAsia="宋体"/>
          <w:color w:val="000000" w:themeColor="text1"/>
          <w:sz w:val="24"/>
          <w:szCs w:val="24"/>
          <w:lang w:eastAsia="zh-CN"/>
        </w:rPr>
        <w:t>国家法律、法规及相关规划</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Style w:val="7"/>
        <w:widowControl w:val="0"/>
        <w:tabs>
          <w:tab w:val="left" w:pos="-3616"/>
          <w:tab w:val="left" w:pos="953"/>
        </w:tabs>
        <w:wordWrap w:val="0"/>
        <w:adjustRightInd w:val="0"/>
        <w:snapToGrid w:val="0"/>
        <w:spacing w:before="0" w:after="200" w:line="360" w:lineRule="auto"/>
        <w:rPr>
          <w:rFonts w:ascii="宋体" w:hAnsi="宋体" w:eastAsia="宋体"/>
          <w:i w:val="0"/>
          <w:color w:val="000000" w:themeColor="text1"/>
          <w:sz w:val="24"/>
          <w:szCs w:val="24"/>
          <w:lang w:eastAsia="zh-CN"/>
        </w:rPr>
      </w:pPr>
      <w:bookmarkStart w:id="187" w:name="_Toc219258488"/>
      <w:bookmarkStart w:id="188" w:name="_Toc220122758"/>
      <w:r>
        <w:rPr>
          <w:rFonts w:hint="eastAsia" w:ascii="宋体" w:hAnsi="宋体" w:eastAsia="宋体"/>
          <w:i w:val="0"/>
          <w:color w:val="000000" w:themeColor="text1"/>
          <w:sz w:val="24"/>
          <w:szCs w:val="24"/>
          <w:lang w:eastAsia="zh-CN"/>
        </w:rPr>
        <w:t>2.1.1.1</w:t>
      </w:r>
      <w:r>
        <w:rPr>
          <w:rFonts w:ascii="宋体" w:hAnsi="宋体" w:eastAsia="宋体"/>
          <w:i w:val="0"/>
          <w:color w:val="000000" w:themeColor="text1"/>
          <w:sz w:val="24"/>
          <w:szCs w:val="24"/>
          <w:lang w:eastAsia="zh-CN"/>
        </w:rPr>
        <w:t>法律</w:t>
      </w:r>
      <w:bookmarkEnd w:id="187"/>
      <w:bookmarkEnd w:id="188"/>
    </w:p>
    <w:p>
      <w:pPr>
        <w:pStyle w:val="29"/>
        <w:numPr>
          <w:ilvl w:val="1"/>
          <w:numId w:val="2"/>
        </w:numPr>
        <w:wordWrap w:val="0"/>
        <w:spacing w:after="0"/>
        <w:ind w:firstLineChars="0"/>
      </w:pPr>
      <w:r>
        <w:t>《中华人民共和国环境保护法》，</w:t>
      </w:r>
      <w:r>
        <w:rPr>
          <w:szCs w:val="24"/>
        </w:rPr>
        <w:t>2015年1月1日起施行</w:t>
      </w:r>
      <w:r>
        <w:t>；</w:t>
      </w:r>
    </w:p>
    <w:p>
      <w:pPr>
        <w:pStyle w:val="29"/>
        <w:numPr>
          <w:ilvl w:val="1"/>
          <w:numId w:val="2"/>
        </w:numPr>
        <w:wordWrap w:val="0"/>
        <w:spacing w:after="0"/>
        <w:ind w:firstLineChars="0"/>
      </w:pPr>
      <w:r>
        <w:t>《中华人民共和国环境影响评价法》，</w:t>
      </w:r>
      <w:r>
        <w:rPr>
          <w:szCs w:val="24"/>
        </w:rPr>
        <w:t>2018年12月29日修订</w:t>
      </w:r>
      <w:r>
        <w:t>；</w:t>
      </w:r>
    </w:p>
    <w:p>
      <w:pPr>
        <w:pStyle w:val="29"/>
        <w:numPr>
          <w:ilvl w:val="1"/>
          <w:numId w:val="2"/>
        </w:numPr>
        <w:wordWrap w:val="0"/>
        <w:spacing w:after="0"/>
        <w:ind w:firstLineChars="0"/>
      </w:pPr>
      <w:r>
        <w:t>《中华人民共和国水污染防治法》，</w:t>
      </w:r>
      <w:r>
        <w:rPr>
          <w:szCs w:val="24"/>
        </w:rPr>
        <w:t>2018年1月1日起施行</w:t>
      </w:r>
      <w:r>
        <w:t>；</w:t>
      </w:r>
    </w:p>
    <w:p>
      <w:pPr>
        <w:pStyle w:val="29"/>
        <w:numPr>
          <w:ilvl w:val="1"/>
          <w:numId w:val="2"/>
        </w:numPr>
        <w:wordWrap w:val="0"/>
        <w:spacing w:after="0"/>
        <w:ind w:firstLineChars="0"/>
      </w:pPr>
      <w:r>
        <w:t>《中华人民共和国大气污染防治法》，2</w:t>
      </w:r>
      <w:r>
        <w:rPr>
          <w:szCs w:val="24"/>
        </w:rPr>
        <w:t>018年10月26日起施行</w:t>
      </w:r>
      <w:r>
        <w:t>；</w:t>
      </w:r>
    </w:p>
    <w:p>
      <w:pPr>
        <w:pStyle w:val="29"/>
        <w:numPr>
          <w:ilvl w:val="1"/>
          <w:numId w:val="2"/>
        </w:numPr>
        <w:wordWrap w:val="0"/>
        <w:spacing w:after="0"/>
        <w:ind w:firstLineChars="0"/>
      </w:pPr>
      <w:r>
        <w:t>《中华人民共和国环境噪声污染防治法》，</w:t>
      </w:r>
      <w:r>
        <w:rPr>
          <w:szCs w:val="24"/>
        </w:rPr>
        <w:t>2018年12月29日起施行</w:t>
      </w:r>
      <w:r>
        <w:t>；</w:t>
      </w:r>
    </w:p>
    <w:p>
      <w:pPr>
        <w:pStyle w:val="29"/>
        <w:numPr>
          <w:ilvl w:val="1"/>
          <w:numId w:val="2"/>
        </w:numPr>
        <w:wordWrap w:val="0"/>
        <w:spacing w:after="0"/>
        <w:ind w:firstLineChars="0"/>
      </w:pPr>
      <w:r>
        <w:t>《中华人民共和国清洁生产促进法》，2012年7月1日起施行；</w:t>
      </w:r>
    </w:p>
    <w:p>
      <w:pPr>
        <w:pStyle w:val="29"/>
        <w:numPr>
          <w:ilvl w:val="1"/>
          <w:numId w:val="2"/>
        </w:numPr>
        <w:wordWrap w:val="0"/>
        <w:spacing w:after="0"/>
        <w:ind w:firstLineChars="0"/>
      </w:pPr>
      <w:r>
        <w:t>《中华人民共和国水土保持法》，2011年3月1日起施行；</w:t>
      </w:r>
    </w:p>
    <w:p>
      <w:pPr>
        <w:pStyle w:val="29"/>
        <w:numPr>
          <w:ilvl w:val="1"/>
          <w:numId w:val="2"/>
        </w:numPr>
        <w:wordWrap w:val="0"/>
        <w:spacing w:after="0"/>
        <w:ind w:firstLineChars="0"/>
      </w:pPr>
      <w:r>
        <w:t>《中华人民共和国水法》，2016年9月1日起施行；</w:t>
      </w:r>
    </w:p>
    <w:p>
      <w:pPr>
        <w:pStyle w:val="29"/>
        <w:numPr>
          <w:ilvl w:val="1"/>
          <w:numId w:val="2"/>
        </w:numPr>
        <w:wordWrap w:val="0"/>
        <w:spacing w:after="0"/>
        <w:ind w:firstLineChars="0"/>
      </w:pPr>
      <w:r>
        <w:rPr>
          <w:kern w:val="0"/>
        </w:rPr>
        <w:t>《中华人民共和国循环经济促进法》，2009年1月1日起施行</w:t>
      </w:r>
      <w:r>
        <w:t>；</w:t>
      </w:r>
    </w:p>
    <w:p>
      <w:pPr>
        <w:pStyle w:val="29"/>
        <w:numPr>
          <w:ilvl w:val="1"/>
          <w:numId w:val="2"/>
        </w:numPr>
        <w:wordWrap w:val="0"/>
        <w:spacing w:after="0"/>
        <w:ind w:firstLineChars="0"/>
        <w:rPr>
          <w:kern w:val="0"/>
          <w:lang w:val="zh-CN"/>
        </w:rPr>
      </w:pPr>
      <w:r>
        <w:rPr>
          <w:snapToGrid w:val="0"/>
          <w:kern w:val="0"/>
        </w:rPr>
        <w:t>《中华人民共和国</w:t>
      </w:r>
      <w:r>
        <w:rPr>
          <w:kern w:val="0"/>
          <w:lang w:val="zh-CN"/>
        </w:rPr>
        <w:t>节约能源法》</w:t>
      </w:r>
      <w:r>
        <w:rPr>
          <w:kern w:val="0"/>
        </w:rPr>
        <w:t>(2018修正版)</w:t>
      </w:r>
      <w:r>
        <w:rPr>
          <w:kern w:val="0"/>
          <w:lang w:val="zh-CN"/>
        </w:rPr>
        <w:t>，20</w:t>
      </w:r>
      <w:r>
        <w:rPr>
          <w:kern w:val="0"/>
        </w:rPr>
        <w:t>1</w:t>
      </w:r>
      <w:r>
        <w:rPr>
          <w:kern w:val="0"/>
          <w:lang w:val="zh-CN"/>
        </w:rPr>
        <w:t>8年</w:t>
      </w:r>
      <w:r>
        <w:rPr>
          <w:kern w:val="0"/>
        </w:rPr>
        <w:t>10</w:t>
      </w:r>
      <w:r>
        <w:rPr>
          <w:kern w:val="0"/>
          <w:lang w:val="zh-CN"/>
        </w:rPr>
        <w:t>月</w:t>
      </w:r>
      <w:r>
        <w:rPr>
          <w:kern w:val="0"/>
        </w:rPr>
        <w:t>26</w:t>
      </w:r>
      <w:r>
        <w:rPr>
          <w:kern w:val="0"/>
          <w:lang w:val="zh-CN"/>
        </w:rPr>
        <w:t>日起施行；</w:t>
      </w:r>
    </w:p>
    <w:p>
      <w:pPr>
        <w:pStyle w:val="29"/>
        <w:numPr>
          <w:ilvl w:val="1"/>
          <w:numId w:val="2"/>
        </w:numPr>
        <w:wordWrap w:val="0"/>
        <w:spacing w:after="0"/>
        <w:ind w:firstLineChars="0"/>
      </w:pPr>
      <w:r>
        <w:rPr>
          <w:kern w:val="0"/>
          <w:lang w:val="zh-CN"/>
        </w:rPr>
        <w:t>《中华人民共和国土地管理法》，</w:t>
      </w:r>
      <w:r>
        <w:t>2004年8月28日起施行</w:t>
      </w:r>
      <w:r>
        <w:rPr>
          <w:snapToGrid w:val="0"/>
        </w:rPr>
        <w:t>。</w:t>
      </w:r>
    </w:p>
    <w:p>
      <w:pPr>
        <w:pStyle w:val="7"/>
        <w:widowControl w:val="0"/>
        <w:tabs>
          <w:tab w:val="left" w:pos="-3616"/>
          <w:tab w:val="left" w:pos="953"/>
        </w:tabs>
        <w:wordWrap w:val="0"/>
        <w:adjustRightInd w:val="0"/>
        <w:snapToGrid w:val="0"/>
        <w:spacing w:before="0" w:after="200" w:line="360" w:lineRule="auto"/>
        <w:ind w:left="142"/>
        <w:rPr>
          <w:i w:val="0"/>
          <w:color w:val="000000" w:themeColor="text1"/>
          <w:sz w:val="24"/>
          <w:szCs w:val="24"/>
          <w:lang w:eastAsia="zh-CN"/>
        </w:rPr>
      </w:pPr>
      <w:bookmarkStart w:id="189" w:name="_Toc220122759"/>
      <w:bookmarkStart w:id="190" w:name="_Toc219258489"/>
      <w:r>
        <w:rPr>
          <w:rFonts w:hint="eastAsia" w:eastAsia="宋体"/>
          <w:i w:val="0"/>
          <w:color w:val="000000" w:themeColor="text1"/>
          <w:sz w:val="24"/>
          <w:szCs w:val="24"/>
          <w:lang w:eastAsia="zh-CN"/>
        </w:rPr>
        <w:t>2.1.1.2</w:t>
      </w:r>
      <w:r>
        <w:rPr>
          <w:i w:val="0"/>
          <w:color w:val="000000" w:themeColor="text1"/>
          <w:sz w:val="24"/>
          <w:szCs w:val="24"/>
          <w:lang w:eastAsia="zh-CN"/>
        </w:rPr>
        <w:t>法规</w:t>
      </w:r>
      <w:bookmarkEnd w:id="189"/>
      <w:bookmarkEnd w:id="190"/>
      <w:r>
        <w:rPr>
          <w:i w:val="0"/>
          <w:color w:val="000000" w:themeColor="text1"/>
          <w:sz w:val="24"/>
          <w:szCs w:val="24"/>
          <w:lang w:eastAsia="zh-CN"/>
        </w:rPr>
        <w:t>、相关规划</w:t>
      </w:r>
    </w:p>
    <w:p>
      <w:pPr>
        <w:pStyle w:val="29"/>
        <w:numPr>
          <w:ilvl w:val="0"/>
          <w:numId w:val="3"/>
        </w:numPr>
        <w:tabs>
          <w:tab w:val="left" w:pos="137"/>
        </w:tabs>
        <w:wordWrap w:val="0"/>
        <w:spacing w:after="0"/>
        <w:ind w:firstLineChars="0"/>
      </w:pPr>
      <w:r>
        <w:t>《建设项目环境保护管理条例》（国务院令第682号，2017.10.1）；</w:t>
      </w:r>
    </w:p>
    <w:p>
      <w:pPr>
        <w:pStyle w:val="29"/>
        <w:numPr>
          <w:ilvl w:val="0"/>
          <w:numId w:val="3"/>
        </w:numPr>
        <w:tabs>
          <w:tab w:val="left" w:pos="137"/>
        </w:tabs>
        <w:wordWrap w:val="0"/>
        <w:spacing w:after="0"/>
        <w:ind w:firstLineChars="0"/>
      </w:pPr>
      <w:r>
        <w:t>《国务院关于环境保护若干问题的决定》（国发[1996]31号文）；</w:t>
      </w:r>
      <w:r>
        <w:rPr>
          <w:snapToGrid w:val="0"/>
          <w:kern w:val="0"/>
        </w:rPr>
        <w:t>《国务院关于落实科学发展观加强环境保护的决定》（</w:t>
      </w:r>
      <w:r>
        <w:rPr>
          <w:snapToGrid w:val="0"/>
          <w:spacing w:val="-10"/>
          <w:kern w:val="0"/>
        </w:rPr>
        <w:t>国发</w:t>
      </w:r>
      <w:r>
        <w:t>[</w:t>
      </w:r>
      <w:r>
        <w:rPr>
          <w:snapToGrid w:val="0"/>
          <w:spacing w:val="-10"/>
          <w:kern w:val="0"/>
        </w:rPr>
        <w:t>2005</w:t>
      </w:r>
      <w:r>
        <w:t>]</w:t>
      </w:r>
      <w:r>
        <w:rPr>
          <w:snapToGrid w:val="0"/>
          <w:spacing w:val="-10"/>
          <w:kern w:val="0"/>
        </w:rPr>
        <w:t>39号）</w:t>
      </w:r>
      <w:r>
        <w:t>；</w:t>
      </w:r>
    </w:p>
    <w:p>
      <w:pPr>
        <w:pStyle w:val="29"/>
        <w:numPr>
          <w:ilvl w:val="0"/>
          <w:numId w:val="3"/>
        </w:numPr>
        <w:tabs>
          <w:tab w:val="left" w:pos="137"/>
        </w:tabs>
        <w:wordWrap w:val="0"/>
        <w:spacing w:after="0"/>
        <w:ind w:firstLineChars="0"/>
      </w:pPr>
      <w:r>
        <w:t>《产业结构调整指导目录（2011年本）（2013年修正）》；</w:t>
      </w:r>
    </w:p>
    <w:p>
      <w:pPr>
        <w:pStyle w:val="29"/>
        <w:numPr>
          <w:ilvl w:val="0"/>
          <w:numId w:val="3"/>
        </w:numPr>
        <w:tabs>
          <w:tab w:val="left" w:pos="137"/>
        </w:tabs>
        <w:wordWrap w:val="0"/>
        <w:spacing w:after="0"/>
        <w:ind w:firstLineChars="0"/>
        <w:rPr>
          <w:kern w:val="0"/>
        </w:rPr>
      </w:pPr>
      <w:r>
        <w:rPr>
          <w:kern w:val="0"/>
        </w:rPr>
        <w:t>《建设项目环境影响评价分类管理名录》（2018版）（国家生态环境部部令第1号）2018.4.28；</w:t>
      </w:r>
    </w:p>
    <w:p>
      <w:pPr>
        <w:pStyle w:val="29"/>
        <w:numPr>
          <w:ilvl w:val="0"/>
          <w:numId w:val="3"/>
        </w:numPr>
        <w:tabs>
          <w:tab w:val="left" w:pos="137"/>
        </w:tabs>
        <w:wordWrap w:val="0"/>
        <w:spacing w:after="0"/>
        <w:ind w:firstLineChars="0"/>
        <w:rPr>
          <w:kern w:val="0"/>
        </w:rPr>
      </w:pPr>
      <w:r>
        <w:t>《关于进一步加强环境影响评价管理防范环境风险的通知》（环发[2012]77号）；</w:t>
      </w:r>
    </w:p>
    <w:p>
      <w:pPr>
        <w:pStyle w:val="29"/>
        <w:numPr>
          <w:ilvl w:val="0"/>
          <w:numId w:val="3"/>
        </w:numPr>
        <w:tabs>
          <w:tab w:val="left" w:pos="137"/>
        </w:tabs>
        <w:wordWrap w:val="0"/>
        <w:spacing w:after="0"/>
        <w:ind w:firstLineChars="0"/>
        <w:rPr>
          <w:kern w:val="0"/>
        </w:rPr>
      </w:pPr>
      <w:r>
        <w:t>《关于切实加强风险防范严格环境影响评价管理的通知》（环发[2012]98号）；</w:t>
      </w:r>
    </w:p>
    <w:p>
      <w:pPr>
        <w:pStyle w:val="29"/>
        <w:numPr>
          <w:ilvl w:val="0"/>
          <w:numId w:val="3"/>
        </w:numPr>
        <w:tabs>
          <w:tab w:val="left" w:pos="137"/>
        </w:tabs>
        <w:wordWrap w:val="0"/>
        <w:spacing w:after="0"/>
        <w:ind w:firstLineChars="0"/>
      </w:pPr>
      <w:r>
        <w:t>《国务院关于加强环境保护重点工作的意见》（国发〔2011〕35号）；</w:t>
      </w:r>
    </w:p>
    <w:p>
      <w:pPr>
        <w:pStyle w:val="29"/>
        <w:numPr>
          <w:ilvl w:val="0"/>
          <w:numId w:val="3"/>
        </w:numPr>
        <w:tabs>
          <w:tab w:val="left" w:pos="137"/>
        </w:tabs>
        <w:wordWrap w:val="0"/>
        <w:spacing w:after="0"/>
        <w:ind w:firstLineChars="0"/>
      </w:pPr>
      <w:r>
        <w:t>《</w:t>
      </w:r>
      <w:r>
        <w:rPr>
          <w:bCs/>
        </w:rPr>
        <w:t>国务院关于印发大气污染防治行动计划的通知》（国发〔2013〕37号）；</w:t>
      </w:r>
    </w:p>
    <w:p>
      <w:pPr>
        <w:pStyle w:val="29"/>
        <w:numPr>
          <w:ilvl w:val="0"/>
          <w:numId w:val="3"/>
        </w:numPr>
        <w:tabs>
          <w:tab w:val="left" w:pos="137"/>
        </w:tabs>
        <w:wordWrap w:val="0"/>
        <w:spacing w:after="0"/>
        <w:ind w:firstLineChars="0"/>
      </w:pPr>
      <w:r>
        <w:t>《</w:t>
      </w:r>
      <w:r>
        <w:rPr>
          <w:bCs/>
        </w:rPr>
        <w:t>国务院关于印发水污染防治行动计划的通知》（国发〔2015〕17号）；</w:t>
      </w:r>
    </w:p>
    <w:p>
      <w:pPr>
        <w:pStyle w:val="29"/>
        <w:numPr>
          <w:ilvl w:val="0"/>
          <w:numId w:val="3"/>
        </w:numPr>
        <w:tabs>
          <w:tab w:val="left" w:pos="137"/>
        </w:tabs>
        <w:wordWrap w:val="0"/>
        <w:spacing w:after="0"/>
        <w:ind w:firstLineChars="0"/>
      </w:pPr>
      <w:r>
        <w:t>《土壤污染防治行动计划》（国发〔2016〕31号 ）</w:t>
      </w:r>
      <w:r>
        <w:rPr>
          <w:bCs/>
        </w:rPr>
        <w:t>；</w:t>
      </w:r>
    </w:p>
    <w:p>
      <w:pPr>
        <w:pStyle w:val="29"/>
        <w:numPr>
          <w:ilvl w:val="0"/>
          <w:numId w:val="3"/>
        </w:numPr>
        <w:tabs>
          <w:tab w:val="left" w:pos="137"/>
        </w:tabs>
        <w:wordWrap w:val="0"/>
        <w:spacing w:after="0"/>
        <w:ind w:firstLineChars="0"/>
      </w:pPr>
      <w:r>
        <w:t>《环境影响评价公众参与办法》(生态环境部部令第4号,2019年1月1日施行)。</w:t>
      </w:r>
    </w:p>
    <w:p>
      <w:pPr>
        <w:pStyle w:val="29"/>
        <w:numPr>
          <w:ilvl w:val="0"/>
          <w:numId w:val="3"/>
        </w:numPr>
        <w:tabs>
          <w:tab w:val="left" w:pos="137"/>
        </w:tabs>
        <w:wordWrap w:val="0"/>
        <w:spacing w:after="0"/>
        <w:ind w:firstLineChars="0"/>
      </w:pPr>
      <w:r>
        <w:rPr>
          <w:snapToGrid w:val="0"/>
          <w:kern w:val="0"/>
        </w:rPr>
        <w:t>《国务院关于落实科学发展观加强环境保护的决定》（</w:t>
      </w:r>
      <w:r>
        <w:rPr>
          <w:snapToGrid w:val="0"/>
          <w:spacing w:val="-10"/>
          <w:kern w:val="0"/>
        </w:rPr>
        <w:t>国发</w:t>
      </w:r>
      <w:r>
        <w:t>[</w:t>
      </w:r>
      <w:r>
        <w:rPr>
          <w:snapToGrid w:val="0"/>
          <w:spacing w:val="-10"/>
          <w:kern w:val="0"/>
        </w:rPr>
        <w:t>2005</w:t>
      </w:r>
      <w:r>
        <w:t>]</w:t>
      </w:r>
      <w:r>
        <w:rPr>
          <w:snapToGrid w:val="0"/>
          <w:spacing w:val="-10"/>
          <w:kern w:val="0"/>
        </w:rPr>
        <w:t>39号）</w:t>
      </w:r>
      <w:r>
        <w:rPr>
          <w:rFonts w:hint="eastAsia"/>
          <w:snapToGrid w:val="0"/>
          <w:spacing w:val="-10"/>
          <w:kern w:val="0"/>
        </w:rPr>
        <w:t>。</w:t>
      </w:r>
    </w:p>
    <w:p>
      <w:pPr>
        <w:pStyle w:val="6"/>
        <w:widowControl w:val="0"/>
        <w:tabs>
          <w:tab w:val="left" w:pos="-3680"/>
          <w:tab w:val="left" w:pos="953"/>
        </w:tabs>
        <w:wordWrap w:val="0"/>
        <w:adjustRightInd w:val="0"/>
        <w:snapToGrid w:val="0"/>
        <w:spacing w:beforeLines="50" w:after="200" w:line="360" w:lineRule="auto"/>
        <w:rPr>
          <w:rFonts w:ascii="宋体" w:hAnsi="宋体" w:eastAsia="宋体"/>
          <w:color w:val="000000" w:themeColor="text1"/>
          <w:sz w:val="24"/>
          <w:szCs w:val="24"/>
          <w:lang w:eastAsia="zh-CN"/>
        </w:rPr>
      </w:pPr>
      <w:bookmarkStart w:id="191" w:name="_Toc24969728"/>
      <w:bookmarkStart w:id="192" w:name="_Toc22199187"/>
      <w:bookmarkStart w:id="193" w:name="_Toc22198528"/>
      <w:bookmarkStart w:id="194" w:name="_Toc22198824"/>
      <w:bookmarkStart w:id="195" w:name="_Toc22198319"/>
      <w:bookmarkStart w:id="196" w:name="_Toc21815008"/>
      <w:bookmarkStart w:id="197" w:name="_Toc22198201"/>
      <w:bookmarkStart w:id="198" w:name="_Toc22198425"/>
      <w:bookmarkStart w:id="199" w:name="_Toc21814400"/>
      <w:bookmarkStart w:id="200" w:name="_Toc21814221"/>
      <w:bookmarkStart w:id="201" w:name="_Toc22202024"/>
      <w:bookmarkStart w:id="202" w:name="_Toc22151162"/>
      <w:bookmarkStart w:id="203" w:name="_Toc22202728"/>
      <w:bookmarkStart w:id="204" w:name="_Toc22202316"/>
      <w:bookmarkStart w:id="205" w:name="_Toc22200978"/>
      <w:bookmarkStart w:id="206" w:name="_Toc22200311"/>
      <w:bookmarkStart w:id="207" w:name="_Toc22150985"/>
      <w:bookmarkStart w:id="208" w:name="_Toc22199676"/>
      <w:bookmarkStart w:id="209" w:name="_Toc21814353"/>
      <w:r>
        <w:rPr>
          <w:rFonts w:hint="eastAsia" w:ascii="宋体" w:hAnsi="宋体" w:eastAsia="宋体"/>
          <w:color w:val="000000" w:themeColor="text1"/>
          <w:sz w:val="24"/>
          <w:szCs w:val="24"/>
          <w:lang w:eastAsia="zh-CN"/>
        </w:rPr>
        <w:t>2.1.1.3</w:t>
      </w:r>
      <w:r>
        <w:rPr>
          <w:rFonts w:ascii="宋体" w:hAnsi="宋体" w:eastAsia="宋体"/>
          <w:color w:val="000000" w:themeColor="text1"/>
          <w:sz w:val="24"/>
          <w:szCs w:val="24"/>
          <w:lang w:eastAsia="zh-CN"/>
        </w:rPr>
        <w:t>地方法规、规划</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Style w:val="29"/>
        <w:numPr>
          <w:ilvl w:val="0"/>
          <w:numId w:val="4"/>
        </w:numPr>
        <w:wordWrap w:val="0"/>
        <w:spacing w:after="0"/>
        <w:ind w:firstLineChars="0"/>
      </w:pPr>
      <w:r>
        <w:t>《湖南省“十三五”环境保护规划》，2016年9月；</w:t>
      </w:r>
    </w:p>
    <w:p>
      <w:pPr>
        <w:pStyle w:val="29"/>
        <w:numPr>
          <w:ilvl w:val="0"/>
          <w:numId w:val="4"/>
        </w:numPr>
        <w:wordWrap w:val="0"/>
        <w:spacing w:after="0"/>
        <w:ind w:firstLineChars="0"/>
      </w:pPr>
      <w:r>
        <w:t>《湖南省环境保护暂行条例》，2013年5月27日修正；</w:t>
      </w:r>
    </w:p>
    <w:p>
      <w:pPr>
        <w:pStyle w:val="29"/>
        <w:numPr>
          <w:ilvl w:val="0"/>
          <w:numId w:val="4"/>
        </w:numPr>
        <w:wordWrap w:val="0"/>
        <w:spacing w:after="0"/>
        <w:ind w:firstLineChars="0"/>
      </w:pPr>
      <w:r>
        <w:t>《湖南省人民政府关于落实科学发展观切实加强环境保护的决定》（湘政发[2006]23号）；</w:t>
      </w:r>
    </w:p>
    <w:p>
      <w:pPr>
        <w:pStyle w:val="29"/>
        <w:numPr>
          <w:ilvl w:val="0"/>
          <w:numId w:val="4"/>
        </w:numPr>
        <w:wordWrap w:val="0"/>
        <w:spacing w:after="0"/>
        <w:ind w:firstLineChars="0"/>
      </w:pPr>
      <w:r>
        <w:t>《</w:t>
      </w:r>
      <w:r>
        <w:rPr>
          <w:kern w:val="0"/>
        </w:rPr>
        <w:t>中共湖南省委湖南省人民政府关于大力发展循环经济建设资源节约型和环境友好型社会的意见</w:t>
      </w:r>
      <w:r>
        <w:t>》；</w:t>
      </w:r>
    </w:p>
    <w:p>
      <w:pPr>
        <w:pStyle w:val="29"/>
        <w:numPr>
          <w:ilvl w:val="0"/>
          <w:numId w:val="4"/>
        </w:numPr>
        <w:wordWrap w:val="0"/>
        <w:spacing w:after="0"/>
        <w:ind w:firstLineChars="0"/>
      </w:pPr>
      <w:r>
        <w:t>《湖南省建设项目环境保护管理办法》（湖南省人民政府令第215号）；</w:t>
      </w:r>
    </w:p>
    <w:p>
      <w:pPr>
        <w:pStyle w:val="29"/>
        <w:numPr>
          <w:ilvl w:val="0"/>
          <w:numId w:val="4"/>
        </w:numPr>
        <w:wordWrap w:val="0"/>
        <w:spacing w:after="0"/>
        <w:ind w:firstLineChars="0"/>
      </w:pPr>
      <w:r>
        <w:t>《湖南省主要水系地表水环境功能区划》（DB 43/023-2005）；</w:t>
      </w:r>
    </w:p>
    <w:p>
      <w:pPr>
        <w:pStyle w:val="29"/>
        <w:numPr>
          <w:ilvl w:val="0"/>
          <w:numId w:val="4"/>
        </w:numPr>
        <w:wordWrap w:val="0"/>
        <w:spacing w:after="0"/>
        <w:ind w:firstLineChars="0"/>
      </w:pPr>
      <w:r>
        <w:t>湖南省人民政府关于印发《湖南省贯彻落实〈水污染防治行动计划〉实施方案（2016-2020年）》的通知（湘政发[2015]53号）；</w:t>
      </w:r>
    </w:p>
    <w:p>
      <w:pPr>
        <w:pStyle w:val="29"/>
        <w:numPr>
          <w:ilvl w:val="0"/>
          <w:numId w:val="4"/>
        </w:numPr>
        <w:wordWrap w:val="0"/>
        <w:spacing w:after="0"/>
        <w:ind w:firstLineChars="0"/>
      </w:pPr>
      <w:r>
        <w:t>湖南省人民政府办公厅关于印发《湖南省2014-2016年“两供两治”设施建设实施方案》的通知，湘政办发[2014]75号；</w:t>
      </w:r>
    </w:p>
    <w:p>
      <w:pPr>
        <w:pStyle w:val="29"/>
        <w:numPr>
          <w:ilvl w:val="0"/>
          <w:numId w:val="4"/>
        </w:numPr>
        <w:tabs>
          <w:tab w:val="left" w:pos="425"/>
          <w:tab w:val="left" w:pos="564"/>
        </w:tabs>
        <w:wordWrap w:val="0"/>
        <w:spacing w:after="0"/>
        <w:ind w:firstLineChars="0"/>
        <w:rPr>
          <w:szCs w:val="24"/>
        </w:rPr>
      </w:pPr>
      <w:r>
        <w:rPr>
          <w:bCs/>
        </w:rPr>
        <w:t>《</w:t>
      </w:r>
      <w:r>
        <w:rPr>
          <w:rFonts w:hint="eastAsia"/>
          <w:bCs/>
        </w:rPr>
        <w:t>岳阳市</w:t>
      </w:r>
      <w:r>
        <w:rPr>
          <w:bCs/>
        </w:rPr>
        <w:t>土地利用总体规划（2006-2020 年）（2015年修订版）》</w:t>
      </w:r>
      <w:r>
        <w:rPr>
          <w:szCs w:val="24"/>
        </w:rPr>
        <w:t>；</w:t>
      </w:r>
    </w:p>
    <w:p>
      <w:pPr>
        <w:pStyle w:val="29"/>
        <w:numPr>
          <w:ilvl w:val="0"/>
          <w:numId w:val="4"/>
        </w:numPr>
        <w:tabs>
          <w:tab w:val="left" w:pos="425"/>
          <w:tab w:val="left" w:pos="564"/>
        </w:tabs>
        <w:wordWrap w:val="0"/>
        <w:spacing w:after="0"/>
        <w:ind w:firstLineChars="0"/>
        <w:rPr>
          <w:szCs w:val="24"/>
        </w:rPr>
      </w:pPr>
      <w:r>
        <w:rPr>
          <w:snapToGrid w:val="0"/>
          <w:kern w:val="0"/>
        </w:rPr>
        <w:t>《洞庭湖生态环境专项整治三年行动计划（2018-2020 年）》（湘政办发[2017]83 号）</w:t>
      </w:r>
      <w:r>
        <w:rPr>
          <w:szCs w:val="24"/>
        </w:rPr>
        <w:t>；</w:t>
      </w:r>
    </w:p>
    <w:p>
      <w:pPr>
        <w:pStyle w:val="29"/>
        <w:numPr>
          <w:ilvl w:val="0"/>
          <w:numId w:val="4"/>
        </w:numPr>
        <w:tabs>
          <w:tab w:val="left" w:pos="425"/>
          <w:tab w:val="left" w:pos="564"/>
        </w:tabs>
        <w:wordWrap w:val="0"/>
        <w:spacing w:after="0"/>
        <w:ind w:firstLineChars="0"/>
        <w:rPr>
          <w:szCs w:val="24"/>
        </w:rPr>
      </w:pPr>
      <w:r>
        <w:rPr>
          <w:snapToGrid w:val="0"/>
          <w:kern w:val="0"/>
        </w:rPr>
        <w:t>湖</w:t>
      </w:r>
      <w:r>
        <w:rPr>
          <w:snapToGrid w:val="0"/>
          <w:kern w:val="0"/>
          <w:szCs w:val="22"/>
        </w:rPr>
        <w:t xml:space="preserve">南省政府办公厅《统筹推进“一湖四水”生态环境综合整治总体方案（2018-2020年）》的通知 </w:t>
      </w:r>
      <w:r>
        <w:rPr>
          <w:snapToGrid w:val="0"/>
          <w:kern w:val="0"/>
        </w:rPr>
        <w:t>（</w:t>
      </w:r>
      <w:r>
        <w:rPr>
          <w:snapToGrid w:val="0"/>
          <w:kern w:val="0"/>
          <w:szCs w:val="22"/>
        </w:rPr>
        <w:t>湘政办发〔2018〕14号</w:t>
      </w:r>
      <w:r>
        <w:rPr>
          <w:snapToGrid w:val="0"/>
          <w:kern w:val="0"/>
        </w:rPr>
        <w:t>）</w:t>
      </w:r>
      <w:r>
        <w:rPr>
          <w:snapToGrid w:val="0"/>
          <w:kern w:val="0"/>
          <w:szCs w:val="22"/>
        </w:rPr>
        <w:t>。</w:t>
      </w:r>
    </w:p>
    <w:p>
      <w:pPr>
        <w:pStyle w:val="6"/>
        <w:widowControl w:val="0"/>
        <w:tabs>
          <w:tab w:val="left" w:pos="-3680"/>
          <w:tab w:val="left" w:pos="953"/>
        </w:tabs>
        <w:wordWrap w:val="0"/>
        <w:adjustRightInd w:val="0"/>
        <w:snapToGrid w:val="0"/>
        <w:spacing w:beforeLines="50" w:afterLines="50" w:line="360" w:lineRule="auto"/>
        <w:rPr>
          <w:color w:val="000000" w:themeColor="text1"/>
          <w:sz w:val="24"/>
          <w:szCs w:val="24"/>
          <w:lang w:eastAsia="zh-CN"/>
        </w:rPr>
      </w:pPr>
      <w:bookmarkStart w:id="210" w:name="_Toc219258490"/>
      <w:bookmarkStart w:id="211" w:name="_Toc220122760"/>
      <w:bookmarkStart w:id="212" w:name="_Toc22198202"/>
      <w:bookmarkStart w:id="213" w:name="_Toc22151163"/>
      <w:bookmarkStart w:id="214" w:name="_Toc22150986"/>
      <w:bookmarkStart w:id="215" w:name="_Toc21814222"/>
      <w:bookmarkStart w:id="216" w:name="_Toc21814401"/>
      <w:bookmarkStart w:id="217" w:name="_Toc21814354"/>
      <w:bookmarkStart w:id="218" w:name="_Toc21815009"/>
      <w:bookmarkStart w:id="219" w:name="_Toc22198426"/>
      <w:bookmarkStart w:id="220" w:name="_Toc24969729"/>
      <w:bookmarkStart w:id="221" w:name="_Toc22202729"/>
      <w:bookmarkStart w:id="222" w:name="_Toc22202317"/>
      <w:bookmarkStart w:id="223" w:name="_Toc22202025"/>
      <w:bookmarkStart w:id="224" w:name="_Toc22199188"/>
      <w:bookmarkStart w:id="225" w:name="_Toc22200979"/>
      <w:bookmarkStart w:id="226" w:name="_Toc22200312"/>
      <w:bookmarkStart w:id="227" w:name="_Toc22198825"/>
      <w:bookmarkStart w:id="228" w:name="_Toc22199677"/>
      <w:bookmarkStart w:id="229" w:name="_Toc22198320"/>
      <w:bookmarkStart w:id="230" w:name="_Toc22198529"/>
      <w:r>
        <w:rPr>
          <w:rFonts w:hint="eastAsia" w:eastAsia="宋体"/>
          <w:color w:val="000000" w:themeColor="text1"/>
          <w:sz w:val="24"/>
          <w:szCs w:val="24"/>
          <w:lang w:eastAsia="zh-CN"/>
        </w:rPr>
        <w:t>2.1.1.4</w:t>
      </w:r>
      <w:r>
        <w:rPr>
          <w:color w:val="000000" w:themeColor="text1"/>
          <w:sz w:val="24"/>
          <w:szCs w:val="24"/>
          <w:lang w:eastAsia="zh-CN"/>
        </w:rPr>
        <w:t>技术</w:t>
      </w:r>
      <w:bookmarkEnd w:id="210"/>
      <w:bookmarkEnd w:id="211"/>
      <w:r>
        <w:rPr>
          <w:color w:val="000000" w:themeColor="text1"/>
          <w:sz w:val="24"/>
          <w:szCs w:val="24"/>
          <w:lang w:eastAsia="zh-CN"/>
        </w:rPr>
        <w:t>导则与相关规范</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29"/>
        <w:numPr>
          <w:ilvl w:val="0"/>
          <w:numId w:val="5"/>
        </w:numPr>
        <w:tabs>
          <w:tab w:val="left" w:pos="0"/>
        </w:tabs>
        <w:wordWrap w:val="0"/>
        <w:spacing w:after="0"/>
        <w:ind w:firstLineChars="0"/>
        <w:rPr>
          <w:snapToGrid w:val="0"/>
          <w:kern w:val="0"/>
        </w:rPr>
      </w:pPr>
      <w:r>
        <w:rPr>
          <w:snapToGrid w:val="0"/>
          <w:kern w:val="0"/>
        </w:rPr>
        <w:t>《建设项目环境影响评价技术导则  总纲》（HJ2.1-2016）；</w:t>
      </w:r>
    </w:p>
    <w:p>
      <w:pPr>
        <w:pStyle w:val="29"/>
        <w:numPr>
          <w:ilvl w:val="0"/>
          <w:numId w:val="5"/>
        </w:numPr>
        <w:tabs>
          <w:tab w:val="left" w:pos="0"/>
        </w:tabs>
        <w:wordWrap w:val="0"/>
        <w:spacing w:after="0"/>
        <w:ind w:firstLineChars="0"/>
        <w:rPr>
          <w:snapToGrid w:val="0"/>
          <w:kern w:val="0"/>
        </w:rPr>
      </w:pPr>
      <w:r>
        <w:rPr>
          <w:snapToGrid w:val="0"/>
          <w:kern w:val="0"/>
        </w:rPr>
        <w:t>《环境影响评价技术导则  大气环境》（HJ2.2-2018）；</w:t>
      </w:r>
    </w:p>
    <w:p>
      <w:pPr>
        <w:pStyle w:val="29"/>
        <w:numPr>
          <w:ilvl w:val="0"/>
          <w:numId w:val="5"/>
        </w:numPr>
        <w:tabs>
          <w:tab w:val="left" w:pos="0"/>
        </w:tabs>
        <w:wordWrap w:val="0"/>
        <w:spacing w:after="0"/>
        <w:ind w:firstLineChars="0"/>
        <w:rPr>
          <w:snapToGrid w:val="0"/>
          <w:kern w:val="0"/>
        </w:rPr>
      </w:pPr>
      <w:r>
        <w:rPr>
          <w:snapToGrid w:val="0"/>
          <w:kern w:val="0"/>
        </w:rPr>
        <w:t>《环境影响评价技术导则 地表水环境》（HJ2.3-2018）；</w:t>
      </w:r>
    </w:p>
    <w:p>
      <w:pPr>
        <w:pStyle w:val="29"/>
        <w:numPr>
          <w:ilvl w:val="0"/>
          <w:numId w:val="5"/>
        </w:numPr>
        <w:tabs>
          <w:tab w:val="left" w:pos="0"/>
        </w:tabs>
        <w:wordWrap w:val="0"/>
        <w:spacing w:after="0"/>
        <w:ind w:firstLineChars="0"/>
        <w:rPr>
          <w:snapToGrid w:val="0"/>
          <w:kern w:val="0"/>
        </w:rPr>
      </w:pPr>
      <w:r>
        <w:rPr>
          <w:snapToGrid w:val="0"/>
          <w:kern w:val="0"/>
        </w:rPr>
        <w:t>《环境影响评价技术导则  地下水环境》（HJ610-2016）；</w:t>
      </w:r>
    </w:p>
    <w:p>
      <w:pPr>
        <w:pStyle w:val="29"/>
        <w:numPr>
          <w:ilvl w:val="0"/>
          <w:numId w:val="5"/>
        </w:numPr>
        <w:tabs>
          <w:tab w:val="left" w:pos="0"/>
        </w:tabs>
        <w:wordWrap w:val="0"/>
        <w:spacing w:after="0"/>
        <w:ind w:firstLineChars="0"/>
        <w:rPr>
          <w:snapToGrid w:val="0"/>
          <w:kern w:val="0"/>
        </w:rPr>
      </w:pPr>
      <w:r>
        <w:rPr>
          <w:snapToGrid w:val="0"/>
          <w:kern w:val="0"/>
        </w:rPr>
        <w:t>《环境影响评价技术导则  声环境》（HJ2.4-2009）；</w:t>
      </w:r>
    </w:p>
    <w:p>
      <w:pPr>
        <w:pStyle w:val="29"/>
        <w:numPr>
          <w:ilvl w:val="0"/>
          <w:numId w:val="5"/>
        </w:numPr>
        <w:tabs>
          <w:tab w:val="left" w:pos="0"/>
        </w:tabs>
        <w:wordWrap w:val="0"/>
        <w:spacing w:after="0"/>
        <w:ind w:firstLineChars="0"/>
        <w:rPr>
          <w:snapToGrid w:val="0"/>
          <w:kern w:val="0"/>
        </w:rPr>
      </w:pPr>
      <w:r>
        <w:rPr>
          <w:snapToGrid w:val="0"/>
          <w:kern w:val="0"/>
        </w:rPr>
        <w:t xml:space="preserve">《环境影响评价技术导则  </w:t>
      </w:r>
      <w:r>
        <w:rPr>
          <w:rFonts w:hint="eastAsia"/>
          <w:snapToGrid w:val="0"/>
          <w:kern w:val="0"/>
        </w:rPr>
        <w:t>土壤</w:t>
      </w:r>
      <w:r>
        <w:rPr>
          <w:snapToGrid w:val="0"/>
          <w:kern w:val="0"/>
        </w:rPr>
        <w:t>环境》（HJ</w:t>
      </w:r>
      <w:r>
        <w:rPr>
          <w:rFonts w:hint="eastAsia"/>
          <w:snapToGrid w:val="0"/>
          <w:kern w:val="0"/>
        </w:rPr>
        <w:t>964</w:t>
      </w:r>
      <w:r>
        <w:rPr>
          <w:snapToGrid w:val="0"/>
          <w:kern w:val="0"/>
        </w:rPr>
        <w:t>-20</w:t>
      </w:r>
      <w:r>
        <w:rPr>
          <w:rFonts w:hint="eastAsia"/>
          <w:snapToGrid w:val="0"/>
          <w:kern w:val="0"/>
        </w:rPr>
        <w:t>18</w:t>
      </w:r>
      <w:r>
        <w:rPr>
          <w:snapToGrid w:val="0"/>
          <w:kern w:val="0"/>
        </w:rPr>
        <w:t>）；</w:t>
      </w:r>
    </w:p>
    <w:p>
      <w:pPr>
        <w:pStyle w:val="29"/>
        <w:numPr>
          <w:ilvl w:val="0"/>
          <w:numId w:val="5"/>
        </w:numPr>
        <w:tabs>
          <w:tab w:val="left" w:pos="0"/>
        </w:tabs>
        <w:wordWrap w:val="0"/>
        <w:spacing w:after="0"/>
        <w:ind w:firstLineChars="0"/>
        <w:rPr>
          <w:snapToGrid w:val="0"/>
          <w:kern w:val="0"/>
        </w:rPr>
      </w:pPr>
      <w:r>
        <w:rPr>
          <w:snapToGrid w:val="0"/>
          <w:kern w:val="0"/>
        </w:rPr>
        <w:t>《环境影响评价技术导则  生态影响》（HJ19-2011）；</w:t>
      </w:r>
    </w:p>
    <w:p>
      <w:pPr>
        <w:pStyle w:val="29"/>
        <w:numPr>
          <w:ilvl w:val="0"/>
          <w:numId w:val="5"/>
        </w:numPr>
        <w:tabs>
          <w:tab w:val="left" w:pos="0"/>
        </w:tabs>
        <w:wordWrap w:val="0"/>
        <w:spacing w:after="0"/>
        <w:ind w:firstLineChars="0"/>
        <w:rPr>
          <w:snapToGrid w:val="0"/>
          <w:kern w:val="0"/>
        </w:rPr>
      </w:pPr>
      <w:r>
        <w:rPr>
          <w:snapToGrid w:val="0"/>
          <w:kern w:val="0"/>
        </w:rPr>
        <w:t>《建设项目环境风险评价技术导则》（HJ169-2018）；</w:t>
      </w:r>
    </w:p>
    <w:p>
      <w:pPr>
        <w:pStyle w:val="29"/>
        <w:numPr>
          <w:ilvl w:val="0"/>
          <w:numId w:val="5"/>
        </w:numPr>
        <w:tabs>
          <w:tab w:val="left" w:pos="0"/>
        </w:tabs>
        <w:wordWrap w:val="0"/>
        <w:spacing w:after="0"/>
        <w:ind w:firstLineChars="0"/>
        <w:rPr>
          <w:snapToGrid w:val="0"/>
          <w:kern w:val="0"/>
        </w:rPr>
      </w:pPr>
      <w:r>
        <w:rPr>
          <w:szCs w:val="24"/>
        </w:rPr>
        <w:t>《场地环境调查技术导则》（HJ25.1-2014）</w:t>
      </w:r>
      <w:r>
        <w:rPr>
          <w:snapToGrid w:val="0"/>
          <w:kern w:val="0"/>
        </w:rPr>
        <w:t>；</w:t>
      </w:r>
    </w:p>
    <w:p>
      <w:pPr>
        <w:pStyle w:val="29"/>
        <w:numPr>
          <w:ilvl w:val="0"/>
          <w:numId w:val="5"/>
        </w:numPr>
        <w:tabs>
          <w:tab w:val="left" w:pos="0"/>
        </w:tabs>
        <w:wordWrap w:val="0"/>
        <w:spacing w:after="0"/>
        <w:ind w:firstLineChars="0"/>
        <w:rPr>
          <w:snapToGrid w:val="0"/>
          <w:kern w:val="0"/>
        </w:rPr>
      </w:pPr>
      <w:r>
        <w:rPr>
          <w:szCs w:val="24"/>
        </w:rPr>
        <w:t>《场地环境监测技术导则》（HJ25.2-2014）；</w:t>
      </w:r>
    </w:p>
    <w:p>
      <w:pPr>
        <w:pStyle w:val="29"/>
        <w:numPr>
          <w:ilvl w:val="0"/>
          <w:numId w:val="5"/>
        </w:numPr>
        <w:tabs>
          <w:tab w:val="left" w:pos="0"/>
        </w:tabs>
        <w:wordWrap w:val="0"/>
        <w:spacing w:after="0"/>
        <w:ind w:firstLineChars="0"/>
        <w:rPr>
          <w:snapToGrid w:val="0"/>
          <w:kern w:val="0"/>
        </w:rPr>
      </w:pPr>
      <w:r>
        <w:rPr>
          <w:szCs w:val="24"/>
        </w:rPr>
        <w:t>《污染场地风险评估技术导则》（HJ25.3-2014）；</w:t>
      </w:r>
    </w:p>
    <w:p>
      <w:pPr>
        <w:pStyle w:val="29"/>
        <w:numPr>
          <w:ilvl w:val="0"/>
          <w:numId w:val="5"/>
        </w:numPr>
        <w:tabs>
          <w:tab w:val="left" w:pos="0"/>
        </w:tabs>
        <w:wordWrap w:val="0"/>
        <w:spacing w:after="0"/>
        <w:ind w:firstLineChars="0"/>
        <w:rPr>
          <w:snapToGrid w:val="0"/>
          <w:kern w:val="0"/>
        </w:rPr>
      </w:pPr>
      <w:r>
        <w:rPr>
          <w:rFonts w:hint="eastAsia"/>
          <w:snapToGrid w:val="0"/>
          <w:kern w:val="0"/>
        </w:rPr>
        <w:t>《火电厂大气污染物排放标准》（GB13223-2018）；</w:t>
      </w:r>
    </w:p>
    <w:p>
      <w:pPr>
        <w:pStyle w:val="29"/>
        <w:numPr>
          <w:ilvl w:val="0"/>
          <w:numId w:val="5"/>
        </w:numPr>
        <w:tabs>
          <w:tab w:val="left" w:pos="0"/>
        </w:tabs>
        <w:wordWrap w:val="0"/>
        <w:spacing w:after="0"/>
        <w:ind w:firstLineChars="0"/>
        <w:rPr>
          <w:snapToGrid w:val="0"/>
          <w:kern w:val="0"/>
          <w:szCs w:val="24"/>
        </w:rPr>
      </w:pPr>
      <w:r>
        <w:rPr>
          <w:szCs w:val="24"/>
        </w:rPr>
        <w:t>《大气污染物综合排放标准》（GB16297-1996）</w:t>
      </w:r>
    </w:p>
    <w:p>
      <w:pPr>
        <w:pStyle w:val="29"/>
        <w:numPr>
          <w:ilvl w:val="0"/>
          <w:numId w:val="5"/>
        </w:numPr>
        <w:tabs>
          <w:tab w:val="left" w:pos="0"/>
        </w:tabs>
        <w:wordWrap w:val="0"/>
        <w:spacing w:after="0"/>
        <w:ind w:firstLineChars="0"/>
        <w:rPr>
          <w:snapToGrid w:val="0"/>
          <w:kern w:val="0"/>
        </w:rPr>
      </w:pPr>
      <w:r>
        <w:rPr>
          <w:rFonts w:hint="eastAsia"/>
          <w:snapToGrid w:val="0"/>
          <w:kern w:val="0"/>
        </w:rPr>
        <w:t>《生活垃圾焚烧污染控制标准》（GB18485-2014）；</w:t>
      </w:r>
    </w:p>
    <w:p>
      <w:pPr>
        <w:pStyle w:val="29"/>
        <w:numPr>
          <w:ilvl w:val="0"/>
          <w:numId w:val="5"/>
        </w:numPr>
        <w:tabs>
          <w:tab w:val="left" w:pos="0"/>
        </w:tabs>
        <w:wordWrap w:val="0"/>
        <w:spacing w:after="0"/>
        <w:ind w:firstLineChars="0"/>
        <w:rPr>
          <w:snapToGrid w:val="0"/>
          <w:kern w:val="0"/>
        </w:rPr>
      </w:pPr>
      <w:r>
        <w:rPr>
          <w:snapToGrid w:val="0"/>
          <w:kern w:val="0"/>
        </w:rPr>
        <w:t>《城镇污水处理厂污染物排放标准》（GB18918-2002）</w:t>
      </w:r>
      <w:r>
        <w:rPr>
          <w:rFonts w:hint="eastAsia"/>
          <w:snapToGrid w:val="0"/>
          <w:kern w:val="0"/>
        </w:rPr>
        <w:t>。</w:t>
      </w:r>
    </w:p>
    <w:p>
      <w:pPr>
        <w:pStyle w:val="29"/>
        <w:tabs>
          <w:tab w:val="left" w:pos="0"/>
          <w:tab w:val="left" w:pos="839"/>
        </w:tabs>
        <w:wordWrap w:val="0"/>
        <w:ind w:firstLine="0" w:firstLineChars="0"/>
        <w:rPr>
          <w:b/>
          <w:szCs w:val="24"/>
        </w:rPr>
      </w:pPr>
      <w:r>
        <w:rPr>
          <w:rFonts w:hint="eastAsia"/>
          <w:b/>
          <w:szCs w:val="24"/>
        </w:rPr>
        <w:t>2.1.1.5其他依据</w:t>
      </w:r>
    </w:p>
    <w:p>
      <w:pPr>
        <w:pStyle w:val="29"/>
        <w:numPr>
          <w:ilvl w:val="0"/>
          <w:numId w:val="6"/>
        </w:numPr>
        <w:tabs>
          <w:tab w:val="left" w:pos="0"/>
        </w:tabs>
        <w:wordWrap w:val="0"/>
        <w:spacing w:after="0"/>
        <w:ind w:firstLine="480"/>
        <w:rPr>
          <w:snapToGrid w:val="0"/>
          <w:kern w:val="0"/>
        </w:rPr>
      </w:pPr>
      <w:r>
        <w:rPr>
          <w:snapToGrid w:val="0"/>
          <w:kern w:val="0"/>
        </w:rPr>
        <w:t>环评委托书；</w:t>
      </w:r>
    </w:p>
    <w:p>
      <w:pPr>
        <w:pStyle w:val="29"/>
        <w:numPr>
          <w:ilvl w:val="0"/>
          <w:numId w:val="6"/>
        </w:numPr>
        <w:tabs>
          <w:tab w:val="left" w:pos="0"/>
        </w:tabs>
        <w:wordWrap w:val="0"/>
        <w:spacing w:after="0"/>
        <w:ind w:firstLine="480"/>
        <w:rPr>
          <w:snapToGrid w:val="0"/>
          <w:kern w:val="0"/>
        </w:rPr>
      </w:pPr>
      <w:r>
        <w:rPr>
          <w:snapToGrid w:val="0"/>
          <w:kern w:val="0"/>
        </w:rPr>
        <w:t>《</w:t>
      </w:r>
      <w:r>
        <w:t>关于</w:t>
      </w:r>
      <w:r>
        <w:rPr>
          <w:rFonts w:hint="eastAsia"/>
        </w:rPr>
        <w:t>西安西热锅炉环保工程有限公司污泥生物质掺烧</w:t>
      </w:r>
      <w:r>
        <w:t>项目环境影响评价执行标准的函</w:t>
      </w:r>
      <w:r>
        <w:rPr>
          <w:snapToGrid w:val="0"/>
          <w:kern w:val="0"/>
        </w:rPr>
        <w:t>》，</w:t>
      </w:r>
      <w:r>
        <w:rPr>
          <w:rFonts w:hint="eastAsia"/>
          <w:snapToGrid w:val="0"/>
          <w:kern w:val="0"/>
        </w:rPr>
        <w:t>岳阳市岳阳楼区</w:t>
      </w:r>
      <w:r>
        <w:rPr>
          <w:snapToGrid w:val="0"/>
          <w:kern w:val="0"/>
        </w:rPr>
        <w:t>环境保护局；</w:t>
      </w:r>
    </w:p>
    <w:p>
      <w:pPr>
        <w:pStyle w:val="29"/>
        <w:numPr>
          <w:ilvl w:val="0"/>
          <w:numId w:val="6"/>
        </w:numPr>
        <w:tabs>
          <w:tab w:val="left" w:pos="0"/>
        </w:tabs>
        <w:wordWrap w:val="0"/>
        <w:spacing w:after="0"/>
        <w:ind w:firstLine="480"/>
        <w:rPr>
          <w:snapToGrid w:val="0"/>
          <w:kern w:val="0"/>
        </w:rPr>
      </w:pPr>
      <w:r>
        <w:rPr>
          <w:snapToGrid w:val="0"/>
          <w:kern w:val="0"/>
        </w:rPr>
        <w:t>《</w:t>
      </w:r>
      <w:r>
        <w:rPr>
          <w:rFonts w:hint="eastAsia"/>
        </w:rPr>
        <w:t>西安西热锅炉环保工程有限公司燃煤电厂污泥及生物质干燥炭化输送一体化处理系统关键技术研发</w:t>
      </w:r>
      <w:r>
        <w:t>项目</w:t>
      </w:r>
      <w:r>
        <w:rPr>
          <w:snapToGrid w:val="0"/>
          <w:kern w:val="0"/>
        </w:rPr>
        <w:t>环境监测报告》，</w:t>
      </w:r>
      <w:r>
        <w:rPr>
          <w:rFonts w:hint="eastAsia"/>
          <w:snapToGrid w:val="0"/>
          <w:color w:val="000000" w:themeColor="text1"/>
          <w:kern w:val="0"/>
        </w:rPr>
        <w:t>湖南昌源环境</w:t>
      </w:r>
      <w:r>
        <w:rPr>
          <w:snapToGrid w:val="0"/>
          <w:color w:val="000000" w:themeColor="text1"/>
          <w:kern w:val="0"/>
        </w:rPr>
        <w:t>科技有限公司，201</w:t>
      </w:r>
      <w:r>
        <w:rPr>
          <w:rFonts w:hint="eastAsia"/>
          <w:snapToGrid w:val="0"/>
          <w:color w:val="000000" w:themeColor="text1"/>
          <w:kern w:val="0"/>
        </w:rPr>
        <w:t>9</w:t>
      </w:r>
      <w:r>
        <w:rPr>
          <w:snapToGrid w:val="0"/>
          <w:color w:val="000000" w:themeColor="text1"/>
          <w:kern w:val="0"/>
        </w:rPr>
        <w:t>年</w:t>
      </w:r>
      <w:r>
        <w:rPr>
          <w:rFonts w:hint="eastAsia"/>
          <w:snapToGrid w:val="0"/>
          <w:color w:val="000000" w:themeColor="text1"/>
          <w:kern w:val="0"/>
        </w:rPr>
        <w:t>9</w:t>
      </w:r>
      <w:r>
        <w:rPr>
          <w:snapToGrid w:val="0"/>
          <w:color w:val="000000" w:themeColor="text1"/>
          <w:kern w:val="0"/>
        </w:rPr>
        <w:t>月</w:t>
      </w:r>
      <w:r>
        <w:rPr>
          <w:snapToGrid w:val="0"/>
          <w:kern w:val="0"/>
        </w:rPr>
        <w:t>；</w:t>
      </w:r>
    </w:p>
    <w:p>
      <w:pPr>
        <w:pStyle w:val="29"/>
        <w:numPr>
          <w:ilvl w:val="0"/>
          <w:numId w:val="6"/>
        </w:numPr>
        <w:tabs>
          <w:tab w:val="left" w:pos="0"/>
        </w:tabs>
        <w:wordWrap w:val="0"/>
        <w:spacing w:after="0"/>
        <w:ind w:firstLine="480"/>
        <w:rPr>
          <w:snapToGrid w:val="0"/>
          <w:kern w:val="0"/>
        </w:rPr>
      </w:pPr>
      <w:r>
        <w:rPr>
          <w:snapToGrid w:val="0"/>
          <w:kern w:val="0"/>
        </w:rPr>
        <w:t>建设方提供的其他相关资料。</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231" w:name="_Toc220122775"/>
      <w:bookmarkStart w:id="232" w:name="_Toc24969730"/>
      <w:bookmarkStart w:id="233" w:name="_Toc22202730"/>
      <w:bookmarkStart w:id="234" w:name="_Toc22202026"/>
      <w:bookmarkStart w:id="235" w:name="_Toc22202318"/>
      <w:bookmarkStart w:id="236" w:name="_Toc22200980"/>
      <w:bookmarkStart w:id="237" w:name="_Toc22200313"/>
      <w:bookmarkStart w:id="238" w:name="_Toc22199678"/>
      <w:bookmarkStart w:id="239" w:name="_Toc22199189"/>
      <w:bookmarkStart w:id="240" w:name="_Toc22198826"/>
      <w:bookmarkStart w:id="241" w:name="_Toc22198530"/>
      <w:bookmarkStart w:id="242" w:name="_Toc22198427"/>
      <w:bookmarkStart w:id="243" w:name="_Toc22198203"/>
      <w:bookmarkStart w:id="244" w:name="_Toc22198321"/>
      <w:bookmarkStart w:id="245" w:name="_Toc22151164"/>
      <w:bookmarkStart w:id="246" w:name="_Toc22150987"/>
      <w:bookmarkStart w:id="247" w:name="_Toc21815010"/>
      <w:bookmarkStart w:id="248" w:name="_Toc21814402"/>
      <w:bookmarkStart w:id="249" w:name="_Toc21814355"/>
      <w:bookmarkStart w:id="250" w:name="_Toc21814223"/>
      <w:bookmarkStart w:id="251" w:name="_Toc17786"/>
      <w:bookmarkStart w:id="252" w:name="_Toc4081210"/>
      <w:r>
        <w:rPr>
          <w:rFonts w:hint="eastAsia" w:ascii="宋体" w:hAnsi="宋体" w:eastAsia="宋体"/>
          <w:color w:val="000000" w:themeColor="text1"/>
          <w:lang w:eastAsia="zh-CN"/>
        </w:rPr>
        <w:t>2.2</w:t>
      </w:r>
      <w:r>
        <w:rPr>
          <w:rFonts w:ascii="宋体" w:hAnsi="宋体" w:eastAsia="宋体"/>
          <w:color w:val="000000" w:themeColor="text1"/>
          <w:lang w:eastAsia="zh-CN"/>
        </w:rPr>
        <w:t>环境影响识别和评价因子</w:t>
      </w:r>
      <w:bookmarkEnd w:id="231"/>
      <w:r>
        <w:rPr>
          <w:rFonts w:ascii="宋体" w:hAnsi="宋体" w:eastAsia="宋体"/>
          <w:color w:val="000000" w:themeColor="text1"/>
          <w:lang w:eastAsia="zh-CN"/>
        </w:rPr>
        <w:t>筛选</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pPr>
        <w:pStyle w:val="6"/>
        <w:widowControl w:val="0"/>
        <w:tabs>
          <w:tab w:val="left" w:pos="-3680"/>
          <w:tab w:val="left" w:pos="953"/>
        </w:tabs>
        <w:wordWrap w:val="0"/>
        <w:adjustRightInd w:val="0"/>
        <w:snapToGrid w:val="0"/>
        <w:spacing w:beforeLines="50" w:afterLines="50" w:line="360" w:lineRule="auto"/>
        <w:rPr>
          <w:color w:val="000000" w:themeColor="text1"/>
          <w:sz w:val="24"/>
          <w:szCs w:val="24"/>
          <w:lang w:eastAsia="zh-CN"/>
        </w:rPr>
      </w:pPr>
      <w:bookmarkStart w:id="253" w:name="_Toc24969731"/>
      <w:bookmarkStart w:id="254" w:name="_Toc22199190"/>
      <w:bookmarkStart w:id="255" w:name="_Toc22198827"/>
      <w:bookmarkStart w:id="256" w:name="_Toc22198531"/>
      <w:bookmarkStart w:id="257" w:name="_Toc22198428"/>
      <w:bookmarkStart w:id="258" w:name="_Toc22198322"/>
      <w:bookmarkStart w:id="259" w:name="_Toc22198204"/>
      <w:bookmarkStart w:id="260" w:name="_Toc22151165"/>
      <w:bookmarkStart w:id="261" w:name="_Toc22150988"/>
      <w:bookmarkStart w:id="262" w:name="_Toc21815011"/>
      <w:bookmarkStart w:id="263" w:name="_Toc21814403"/>
      <w:bookmarkStart w:id="264" w:name="_Toc22199679"/>
      <w:bookmarkStart w:id="265" w:name="_Toc21814356"/>
      <w:bookmarkStart w:id="266" w:name="_Toc21814224"/>
      <w:bookmarkStart w:id="267" w:name="_Toc22202319"/>
      <w:bookmarkStart w:id="268" w:name="_Toc22202027"/>
      <w:bookmarkStart w:id="269" w:name="_Toc22200314"/>
      <w:bookmarkStart w:id="270" w:name="_Toc22200981"/>
      <w:bookmarkStart w:id="271" w:name="_Toc22202731"/>
      <w:r>
        <w:rPr>
          <w:rFonts w:hint="eastAsia" w:eastAsia="宋体"/>
          <w:color w:val="000000" w:themeColor="text1"/>
          <w:sz w:val="24"/>
          <w:szCs w:val="24"/>
          <w:lang w:eastAsia="zh-CN"/>
        </w:rPr>
        <w:t>2.2.1</w:t>
      </w:r>
      <w:r>
        <w:rPr>
          <w:color w:val="000000" w:themeColor="text1"/>
          <w:sz w:val="24"/>
          <w:szCs w:val="24"/>
          <w:lang w:eastAsia="zh-CN"/>
        </w:rPr>
        <w:t>环境影响因素识别</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wordWrap w:val="0"/>
        <w:spacing w:after="0" w:line="360" w:lineRule="auto"/>
        <w:ind w:firstLine="480" w:firstLineChars="200"/>
        <w:rPr>
          <w:sz w:val="24"/>
          <w:szCs w:val="24"/>
          <w:lang w:eastAsia="zh-CN"/>
        </w:rPr>
      </w:pPr>
      <w:r>
        <w:rPr>
          <w:sz w:val="24"/>
          <w:lang w:eastAsia="zh-CN"/>
        </w:rPr>
        <w:t>根据</w:t>
      </w:r>
      <w:r>
        <w:rPr>
          <w:rFonts w:hint="eastAsia"/>
          <w:sz w:val="24"/>
          <w:lang w:eastAsia="zh-CN"/>
        </w:rPr>
        <w:t>项目</w:t>
      </w:r>
      <w:r>
        <w:rPr>
          <w:sz w:val="24"/>
          <w:lang w:eastAsia="zh-CN"/>
        </w:rPr>
        <w:t>特点、环境特征以及工程建设对环境影响的性质与程度，对该工程的环境影响因素进行识别，识别</w:t>
      </w:r>
      <w:r>
        <w:rPr>
          <w:sz w:val="24"/>
          <w:szCs w:val="24"/>
          <w:lang w:eastAsia="zh-CN"/>
        </w:rPr>
        <w:t>过程见</w:t>
      </w:r>
      <w:r>
        <w:fldChar w:fldCharType="begin"/>
      </w:r>
      <w:r>
        <w:instrText xml:space="preserve"> REF _Ref433207232 \h  \* MERGEFORMAT </w:instrText>
      </w:r>
      <w:r>
        <w:fldChar w:fldCharType="separate"/>
      </w:r>
      <w:r>
        <w:rPr>
          <w:sz w:val="24"/>
          <w:szCs w:val="24"/>
          <w:lang w:eastAsia="zh-CN"/>
        </w:rPr>
        <w:t>表</w:t>
      </w:r>
      <w:r>
        <w:rPr>
          <w:rFonts w:hint="eastAsia"/>
          <w:sz w:val="24"/>
          <w:szCs w:val="24"/>
          <w:lang w:eastAsia="zh-CN"/>
        </w:rPr>
        <w:t>2.1</w:t>
      </w:r>
      <w:r>
        <w:rPr>
          <w:sz w:val="24"/>
          <w:szCs w:val="24"/>
          <w:lang w:eastAsia="zh-CN"/>
        </w:rPr>
        <w:noBreakHyphen/>
      </w:r>
      <w:r>
        <w:rPr>
          <w:sz w:val="24"/>
          <w:szCs w:val="24"/>
          <w:lang w:eastAsia="zh-CN"/>
        </w:rPr>
        <w:t>1</w:t>
      </w:r>
      <w:r>
        <w:rPr>
          <w:sz w:val="24"/>
          <w:szCs w:val="24"/>
          <w:lang w:eastAsia="zh-CN"/>
        </w:rPr>
        <w:fldChar w:fldCharType="end"/>
      </w:r>
      <w:r>
        <w:rPr>
          <w:sz w:val="24"/>
          <w:szCs w:val="24"/>
          <w:lang w:eastAsia="zh-CN"/>
        </w:rPr>
        <w:t>。</w:t>
      </w:r>
    </w:p>
    <w:p>
      <w:pPr>
        <w:pStyle w:val="10"/>
        <w:wordWrap w:val="0"/>
        <w:rPr>
          <w:b w:val="0"/>
          <w:szCs w:val="21"/>
        </w:rPr>
      </w:pPr>
      <w:bookmarkStart w:id="272" w:name="_Ref433207232"/>
      <w:r>
        <w:t>表</w:t>
      </w:r>
      <w:r>
        <w:rPr>
          <w:rFonts w:hint="eastAsia"/>
        </w:rPr>
        <w:t>2.1</w:t>
      </w:r>
      <w:r>
        <w:noBreakHyphen/>
      </w:r>
      <w:r>
        <w:fldChar w:fldCharType="begin"/>
      </w:r>
      <w:r>
        <w:instrText xml:space="preserve"> SEQ 表 \* ARABIC \s 2 </w:instrText>
      </w:r>
      <w:r>
        <w:fldChar w:fldCharType="separate"/>
      </w:r>
      <w:r>
        <w:t>1</w:t>
      </w:r>
      <w:r>
        <w:fldChar w:fldCharType="end"/>
      </w:r>
      <w:bookmarkEnd w:id="272"/>
      <w:r>
        <w:rPr>
          <w:szCs w:val="21"/>
        </w:rPr>
        <w:t>环境影响因素识别</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2"/>
        <w:gridCol w:w="1431"/>
        <w:gridCol w:w="607"/>
        <w:gridCol w:w="608"/>
        <w:gridCol w:w="610"/>
        <w:gridCol w:w="608"/>
        <w:gridCol w:w="608"/>
        <w:gridCol w:w="609"/>
        <w:gridCol w:w="608"/>
        <w:gridCol w:w="608"/>
        <w:gridCol w:w="608"/>
        <w:gridCol w:w="606"/>
        <w:gridCol w:w="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833" w:type="dxa"/>
            <w:gridSpan w:val="2"/>
            <w:vMerge w:val="restart"/>
            <w:shd w:val="clear" w:color="auto" w:fill="auto"/>
            <w:vAlign w:val="center"/>
          </w:tcPr>
          <w:p>
            <w:pPr>
              <w:wordWrap w:val="0"/>
              <w:jc w:val="right"/>
              <w:rPr>
                <w:sz w:val="21"/>
                <w:szCs w:val="21"/>
              </w:rPr>
            </w:pPr>
            <w:r>
              <w:rPr>
                <w:sz w:val="21"/>
                <w:szCs w:val="21"/>
              </w:rPr>
              <w:t>环境要素</w:t>
            </w:r>
          </w:p>
          <w:p>
            <w:pPr>
              <w:wordWrap w:val="0"/>
              <w:rPr>
                <w:sz w:val="21"/>
                <w:szCs w:val="21"/>
              </w:rPr>
            </w:pPr>
            <w:r>
              <w:rPr>
                <w:sz w:val="21"/>
                <w:szCs w:val="21"/>
              </w:rPr>
              <w:t>影响因素</w:t>
            </w:r>
          </w:p>
        </w:tc>
        <w:tc>
          <w:tcPr>
            <w:tcW w:w="1825" w:type="dxa"/>
            <w:gridSpan w:val="3"/>
            <w:shd w:val="clear" w:color="auto" w:fill="auto"/>
            <w:vAlign w:val="center"/>
          </w:tcPr>
          <w:p>
            <w:pPr>
              <w:wordWrap w:val="0"/>
              <w:spacing w:after="0" w:line="240" w:lineRule="auto"/>
              <w:jc w:val="center"/>
              <w:rPr>
                <w:sz w:val="21"/>
                <w:szCs w:val="21"/>
              </w:rPr>
            </w:pPr>
            <w:r>
              <w:rPr>
                <w:sz w:val="21"/>
                <w:szCs w:val="21"/>
              </w:rPr>
              <w:t>自然资源</w:t>
            </w:r>
          </w:p>
        </w:tc>
        <w:tc>
          <w:tcPr>
            <w:tcW w:w="1825" w:type="dxa"/>
            <w:gridSpan w:val="3"/>
            <w:shd w:val="clear" w:color="auto" w:fill="auto"/>
            <w:vAlign w:val="center"/>
          </w:tcPr>
          <w:p>
            <w:pPr>
              <w:wordWrap w:val="0"/>
              <w:spacing w:after="0" w:line="240" w:lineRule="auto"/>
              <w:jc w:val="center"/>
              <w:rPr>
                <w:sz w:val="21"/>
                <w:szCs w:val="21"/>
              </w:rPr>
            </w:pPr>
            <w:r>
              <w:rPr>
                <w:sz w:val="21"/>
                <w:szCs w:val="21"/>
              </w:rPr>
              <w:t>社会发展</w:t>
            </w:r>
          </w:p>
        </w:tc>
        <w:tc>
          <w:tcPr>
            <w:tcW w:w="3045" w:type="dxa"/>
            <w:gridSpan w:val="5"/>
            <w:shd w:val="clear" w:color="auto" w:fill="auto"/>
            <w:vAlign w:val="center"/>
          </w:tcPr>
          <w:p>
            <w:pPr>
              <w:wordWrap w:val="0"/>
              <w:spacing w:after="0" w:line="240" w:lineRule="auto"/>
              <w:jc w:val="center"/>
              <w:rPr>
                <w:sz w:val="21"/>
                <w:szCs w:val="21"/>
              </w:rPr>
            </w:pPr>
            <w:r>
              <w:rPr>
                <w:sz w:val="21"/>
                <w:szCs w:val="21"/>
              </w:rPr>
              <w:t>居民生活质量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833" w:type="dxa"/>
            <w:gridSpan w:val="2"/>
            <w:vMerge w:val="continue"/>
            <w:shd w:val="clear" w:color="auto" w:fill="auto"/>
            <w:vAlign w:val="center"/>
          </w:tcPr>
          <w:p>
            <w:pPr>
              <w:wordWrap w:val="0"/>
              <w:jc w:val="center"/>
              <w:rPr>
                <w:sz w:val="21"/>
                <w:szCs w:val="21"/>
              </w:rPr>
            </w:pPr>
          </w:p>
        </w:tc>
        <w:tc>
          <w:tcPr>
            <w:tcW w:w="607" w:type="dxa"/>
            <w:shd w:val="clear" w:color="auto" w:fill="auto"/>
            <w:vAlign w:val="center"/>
          </w:tcPr>
          <w:p>
            <w:pPr>
              <w:wordWrap w:val="0"/>
              <w:spacing w:after="0"/>
              <w:jc w:val="center"/>
              <w:rPr>
                <w:sz w:val="18"/>
                <w:szCs w:val="18"/>
              </w:rPr>
            </w:pPr>
            <w:r>
              <w:rPr>
                <w:sz w:val="18"/>
                <w:szCs w:val="18"/>
              </w:rPr>
              <w:t>植被生态</w:t>
            </w:r>
          </w:p>
        </w:tc>
        <w:tc>
          <w:tcPr>
            <w:tcW w:w="608" w:type="dxa"/>
            <w:shd w:val="clear" w:color="auto" w:fill="auto"/>
            <w:vAlign w:val="center"/>
          </w:tcPr>
          <w:p>
            <w:pPr>
              <w:wordWrap w:val="0"/>
              <w:spacing w:after="0"/>
              <w:jc w:val="center"/>
              <w:rPr>
                <w:sz w:val="18"/>
                <w:szCs w:val="18"/>
              </w:rPr>
            </w:pPr>
            <w:r>
              <w:rPr>
                <w:sz w:val="18"/>
                <w:szCs w:val="18"/>
              </w:rPr>
              <w:t>自然景观</w:t>
            </w:r>
          </w:p>
        </w:tc>
        <w:tc>
          <w:tcPr>
            <w:tcW w:w="610" w:type="dxa"/>
            <w:shd w:val="clear" w:color="auto" w:fill="auto"/>
            <w:vAlign w:val="center"/>
          </w:tcPr>
          <w:p>
            <w:pPr>
              <w:wordWrap w:val="0"/>
              <w:spacing w:after="0"/>
              <w:jc w:val="center"/>
              <w:rPr>
                <w:sz w:val="18"/>
                <w:szCs w:val="18"/>
              </w:rPr>
            </w:pPr>
            <w:r>
              <w:rPr>
                <w:sz w:val="18"/>
                <w:szCs w:val="18"/>
              </w:rPr>
              <w:t>地表水体</w:t>
            </w:r>
          </w:p>
        </w:tc>
        <w:tc>
          <w:tcPr>
            <w:tcW w:w="608" w:type="dxa"/>
            <w:shd w:val="clear" w:color="auto" w:fill="auto"/>
            <w:vAlign w:val="center"/>
          </w:tcPr>
          <w:p>
            <w:pPr>
              <w:wordWrap w:val="0"/>
              <w:spacing w:after="0"/>
              <w:jc w:val="center"/>
              <w:rPr>
                <w:sz w:val="18"/>
                <w:szCs w:val="18"/>
              </w:rPr>
            </w:pPr>
            <w:r>
              <w:rPr>
                <w:sz w:val="18"/>
                <w:szCs w:val="18"/>
              </w:rPr>
              <w:t>劳动就业</w:t>
            </w:r>
          </w:p>
        </w:tc>
        <w:tc>
          <w:tcPr>
            <w:tcW w:w="608" w:type="dxa"/>
            <w:shd w:val="clear" w:color="auto" w:fill="auto"/>
            <w:vAlign w:val="center"/>
          </w:tcPr>
          <w:p>
            <w:pPr>
              <w:wordWrap w:val="0"/>
              <w:spacing w:after="0"/>
              <w:jc w:val="center"/>
              <w:rPr>
                <w:sz w:val="18"/>
                <w:szCs w:val="18"/>
              </w:rPr>
            </w:pPr>
            <w:r>
              <w:rPr>
                <w:sz w:val="18"/>
                <w:szCs w:val="18"/>
              </w:rPr>
              <w:t>经济发展</w:t>
            </w:r>
          </w:p>
        </w:tc>
        <w:tc>
          <w:tcPr>
            <w:tcW w:w="609" w:type="dxa"/>
            <w:shd w:val="clear" w:color="auto" w:fill="auto"/>
            <w:vAlign w:val="center"/>
          </w:tcPr>
          <w:p>
            <w:pPr>
              <w:wordWrap w:val="0"/>
              <w:spacing w:after="0"/>
              <w:jc w:val="center"/>
              <w:rPr>
                <w:sz w:val="18"/>
                <w:szCs w:val="18"/>
              </w:rPr>
            </w:pPr>
            <w:r>
              <w:rPr>
                <w:sz w:val="18"/>
                <w:szCs w:val="18"/>
              </w:rPr>
              <w:t>土地作用</w:t>
            </w:r>
          </w:p>
        </w:tc>
        <w:tc>
          <w:tcPr>
            <w:tcW w:w="608" w:type="dxa"/>
            <w:shd w:val="clear" w:color="auto" w:fill="auto"/>
            <w:vAlign w:val="center"/>
          </w:tcPr>
          <w:p>
            <w:pPr>
              <w:wordWrap w:val="0"/>
              <w:spacing w:after="0"/>
              <w:jc w:val="center"/>
              <w:rPr>
                <w:sz w:val="18"/>
                <w:szCs w:val="18"/>
              </w:rPr>
            </w:pPr>
            <w:r>
              <w:rPr>
                <w:sz w:val="18"/>
                <w:szCs w:val="18"/>
              </w:rPr>
              <w:t>空气质量</w:t>
            </w:r>
          </w:p>
        </w:tc>
        <w:tc>
          <w:tcPr>
            <w:tcW w:w="608" w:type="dxa"/>
            <w:shd w:val="clear" w:color="auto" w:fill="auto"/>
            <w:vAlign w:val="center"/>
          </w:tcPr>
          <w:p>
            <w:pPr>
              <w:wordWrap w:val="0"/>
              <w:spacing w:after="0"/>
              <w:jc w:val="center"/>
              <w:rPr>
                <w:sz w:val="18"/>
                <w:szCs w:val="18"/>
              </w:rPr>
            </w:pPr>
            <w:r>
              <w:rPr>
                <w:sz w:val="18"/>
                <w:szCs w:val="18"/>
              </w:rPr>
              <w:t>地表水质</w:t>
            </w:r>
          </w:p>
        </w:tc>
        <w:tc>
          <w:tcPr>
            <w:tcW w:w="608" w:type="dxa"/>
            <w:shd w:val="clear" w:color="auto" w:fill="auto"/>
            <w:vAlign w:val="center"/>
          </w:tcPr>
          <w:p>
            <w:pPr>
              <w:wordWrap w:val="0"/>
              <w:spacing w:after="0"/>
              <w:jc w:val="center"/>
              <w:rPr>
                <w:sz w:val="18"/>
                <w:szCs w:val="18"/>
              </w:rPr>
            </w:pPr>
            <w:r>
              <w:rPr>
                <w:sz w:val="18"/>
                <w:szCs w:val="18"/>
              </w:rPr>
              <w:t>声学环境</w:t>
            </w:r>
          </w:p>
        </w:tc>
        <w:tc>
          <w:tcPr>
            <w:tcW w:w="606" w:type="dxa"/>
            <w:shd w:val="clear" w:color="auto" w:fill="auto"/>
            <w:vAlign w:val="center"/>
          </w:tcPr>
          <w:p>
            <w:pPr>
              <w:wordWrap w:val="0"/>
              <w:spacing w:after="0"/>
              <w:jc w:val="center"/>
              <w:rPr>
                <w:sz w:val="18"/>
                <w:szCs w:val="18"/>
              </w:rPr>
            </w:pPr>
            <w:r>
              <w:rPr>
                <w:sz w:val="18"/>
                <w:szCs w:val="18"/>
              </w:rPr>
              <w:t>居住条件</w:t>
            </w:r>
          </w:p>
        </w:tc>
        <w:tc>
          <w:tcPr>
            <w:tcW w:w="615" w:type="dxa"/>
            <w:shd w:val="clear" w:color="auto" w:fill="auto"/>
            <w:vAlign w:val="center"/>
          </w:tcPr>
          <w:p>
            <w:pPr>
              <w:wordWrap w:val="0"/>
              <w:spacing w:after="0"/>
              <w:jc w:val="center"/>
              <w:rPr>
                <w:sz w:val="18"/>
                <w:szCs w:val="18"/>
              </w:rPr>
            </w:pPr>
            <w:r>
              <w:rPr>
                <w:sz w:val="18"/>
                <w:szCs w:val="18"/>
              </w:rPr>
              <w:t>经济收入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restart"/>
            <w:shd w:val="clear" w:color="auto" w:fill="auto"/>
            <w:vAlign w:val="center"/>
          </w:tcPr>
          <w:p>
            <w:pPr>
              <w:wordWrap w:val="0"/>
              <w:spacing w:after="0"/>
              <w:jc w:val="center"/>
              <w:rPr>
                <w:sz w:val="21"/>
                <w:szCs w:val="21"/>
              </w:rPr>
            </w:pPr>
            <w:r>
              <w:rPr>
                <w:sz w:val="18"/>
                <w:szCs w:val="18"/>
              </w:rPr>
              <w:t>施工期</w:t>
            </w:r>
          </w:p>
        </w:tc>
        <w:tc>
          <w:tcPr>
            <w:tcW w:w="1431" w:type="dxa"/>
            <w:shd w:val="clear" w:color="auto" w:fill="auto"/>
            <w:vAlign w:val="center"/>
          </w:tcPr>
          <w:p>
            <w:pPr>
              <w:wordWrap w:val="0"/>
              <w:spacing w:after="0" w:line="240" w:lineRule="auto"/>
              <w:jc w:val="center"/>
              <w:rPr>
                <w:sz w:val="21"/>
                <w:szCs w:val="21"/>
              </w:rPr>
            </w:pPr>
            <w:r>
              <w:rPr>
                <w:sz w:val="21"/>
                <w:szCs w:val="21"/>
              </w:rPr>
              <w:t>占地</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6" w:type="dxa"/>
            <w:shd w:val="clear" w:color="auto" w:fill="auto"/>
            <w:vAlign w:val="center"/>
          </w:tcPr>
          <w:p>
            <w:pPr>
              <w:wordWrap w:val="0"/>
              <w:spacing w:after="0"/>
              <w:jc w:val="center"/>
              <w:rPr>
                <w:sz w:val="21"/>
                <w:szCs w:val="21"/>
              </w:rPr>
            </w:pPr>
          </w:p>
        </w:tc>
        <w:tc>
          <w:tcPr>
            <w:tcW w:w="615" w:type="dxa"/>
            <w:shd w:val="clear" w:color="auto" w:fill="auto"/>
            <w:vAlign w:val="center"/>
          </w:tcPr>
          <w:p>
            <w:pPr>
              <w:wordWrap w:val="0"/>
              <w:spacing w:after="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continue"/>
            <w:shd w:val="clear" w:color="auto" w:fill="auto"/>
            <w:vAlign w:val="center"/>
          </w:tcPr>
          <w:p>
            <w:pPr>
              <w:wordWrap w:val="0"/>
              <w:spacing w:after="0"/>
              <w:jc w:val="center"/>
              <w:rPr>
                <w:sz w:val="21"/>
                <w:szCs w:val="21"/>
              </w:rPr>
            </w:pPr>
          </w:p>
        </w:tc>
        <w:tc>
          <w:tcPr>
            <w:tcW w:w="1431" w:type="dxa"/>
            <w:shd w:val="clear" w:color="auto" w:fill="auto"/>
            <w:vAlign w:val="center"/>
          </w:tcPr>
          <w:p>
            <w:pPr>
              <w:wordWrap w:val="0"/>
              <w:spacing w:after="0" w:line="240" w:lineRule="auto"/>
              <w:jc w:val="center"/>
              <w:rPr>
                <w:sz w:val="21"/>
                <w:szCs w:val="21"/>
              </w:rPr>
            </w:pPr>
            <w:r>
              <w:rPr>
                <w:sz w:val="21"/>
                <w:szCs w:val="21"/>
              </w:rPr>
              <w:t>基础工程</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c>
          <w:tcPr>
            <w:tcW w:w="608"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6" w:type="dxa"/>
            <w:shd w:val="clear" w:color="auto" w:fill="auto"/>
            <w:vAlign w:val="center"/>
          </w:tcPr>
          <w:p>
            <w:pPr>
              <w:wordWrap w:val="0"/>
              <w:spacing w:after="0"/>
              <w:jc w:val="center"/>
              <w:rPr>
                <w:sz w:val="21"/>
                <w:szCs w:val="21"/>
              </w:rPr>
            </w:pPr>
          </w:p>
        </w:tc>
        <w:tc>
          <w:tcPr>
            <w:tcW w:w="615"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continue"/>
            <w:shd w:val="clear" w:color="auto" w:fill="auto"/>
            <w:vAlign w:val="center"/>
          </w:tcPr>
          <w:p>
            <w:pPr>
              <w:wordWrap w:val="0"/>
              <w:spacing w:after="0"/>
              <w:jc w:val="center"/>
              <w:rPr>
                <w:sz w:val="21"/>
                <w:szCs w:val="21"/>
              </w:rPr>
            </w:pPr>
          </w:p>
        </w:tc>
        <w:tc>
          <w:tcPr>
            <w:tcW w:w="1431" w:type="dxa"/>
            <w:shd w:val="clear" w:color="auto" w:fill="auto"/>
            <w:vAlign w:val="center"/>
          </w:tcPr>
          <w:p>
            <w:pPr>
              <w:wordWrap w:val="0"/>
              <w:spacing w:after="0" w:line="240" w:lineRule="auto"/>
              <w:jc w:val="center"/>
              <w:rPr>
                <w:sz w:val="21"/>
                <w:szCs w:val="21"/>
              </w:rPr>
            </w:pPr>
            <w:r>
              <w:rPr>
                <w:sz w:val="21"/>
                <w:szCs w:val="21"/>
              </w:rPr>
              <w:t>材料运输</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c>
          <w:tcPr>
            <w:tcW w:w="608"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6" w:type="dxa"/>
            <w:shd w:val="clear" w:color="auto" w:fill="auto"/>
            <w:vAlign w:val="center"/>
          </w:tcPr>
          <w:p>
            <w:pPr>
              <w:wordWrap w:val="0"/>
              <w:spacing w:after="0"/>
              <w:jc w:val="center"/>
              <w:rPr>
                <w:sz w:val="21"/>
                <w:szCs w:val="21"/>
              </w:rPr>
            </w:pPr>
            <w:r>
              <w:rPr>
                <w:rFonts w:ascii="Arial" w:hAnsi="Arial" w:cs="Arial"/>
                <w:sz w:val="21"/>
                <w:szCs w:val="21"/>
              </w:rPr>
              <w:t>▲</w:t>
            </w:r>
          </w:p>
        </w:tc>
        <w:tc>
          <w:tcPr>
            <w:tcW w:w="615" w:type="dxa"/>
            <w:shd w:val="clear" w:color="auto" w:fill="auto"/>
            <w:vAlign w:val="center"/>
          </w:tcPr>
          <w:p>
            <w:pPr>
              <w:wordWrap w:val="0"/>
              <w:spacing w:after="0"/>
              <w:jc w:val="center"/>
              <w:rPr>
                <w:sz w:val="21"/>
                <w:szCs w:val="21"/>
              </w:rPr>
            </w:pPr>
            <w:r>
              <w:rPr>
                <w:rFonts w:ascii="Cambria Math" w:hAnsi="Cambria Math" w:cs="Cambria Math"/>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restart"/>
            <w:shd w:val="clear" w:color="auto" w:fill="auto"/>
            <w:vAlign w:val="center"/>
          </w:tcPr>
          <w:p>
            <w:pPr>
              <w:wordWrap w:val="0"/>
              <w:spacing w:after="0"/>
              <w:jc w:val="center"/>
              <w:rPr>
                <w:sz w:val="21"/>
                <w:szCs w:val="21"/>
              </w:rPr>
            </w:pPr>
            <w:r>
              <w:rPr>
                <w:sz w:val="21"/>
                <w:szCs w:val="21"/>
              </w:rPr>
              <w:t>营运期</w:t>
            </w:r>
          </w:p>
        </w:tc>
        <w:tc>
          <w:tcPr>
            <w:tcW w:w="1431" w:type="dxa"/>
            <w:shd w:val="clear" w:color="auto" w:fill="auto"/>
            <w:vAlign w:val="center"/>
          </w:tcPr>
          <w:p>
            <w:pPr>
              <w:wordWrap w:val="0"/>
              <w:spacing w:after="0" w:line="240" w:lineRule="auto"/>
              <w:jc w:val="center"/>
              <w:rPr>
                <w:sz w:val="21"/>
                <w:szCs w:val="21"/>
              </w:rPr>
            </w:pPr>
            <w:r>
              <w:rPr>
                <w:sz w:val="21"/>
                <w:szCs w:val="21"/>
              </w:rPr>
              <w:t>废水排放</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6" w:type="dxa"/>
            <w:shd w:val="clear" w:color="auto" w:fill="auto"/>
            <w:vAlign w:val="center"/>
          </w:tcPr>
          <w:p>
            <w:pPr>
              <w:wordWrap w:val="0"/>
              <w:spacing w:after="0"/>
              <w:jc w:val="center"/>
              <w:rPr>
                <w:sz w:val="21"/>
                <w:szCs w:val="21"/>
              </w:rPr>
            </w:pPr>
          </w:p>
        </w:tc>
        <w:tc>
          <w:tcPr>
            <w:tcW w:w="615" w:type="dxa"/>
            <w:shd w:val="clear" w:color="auto" w:fill="auto"/>
            <w:vAlign w:val="center"/>
          </w:tcPr>
          <w:p>
            <w:pPr>
              <w:wordWrap w:val="0"/>
              <w:spacing w:after="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continue"/>
            <w:shd w:val="clear" w:color="auto" w:fill="auto"/>
            <w:vAlign w:val="center"/>
          </w:tcPr>
          <w:p>
            <w:pPr>
              <w:wordWrap w:val="0"/>
              <w:spacing w:after="0"/>
              <w:jc w:val="center"/>
              <w:rPr>
                <w:sz w:val="21"/>
                <w:szCs w:val="21"/>
              </w:rPr>
            </w:pPr>
          </w:p>
        </w:tc>
        <w:tc>
          <w:tcPr>
            <w:tcW w:w="1431" w:type="dxa"/>
            <w:shd w:val="clear" w:color="auto" w:fill="auto"/>
            <w:vAlign w:val="center"/>
          </w:tcPr>
          <w:p>
            <w:pPr>
              <w:wordWrap w:val="0"/>
              <w:spacing w:after="0" w:line="240" w:lineRule="auto"/>
              <w:jc w:val="center"/>
              <w:rPr>
                <w:sz w:val="21"/>
                <w:szCs w:val="21"/>
              </w:rPr>
            </w:pPr>
            <w:r>
              <w:rPr>
                <w:sz w:val="21"/>
                <w:szCs w:val="21"/>
              </w:rPr>
              <w:t>废气排放</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6" w:type="dxa"/>
            <w:shd w:val="clear" w:color="auto" w:fill="auto"/>
            <w:vAlign w:val="center"/>
          </w:tcPr>
          <w:p>
            <w:pPr>
              <w:wordWrap w:val="0"/>
              <w:spacing w:after="0"/>
              <w:jc w:val="center"/>
              <w:rPr>
                <w:sz w:val="21"/>
                <w:szCs w:val="21"/>
              </w:rPr>
            </w:pPr>
            <w:r>
              <w:rPr>
                <w:sz w:val="21"/>
                <w:szCs w:val="21"/>
              </w:rPr>
              <w:t>□</w:t>
            </w:r>
          </w:p>
        </w:tc>
        <w:tc>
          <w:tcPr>
            <w:tcW w:w="615" w:type="dxa"/>
            <w:shd w:val="clear" w:color="auto" w:fill="auto"/>
            <w:vAlign w:val="center"/>
          </w:tcPr>
          <w:p>
            <w:pPr>
              <w:wordWrap w:val="0"/>
              <w:spacing w:after="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02" w:type="dxa"/>
            <w:vMerge w:val="continue"/>
            <w:shd w:val="clear" w:color="auto" w:fill="auto"/>
            <w:vAlign w:val="center"/>
          </w:tcPr>
          <w:p>
            <w:pPr>
              <w:wordWrap w:val="0"/>
              <w:spacing w:after="0"/>
              <w:jc w:val="center"/>
              <w:rPr>
                <w:sz w:val="21"/>
                <w:szCs w:val="21"/>
              </w:rPr>
            </w:pPr>
          </w:p>
        </w:tc>
        <w:tc>
          <w:tcPr>
            <w:tcW w:w="1431" w:type="dxa"/>
            <w:shd w:val="clear" w:color="auto" w:fill="auto"/>
            <w:vAlign w:val="center"/>
          </w:tcPr>
          <w:p>
            <w:pPr>
              <w:wordWrap w:val="0"/>
              <w:spacing w:after="0" w:line="240" w:lineRule="auto"/>
              <w:jc w:val="center"/>
              <w:rPr>
                <w:sz w:val="21"/>
                <w:szCs w:val="21"/>
              </w:rPr>
            </w:pPr>
            <w:r>
              <w:rPr>
                <w:sz w:val="21"/>
                <w:szCs w:val="21"/>
              </w:rPr>
              <w:t>风险事故</w:t>
            </w:r>
          </w:p>
        </w:tc>
        <w:tc>
          <w:tcPr>
            <w:tcW w:w="607"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10"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9"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r>
              <w:rPr>
                <w:rFonts w:ascii="Arial" w:hAnsi="Arial" w:cs="Arial"/>
                <w:sz w:val="21"/>
                <w:szCs w:val="21"/>
              </w:rPr>
              <w:t>■</w:t>
            </w:r>
          </w:p>
        </w:tc>
        <w:tc>
          <w:tcPr>
            <w:tcW w:w="608" w:type="dxa"/>
            <w:shd w:val="clear" w:color="auto" w:fill="auto"/>
            <w:vAlign w:val="center"/>
          </w:tcPr>
          <w:p>
            <w:pPr>
              <w:wordWrap w:val="0"/>
              <w:spacing w:after="0"/>
              <w:jc w:val="center"/>
              <w:rPr>
                <w:sz w:val="21"/>
                <w:szCs w:val="21"/>
              </w:rPr>
            </w:pPr>
          </w:p>
        </w:tc>
        <w:tc>
          <w:tcPr>
            <w:tcW w:w="608" w:type="dxa"/>
            <w:shd w:val="clear" w:color="auto" w:fill="auto"/>
            <w:vAlign w:val="center"/>
          </w:tcPr>
          <w:p>
            <w:pPr>
              <w:wordWrap w:val="0"/>
              <w:spacing w:after="0"/>
              <w:jc w:val="center"/>
              <w:rPr>
                <w:sz w:val="21"/>
                <w:szCs w:val="21"/>
              </w:rPr>
            </w:pPr>
          </w:p>
        </w:tc>
        <w:tc>
          <w:tcPr>
            <w:tcW w:w="606" w:type="dxa"/>
            <w:shd w:val="clear" w:color="auto" w:fill="auto"/>
            <w:vAlign w:val="center"/>
          </w:tcPr>
          <w:p>
            <w:pPr>
              <w:wordWrap w:val="0"/>
              <w:spacing w:after="0"/>
              <w:jc w:val="center"/>
              <w:rPr>
                <w:sz w:val="21"/>
                <w:szCs w:val="21"/>
              </w:rPr>
            </w:pPr>
            <w:r>
              <w:rPr>
                <w:rFonts w:ascii="Arial" w:hAnsi="Arial" w:cs="Arial"/>
                <w:sz w:val="21"/>
                <w:szCs w:val="21"/>
              </w:rPr>
              <w:t>■</w:t>
            </w:r>
          </w:p>
        </w:tc>
        <w:tc>
          <w:tcPr>
            <w:tcW w:w="615" w:type="dxa"/>
            <w:shd w:val="clear" w:color="auto" w:fill="auto"/>
            <w:vAlign w:val="center"/>
          </w:tcPr>
          <w:p>
            <w:pPr>
              <w:wordWrap w:val="0"/>
              <w:spacing w:after="0"/>
              <w:jc w:val="center"/>
              <w:rPr>
                <w:sz w:val="21"/>
                <w:szCs w:val="21"/>
              </w:rPr>
            </w:pPr>
          </w:p>
        </w:tc>
      </w:tr>
    </w:tbl>
    <w:p>
      <w:pPr>
        <w:wordWrap w:val="0"/>
        <w:rPr>
          <w:sz w:val="18"/>
          <w:szCs w:val="18"/>
          <w:lang w:eastAsia="zh-CN"/>
        </w:rPr>
      </w:pPr>
      <w:r>
        <w:rPr>
          <w:sz w:val="18"/>
          <w:szCs w:val="18"/>
          <w:lang w:eastAsia="zh-CN"/>
        </w:rPr>
        <w:t>注：</w:t>
      </w:r>
      <w:r>
        <w:rPr>
          <w:rFonts w:ascii="Arial" w:hAnsi="Arial" w:cs="Arial"/>
          <w:sz w:val="18"/>
          <w:szCs w:val="18"/>
          <w:lang w:eastAsia="zh-CN"/>
        </w:rPr>
        <w:t>▲</w:t>
      </w:r>
      <w:r>
        <w:rPr>
          <w:rFonts w:ascii="Calibri" w:hAnsi="Calibri" w:cs="Calibri"/>
          <w:sz w:val="18"/>
          <w:szCs w:val="18"/>
          <w:lang w:eastAsia="zh-CN"/>
        </w:rPr>
        <w:t>/</w:t>
      </w:r>
      <w:r>
        <w:rPr>
          <w:rFonts w:ascii="Cambria Math" w:hAnsi="Cambria Math" w:cs="Cambria Math"/>
          <w:sz w:val="18"/>
          <w:szCs w:val="18"/>
          <w:lang w:eastAsia="zh-CN"/>
        </w:rPr>
        <w:t>△</w:t>
      </w:r>
      <w:r>
        <w:rPr>
          <w:sz w:val="18"/>
          <w:szCs w:val="18"/>
          <w:lang w:eastAsia="zh-CN"/>
        </w:rPr>
        <w:t>表示短期负效应/短期正效应</w:t>
      </w:r>
      <w:r>
        <w:rPr>
          <w:rFonts w:hint="eastAsia"/>
          <w:sz w:val="18"/>
          <w:szCs w:val="18"/>
          <w:lang w:eastAsia="zh-CN"/>
        </w:rPr>
        <w:t xml:space="preserve">  </w:t>
      </w:r>
      <w:r>
        <w:rPr>
          <w:sz w:val="18"/>
          <w:szCs w:val="18"/>
          <w:lang w:eastAsia="zh-CN"/>
        </w:rPr>
        <w:t xml:space="preserve">  </w:t>
      </w:r>
      <w:r>
        <w:rPr>
          <w:rFonts w:ascii="Arial" w:hAnsi="Arial" w:cs="Arial"/>
          <w:sz w:val="18"/>
          <w:szCs w:val="18"/>
          <w:lang w:eastAsia="zh-CN"/>
        </w:rPr>
        <w:t>■</w:t>
      </w:r>
      <w:r>
        <w:rPr>
          <w:rFonts w:ascii="Calibri" w:hAnsi="Calibri" w:cs="Calibri"/>
          <w:sz w:val="18"/>
          <w:szCs w:val="18"/>
          <w:lang w:eastAsia="zh-CN"/>
        </w:rPr>
        <w:t>/□</w:t>
      </w:r>
      <w:r>
        <w:rPr>
          <w:sz w:val="18"/>
          <w:szCs w:val="18"/>
          <w:lang w:eastAsia="zh-CN"/>
        </w:rPr>
        <w:t>表示长期负效应/长期正效应</w:t>
      </w:r>
      <w:r>
        <w:rPr>
          <w:rFonts w:hint="eastAsia"/>
          <w:sz w:val="18"/>
          <w:szCs w:val="18"/>
          <w:lang w:eastAsia="zh-CN"/>
        </w:rPr>
        <w:t xml:space="preserve">   </w:t>
      </w:r>
      <w:r>
        <w:rPr>
          <w:sz w:val="18"/>
          <w:szCs w:val="18"/>
          <w:lang w:eastAsia="zh-CN"/>
        </w:rPr>
        <w:t>空格表示影响不明显或没有影响</w:t>
      </w:r>
    </w:p>
    <w:p>
      <w:pPr>
        <w:wordWrap w:val="0"/>
        <w:spacing w:line="360" w:lineRule="auto"/>
        <w:ind w:firstLine="200" w:firstLineChars="200"/>
        <w:rPr>
          <w:sz w:val="10"/>
          <w:szCs w:val="10"/>
          <w:lang w:eastAsia="zh-CN"/>
        </w:rPr>
      </w:pPr>
    </w:p>
    <w:p>
      <w:pPr>
        <w:wordWrap w:val="0"/>
        <w:spacing w:after="0" w:line="360" w:lineRule="auto"/>
        <w:ind w:firstLine="480" w:firstLineChars="200"/>
        <w:rPr>
          <w:sz w:val="24"/>
          <w:lang w:eastAsia="zh-CN"/>
        </w:rPr>
      </w:pPr>
      <w:r>
        <w:rPr>
          <w:sz w:val="24"/>
          <w:lang w:eastAsia="zh-CN"/>
        </w:rPr>
        <w:t>本项目属于</w:t>
      </w:r>
      <w:r>
        <w:rPr>
          <w:rFonts w:hint="eastAsia"/>
          <w:sz w:val="24"/>
          <w:lang w:eastAsia="zh-CN"/>
        </w:rPr>
        <w:t>污泥及生物质处置方法的研发试验装置</w:t>
      </w:r>
      <w:r>
        <w:rPr>
          <w:sz w:val="24"/>
          <w:lang w:eastAsia="zh-CN"/>
        </w:rPr>
        <w:t>，由</w:t>
      </w:r>
      <w:r>
        <w:fldChar w:fldCharType="begin"/>
      </w:r>
      <w:r>
        <w:instrText xml:space="preserve"> REF _Ref433207232 \h  \* MERGEFORMAT </w:instrText>
      </w:r>
      <w:r>
        <w:fldChar w:fldCharType="separate"/>
      </w:r>
      <w:r>
        <w:rPr>
          <w:sz w:val="24"/>
          <w:lang w:eastAsia="zh-CN"/>
        </w:rPr>
        <w:t>表</w:t>
      </w:r>
      <w:r>
        <w:rPr>
          <w:rFonts w:hint="eastAsia"/>
          <w:sz w:val="24"/>
          <w:lang w:eastAsia="zh-CN"/>
        </w:rPr>
        <w:t>2.1</w:t>
      </w:r>
      <w:r>
        <w:rPr>
          <w:sz w:val="24"/>
          <w:lang w:eastAsia="zh-CN"/>
        </w:rPr>
        <w:noBreakHyphen/>
      </w:r>
      <w:r>
        <w:rPr>
          <w:sz w:val="24"/>
          <w:lang w:eastAsia="zh-CN"/>
        </w:rPr>
        <w:t>1</w:t>
      </w:r>
      <w:r>
        <w:rPr>
          <w:sz w:val="24"/>
          <w:lang w:eastAsia="zh-CN"/>
        </w:rPr>
        <w:fldChar w:fldCharType="end"/>
      </w:r>
      <w:r>
        <w:rPr>
          <w:sz w:val="24"/>
          <w:lang w:eastAsia="zh-CN"/>
        </w:rPr>
        <w:t>可知，项目施工期对环境的影响主要是对场区周围大气环境和声环境的短期不利影响；项目营运期废气、</w:t>
      </w:r>
      <w:r>
        <w:rPr>
          <w:rFonts w:hint="eastAsia"/>
          <w:sz w:val="24"/>
          <w:lang w:eastAsia="zh-CN"/>
        </w:rPr>
        <w:t>固废和噪声对周围环境有一定影响。本报告针对这些方面提出减缓环境影响的措施。</w:t>
      </w:r>
    </w:p>
    <w:p>
      <w:pPr>
        <w:pStyle w:val="6"/>
        <w:widowControl w:val="0"/>
        <w:tabs>
          <w:tab w:val="left" w:pos="-3680"/>
          <w:tab w:val="left" w:pos="953"/>
        </w:tabs>
        <w:wordWrap w:val="0"/>
        <w:adjustRightInd w:val="0"/>
        <w:snapToGrid w:val="0"/>
        <w:spacing w:beforeLines="50" w:afterLines="50" w:line="360" w:lineRule="auto"/>
        <w:rPr>
          <w:color w:val="000000" w:themeColor="text1"/>
          <w:sz w:val="24"/>
          <w:szCs w:val="24"/>
          <w:lang w:eastAsia="zh-CN"/>
        </w:rPr>
      </w:pPr>
      <w:bookmarkStart w:id="273" w:name="_Toc21814225"/>
      <w:bookmarkStart w:id="274" w:name="_Toc21814357"/>
      <w:bookmarkStart w:id="275" w:name="_Toc21814404"/>
      <w:bookmarkStart w:id="276" w:name="_Toc21815012"/>
      <w:bookmarkStart w:id="277" w:name="_Toc22150989"/>
      <w:bookmarkStart w:id="278" w:name="_Toc22151166"/>
      <w:bookmarkStart w:id="279" w:name="_Toc22198205"/>
      <w:bookmarkStart w:id="280" w:name="_Toc22198323"/>
      <w:bookmarkStart w:id="281" w:name="_Toc22198429"/>
      <w:bookmarkStart w:id="282" w:name="_Toc22198532"/>
      <w:bookmarkStart w:id="283" w:name="_Toc22198828"/>
      <w:bookmarkStart w:id="284" w:name="_Toc22199191"/>
      <w:bookmarkStart w:id="285" w:name="_Toc22199680"/>
      <w:bookmarkStart w:id="286" w:name="_Toc22200315"/>
      <w:bookmarkStart w:id="287" w:name="_Toc22200982"/>
      <w:bookmarkStart w:id="288" w:name="_Toc22202028"/>
      <w:bookmarkStart w:id="289" w:name="_Toc22202320"/>
      <w:bookmarkStart w:id="290" w:name="_Toc22202732"/>
      <w:bookmarkStart w:id="291" w:name="_Toc24969732"/>
      <w:r>
        <w:rPr>
          <w:rFonts w:hint="eastAsia" w:eastAsia="宋体"/>
          <w:color w:val="000000" w:themeColor="text1"/>
          <w:sz w:val="24"/>
          <w:szCs w:val="24"/>
          <w:lang w:eastAsia="zh-CN"/>
        </w:rPr>
        <w:t>2.2.2</w:t>
      </w:r>
      <w:r>
        <w:rPr>
          <w:color w:val="000000" w:themeColor="text1"/>
          <w:sz w:val="24"/>
          <w:szCs w:val="24"/>
          <w:lang w:eastAsia="zh-CN"/>
        </w:rPr>
        <w:t>评价因子筛选</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pStyle w:val="7"/>
        <w:widowControl w:val="0"/>
        <w:tabs>
          <w:tab w:val="left" w:pos="953"/>
        </w:tabs>
        <w:wordWrap w:val="0"/>
        <w:adjustRightInd w:val="0"/>
        <w:snapToGrid w:val="0"/>
        <w:spacing w:before="0" w:after="200" w:line="360" w:lineRule="auto"/>
        <w:rPr>
          <w:i w:val="0"/>
          <w:color w:val="000000" w:themeColor="text1"/>
          <w:sz w:val="24"/>
          <w:szCs w:val="24"/>
          <w:lang w:eastAsia="zh-CN"/>
        </w:rPr>
      </w:pPr>
      <w:r>
        <w:rPr>
          <w:rFonts w:hint="eastAsia" w:ascii="宋体" w:hAnsi="宋体" w:eastAsia="宋体" w:cs="宋体"/>
          <w:i w:val="0"/>
          <w:color w:val="000000" w:themeColor="text1"/>
          <w:sz w:val="24"/>
          <w:szCs w:val="24"/>
          <w:lang w:eastAsia="zh-CN"/>
        </w:rPr>
        <w:t>2.2.2.2.1施工期评价因子</w:t>
      </w:r>
    </w:p>
    <w:p>
      <w:pPr>
        <w:wordWrap w:val="0"/>
        <w:spacing w:afterLines="50" w:line="360" w:lineRule="auto"/>
        <w:ind w:firstLine="480" w:firstLineChars="200"/>
        <w:rPr>
          <w:sz w:val="24"/>
          <w:lang w:eastAsia="zh-CN"/>
        </w:rPr>
      </w:pPr>
      <w:r>
        <w:rPr>
          <w:sz w:val="24"/>
          <w:lang w:eastAsia="zh-CN"/>
        </w:rPr>
        <w:t>施工期主要包括</w:t>
      </w:r>
      <w:r>
        <w:rPr>
          <w:rFonts w:hint="eastAsia"/>
          <w:sz w:val="24"/>
          <w:lang w:eastAsia="zh-CN"/>
        </w:rPr>
        <w:t>污泥贮储罐的建设和污泥及生物质干燥炭化输送一体化设备的安装</w:t>
      </w:r>
      <w:r>
        <w:rPr>
          <w:sz w:val="24"/>
          <w:lang w:eastAsia="zh-CN"/>
        </w:rPr>
        <w:t>，施工过程对环境会带来短暂的影响，本评价选取施工扬尘、噪声作为评价因子。</w:t>
      </w:r>
    </w:p>
    <w:p>
      <w:pPr>
        <w:pStyle w:val="7"/>
        <w:widowControl w:val="0"/>
        <w:tabs>
          <w:tab w:val="left" w:pos="953"/>
        </w:tabs>
        <w:wordWrap w:val="0"/>
        <w:adjustRightInd w:val="0"/>
        <w:snapToGrid w:val="0"/>
        <w:spacing w:before="0" w:line="360" w:lineRule="auto"/>
        <w:rPr>
          <w:rFonts w:ascii="宋体" w:hAnsi="宋体" w:eastAsia="宋体" w:cs="宋体"/>
          <w:i w:val="0"/>
          <w:color w:val="000000" w:themeColor="text1"/>
          <w:sz w:val="24"/>
          <w:szCs w:val="24"/>
          <w:lang w:eastAsia="zh-CN"/>
        </w:rPr>
      </w:pPr>
    </w:p>
    <w:p>
      <w:pPr>
        <w:pStyle w:val="7"/>
        <w:widowControl w:val="0"/>
        <w:tabs>
          <w:tab w:val="left" w:pos="953"/>
        </w:tabs>
        <w:wordWrap w:val="0"/>
        <w:adjustRightInd w:val="0"/>
        <w:snapToGrid w:val="0"/>
        <w:spacing w:before="0" w:line="360" w:lineRule="auto"/>
        <w:rPr>
          <w:i w:val="0"/>
          <w:color w:val="000000" w:themeColor="text1"/>
          <w:sz w:val="24"/>
          <w:szCs w:val="24"/>
          <w:lang w:eastAsia="zh-CN"/>
        </w:rPr>
      </w:pPr>
      <w:r>
        <w:rPr>
          <w:rFonts w:hint="eastAsia" w:ascii="宋体" w:hAnsi="宋体" w:eastAsia="宋体" w:cs="宋体"/>
          <w:i w:val="0"/>
          <w:color w:val="000000" w:themeColor="text1"/>
          <w:sz w:val="24"/>
          <w:szCs w:val="24"/>
          <w:lang w:eastAsia="zh-CN"/>
        </w:rPr>
        <w:t>2.2.2.2营运期评价因子</w:t>
      </w:r>
    </w:p>
    <w:p>
      <w:pPr>
        <w:wordWrap w:val="0"/>
        <w:spacing w:after="0" w:line="360" w:lineRule="auto"/>
        <w:ind w:firstLine="480" w:firstLineChars="200"/>
        <w:rPr>
          <w:sz w:val="24"/>
          <w:lang w:eastAsia="zh-CN"/>
        </w:rPr>
      </w:pPr>
      <w:r>
        <w:rPr>
          <w:sz w:val="24"/>
          <w:lang w:eastAsia="zh-CN"/>
        </w:rPr>
        <w:t>本项目现状评价因子及预测因子见</w:t>
      </w:r>
      <w:r>
        <w:fldChar w:fldCharType="begin"/>
      </w:r>
      <w:r>
        <w:instrText xml:space="preserve"> REF _Ref227934317 \h  \* MERGEFORMAT </w:instrText>
      </w:r>
      <w:r>
        <w:fldChar w:fldCharType="separate"/>
      </w:r>
      <w:r>
        <w:rPr>
          <w:sz w:val="24"/>
          <w:lang w:eastAsia="zh-CN"/>
        </w:rPr>
        <w:t>表</w:t>
      </w:r>
      <w:r>
        <w:rPr>
          <w:rFonts w:hint="eastAsia"/>
          <w:sz w:val="24"/>
          <w:lang w:eastAsia="zh-CN"/>
        </w:rPr>
        <w:t>2.2</w:t>
      </w:r>
      <w:r>
        <w:rPr>
          <w:sz w:val="24"/>
          <w:lang w:eastAsia="zh-CN"/>
        </w:rPr>
        <w:noBreakHyphen/>
      </w:r>
      <w:r>
        <w:rPr>
          <w:sz w:val="24"/>
          <w:lang w:eastAsia="zh-CN"/>
        </w:rPr>
        <w:t>2</w:t>
      </w:r>
      <w:r>
        <w:rPr>
          <w:sz w:val="24"/>
          <w:lang w:eastAsia="zh-CN"/>
        </w:rPr>
        <w:fldChar w:fldCharType="end"/>
      </w:r>
      <w:r>
        <w:rPr>
          <w:sz w:val="24"/>
          <w:lang w:eastAsia="zh-CN"/>
        </w:rPr>
        <w:t>。</w:t>
      </w:r>
    </w:p>
    <w:p>
      <w:pPr>
        <w:pStyle w:val="10"/>
        <w:wordWrap w:val="0"/>
        <w:rPr>
          <w:color w:val="000000" w:themeColor="text1"/>
        </w:rPr>
      </w:pPr>
      <w:bookmarkStart w:id="292" w:name="_Ref227934317"/>
      <w:r>
        <w:rPr>
          <w:color w:val="000000" w:themeColor="text1"/>
        </w:rPr>
        <w:t>表</w:t>
      </w:r>
      <w:r>
        <w:rPr>
          <w:rFonts w:hint="eastAsia"/>
          <w:color w:val="000000" w:themeColor="text1"/>
        </w:rPr>
        <w:t>2.2</w:t>
      </w:r>
      <w:r>
        <w:rPr>
          <w:color w:val="000000" w:themeColor="text1"/>
        </w:rPr>
        <w:noBreakHyphen/>
      </w:r>
      <w:r>
        <w:rPr>
          <w:color w:val="000000" w:themeColor="text1"/>
        </w:rPr>
        <w:fldChar w:fldCharType="begin"/>
      </w:r>
      <w:r>
        <w:rPr>
          <w:color w:val="000000" w:themeColor="text1"/>
        </w:rPr>
        <w:instrText xml:space="preserve"> SEQ 表 \* ARABIC \s 2 </w:instrText>
      </w:r>
      <w:r>
        <w:rPr>
          <w:color w:val="000000" w:themeColor="text1"/>
        </w:rPr>
        <w:fldChar w:fldCharType="separate"/>
      </w:r>
      <w:r>
        <w:rPr>
          <w:color w:val="000000" w:themeColor="text1"/>
        </w:rPr>
        <w:t>2</w:t>
      </w:r>
      <w:r>
        <w:rPr>
          <w:color w:val="000000" w:themeColor="text1"/>
        </w:rPr>
        <w:fldChar w:fldCharType="end"/>
      </w:r>
      <w:bookmarkEnd w:id="292"/>
      <w:r>
        <w:rPr>
          <w:color w:val="000000" w:themeColor="text1"/>
        </w:rPr>
        <w:t xml:space="preserve">  现状及预测因子一览表</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6"/>
        <w:gridCol w:w="4908"/>
        <w:gridCol w:w="23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296" w:type="dxa"/>
            <w:vAlign w:val="center"/>
          </w:tcPr>
          <w:p>
            <w:pPr>
              <w:spacing w:after="0"/>
              <w:jc w:val="center"/>
              <w:rPr>
                <w:sz w:val="21"/>
                <w:szCs w:val="21"/>
              </w:rPr>
            </w:pPr>
            <w:r>
              <w:rPr>
                <w:sz w:val="21"/>
                <w:szCs w:val="21"/>
              </w:rPr>
              <w:t>项目</w:t>
            </w:r>
          </w:p>
        </w:tc>
        <w:tc>
          <w:tcPr>
            <w:tcW w:w="4908" w:type="dxa"/>
            <w:vAlign w:val="center"/>
          </w:tcPr>
          <w:p>
            <w:pPr>
              <w:wordWrap w:val="0"/>
              <w:spacing w:after="0"/>
              <w:jc w:val="center"/>
              <w:rPr>
                <w:sz w:val="21"/>
                <w:szCs w:val="21"/>
              </w:rPr>
            </w:pPr>
            <w:r>
              <w:rPr>
                <w:sz w:val="21"/>
                <w:szCs w:val="21"/>
              </w:rPr>
              <w:t>现状评价因子</w:t>
            </w:r>
          </w:p>
        </w:tc>
        <w:tc>
          <w:tcPr>
            <w:tcW w:w="2324" w:type="dxa"/>
            <w:vAlign w:val="center"/>
          </w:tcPr>
          <w:p>
            <w:pPr>
              <w:wordWrap w:val="0"/>
              <w:spacing w:after="0"/>
              <w:jc w:val="center"/>
              <w:rPr>
                <w:sz w:val="21"/>
                <w:szCs w:val="21"/>
              </w:rPr>
            </w:pPr>
            <w:r>
              <w:rPr>
                <w:sz w:val="21"/>
                <w:szCs w:val="21"/>
              </w:rPr>
              <w:t>预测因子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6" w:type="dxa"/>
            <w:vAlign w:val="center"/>
          </w:tcPr>
          <w:p>
            <w:pPr>
              <w:wordWrap w:val="0"/>
              <w:spacing w:after="0"/>
              <w:jc w:val="center"/>
              <w:rPr>
                <w:sz w:val="21"/>
                <w:szCs w:val="21"/>
              </w:rPr>
            </w:pPr>
            <w:r>
              <w:rPr>
                <w:sz w:val="21"/>
                <w:szCs w:val="21"/>
              </w:rPr>
              <w:t>大气环境</w:t>
            </w:r>
          </w:p>
        </w:tc>
        <w:tc>
          <w:tcPr>
            <w:tcW w:w="4908" w:type="dxa"/>
            <w:vAlign w:val="center"/>
          </w:tcPr>
          <w:p>
            <w:pPr>
              <w:wordWrap w:val="0"/>
              <w:spacing w:after="0"/>
              <w:jc w:val="center"/>
              <w:rPr>
                <w:color w:val="000000" w:themeColor="text1"/>
                <w:sz w:val="21"/>
                <w:szCs w:val="21"/>
              </w:rPr>
            </w:pPr>
            <w:r>
              <w:rPr>
                <w:rFonts w:hint="eastAsia"/>
                <w:color w:val="000000" w:themeColor="text1"/>
                <w:sz w:val="21"/>
                <w:szCs w:val="21"/>
                <w:lang w:eastAsia="zh-CN"/>
              </w:rPr>
              <w:t>CO、O3、</w:t>
            </w:r>
            <w:r>
              <w:rPr>
                <w:color w:val="000000" w:themeColor="text1"/>
                <w:sz w:val="21"/>
                <w:szCs w:val="21"/>
              </w:rPr>
              <w:t>SO</w:t>
            </w:r>
            <w:r>
              <w:rPr>
                <w:color w:val="000000" w:themeColor="text1"/>
                <w:sz w:val="21"/>
                <w:szCs w:val="21"/>
                <w:vertAlign w:val="subscript"/>
              </w:rPr>
              <w:t>2</w:t>
            </w:r>
            <w:r>
              <w:rPr>
                <w:color w:val="000000" w:themeColor="text1"/>
                <w:sz w:val="21"/>
                <w:szCs w:val="21"/>
                <w:lang w:val="pt-BR"/>
              </w:rPr>
              <w:t>、</w:t>
            </w:r>
            <w:r>
              <w:rPr>
                <w:color w:val="000000" w:themeColor="text1"/>
                <w:sz w:val="21"/>
                <w:szCs w:val="21"/>
              </w:rPr>
              <w:t>NO</w:t>
            </w:r>
            <w:r>
              <w:rPr>
                <w:color w:val="000000" w:themeColor="text1"/>
                <w:sz w:val="21"/>
                <w:szCs w:val="21"/>
                <w:vertAlign w:val="subscript"/>
              </w:rPr>
              <w:t>2</w:t>
            </w:r>
            <w:r>
              <w:rPr>
                <w:color w:val="000000" w:themeColor="text1"/>
                <w:sz w:val="21"/>
                <w:szCs w:val="21"/>
                <w:lang w:val="pt-BR"/>
              </w:rPr>
              <w:t>、</w:t>
            </w:r>
            <w:r>
              <w:rPr>
                <w:color w:val="000000" w:themeColor="text1"/>
                <w:sz w:val="21"/>
                <w:szCs w:val="21"/>
              </w:rPr>
              <w:t>PM</w:t>
            </w:r>
            <w:r>
              <w:rPr>
                <w:color w:val="000000" w:themeColor="text1"/>
                <w:sz w:val="21"/>
                <w:szCs w:val="21"/>
                <w:vertAlign w:val="subscript"/>
              </w:rPr>
              <w:t>10</w:t>
            </w:r>
            <w:r>
              <w:rPr>
                <w:color w:val="000000" w:themeColor="text1"/>
                <w:sz w:val="21"/>
                <w:szCs w:val="21"/>
              </w:rPr>
              <w:t>、H</w:t>
            </w:r>
            <w:r>
              <w:rPr>
                <w:color w:val="000000" w:themeColor="text1"/>
                <w:sz w:val="21"/>
                <w:szCs w:val="21"/>
                <w:vertAlign w:val="subscript"/>
              </w:rPr>
              <w:t>2</w:t>
            </w:r>
            <w:r>
              <w:rPr>
                <w:color w:val="000000" w:themeColor="text1"/>
                <w:sz w:val="21"/>
                <w:szCs w:val="21"/>
              </w:rPr>
              <w:t>S、NH</w:t>
            </w:r>
            <w:r>
              <w:rPr>
                <w:color w:val="000000" w:themeColor="text1"/>
                <w:sz w:val="21"/>
                <w:szCs w:val="21"/>
                <w:vertAlign w:val="subscript"/>
              </w:rPr>
              <w:t>3</w:t>
            </w:r>
          </w:p>
        </w:tc>
        <w:tc>
          <w:tcPr>
            <w:tcW w:w="2324" w:type="dxa"/>
            <w:vAlign w:val="center"/>
          </w:tcPr>
          <w:p>
            <w:pPr>
              <w:wordWrap w:val="0"/>
              <w:spacing w:after="0"/>
              <w:jc w:val="center"/>
              <w:rPr>
                <w:color w:val="000000" w:themeColor="text1"/>
                <w:sz w:val="21"/>
                <w:szCs w:val="21"/>
                <w:lang w:eastAsia="zh-CN"/>
              </w:rPr>
            </w:pPr>
            <w:r>
              <w:rPr>
                <w:color w:val="000000" w:themeColor="text1"/>
                <w:sz w:val="21"/>
                <w:szCs w:val="21"/>
              </w:rPr>
              <w:t>SO</w:t>
            </w:r>
            <w:r>
              <w:rPr>
                <w:color w:val="000000" w:themeColor="text1"/>
                <w:sz w:val="21"/>
                <w:szCs w:val="21"/>
                <w:vertAlign w:val="subscript"/>
              </w:rPr>
              <w:t>2</w:t>
            </w:r>
            <w:r>
              <w:rPr>
                <w:color w:val="000000" w:themeColor="text1"/>
                <w:sz w:val="21"/>
                <w:szCs w:val="21"/>
                <w:lang w:val="pt-BR"/>
              </w:rPr>
              <w:t>、</w:t>
            </w:r>
            <w:r>
              <w:rPr>
                <w:color w:val="000000" w:themeColor="text1"/>
                <w:sz w:val="21"/>
                <w:szCs w:val="21"/>
              </w:rPr>
              <w:t>NO</w:t>
            </w:r>
            <w:r>
              <w:rPr>
                <w:color w:val="000000" w:themeColor="text1"/>
                <w:sz w:val="21"/>
                <w:szCs w:val="21"/>
                <w:vertAlign w:val="subscript"/>
              </w:rPr>
              <w:t>2</w:t>
            </w:r>
            <w:r>
              <w:rPr>
                <w:color w:val="000000" w:themeColor="text1"/>
                <w:sz w:val="21"/>
                <w:szCs w:val="21"/>
                <w:lang w:val="pt-BR"/>
              </w:rPr>
              <w:t>、</w:t>
            </w:r>
            <w:r>
              <w:rPr>
                <w:color w:val="000000" w:themeColor="text1"/>
                <w:sz w:val="21"/>
                <w:szCs w:val="21"/>
              </w:rPr>
              <w:t>PM</w:t>
            </w:r>
            <w:r>
              <w:rPr>
                <w:color w:val="000000" w:themeColor="text1"/>
                <w:sz w:val="21"/>
                <w:szCs w:val="21"/>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96" w:type="dxa"/>
            <w:vAlign w:val="center"/>
          </w:tcPr>
          <w:p>
            <w:pPr>
              <w:wordWrap w:val="0"/>
              <w:spacing w:after="0"/>
              <w:jc w:val="center"/>
              <w:rPr>
                <w:sz w:val="21"/>
                <w:szCs w:val="21"/>
              </w:rPr>
            </w:pPr>
            <w:r>
              <w:rPr>
                <w:sz w:val="21"/>
                <w:szCs w:val="21"/>
              </w:rPr>
              <w:t>声环境</w:t>
            </w:r>
          </w:p>
        </w:tc>
        <w:tc>
          <w:tcPr>
            <w:tcW w:w="4908" w:type="dxa"/>
            <w:vAlign w:val="center"/>
          </w:tcPr>
          <w:p>
            <w:pPr>
              <w:wordWrap w:val="0"/>
              <w:spacing w:after="0"/>
              <w:jc w:val="center"/>
              <w:rPr>
                <w:sz w:val="21"/>
                <w:szCs w:val="21"/>
              </w:rPr>
            </w:pPr>
            <w:r>
              <w:rPr>
                <w:sz w:val="21"/>
                <w:szCs w:val="21"/>
              </w:rPr>
              <w:t>Leq（A）</w:t>
            </w:r>
          </w:p>
        </w:tc>
        <w:tc>
          <w:tcPr>
            <w:tcW w:w="2324" w:type="dxa"/>
            <w:vAlign w:val="center"/>
          </w:tcPr>
          <w:p>
            <w:pPr>
              <w:wordWrap w:val="0"/>
              <w:spacing w:after="0"/>
              <w:jc w:val="center"/>
              <w:rPr>
                <w:sz w:val="21"/>
                <w:szCs w:val="21"/>
              </w:rPr>
            </w:pPr>
            <w:r>
              <w:rPr>
                <w:sz w:val="21"/>
                <w:szCs w:val="21"/>
              </w:rPr>
              <w:t>Leq（A）</w:t>
            </w:r>
          </w:p>
        </w:tc>
      </w:tr>
    </w:tbl>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293" w:name="_Toc220122762"/>
      <w:bookmarkStart w:id="294" w:name="_Ref304147304"/>
      <w:bookmarkStart w:id="295" w:name="_Toc4081211"/>
      <w:bookmarkStart w:id="296" w:name="_Toc18151"/>
      <w:bookmarkStart w:id="297" w:name="_Toc21814226"/>
      <w:bookmarkStart w:id="298" w:name="_Toc21814358"/>
      <w:bookmarkStart w:id="299" w:name="_Toc21814405"/>
      <w:bookmarkStart w:id="300" w:name="_Toc21815013"/>
      <w:bookmarkStart w:id="301" w:name="_Toc22150990"/>
      <w:bookmarkStart w:id="302" w:name="_Toc22151167"/>
      <w:bookmarkStart w:id="303" w:name="_Toc22198206"/>
      <w:bookmarkStart w:id="304" w:name="_Toc22198324"/>
      <w:bookmarkStart w:id="305" w:name="_Toc22198430"/>
      <w:bookmarkStart w:id="306" w:name="_Toc22198533"/>
      <w:bookmarkStart w:id="307" w:name="_Toc22198829"/>
      <w:bookmarkStart w:id="308" w:name="_Toc22199192"/>
      <w:bookmarkStart w:id="309" w:name="_Toc22199681"/>
      <w:bookmarkStart w:id="310" w:name="_Toc22200316"/>
      <w:bookmarkStart w:id="311" w:name="_Toc22200983"/>
      <w:bookmarkStart w:id="312" w:name="_Toc22202029"/>
      <w:bookmarkStart w:id="313" w:name="_Toc22202321"/>
      <w:bookmarkStart w:id="314" w:name="_Toc22202733"/>
      <w:bookmarkStart w:id="315" w:name="_Toc24969733"/>
      <w:r>
        <w:rPr>
          <w:rFonts w:hint="eastAsia" w:ascii="宋体" w:hAnsi="宋体" w:eastAsia="宋体"/>
          <w:color w:val="000000" w:themeColor="text1"/>
          <w:lang w:eastAsia="zh-CN"/>
        </w:rPr>
        <w:t>2.3</w:t>
      </w:r>
      <w:r>
        <w:rPr>
          <w:rFonts w:ascii="宋体" w:hAnsi="宋体" w:eastAsia="宋体"/>
          <w:color w:val="000000" w:themeColor="text1"/>
          <w:lang w:eastAsia="zh-CN"/>
        </w:rPr>
        <w:t>环境功能区划</w:t>
      </w:r>
      <w:bookmarkEnd w:id="293"/>
      <w:bookmarkEnd w:id="294"/>
      <w:r>
        <w:rPr>
          <w:rFonts w:ascii="宋体" w:hAnsi="宋体" w:eastAsia="宋体"/>
          <w:color w:val="000000" w:themeColor="text1"/>
          <w:lang w:eastAsia="zh-CN"/>
        </w:rPr>
        <w:t>及评价标准</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6"/>
        <w:widowControl w:val="0"/>
        <w:tabs>
          <w:tab w:val="left" w:pos="-3680"/>
          <w:tab w:val="left" w:pos="953"/>
        </w:tabs>
        <w:wordWrap w:val="0"/>
        <w:adjustRightInd w:val="0"/>
        <w:snapToGrid w:val="0"/>
        <w:spacing w:before="0" w:line="360" w:lineRule="auto"/>
        <w:rPr>
          <w:color w:val="000000" w:themeColor="text1"/>
          <w:sz w:val="24"/>
          <w:szCs w:val="24"/>
          <w:lang w:eastAsia="zh-CN"/>
        </w:rPr>
      </w:pPr>
      <w:bookmarkStart w:id="316" w:name="_Toc21814227"/>
      <w:bookmarkStart w:id="317" w:name="_Toc21814359"/>
      <w:bookmarkStart w:id="318" w:name="_Toc21814406"/>
      <w:bookmarkStart w:id="319" w:name="_Toc21815014"/>
      <w:bookmarkStart w:id="320" w:name="_Toc22150991"/>
      <w:bookmarkStart w:id="321" w:name="_Toc22151168"/>
      <w:bookmarkStart w:id="322" w:name="_Toc22198207"/>
      <w:bookmarkStart w:id="323" w:name="_Toc22198325"/>
      <w:bookmarkStart w:id="324" w:name="_Toc22198431"/>
      <w:bookmarkStart w:id="325" w:name="_Toc22198534"/>
      <w:bookmarkStart w:id="326" w:name="_Toc22198830"/>
      <w:bookmarkStart w:id="327" w:name="_Toc22199193"/>
      <w:bookmarkStart w:id="328" w:name="_Toc22199682"/>
      <w:bookmarkStart w:id="329" w:name="_Toc22200317"/>
      <w:bookmarkStart w:id="330" w:name="_Toc22200984"/>
      <w:bookmarkStart w:id="331" w:name="_Toc22202030"/>
      <w:bookmarkStart w:id="332" w:name="_Toc22202322"/>
      <w:bookmarkStart w:id="333" w:name="_Toc22202734"/>
      <w:bookmarkStart w:id="334" w:name="_Toc24969734"/>
      <w:r>
        <w:rPr>
          <w:rFonts w:hint="eastAsia" w:ascii="宋体" w:hAnsi="宋体" w:eastAsia="宋体" w:cs="宋体"/>
          <w:color w:val="000000" w:themeColor="text1"/>
          <w:sz w:val="24"/>
          <w:szCs w:val="24"/>
          <w:lang w:eastAsia="zh-CN"/>
        </w:rPr>
        <w:t>2.3.1环境功能区划</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29"/>
        <w:wordWrap w:val="0"/>
        <w:spacing w:after="0"/>
        <w:ind w:firstLine="480"/>
      </w:pPr>
      <w:r>
        <w:t>项目所在区域环境功能区划见下表。</w:t>
      </w:r>
    </w:p>
    <w:p>
      <w:pPr>
        <w:pStyle w:val="29"/>
        <w:wordWrap w:val="0"/>
        <w:spacing w:line="240" w:lineRule="auto"/>
        <w:ind w:firstLine="482"/>
        <w:jc w:val="center"/>
        <w:rPr>
          <w:b/>
        </w:rPr>
      </w:pPr>
      <w:bookmarkStart w:id="335" w:name="_Ref370976140"/>
      <w:r>
        <w:rPr>
          <w:b/>
        </w:rPr>
        <w:t>表</w:t>
      </w:r>
      <w:r>
        <w:rPr>
          <w:rFonts w:hint="eastAsia"/>
          <w:b/>
        </w:rPr>
        <w:t>2.3</w:t>
      </w:r>
      <w:r>
        <w:rPr>
          <w:b/>
        </w:rPr>
        <w:noBreakHyphen/>
      </w:r>
      <w:bookmarkEnd w:id="335"/>
      <w:r>
        <w:rPr>
          <w:rFonts w:hint="eastAsia"/>
          <w:b/>
        </w:rPr>
        <w:t>1</w:t>
      </w:r>
      <w:r>
        <w:rPr>
          <w:b/>
        </w:rPr>
        <w:t xml:space="preserve">  项目所在区域环境功能属性</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04"/>
        <w:gridCol w:w="5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blHeader/>
          <w:jc w:val="center"/>
        </w:trPr>
        <w:tc>
          <w:tcPr>
            <w:tcW w:w="2804" w:type="dxa"/>
            <w:vAlign w:val="center"/>
          </w:tcPr>
          <w:p>
            <w:pPr>
              <w:pStyle w:val="57"/>
              <w:wordWrap w:val="0"/>
              <w:spacing w:after="0" w:line="240" w:lineRule="auto"/>
              <w:rPr>
                <w:rFonts w:eastAsia="宋体"/>
                <w:b/>
                <w:sz w:val="21"/>
                <w:szCs w:val="21"/>
              </w:rPr>
            </w:pPr>
            <w:r>
              <w:rPr>
                <w:rFonts w:eastAsia="宋体"/>
                <w:b/>
                <w:sz w:val="21"/>
                <w:szCs w:val="21"/>
              </w:rPr>
              <w:t>项目</w:t>
            </w:r>
          </w:p>
        </w:tc>
        <w:tc>
          <w:tcPr>
            <w:tcW w:w="5724" w:type="dxa"/>
            <w:vAlign w:val="center"/>
          </w:tcPr>
          <w:p>
            <w:pPr>
              <w:pStyle w:val="57"/>
              <w:wordWrap w:val="0"/>
              <w:spacing w:after="0" w:line="240" w:lineRule="auto"/>
              <w:rPr>
                <w:rFonts w:eastAsia="宋体"/>
                <w:b/>
                <w:sz w:val="21"/>
                <w:szCs w:val="21"/>
              </w:rPr>
            </w:pPr>
            <w:r>
              <w:rPr>
                <w:rFonts w:eastAsia="宋体"/>
                <w:b/>
                <w:sz w:val="21"/>
                <w:szCs w:val="21"/>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地表水环境功能区</w:t>
            </w:r>
          </w:p>
        </w:tc>
        <w:tc>
          <w:tcPr>
            <w:tcW w:w="5724" w:type="dxa"/>
            <w:vAlign w:val="center"/>
          </w:tcPr>
          <w:p>
            <w:pPr>
              <w:pStyle w:val="59"/>
              <w:wordWrap w:val="0"/>
              <w:spacing w:after="0" w:line="240" w:lineRule="auto"/>
              <w:jc w:val="both"/>
              <w:rPr>
                <w:szCs w:val="21"/>
              </w:rPr>
            </w:pPr>
            <w:r>
              <w:rPr>
                <w:rFonts w:hint="eastAsia"/>
                <w:szCs w:val="21"/>
              </w:rPr>
              <w:t>根据湖南地方标准DB43/023-2005《湖南省主要水系地表水环境功能区划》，长江岳阳段执行Ⅲ类标准。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地下水环境功能区</w:t>
            </w:r>
          </w:p>
        </w:tc>
        <w:tc>
          <w:tcPr>
            <w:tcW w:w="5724" w:type="dxa"/>
            <w:shd w:val="clear" w:color="auto" w:fill="auto"/>
            <w:vAlign w:val="center"/>
          </w:tcPr>
          <w:p>
            <w:pPr>
              <w:pStyle w:val="59"/>
              <w:wordWrap w:val="0"/>
              <w:spacing w:after="0" w:line="240" w:lineRule="auto"/>
              <w:rPr>
                <w:szCs w:val="21"/>
              </w:rPr>
            </w:pPr>
            <w:r>
              <w:rPr>
                <w:rFonts w:hint="eastAsia"/>
                <w:szCs w:val="21"/>
              </w:rPr>
              <w:t>执行</w:t>
            </w:r>
            <w:r>
              <w:rPr>
                <w:rFonts w:hint="eastAsia"/>
                <w:color w:val="000000" w:themeColor="text1"/>
                <w:szCs w:val="21"/>
              </w:rPr>
              <w:t xml:space="preserve"> GB/T14848-2017《地下水质量标准》</w:t>
            </w:r>
            <w:r>
              <w:rPr>
                <w:rFonts w:hint="eastAsia"/>
                <w:szCs w:val="21"/>
              </w:rPr>
              <w:t>Ⅲ类水标准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环境空气质量功能区</w:t>
            </w:r>
          </w:p>
        </w:tc>
        <w:tc>
          <w:tcPr>
            <w:tcW w:w="5724" w:type="dxa"/>
            <w:vAlign w:val="center"/>
          </w:tcPr>
          <w:p>
            <w:pPr>
              <w:pStyle w:val="57"/>
              <w:wordWrap w:val="0"/>
              <w:spacing w:after="0" w:line="240" w:lineRule="auto"/>
              <w:rPr>
                <w:rFonts w:eastAsia="宋体"/>
                <w:sz w:val="21"/>
                <w:szCs w:val="21"/>
              </w:rPr>
            </w:pPr>
            <w:r>
              <w:rPr>
                <w:rFonts w:eastAsia="宋体"/>
                <w:sz w:val="21"/>
                <w:szCs w:val="21"/>
              </w:rPr>
              <w:t>GB3095-2012中的二类区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声环境功能区</w:t>
            </w:r>
          </w:p>
        </w:tc>
        <w:tc>
          <w:tcPr>
            <w:tcW w:w="5724" w:type="dxa"/>
            <w:vAlign w:val="center"/>
          </w:tcPr>
          <w:p>
            <w:pPr>
              <w:pStyle w:val="57"/>
              <w:spacing w:after="0" w:line="240" w:lineRule="auto"/>
              <w:rPr>
                <w:rFonts w:eastAsia="宋体"/>
                <w:sz w:val="21"/>
                <w:szCs w:val="21"/>
              </w:rPr>
            </w:pPr>
            <w:r>
              <w:rPr>
                <w:rFonts w:hint="eastAsia" w:eastAsia="宋体"/>
                <w:sz w:val="21"/>
                <w:szCs w:val="21"/>
              </w:rPr>
              <w:t>GB3096-2008《声环境质量标准》3 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土壤环境功能区</w:t>
            </w:r>
          </w:p>
        </w:tc>
        <w:tc>
          <w:tcPr>
            <w:tcW w:w="5724" w:type="dxa"/>
            <w:vAlign w:val="center"/>
          </w:tcPr>
          <w:p>
            <w:pPr>
              <w:pStyle w:val="57"/>
              <w:wordWrap w:val="0"/>
              <w:spacing w:after="0" w:line="240" w:lineRule="auto"/>
              <w:rPr>
                <w:sz w:val="21"/>
                <w:szCs w:val="21"/>
              </w:rPr>
            </w:pPr>
            <w:r>
              <w:rPr>
                <w:rFonts w:hint="eastAsia" w:eastAsia="宋体"/>
                <w:sz w:val="21"/>
                <w:szCs w:val="21"/>
              </w:rPr>
              <w:t>工业用地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是否基本农田保护区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是否森林、公园</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是否生态功能保护区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是否水土流失重点防治区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是否人口密集区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是否重点文物保护单位</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是否三河、三湖、两控区</w:t>
            </w:r>
          </w:p>
        </w:tc>
        <w:tc>
          <w:tcPr>
            <w:tcW w:w="5724" w:type="dxa"/>
            <w:vAlign w:val="center"/>
          </w:tcPr>
          <w:p>
            <w:pPr>
              <w:pStyle w:val="57"/>
              <w:wordWrap w:val="0"/>
              <w:spacing w:after="0" w:line="240" w:lineRule="auto"/>
              <w:rPr>
                <w:rFonts w:eastAsia="宋体"/>
                <w:sz w:val="21"/>
                <w:szCs w:val="21"/>
              </w:rPr>
            </w:pPr>
            <w:r>
              <w:rPr>
                <w:rFonts w:eastAsia="宋体"/>
                <w:sz w:val="21"/>
                <w:szCs w:val="21"/>
              </w:rPr>
              <w:t>两控区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是否水库库区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804" w:type="dxa"/>
            <w:vAlign w:val="center"/>
          </w:tcPr>
          <w:p>
            <w:pPr>
              <w:pStyle w:val="57"/>
              <w:wordWrap w:val="0"/>
              <w:spacing w:after="0" w:line="240" w:lineRule="auto"/>
              <w:rPr>
                <w:rFonts w:eastAsia="宋体"/>
                <w:sz w:val="21"/>
                <w:szCs w:val="21"/>
              </w:rPr>
            </w:pPr>
            <w:r>
              <w:rPr>
                <w:rFonts w:eastAsia="宋体"/>
                <w:sz w:val="21"/>
                <w:szCs w:val="21"/>
              </w:rPr>
              <w:t>是否属于生态敏感与脆弱区</w:t>
            </w:r>
          </w:p>
        </w:tc>
        <w:tc>
          <w:tcPr>
            <w:tcW w:w="5724" w:type="dxa"/>
            <w:vAlign w:val="center"/>
          </w:tcPr>
          <w:p>
            <w:pPr>
              <w:pStyle w:val="57"/>
              <w:wordWrap w:val="0"/>
              <w:spacing w:after="0" w:line="240" w:lineRule="auto"/>
              <w:rPr>
                <w:rFonts w:eastAsia="宋体"/>
                <w:sz w:val="21"/>
                <w:szCs w:val="21"/>
              </w:rPr>
            </w:pPr>
            <w:r>
              <w:rPr>
                <w:rFonts w:eastAsia="宋体"/>
                <w:sz w:val="21"/>
                <w:szCs w:val="21"/>
              </w:rPr>
              <w:t>否</w:t>
            </w:r>
          </w:p>
        </w:tc>
      </w:tr>
    </w:tbl>
    <w:p>
      <w:pPr>
        <w:pStyle w:val="6"/>
        <w:widowControl w:val="0"/>
        <w:tabs>
          <w:tab w:val="left" w:pos="-3680"/>
          <w:tab w:val="left" w:pos="953"/>
        </w:tabs>
        <w:wordWrap w:val="0"/>
        <w:adjustRightInd w:val="0"/>
        <w:snapToGrid w:val="0"/>
        <w:spacing w:beforeLines="50" w:afterLines="50" w:line="360" w:lineRule="auto"/>
        <w:rPr>
          <w:color w:val="000000" w:themeColor="text1"/>
          <w:sz w:val="24"/>
          <w:szCs w:val="24"/>
          <w:lang w:eastAsia="zh-CN"/>
        </w:rPr>
      </w:pPr>
      <w:bookmarkStart w:id="336" w:name="_Toc21814228"/>
      <w:bookmarkStart w:id="337" w:name="_Toc21814360"/>
      <w:bookmarkStart w:id="338" w:name="_Toc21814407"/>
      <w:bookmarkStart w:id="339" w:name="_Toc21815015"/>
      <w:bookmarkStart w:id="340" w:name="_Toc22150992"/>
      <w:bookmarkStart w:id="341" w:name="_Toc22151169"/>
      <w:bookmarkStart w:id="342" w:name="_Toc22198208"/>
      <w:bookmarkStart w:id="343" w:name="_Toc22198326"/>
      <w:bookmarkStart w:id="344" w:name="_Toc22198432"/>
      <w:bookmarkStart w:id="345" w:name="_Toc22198535"/>
      <w:bookmarkStart w:id="346" w:name="_Toc22198831"/>
      <w:bookmarkStart w:id="347" w:name="_Toc22199194"/>
      <w:bookmarkStart w:id="348" w:name="_Toc22199683"/>
      <w:bookmarkStart w:id="349" w:name="_Toc22200318"/>
      <w:bookmarkStart w:id="350" w:name="_Toc22200985"/>
      <w:bookmarkStart w:id="351" w:name="_Toc22202031"/>
      <w:bookmarkStart w:id="352" w:name="_Toc22202323"/>
      <w:bookmarkStart w:id="353" w:name="_Toc22202735"/>
      <w:bookmarkStart w:id="354" w:name="_Toc24969735"/>
      <w:r>
        <w:rPr>
          <w:rFonts w:hint="eastAsia" w:ascii="宋体" w:hAnsi="宋体" w:eastAsia="宋体" w:cs="Times New Roman"/>
          <w:bCs w:val="0"/>
          <w:color w:val="000000" w:themeColor="text1"/>
          <w:kern w:val="2"/>
          <w:sz w:val="24"/>
          <w:szCs w:val="24"/>
          <w:lang w:eastAsia="zh-CN"/>
        </w:rPr>
        <w:t>2.3.2</w:t>
      </w:r>
      <w:r>
        <w:rPr>
          <w:rFonts w:hint="eastAsia" w:ascii="宋体" w:hAnsi="宋体" w:eastAsia="宋体" w:cs="宋体"/>
          <w:color w:val="000000" w:themeColor="text1"/>
          <w:sz w:val="24"/>
          <w:szCs w:val="24"/>
          <w:lang w:eastAsia="zh-CN"/>
        </w:rPr>
        <w:t>评价标准</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7"/>
        <w:widowControl w:val="0"/>
        <w:tabs>
          <w:tab w:val="left" w:pos="953"/>
        </w:tabs>
        <w:wordWrap w:val="0"/>
        <w:adjustRightInd w:val="0"/>
        <w:snapToGrid w:val="0"/>
        <w:spacing w:before="0" w:after="200" w:line="360" w:lineRule="auto"/>
        <w:rPr>
          <w:i w:val="0"/>
          <w:color w:val="000000" w:themeColor="text1"/>
          <w:sz w:val="24"/>
          <w:szCs w:val="24"/>
          <w:lang w:eastAsia="zh-CN"/>
        </w:rPr>
      </w:pPr>
      <w:r>
        <w:rPr>
          <w:rFonts w:hint="eastAsia" w:eastAsia="宋体"/>
          <w:i w:val="0"/>
          <w:color w:val="000000" w:themeColor="text1"/>
          <w:sz w:val="24"/>
          <w:szCs w:val="24"/>
          <w:lang w:eastAsia="zh-CN"/>
        </w:rPr>
        <w:t>2.3.2.1</w:t>
      </w:r>
      <w:r>
        <w:rPr>
          <w:i w:val="0"/>
          <w:color w:val="000000" w:themeColor="text1"/>
          <w:sz w:val="24"/>
          <w:szCs w:val="24"/>
          <w:lang w:eastAsia="zh-CN"/>
        </w:rPr>
        <w:t>环境质量标准</w:t>
      </w:r>
    </w:p>
    <w:p>
      <w:pPr>
        <w:pStyle w:val="29"/>
        <w:wordWrap w:val="0"/>
        <w:spacing w:after="0"/>
        <w:ind w:firstLine="480"/>
      </w:pPr>
      <w:r>
        <w:t>根据</w:t>
      </w:r>
      <w:r>
        <w:rPr>
          <w:rFonts w:hint="eastAsia"/>
        </w:rPr>
        <w:t>岳阳楼区</w:t>
      </w:r>
      <w:r>
        <w:t>环境保护局《关于</w:t>
      </w:r>
      <w:r>
        <w:rPr>
          <w:rFonts w:hint="eastAsia"/>
        </w:rPr>
        <w:t>西安西热锅炉环保工程有限公司燃煤电厂污泥及生物质干燥炭化输送一体化处理系统关键技术研发</w:t>
      </w:r>
      <w:r>
        <w:t>项目环境影响评价执行标准的函》（</w:t>
      </w:r>
      <w:r>
        <w:rPr>
          <w:color w:val="000000" w:themeColor="text1"/>
        </w:rPr>
        <w:t>具体见附件2</w:t>
      </w:r>
      <w:r>
        <w:t>），本次评价拟执行的标准如下：</w:t>
      </w:r>
    </w:p>
    <w:p>
      <w:pPr>
        <w:pStyle w:val="29"/>
        <w:tabs>
          <w:tab w:val="left" w:pos="137"/>
        </w:tabs>
        <w:wordWrap w:val="0"/>
        <w:spacing w:beforeLines="100" w:after="100"/>
        <w:ind w:firstLine="0" w:firstLineChars="0"/>
        <w:rPr>
          <w:b/>
        </w:rPr>
      </w:pPr>
      <w:r>
        <w:rPr>
          <w:rFonts w:hint="eastAsia"/>
          <w:b/>
        </w:rPr>
        <w:t>1.水体评价标准</w:t>
      </w:r>
    </w:p>
    <w:p>
      <w:pPr>
        <w:pStyle w:val="29"/>
        <w:numPr>
          <w:ilvl w:val="0"/>
          <w:numId w:val="7"/>
        </w:numPr>
        <w:wordWrap w:val="0"/>
        <w:spacing w:after="0"/>
        <w:ind w:left="0" w:firstLine="425" w:firstLineChars="0"/>
      </w:pPr>
      <w:bookmarkStart w:id="355" w:name="_Ref223880384"/>
      <w:r>
        <w:t>地表水环境：</w:t>
      </w:r>
      <w:r>
        <w:rPr>
          <w:rFonts w:hint="eastAsia"/>
          <w:szCs w:val="24"/>
        </w:rPr>
        <w:t>长江岳阳段执行Ⅲ类标准</w:t>
      </w:r>
      <w:r>
        <w:rPr>
          <w:szCs w:val="24"/>
        </w:rPr>
        <w:t>，执行《地表水质量标准》（GB3838-2002）</w:t>
      </w:r>
      <w:r>
        <w:rPr>
          <w:rFonts w:hint="eastAsia"/>
          <w:szCs w:val="24"/>
        </w:rPr>
        <w:t>Ⅲ类标准。</w:t>
      </w:r>
    </w:p>
    <w:p>
      <w:pPr>
        <w:pStyle w:val="29"/>
        <w:numPr>
          <w:ilvl w:val="0"/>
          <w:numId w:val="7"/>
        </w:numPr>
        <w:wordWrap w:val="0"/>
        <w:spacing w:after="0"/>
        <w:ind w:left="0" w:firstLine="425" w:firstLineChars="0"/>
      </w:pPr>
      <w:r>
        <w:rPr>
          <w:rFonts w:hint="eastAsia"/>
          <w:szCs w:val="24"/>
        </w:rPr>
        <w:t>地下水执行《地下水水质标准》GB/T14848-2017Ⅲ类标准。</w:t>
      </w:r>
      <w:r>
        <w:rPr>
          <w:rFonts w:hint="eastAsia" w:ascii="宋体" w:hAnsi="宋体" w:cs="宋体"/>
          <w:szCs w:val="24"/>
        </w:rPr>
        <w:t>Ⅲ</w:t>
      </w:r>
      <w:r>
        <w:rPr>
          <w:szCs w:val="24"/>
        </w:rPr>
        <w:t>类标准</w:t>
      </w:r>
      <w:r>
        <w:rPr>
          <w:rFonts w:hint="eastAsia"/>
        </w:rPr>
        <w:t>。</w:t>
      </w:r>
    </w:p>
    <w:p>
      <w:pPr>
        <w:pStyle w:val="29"/>
        <w:wordWrap w:val="0"/>
        <w:spacing w:after="0"/>
        <w:ind w:firstLine="0" w:firstLineChars="0"/>
      </w:pPr>
      <w:r>
        <w:t>具体指标及标准值见</w:t>
      </w:r>
      <w:r>
        <w:rPr>
          <w:rFonts w:hint="eastAsia"/>
        </w:rPr>
        <w:t>下表</w:t>
      </w:r>
      <w:r>
        <w:t>。</w:t>
      </w:r>
    </w:p>
    <w:p>
      <w:pPr>
        <w:pStyle w:val="29"/>
        <w:wordWrap w:val="0"/>
        <w:spacing w:line="240" w:lineRule="auto"/>
        <w:ind w:firstLine="482"/>
        <w:jc w:val="center"/>
        <w:rPr>
          <w:b/>
        </w:rPr>
      </w:pPr>
      <w:r>
        <w:rPr>
          <w:b/>
        </w:rPr>
        <w:t>表</w:t>
      </w:r>
      <w:r>
        <w:rPr>
          <w:rFonts w:hint="eastAsia"/>
          <w:b/>
        </w:rPr>
        <w:t>2.3-2水体评价标准有关浓度限值 单位：mg/L（pH 除外）</w:t>
      </w:r>
    </w:p>
    <w:tbl>
      <w:tblPr>
        <w:tblStyle w:val="30"/>
        <w:tblW w:w="927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45"/>
        <w:gridCol w:w="2850"/>
        <w:gridCol w:w="1985"/>
        <w:gridCol w:w="28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545" w:type="dxa"/>
            <w:vAlign w:val="center"/>
          </w:tcPr>
          <w:p>
            <w:pPr>
              <w:pStyle w:val="29"/>
              <w:spacing w:after="0" w:line="240" w:lineRule="auto"/>
              <w:ind w:firstLine="0" w:firstLineChars="0"/>
              <w:jc w:val="center"/>
              <w:rPr>
                <w:b/>
                <w:sz w:val="21"/>
                <w:szCs w:val="21"/>
              </w:rPr>
            </w:pPr>
            <w:r>
              <w:rPr>
                <w:rFonts w:hint="eastAsia"/>
                <w:b/>
                <w:sz w:val="21"/>
                <w:szCs w:val="21"/>
              </w:rPr>
              <w:t>项目</w:t>
            </w:r>
          </w:p>
        </w:tc>
        <w:tc>
          <w:tcPr>
            <w:tcW w:w="2850" w:type="dxa"/>
            <w:vAlign w:val="center"/>
          </w:tcPr>
          <w:p>
            <w:pPr>
              <w:pStyle w:val="29"/>
              <w:spacing w:after="0" w:line="240" w:lineRule="auto"/>
              <w:ind w:firstLine="0" w:firstLineChars="0"/>
              <w:jc w:val="center"/>
              <w:rPr>
                <w:rFonts w:eastAsiaTheme="minorEastAsia"/>
                <w:b/>
                <w:sz w:val="21"/>
                <w:szCs w:val="21"/>
              </w:rPr>
            </w:pPr>
            <w:r>
              <w:rPr>
                <w:rFonts w:hint="eastAsia" w:eastAsiaTheme="minorEastAsia"/>
                <w:b/>
                <w:sz w:val="21"/>
                <w:szCs w:val="21"/>
              </w:rPr>
              <w:t>《地下水水质标准》GB/T14848-</w:t>
            </w:r>
            <w:r>
              <w:rPr>
                <w:rFonts w:hint="eastAsia"/>
                <w:b/>
                <w:sz w:val="21"/>
                <w:szCs w:val="21"/>
              </w:rPr>
              <w:t>2017</w:t>
            </w:r>
            <w:r>
              <w:rPr>
                <w:rFonts w:hint="eastAsia" w:eastAsiaTheme="minorEastAsia"/>
                <w:b/>
                <w:sz w:val="21"/>
                <w:szCs w:val="21"/>
              </w:rPr>
              <w:t>Ⅲ类标准</w:t>
            </w:r>
          </w:p>
        </w:tc>
        <w:tc>
          <w:tcPr>
            <w:tcW w:w="1985" w:type="dxa"/>
            <w:vAlign w:val="center"/>
          </w:tcPr>
          <w:p>
            <w:pPr>
              <w:pStyle w:val="29"/>
              <w:spacing w:after="0" w:line="240" w:lineRule="auto"/>
              <w:ind w:firstLine="0" w:firstLineChars="0"/>
              <w:jc w:val="center"/>
              <w:rPr>
                <w:rFonts w:eastAsiaTheme="minorEastAsia"/>
                <w:b/>
                <w:sz w:val="21"/>
                <w:szCs w:val="21"/>
              </w:rPr>
            </w:pPr>
            <w:r>
              <w:rPr>
                <w:rFonts w:hint="eastAsia"/>
                <w:b/>
                <w:sz w:val="21"/>
                <w:szCs w:val="21"/>
              </w:rPr>
              <w:t>项目</w:t>
            </w:r>
          </w:p>
        </w:tc>
        <w:tc>
          <w:tcPr>
            <w:tcW w:w="2892" w:type="dxa"/>
            <w:vAlign w:val="center"/>
          </w:tcPr>
          <w:p>
            <w:pPr>
              <w:pStyle w:val="29"/>
              <w:spacing w:after="0" w:line="240" w:lineRule="auto"/>
              <w:ind w:firstLine="0" w:firstLineChars="0"/>
              <w:jc w:val="center"/>
              <w:rPr>
                <w:rFonts w:eastAsiaTheme="minorEastAsia"/>
                <w:b/>
                <w:sz w:val="21"/>
                <w:szCs w:val="21"/>
              </w:rPr>
            </w:pPr>
            <w:r>
              <w:rPr>
                <w:rFonts w:eastAsiaTheme="minorEastAsia"/>
                <w:b/>
                <w:sz w:val="21"/>
                <w:szCs w:val="21"/>
              </w:rPr>
              <w:t>《地表水质量标准》（GB3838-2002）</w:t>
            </w:r>
            <w:r>
              <w:rPr>
                <w:rFonts w:hint="eastAsia" w:eastAsiaTheme="minorEastAsia"/>
                <w:b/>
                <w:sz w:val="21"/>
                <w:szCs w:val="21"/>
              </w:rPr>
              <w:t>Ⅲ类标准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pH</w:t>
            </w:r>
          </w:p>
        </w:tc>
        <w:tc>
          <w:tcPr>
            <w:tcW w:w="2850" w:type="dxa"/>
            <w:vAlign w:val="center"/>
          </w:tcPr>
          <w:p>
            <w:pPr>
              <w:spacing w:after="0" w:line="240" w:lineRule="auto"/>
              <w:jc w:val="center"/>
              <w:rPr>
                <w:sz w:val="21"/>
                <w:szCs w:val="21"/>
                <w:lang w:eastAsia="zh-CN"/>
              </w:rPr>
            </w:pPr>
            <w:r>
              <w:rPr>
                <w:rFonts w:eastAsiaTheme="minorEastAsia"/>
                <w:sz w:val="21"/>
                <w:szCs w:val="21"/>
              </w:rPr>
              <w:t>6～</w:t>
            </w:r>
            <w:r>
              <w:rPr>
                <w:rFonts w:hint="eastAsia"/>
                <w:sz w:val="21"/>
                <w:szCs w:val="21"/>
                <w:lang w:eastAsia="zh-CN"/>
              </w:rPr>
              <w:t>9</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pH</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6.5～8.5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sz w:val="21"/>
                <w:szCs w:val="21"/>
                <w:lang w:eastAsia="zh-CN"/>
              </w:rPr>
            </w:pPr>
            <w:r>
              <w:rPr>
                <w:rFonts w:hint="eastAsia"/>
                <w:sz w:val="21"/>
                <w:szCs w:val="21"/>
                <w:lang w:eastAsia="zh-CN"/>
              </w:rPr>
              <w:t>溶解氧</w:t>
            </w:r>
          </w:p>
        </w:tc>
        <w:tc>
          <w:tcPr>
            <w:tcW w:w="2850" w:type="dxa"/>
            <w:vAlign w:val="center"/>
          </w:tcPr>
          <w:p>
            <w:pPr>
              <w:spacing w:after="0" w:line="240" w:lineRule="auto"/>
              <w:jc w:val="center"/>
              <w:rPr>
                <w:sz w:val="21"/>
                <w:szCs w:val="21"/>
                <w:lang w:eastAsia="zh-CN"/>
              </w:rPr>
            </w:pPr>
            <w:r>
              <w:rPr>
                <w:rFonts w:hint="eastAsia"/>
                <w:sz w:val="21"/>
                <w:szCs w:val="21"/>
                <w:lang w:eastAsia="zh-CN"/>
              </w:rPr>
              <w:t>5</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色度</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高锰酸盐指数</w:t>
            </w:r>
          </w:p>
        </w:tc>
        <w:tc>
          <w:tcPr>
            <w:tcW w:w="2850" w:type="dxa"/>
            <w:vAlign w:val="center"/>
          </w:tcPr>
          <w:p>
            <w:pPr>
              <w:spacing w:after="0" w:line="240" w:lineRule="auto"/>
              <w:jc w:val="center"/>
              <w:rPr>
                <w:sz w:val="21"/>
                <w:szCs w:val="21"/>
                <w:lang w:eastAsia="zh-CN"/>
              </w:rPr>
            </w:pPr>
            <w:r>
              <w:rPr>
                <w:rFonts w:hint="eastAsia"/>
                <w:sz w:val="21"/>
                <w:szCs w:val="21"/>
                <w:lang w:eastAsia="zh-CN"/>
              </w:rPr>
              <w:t>6</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嗅和味</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COD</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20</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总硬度</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BOD5</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4</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浊度</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总氮</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w:t>
            </w:r>
            <w:r>
              <w:rPr>
                <w:rFonts w:hint="eastAsia"/>
                <w:sz w:val="21"/>
                <w:szCs w:val="21"/>
                <w:lang w:eastAsia="zh-CN"/>
              </w:rPr>
              <w:t>1.0</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溶解性总固体</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hint="eastAsia" w:hAnsi="宋体" w:cs="宋体"/>
                <w:sz w:val="21"/>
                <w:szCs w:val="21"/>
              </w:rPr>
              <w:t>氨氮</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1.0</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氨氮</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总磷</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≤0.05</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氰化物</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氰化物</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w:t>
            </w:r>
            <w:r>
              <w:rPr>
                <w:rFonts w:hint="eastAsia"/>
                <w:sz w:val="21"/>
                <w:szCs w:val="21"/>
                <w:lang w:eastAsia="zh-CN"/>
              </w:rPr>
              <w:t>0.2</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硫酸盐</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hint="eastAsia" w:hAnsi="宋体" w:cs="宋体"/>
                <w:sz w:val="21"/>
                <w:szCs w:val="21"/>
              </w:rPr>
              <w:t>氟化物</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≤1.0</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氟化物</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挥发酚</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0.005</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氯化物</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lang w:eastAsia="zh-CN"/>
              </w:rPr>
            </w:pPr>
            <w:r>
              <w:rPr>
                <w:rFonts w:hint="eastAsia" w:hAnsi="宋体" w:cs="宋体"/>
                <w:sz w:val="21"/>
                <w:szCs w:val="21"/>
                <w:lang w:eastAsia="zh-CN"/>
              </w:rPr>
              <w:t>石油类</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0.05</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硝酸盐</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hint="eastAsia" w:hAnsi="宋体" w:cs="宋体"/>
                <w:sz w:val="21"/>
                <w:szCs w:val="21"/>
              </w:rPr>
              <w:t>锌</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≤1.0</w:t>
            </w:r>
          </w:p>
        </w:tc>
        <w:tc>
          <w:tcPr>
            <w:tcW w:w="1985" w:type="dxa"/>
            <w:vAlign w:val="center"/>
          </w:tcPr>
          <w:p>
            <w:pPr>
              <w:spacing w:after="0" w:line="240" w:lineRule="auto"/>
              <w:jc w:val="center"/>
              <w:rPr>
                <w:rFonts w:eastAsiaTheme="minorEastAsia"/>
                <w:sz w:val="21"/>
                <w:szCs w:val="21"/>
              </w:rPr>
            </w:pPr>
            <w:r>
              <w:rPr>
                <w:rFonts w:hint="eastAsia" w:hAnsi="宋体" w:cs="宋体"/>
                <w:sz w:val="21"/>
                <w:szCs w:val="21"/>
              </w:rPr>
              <w:t>锌</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sz w:val="21"/>
                <w:szCs w:val="21"/>
                <w:lang w:eastAsia="zh-CN"/>
              </w:rPr>
            </w:pPr>
            <w:r>
              <w:rPr>
                <w:rFonts w:hint="eastAsia"/>
                <w:sz w:val="21"/>
                <w:szCs w:val="21"/>
                <w:lang w:eastAsia="zh-CN"/>
              </w:rPr>
              <w:t>硫化物</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0.2</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亚硝酸盐</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汞</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w:t>
            </w:r>
            <w:r>
              <w:rPr>
                <w:rFonts w:hint="eastAsia"/>
                <w:sz w:val="21"/>
                <w:szCs w:val="21"/>
                <w:lang w:eastAsia="zh-CN"/>
              </w:rPr>
              <w:t>0</w:t>
            </w:r>
            <w:r>
              <w:rPr>
                <w:rFonts w:eastAsiaTheme="minorEastAsia"/>
                <w:sz w:val="21"/>
                <w:szCs w:val="21"/>
              </w:rPr>
              <w:t>01</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汞</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砷</w:t>
            </w:r>
          </w:p>
        </w:tc>
        <w:tc>
          <w:tcPr>
            <w:tcW w:w="2850" w:type="dxa"/>
            <w:vAlign w:val="center"/>
          </w:tcPr>
          <w:p>
            <w:pPr>
              <w:spacing w:after="0" w:line="240" w:lineRule="auto"/>
              <w:jc w:val="center"/>
              <w:rPr>
                <w:sz w:val="21"/>
                <w:szCs w:val="21"/>
                <w:lang w:eastAsia="zh-CN"/>
              </w:rPr>
            </w:pPr>
            <w:r>
              <w:rPr>
                <w:rFonts w:eastAsiaTheme="minorEastAsia"/>
                <w:sz w:val="21"/>
                <w:szCs w:val="21"/>
              </w:rPr>
              <w:t>≤0.0</w:t>
            </w:r>
            <w:r>
              <w:rPr>
                <w:rFonts w:hint="eastAsia"/>
                <w:sz w:val="21"/>
                <w:szCs w:val="21"/>
                <w:lang w:eastAsia="zh-CN"/>
              </w:rPr>
              <w:t>5</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砷</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硒</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≤0.01</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硒</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铅</w:t>
            </w:r>
          </w:p>
        </w:tc>
        <w:tc>
          <w:tcPr>
            <w:tcW w:w="2850" w:type="dxa"/>
            <w:vAlign w:val="center"/>
          </w:tcPr>
          <w:p>
            <w:pPr>
              <w:spacing w:after="0" w:line="240" w:lineRule="auto"/>
              <w:jc w:val="center"/>
              <w:rPr>
                <w:sz w:val="21"/>
                <w:szCs w:val="21"/>
                <w:lang w:eastAsia="zh-CN"/>
              </w:rPr>
            </w:pPr>
            <w:r>
              <w:rPr>
                <w:rFonts w:eastAsiaTheme="minorEastAsia"/>
                <w:sz w:val="21"/>
                <w:szCs w:val="21"/>
              </w:rPr>
              <w:t>≤0.0</w:t>
            </w:r>
            <w:r>
              <w:rPr>
                <w:rFonts w:hint="eastAsia"/>
                <w:sz w:val="21"/>
                <w:szCs w:val="21"/>
                <w:lang w:eastAsia="zh-CN"/>
              </w:rPr>
              <w:t>5</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铅</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六价铬</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≤0.05</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六价铬</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镉</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≤0.005</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镉</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铜</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≤1.0</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铁</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sz w:val="21"/>
                <w:szCs w:val="21"/>
                <w:lang w:eastAsia="zh-CN"/>
              </w:rPr>
            </w:pPr>
            <w:r>
              <w:rPr>
                <w:rFonts w:hint="eastAsia"/>
                <w:sz w:val="21"/>
                <w:szCs w:val="21"/>
                <w:lang w:eastAsia="zh-CN"/>
              </w:rPr>
              <w:t>阴离子表面</w:t>
            </w:r>
          </w:p>
          <w:p>
            <w:pPr>
              <w:spacing w:after="0" w:line="240" w:lineRule="auto"/>
              <w:jc w:val="center"/>
              <w:rPr>
                <w:sz w:val="21"/>
                <w:szCs w:val="21"/>
                <w:lang w:eastAsia="zh-CN"/>
              </w:rPr>
            </w:pPr>
            <w:r>
              <w:rPr>
                <w:rFonts w:hint="eastAsia"/>
                <w:sz w:val="21"/>
                <w:szCs w:val="21"/>
                <w:lang w:eastAsia="zh-CN"/>
              </w:rPr>
              <w:t>活性剂</w:t>
            </w:r>
          </w:p>
        </w:tc>
        <w:tc>
          <w:tcPr>
            <w:tcW w:w="2850" w:type="dxa"/>
            <w:vAlign w:val="center"/>
          </w:tcPr>
          <w:p>
            <w:pPr>
              <w:spacing w:after="0" w:line="240" w:lineRule="auto"/>
              <w:jc w:val="center"/>
              <w:rPr>
                <w:rFonts w:eastAsiaTheme="minorEastAsia"/>
                <w:sz w:val="21"/>
                <w:szCs w:val="21"/>
              </w:rPr>
            </w:pPr>
            <w:r>
              <w:rPr>
                <w:rFonts w:eastAsiaTheme="minorEastAsia"/>
                <w:sz w:val="21"/>
                <w:szCs w:val="21"/>
              </w:rPr>
              <w:t>≤0.02</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锰</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r>
              <w:rPr>
                <w:rFonts w:eastAsiaTheme="minorEastAsia"/>
                <w:sz w:val="21"/>
                <w:szCs w:val="21"/>
              </w:rPr>
              <w:t>总大肠菌群</w:t>
            </w:r>
          </w:p>
        </w:tc>
        <w:tc>
          <w:tcPr>
            <w:tcW w:w="2850" w:type="dxa"/>
            <w:vAlign w:val="center"/>
          </w:tcPr>
          <w:p>
            <w:pPr>
              <w:spacing w:after="0" w:line="240" w:lineRule="auto"/>
              <w:jc w:val="center"/>
              <w:rPr>
                <w:sz w:val="21"/>
                <w:szCs w:val="21"/>
                <w:lang w:eastAsia="zh-CN"/>
              </w:rPr>
            </w:pPr>
            <w:r>
              <w:rPr>
                <w:rFonts w:eastAsiaTheme="minorEastAsia"/>
                <w:sz w:val="21"/>
                <w:szCs w:val="21"/>
              </w:rPr>
              <w:t>≤</w:t>
            </w:r>
            <w:r>
              <w:rPr>
                <w:rFonts w:hint="eastAsia"/>
                <w:sz w:val="21"/>
                <w:szCs w:val="21"/>
                <w:lang w:eastAsia="zh-CN"/>
              </w:rPr>
              <w:t>10000</w:t>
            </w:r>
          </w:p>
        </w:tc>
        <w:tc>
          <w:tcPr>
            <w:tcW w:w="1985" w:type="dxa"/>
            <w:vAlign w:val="center"/>
          </w:tcPr>
          <w:p>
            <w:pPr>
              <w:spacing w:after="0" w:line="240" w:lineRule="auto"/>
              <w:jc w:val="center"/>
              <w:rPr>
                <w:rFonts w:eastAsiaTheme="minorEastAsia"/>
                <w:sz w:val="21"/>
                <w:szCs w:val="21"/>
              </w:rPr>
            </w:pPr>
            <w:r>
              <w:rPr>
                <w:rFonts w:eastAsiaTheme="minorEastAsia"/>
                <w:sz w:val="21"/>
                <w:szCs w:val="21"/>
              </w:rPr>
              <w:t>挥发酚</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≤0.002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p>
        </w:tc>
        <w:tc>
          <w:tcPr>
            <w:tcW w:w="2850" w:type="dxa"/>
            <w:vAlign w:val="center"/>
          </w:tcPr>
          <w:p>
            <w:pPr>
              <w:spacing w:after="0" w:line="240" w:lineRule="auto"/>
              <w:jc w:val="center"/>
              <w:rPr>
                <w:sz w:val="21"/>
                <w:szCs w:val="21"/>
                <w:lang w:eastAsia="zh-CN"/>
              </w:rPr>
            </w:pPr>
          </w:p>
        </w:tc>
        <w:tc>
          <w:tcPr>
            <w:tcW w:w="1985" w:type="dxa"/>
            <w:vAlign w:val="center"/>
          </w:tcPr>
          <w:p>
            <w:pPr>
              <w:spacing w:after="0" w:line="240" w:lineRule="auto"/>
              <w:jc w:val="center"/>
              <w:rPr>
                <w:rFonts w:eastAsiaTheme="minorEastAsia"/>
                <w:sz w:val="21"/>
                <w:szCs w:val="21"/>
              </w:rPr>
            </w:pPr>
            <w:r>
              <w:rPr>
                <w:rFonts w:eastAsiaTheme="minorEastAsia"/>
                <w:sz w:val="21"/>
                <w:szCs w:val="21"/>
              </w:rPr>
              <w:t>总大肠菌群</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p>
        </w:tc>
        <w:tc>
          <w:tcPr>
            <w:tcW w:w="2850" w:type="dxa"/>
            <w:vAlign w:val="center"/>
          </w:tcPr>
          <w:p>
            <w:pPr>
              <w:spacing w:after="0" w:line="240" w:lineRule="auto"/>
              <w:jc w:val="center"/>
              <w:rPr>
                <w:rFonts w:eastAsiaTheme="minorEastAsia"/>
                <w:sz w:val="21"/>
                <w:szCs w:val="21"/>
              </w:rPr>
            </w:pPr>
          </w:p>
        </w:tc>
        <w:tc>
          <w:tcPr>
            <w:tcW w:w="1985" w:type="dxa"/>
            <w:vAlign w:val="center"/>
          </w:tcPr>
          <w:p>
            <w:pPr>
              <w:spacing w:after="0" w:line="240" w:lineRule="auto"/>
              <w:jc w:val="center"/>
              <w:rPr>
                <w:rFonts w:eastAsiaTheme="minorEastAsia"/>
                <w:sz w:val="21"/>
                <w:szCs w:val="21"/>
              </w:rPr>
            </w:pPr>
            <w:r>
              <w:rPr>
                <w:rFonts w:eastAsiaTheme="minorEastAsia"/>
                <w:sz w:val="21"/>
                <w:szCs w:val="21"/>
              </w:rPr>
              <w:t>铜</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45" w:type="dxa"/>
            <w:vAlign w:val="center"/>
          </w:tcPr>
          <w:p>
            <w:pPr>
              <w:spacing w:after="0" w:line="240" w:lineRule="auto"/>
              <w:jc w:val="center"/>
              <w:rPr>
                <w:rFonts w:eastAsiaTheme="minorEastAsia"/>
                <w:sz w:val="21"/>
                <w:szCs w:val="21"/>
              </w:rPr>
            </w:pPr>
          </w:p>
        </w:tc>
        <w:tc>
          <w:tcPr>
            <w:tcW w:w="2850" w:type="dxa"/>
            <w:vAlign w:val="center"/>
          </w:tcPr>
          <w:p>
            <w:pPr>
              <w:spacing w:after="0" w:line="240" w:lineRule="auto"/>
              <w:jc w:val="center"/>
              <w:rPr>
                <w:rFonts w:eastAsiaTheme="minorEastAsia"/>
                <w:sz w:val="21"/>
                <w:szCs w:val="21"/>
              </w:rPr>
            </w:pPr>
          </w:p>
        </w:tc>
        <w:tc>
          <w:tcPr>
            <w:tcW w:w="1985" w:type="dxa"/>
            <w:vAlign w:val="center"/>
          </w:tcPr>
          <w:p>
            <w:pPr>
              <w:spacing w:after="0" w:line="240" w:lineRule="auto"/>
              <w:jc w:val="center"/>
              <w:rPr>
                <w:rFonts w:eastAsiaTheme="minorEastAsia"/>
                <w:sz w:val="21"/>
                <w:szCs w:val="21"/>
              </w:rPr>
            </w:pPr>
            <w:r>
              <w:rPr>
                <w:rFonts w:eastAsiaTheme="minorEastAsia"/>
                <w:sz w:val="21"/>
                <w:szCs w:val="21"/>
              </w:rPr>
              <w:t>钠</w:t>
            </w:r>
          </w:p>
        </w:tc>
        <w:tc>
          <w:tcPr>
            <w:tcW w:w="2892" w:type="dxa"/>
            <w:vAlign w:val="center"/>
          </w:tcPr>
          <w:p>
            <w:pPr>
              <w:spacing w:after="0" w:line="240" w:lineRule="auto"/>
              <w:jc w:val="center"/>
              <w:rPr>
                <w:rFonts w:eastAsiaTheme="minorEastAsia"/>
                <w:sz w:val="21"/>
                <w:szCs w:val="21"/>
              </w:rPr>
            </w:pPr>
            <w:r>
              <w:rPr>
                <w:rFonts w:eastAsiaTheme="minorEastAsia"/>
                <w:sz w:val="21"/>
                <w:szCs w:val="21"/>
              </w:rPr>
              <w:t>≤200</w:t>
            </w:r>
          </w:p>
        </w:tc>
      </w:tr>
    </w:tbl>
    <w:p>
      <w:pPr>
        <w:pStyle w:val="29"/>
        <w:wordWrap w:val="0"/>
        <w:spacing w:line="240" w:lineRule="auto"/>
        <w:ind w:firstLine="480"/>
        <w:jc w:val="center"/>
      </w:pPr>
    </w:p>
    <w:p>
      <w:pPr>
        <w:pStyle w:val="29"/>
        <w:tabs>
          <w:tab w:val="left" w:pos="137"/>
        </w:tabs>
        <w:wordWrap w:val="0"/>
        <w:spacing w:beforeLines="100" w:after="100"/>
        <w:ind w:firstLine="0" w:firstLineChars="0"/>
        <w:rPr>
          <w:b/>
        </w:rPr>
      </w:pPr>
      <w:bookmarkStart w:id="356" w:name="_Ref248475382"/>
      <w:r>
        <w:rPr>
          <w:rFonts w:hint="eastAsia"/>
          <w:b/>
        </w:rPr>
        <w:t>2.大气评价标准</w:t>
      </w:r>
    </w:p>
    <w:bookmarkEnd w:id="356"/>
    <w:p>
      <w:pPr>
        <w:pStyle w:val="29"/>
        <w:numPr>
          <w:ilvl w:val="0"/>
          <w:numId w:val="8"/>
        </w:numPr>
        <w:tabs>
          <w:tab w:val="left" w:pos="0"/>
        </w:tabs>
        <w:wordWrap w:val="0"/>
        <w:spacing w:after="0"/>
        <w:ind w:firstLineChars="0"/>
        <w:rPr>
          <w:snapToGrid w:val="0"/>
          <w:kern w:val="0"/>
        </w:rPr>
      </w:pPr>
      <w:r>
        <w:t>本项目所在区域</w:t>
      </w:r>
      <w:r>
        <w:rPr>
          <w:rFonts w:hint="eastAsia"/>
        </w:rPr>
        <w:t>CO、O3、</w:t>
      </w:r>
      <w:r>
        <w:t>SO2、NO2、PM10执行《环境空气质量标准》（GB3095-2012）二级标准；NH3、H2S执行《环境影响评价技术导则  大气环境》（HJ2.2-2018）附录D中其他污染物空气质量浓度参考限值</w:t>
      </w:r>
      <w:r>
        <w:rPr>
          <w:rFonts w:hint="eastAsia"/>
        </w:rPr>
        <w:t>；锅炉烟气SO2、NOX、烟尘排放浓度执行《火电厂大气污染物排放标准》（GB13223-2011）、《全面实施燃煤电厂超低排放和节能改造工作方案》要求标准；锅炉烟气中的二噁英等参照执行《生活垃圾焚烧污染控制标准》（GB18485-2014）；灰场、煤场颗粒物满足《大气污染</w:t>
      </w:r>
      <w:r>
        <w:rPr>
          <w:rFonts w:hint="eastAsia" w:ascii="宋体" w:hAnsi="宋体"/>
          <w:color w:val="333333"/>
          <w:szCs w:val="24"/>
        </w:rPr>
        <w:t>物综合排放标准》（GB16297-1996）</w:t>
      </w:r>
      <w:r>
        <w:rPr>
          <w:rFonts w:hint="eastAsia"/>
        </w:rPr>
        <w:t>的要求。</w:t>
      </w:r>
    </w:p>
    <w:p>
      <w:pPr>
        <w:pStyle w:val="10"/>
        <w:wordWrap w:val="0"/>
        <w:ind w:left="420"/>
      </w:pPr>
    </w:p>
    <w:p>
      <w:pPr>
        <w:pStyle w:val="10"/>
        <w:wordWrap w:val="0"/>
        <w:ind w:left="420"/>
      </w:pPr>
    </w:p>
    <w:p>
      <w:pPr>
        <w:pStyle w:val="10"/>
        <w:wordWrap w:val="0"/>
      </w:pPr>
    </w:p>
    <w:p>
      <w:pPr>
        <w:pStyle w:val="10"/>
        <w:wordWrap w:val="0"/>
      </w:pPr>
    </w:p>
    <w:p>
      <w:pPr>
        <w:pStyle w:val="10"/>
        <w:wordWrap w:val="0"/>
        <w:rPr>
          <w:vertAlign w:val="superscript"/>
        </w:rPr>
      </w:pPr>
      <w:r>
        <w:t>表</w:t>
      </w:r>
      <w:r>
        <w:rPr>
          <w:rFonts w:hint="eastAsia"/>
        </w:rPr>
        <w:t>2.3-3</w:t>
      </w:r>
      <w:r>
        <w:t xml:space="preserve"> 环境空气质量标准值    </w:t>
      </w:r>
      <w:r>
        <w:rPr>
          <w:szCs w:val="24"/>
        </w:rPr>
        <w:t>单位：</w:t>
      </w:r>
      <w:r>
        <w:rPr>
          <w:sz w:val="21"/>
          <w:szCs w:val="21"/>
        </w:rPr>
        <w:t>μg/m</w:t>
      </w:r>
      <w:r>
        <w:rPr>
          <w:sz w:val="21"/>
          <w:szCs w:val="21"/>
          <w:vertAlign w:val="superscript"/>
        </w:rPr>
        <w:t>3</w:t>
      </w:r>
    </w:p>
    <w:tbl>
      <w:tblPr>
        <w:tblStyle w:val="30"/>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56"/>
        <w:gridCol w:w="1446"/>
        <w:gridCol w:w="1278"/>
        <w:gridCol w:w="444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356" w:type="dxa"/>
            <w:vAlign w:val="center"/>
          </w:tcPr>
          <w:p>
            <w:pPr>
              <w:spacing w:after="0" w:line="240" w:lineRule="auto"/>
              <w:jc w:val="center"/>
              <w:rPr>
                <w:b/>
                <w:sz w:val="21"/>
                <w:szCs w:val="21"/>
              </w:rPr>
            </w:pPr>
            <w:r>
              <w:rPr>
                <w:b/>
                <w:sz w:val="21"/>
                <w:szCs w:val="21"/>
              </w:rPr>
              <w:t>污染物名称</w:t>
            </w:r>
          </w:p>
        </w:tc>
        <w:tc>
          <w:tcPr>
            <w:tcW w:w="2724" w:type="dxa"/>
            <w:gridSpan w:val="2"/>
            <w:vAlign w:val="center"/>
          </w:tcPr>
          <w:p>
            <w:pPr>
              <w:wordWrap w:val="0"/>
              <w:spacing w:after="0" w:line="240" w:lineRule="auto"/>
              <w:jc w:val="center"/>
              <w:rPr>
                <w:b/>
                <w:sz w:val="21"/>
                <w:szCs w:val="21"/>
              </w:rPr>
            </w:pPr>
            <w:r>
              <w:rPr>
                <w:b/>
                <w:sz w:val="21"/>
                <w:szCs w:val="21"/>
              </w:rPr>
              <w:t>标准值</w:t>
            </w:r>
          </w:p>
        </w:tc>
        <w:tc>
          <w:tcPr>
            <w:tcW w:w="4448" w:type="dxa"/>
            <w:vAlign w:val="center"/>
          </w:tcPr>
          <w:p>
            <w:pPr>
              <w:wordWrap w:val="0"/>
              <w:spacing w:after="0" w:line="240" w:lineRule="auto"/>
              <w:jc w:val="center"/>
              <w:rPr>
                <w:b/>
                <w:sz w:val="21"/>
                <w:szCs w:val="21"/>
              </w:rPr>
            </w:pPr>
            <w:r>
              <w:rPr>
                <w:b/>
                <w:sz w:val="21"/>
                <w:szCs w:val="21"/>
              </w:rPr>
              <w:t>选用标准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Merge w:val="restart"/>
            <w:vAlign w:val="center"/>
          </w:tcPr>
          <w:p>
            <w:pPr>
              <w:wordWrap w:val="0"/>
              <w:spacing w:after="0" w:line="240" w:lineRule="auto"/>
              <w:jc w:val="center"/>
              <w:rPr>
                <w:sz w:val="21"/>
                <w:szCs w:val="21"/>
                <w:vertAlign w:val="subscript"/>
              </w:rPr>
            </w:pPr>
            <w:r>
              <w:rPr>
                <w:sz w:val="21"/>
                <w:szCs w:val="21"/>
              </w:rPr>
              <w:t>SO</w:t>
            </w:r>
            <w:r>
              <w:rPr>
                <w:sz w:val="21"/>
                <w:szCs w:val="21"/>
                <w:vertAlign w:val="subscript"/>
              </w:rPr>
              <w:t>2</w:t>
            </w:r>
          </w:p>
        </w:tc>
        <w:tc>
          <w:tcPr>
            <w:tcW w:w="1446" w:type="dxa"/>
            <w:vAlign w:val="center"/>
          </w:tcPr>
          <w:p>
            <w:pPr>
              <w:wordWrap w:val="0"/>
              <w:spacing w:after="0" w:line="240" w:lineRule="auto"/>
              <w:jc w:val="center"/>
              <w:rPr>
                <w:sz w:val="21"/>
                <w:szCs w:val="21"/>
              </w:rPr>
            </w:pPr>
            <w:r>
              <w:rPr>
                <w:sz w:val="21"/>
                <w:szCs w:val="21"/>
              </w:rPr>
              <w:t>24小时平均</w:t>
            </w:r>
          </w:p>
        </w:tc>
        <w:tc>
          <w:tcPr>
            <w:tcW w:w="1278" w:type="dxa"/>
            <w:vAlign w:val="center"/>
          </w:tcPr>
          <w:p>
            <w:pPr>
              <w:wordWrap w:val="0"/>
              <w:spacing w:after="0" w:line="240" w:lineRule="auto"/>
              <w:jc w:val="center"/>
              <w:rPr>
                <w:sz w:val="21"/>
                <w:szCs w:val="21"/>
              </w:rPr>
            </w:pPr>
            <w:r>
              <w:rPr>
                <w:sz w:val="21"/>
                <w:szCs w:val="21"/>
              </w:rPr>
              <w:t>150</w:t>
            </w:r>
          </w:p>
        </w:tc>
        <w:tc>
          <w:tcPr>
            <w:tcW w:w="4448" w:type="dxa"/>
            <w:vMerge w:val="restart"/>
            <w:vAlign w:val="center"/>
          </w:tcPr>
          <w:p>
            <w:pPr>
              <w:wordWrap w:val="0"/>
              <w:spacing w:after="0" w:line="240" w:lineRule="auto"/>
              <w:jc w:val="center"/>
              <w:rPr>
                <w:sz w:val="21"/>
                <w:szCs w:val="21"/>
                <w:lang w:eastAsia="zh-CN"/>
              </w:rPr>
            </w:pPr>
            <w:r>
              <w:rPr>
                <w:sz w:val="21"/>
                <w:szCs w:val="21"/>
                <w:lang w:eastAsia="zh-CN"/>
              </w:rPr>
              <w:t>《环境空气质量标准》（GB3095-2012）</w:t>
            </w:r>
          </w:p>
          <w:p>
            <w:pPr>
              <w:wordWrap w:val="0"/>
              <w:spacing w:after="0" w:line="240" w:lineRule="auto"/>
              <w:jc w:val="center"/>
              <w:rPr>
                <w:sz w:val="21"/>
                <w:szCs w:val="21"/>
              </w:rPr>
            </w:pPr>
            <w:r>
              <w:rPr>
                <w:sz w:val="21"/>
                <w:szCs w:val="21"/>
              </w:rPr>
              <w:t>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Merge w:val="continue"/>
            <w:vAlign w:val="center"/>
          </w:tcPr>
          <w:p>
            <w:pPr>
              <w:wordWrap w:val="0"/>
              <w:spacing w:after="0" w:line="240" w:lineRule="auto"/>
              <w:jc w:val="center"/>
              <w:rPr>
                <w:sz w:val="21"/>
                <w:szCs w:val="21"/>
              </w:rPr>
            </w:pPr>
          </w:p>
        </w:tc>
        <w:tc>
          <w:tcPr>
            <w:tcW w:w="1446" w:type="dxa"/>
            <w:vAlign w:val="center"/>
          </w:tcPr>
          <w:p>
            <w:pPr>
              <w:wordWrap w:val="0"/>
              <w:spacing w:after="0" w:line="240" w:lineRule="auto"/>
              <w:jc w:val="center"/>
              <w:rPr>
                <w:sz w:val="21"/>
                <w:szCs w:val="21"/>
              </w:rPr>
            </w:pPr>
            <w:r>
              <w:rPr>
                <w:sz w:val="21"/>
                <w:szCs w:val="21"/>
              </w:rPr>
              <w:t>1小时平均</w:t>
            </w:r>
          </w:p>
        </w:tc>
        <w:tc>
          <w:tcPr>
            <w:tcW w:w="1278" w:type="dxa"/>
            <w:vAlign w:val="center"/>
          </w:tcPr>
          <w:p>
            <w:pPr>
              <w:wordWrap w:val="0"/>
              <w:spacing w:after="0" w:line="240" w:lineRule="auto"/>
              <w:jc w:val="center"/>
              <w:rPr>
                <w:sz w:val="21"/>
                <w:szCs w:val="21"/>
              </w:rPr>
            </w:pPr>
            <w:r>
              <w:rPr>
                <w:sz w:val="21"/>
                <w:szCs w:val="21"/>
              </w:rPr>
              <w:t>500</w:t>
            </w:r>
          </w:p>
        </w:tc>
        <w:tc>
          <w:tcPr>
            <w:tcW w:w="4448" w:type="dxa"/>
            <w:vMerge w:val="continue"/>
            <w:vAlign w:val="center"/>
          </w:tcPr>
          <w:p>
            <w:pPr>
              <w:wordWrap w:val="0"/>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Merge w:val="restart"/>
            <w:vAlign w:val="center"/>
          </w:tcPr>
          <w:p>
            <w:pPr>
              <w:wordWrap w:val="0"/>
              <w:spacing w:after="0" w:line="240" w:lineRule="auto"/>
              <w:jc w:val="center"/>
              <w:rPr>
                <w:sz w:val="21"/>
                <w:szCs w:val="21"/>
              </w:rPr>
            </w:pPr>
            <w:r>
              <w:rPr>
                <w:sz w:val="21"/>
                <w:szCs w:val="21"/>
              </w:rPr>
              <w:t>NO</w:t>
            </w:r>
            <w:r>
              <w:rPr>
                <w:sz w:val="21"/>
                <w:szCs w:val="21"/>
                <w:vertAlign w:val="subscript"/>
              </w:rPr>
              <w:t>2</w:t>
            </w:r>
          </w:p>
        </w:tc>
        <w:tc>
          <w:tcPr>
            <w:tcW w:w="1446" w:type="dxa"/>
            <w:vAlign w:val="center"/>
          </w:tcPr>
          <w:p>
            <w:pPr>
              <w:wordWrap w:val="0"/>
              <w:spacing w:after="0" w:line="240" w:lineRule="auto"/>
              <w:jc w:val="center"/>
              <w:rPr>
                <w:sz w:val="21"/>
                <w:szCs w:val="21"/>
              </w:rPr>
            </w:pPr>
            <w:r>
              <w:rPr>
                <w:sz w:val="21"/>
                <w:szCs w:val="21"/>
              </w:rPr>
              <w:t>24小时平均</w:t>
            </w:r>
          </w:p>
        </w:tc>
        <w:tc>
          <w:tcPr>
            <w:tcW w:w="1278" w:type="dxa"/>
            <w:vAlign w:val="center"/>
          </w:tcPr>
          <w:p>
            <w:pPr>
              <w:wordWrap w:val="0"/>
              <w:spacing w:after="0" w:line="240" w:lineRule="auto"/>
              <w:jc w:val="center"/>
              <w:rPr>
                <w:sz w:val="21"/>
                <w:szCs w:val="21"/>
              </w:rPr>
            </w:pPr>
            <w:r>
              <w:rPr>
                <w:sz w:val="21"/>
                <w:szCs w:val="21"/>
              </w:rPr>
              <w:t>80</w:t>
            </w:r>
          </w:p>
        </w:tc>
        <w:tc>
          <w:tcPr>
            <w:tcW w:w="4448" w:type="dxa"/>
            <w:vMerge w:val="continue"/>
            <w:vAlign w:val="center"/>
          </w:tcPr>
          <w:p>
            <w:pPr>
              <w:wordWrap w:val="0"/>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Merge w:val="continue"/>
            <w:vAlign w:val="center"/>
          </w:tcPr>
          <w:p>
            <w:pPr>
              <w:wordWrap w:val="0"/>
              <w:spacing w:after="0" w:line="240" w:lineRule="auto"/>
              <w:jc w:val="center"/>
              <w:rPr>
                <w:sz w:val="21"/>
                <w:szCs w:val="21"/>
              </w:rPr>
            </w:pPr>
          </w:p>
        </w:tc>
        <w:tc>
          <w:tcPr>
            <w:tcW w:w="1446" w:type="dxa"/>
            <w:vAlign w:val="center"/>
          </w:tcPr>
          <w:p>
            <w:pPr>
              <w:wordWrap w:val="0"/>
              <w:spacing w:after="0" w:line="240" w:lineRule="auto"/>
              <w:jc w:val="center"/>
              <w:rPr>
                <w:sz w:val="21"/>
                <w:szCs w:val="21"/>
              </w:rPr>
            </w:pPr>
            <w:r>
              <w:rPr>
                <w:sz w:val="21"/>
                <w:szCs w:val="21"/>
              </w:rPr>
              <w:t>小时平均</w:t>
            </w:r>
          </w:p>
        </w:tc>
        <w:tc>
          <w:tcPr>
            <w:tcW w:w="1278" w:type="dxa"/>
            <w:vAlign w:val="center"/>
          </w:tcPr>
          <w:p>
            <w:pPr>
              <w:wordWrap w:val="0"/>
              <w:spacing w:after="0" w:line="240" w:lineRule="auto"/>
              <w:jc w:val="center"/>
              <w:rPr>
                <w:sz w:val="21"/>
                <w:szCs w:val="21"/>
              </w:rPr>
            </w:pPr>
            <w:r>
              <w:rPr>
                <w:sz w:val="21"/>
                <w:szCs w:val="21"/>
              </w:rPr>
              <w:t>200</w:t>
            </w:r>
          </w:p>
        </w:tc>
        <w:tc>
          <w:tcPr>
            <w:tcW w:w="4448" w:type="dxa"/>
            <w:vMerge w:val="continue"/>
            <w:vAlign w:val="center"/>
          </w:tcPr>
          <w:p>
            <w:pPr>
              <w:wordWrap w:val="0"/>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Align w:val="center"/>
          </w:tcPr>
          <w:p>
            <w:pPr>
              <w:wordWrap w:val="0"/>
              <w:spacing w:after="0" w:line="240" w:lineRule="auto"/>
              <w:jc w:val="center"/>
              <w:rPr>
                <w:sz w:val="21"/>
                <w:szCs w:val="21"/>
              </w:rPr>
            </w:pPr>
            <w:r>
              <w:rPr>
                <w:sz w:val="21"/>
                <w:szCs w:val="21"/>
              </w:rPr>
              <w:t>PM</w:t>
            </w:r>
            <w:r>
              <w:rPr>
                <w:sz w:val="21"/>
                <w:szCs w:val="21"/>
                <w:vertAlign w:val="subscript"/>
              </w:rPr>
              <w:t>10</w:t>
            </w:r>
          </w:p>
        </w:tc>
        <w:tc>
          <w:tcPr>
            <w:tcW w:w="1446" w:type="dxa"/>
            <w:vAlign w:val="center"/>
          </w:tcPr>
          <w:p>
            <w:pPr>
              <w:wordWrap w:val="0"/>
              <w:spacing w:after="0" w:line="240" w:lineRule="auto"/>
              <w:jc w:val="center"/>
              <w:rPr>
                <w:sz w:val="21"/>
                <w:szCs w:val="21"/>
              </w:rPr>
            </w:pPr>
            <w:r>
              <w:rPr>
                <w:sz w:val="21"/>
                <w:szCs w:val="21"/>
              </w:rPr>
              <w:t>24小时平均</w:t>
            </w:r>
          </w:p>
        </w:tc>
        <w:tc>
          <w:tcPr>
            <w:tcW w:w="1278" w:type="dxa"/>
            <w:vAlign w:val="center"/>
          </w:tcPr>
          <w:p>
            <w:pPr>
              <w:wordWrap w:val="0"/>
              <w:spacing w:after="0" w:line="240" w:lineRule="auto"/>
              <w:jc w:val="center"/>
              <w:rPr>
                <w:sz w:val="21"/>
                <w:szCs w:val="21"/>
              </w:rPr>
            </w:pPr>
            <w:r>
              <w:rPr>
                <w:sz w:val="21"/>
                <w:szCs w:val="21"/>
              </w:rPr>
              <w:t>150</w:t>
            </w:r>
          </w:p>
        </w:tc>
        <w:tc>
          <w:tcPr>
            <w:tcW w:w="4448" w:type="dxa"/>
            <w:vMerge w:val="continue"/>
            <w:vAlign w:val="center"/>
          </w:tcPr>
          <w:p>
            <w:pPr>
              <w:wordWrap w:val="0"/>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Align w:val="center"/>
          </w:tcPr>
          <w:p>
            <w:pPr>
              <w:wordWrap w:val="0"/>
              <w:spacing w:after="0" w:line="240" w:lineRule="auto"/>
              <w:jc w:val="center"/>
              <w:rPr>
                <w:sz w:val="21"/>
                <w:szCs w:val="21"/>
                <w:lang w:eastAsia="zh-CN"/>
              </w:rPr>
            </w:pPr>
            <w:r>
              <w:rPr>
                <w:rFonts w:hint="eastAsia"/>
                <w:sz w:val="21"/>
                <w:szCs w:val="21"/>
                <w:lang w:eastAsia="zh-CN"/>
              </w:rPr>
              <w:t>汞Hg</w:t>
            </w:r>
          </w:p>
        </w:tc>
        <w:tc>
          <w:tcPr>
            <w:tcW w:w="1446" w:type="dxa"/>
            <w:vAlign w:val="center"/>
          </w:tcPr>
          <w:p>
            <w:pPr>
              <w:wordWrap w:val="0"/>
              <w:spacing w:after="0" w:line="240" w:lineRule="auto"/>
              <w:jc w:val="center"/>
              <w:rPr>
                <w:sz w:val="21"/>
                <w:szCs w:val="21"/>
                <w:lang w:eastAsia="zh-CN"/>
              </w:rPr>
            </w:pPr>
            <w:r>
              <w:rPr>
                <w:rFonts w:hint="eastAsia"/>
                <w:sz w:val="21"/>
                <w:szCs w:val="21"/>
                <w:lang w:eastAsia="zh-CN"/>
              </w:rPr>
              <w:t>年均</w:t>
            </w:r>
          </w:p>
        </w:tc>
        <w:tc>
          <w:tcPr>
            <w:tcW w:w="1278" w:type="dxa"/>
            <w:vAlign w:val="center"/>
          </w:tcPr>
          <w:p>
            <w:pPr>
              <w:wordWrap w:val="0"/>
              <w:spacing w:after="0" w:line="240" w:lineRule="auto"/>
              <w:jc w:val="center"/>
              <w:rPr>
                <w:sz w:val="21"/>
                <w:szCs w:val="21"/>
                <w:lang w:eastAsia="zh-CN"/>
              </w:rPr>
            </w:pPr>
            <w:r>
              <w:rPr>
                <w:rFonts w:hint="eastAsia"/>
                <w:sz w:val="21"/>
                <w:szCs w:val="21"/>
                <w:lang w:eastAsia="zh-CN"/>
              </w:rPr>
              <w:t>0.05</w:t>
            </w:r>
          </w:p>
        </w:tc>
        <w:tc>
          <w:tcPr>
            <w:tcW w:w="4448" w:type="dxa"/>
            <w:vMerge w:val="continue"/>
            <w:vAlign w:val="center"/>
          </w:tcPr>
          <w:p>
            <w:pPr>
              <w:wordWrap w:val="0"/>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Align w:val="center"/>
          </w:tcPr>
          <w:p>
            <w:pPr>
              <w:wordWrap w:val="0"/>
              <w:spacing w:after="0" w:line="240" w:lineRule="auto"/>
              <w:jc w:val="center"/>
              <w:rPr>
                <w:sz w:val="21"/>
                <w:szCs w:val="21"/>
              </w:rPr>
            </w:pPr>
            <w:r>
              <w:rPr>
                <w:sz w:val="21"/>
                <w:szCs w:val="21"/>
              </w:rPr>
              <w:t>NH</w:t>
            </w:r>
            <w:r>
              <w:rPr>
                <w:sz w:val="21"/>
                <w:szCs w:val="21"/>
                <w:vertAlign w:val="subscript"/>
              </w:rPr>
              <w:t>3</w:t>
            </w:r>
          </w:p>
        </w:tc>
        <w:tc>
          <w:tcPr>
            <w:tcW w:w="1446" w:type="dxa"/>
            <w:vAlign w:val="center"/>
          </w:tcPr>
          <w:p>
            <w:pPr>
              <w:wordWrap w:val="0"/>
              <w:spacing w:after="0" w:line="240" w:lineRule="auto"/>
              <w:jc w:val="center"/>
              <w:rPr>
                <w:sz w:val="21"/>
                <w:szCs w:val="21"/>
                <w:lang w:val="en-GB"/>
              </w:rPr>
            </w:pPr>
            <w:r>
              <w:rPr>
                <w:sz w:val="21"/>
                <w:szCs w:val="21"/>
              </w:rPr>
              <w:t>1小时平均</w:t>
            </w:r>
          </w:p>
        </w:tc>
        <w:tc>
          <w:tcPr>
            <w:tcW w:w="1278" w:type="dxa"/>
            <w:vAlign w:val="center"/>
          </w:tcPr>
          <w:p>
            <w:pPr>
              <w:wordWrap w:val="0"/>
              <w:spacing w:after="0" w:line="240" w:lineRule="auto"/>
              <w:jc w:val="center"/>
              <w:rPr>
                <w:sz w:val="21"/>
                <w:szCs w:val="21"/>
              </w:rPr>
            </w:pPr>
            <w:r>
              <w:rPr>
                <w:sz w:val="21"/>
                <w:szCs w:val="21"/>
              </w:rPr>
              <w:t>200</w:t>
            </w:r>
          </w:p>
        </w:tc>
        <w:tc>
          <w:tcPr>
            <w:tcW w:w="4448" w:type="dxa"/>
            <w:vMerge w:val="restart"/>
            <w:vAlign w:val="center"/>
          </w:tcPr>
          <w:p>
            <w:pPr>
              <w:spacing w:after="0" w:line="240" w:lineRule="auto"/>
              <w:rPr>
                <w:sz w:val="21"/>
                <w:szCs w:val="21"/>
                <w:lang w:eastAsia="zh-CN"/>
              </w:rPr>
            </w:pPr>
            <w:r>
              <w:rPr>
                <w:lang w:eastAsia="zh-CN"/>
              </w:rPr>
              <w:t>《环境影响评价技术导则  大气环境》（HJ2.2-2018）附录D中其他污染物空气质量浓度参考限值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56" w:type="dxa"/>
            <w:vAlign w:val="center"/>
          </w:tcPr>
          <w:p>
            <w:pPr>
              <w:wordWrap w:val="0"/>
              <w:spacing w:after="0" w:line="240" w:lineRule="auto"/>
              <w:jc w:val="center"/>
              <w:rPr>
                <w:sz w:val="21"/>
                <w:szCs w:val="21"/>
              </w:rPr>
            </w:pPr>
            <w:r>
              <w:rPr>
                <w:sz w:val="21"/>
                <w:szCs w:val="21"/>
              </w:rPr>
              <w:t>H</w:t>
            </w:r>
            <w:r>
              <w:rPr>
                <w:sz w:val="21"/>
                <w:szCs w:val="21"/>
                <w:vertAlign w:val="subscript"/>
              </w:rPr>
              <w:t>2</w:t>
            </w:r>
            <w:r>
              <w:rPr>
                <w:sz w:val="21"/>
                <w:szCs w:val="21"/>
              </w:rPr>
              <w:t>S</w:t>
            </w:r>
          </w:p>
        </w:tc>
        <w:tc>
          <w:tcPr>
            <w:tcW w:w="1446" w:type="dxa"/>
            <w:vAlign w:val="center"/>
          </w:tcPr>
          <w:p>
            <w:pPr>
              <w:wordWrap w:val="0"/>
              <w:spacing w:after="0" w:line="240" w:lineRule="auto"/>
              <w:jc w:val="center"/>
              <w:rPr>
                <w:sz w:val="21"/>
                <w:szCs w:val="21"/>
                <w:lang w:val="en-GB"/>
              </w:rPr>
            </w:pPr>
            <w:r>
              <w:rPr>
                <w:sz w:val="21"/>
                <w:szCs w:val="21"/>
              </w:rPr>
              <w:t>1小时平均</w:t>
            </w:r>
          </w:p>
        </w:tc>
        <w:tc>
          <w:tcPr>
            <w:tcW w:w="1278" w:type="dxa"/>
            <w:vAlign w:val="center"/>
          </w:tcPr>
          <w:p>
            <w:pPr>
              <w:wordWrap w:val="0"/>
              <w:spacing w:after="0" w:line="240" w:lineRule="auto"/>
              <w:jc w:val="center"/>
              <w:rPr>
                <w:sz w:val="21"/>
                <w:szCs w:val="21"/>
              </w:rPr>
            </w:pPr>
            <w:r>
              <w:rPr>
                <w:sz w:val="21"/>
                <w:szCs w:val="21"/>
              </w:rPr>
              <w:t>10</w:t>
            </w:r>
          </w:p>
        </w:tc>
        <w:tc>
          <w:tcPr>
            <w:tcW w:w="4448" w:type="dxa"/>
            <w:vMerge w:val="continue"/>
            <w:vAlign w:val="center"/>
          </w:tcPr>
          <w:p>
            <w:pPr>
              <w:wordWrap w:val="0"/>
              <w:jc w:val="center"/>
              <w:rPr>
                <w:sz w:val="21"/>
                <w:szCs w:val="21"/>
              </w:rPr>
            </w:pPr>
          </w:p>
        </w:tc>
      </w:tr>
    </w:tbl>
    <w:p>
      <w:pPr>
        <w:pStyle w:val="10"/>
        <w:wordWrap w:val="0"/>
        <w:ind w:left="420"/>
      </w:pPr>
    </w:p>
    <w:p>
      <w:pPr>
        <w:pStyle w:val="10"/>
        <w:wordWrap w:val="0"/>
        <w:ind w:left="420"/>
        <w:rPr>
          <w:vertAlign w:val="superscript"/>
        </w:rPr>
      </w:pPr>
      <w:r>
        <w:rPr>
          <w:rFonts w:hint="eastAsia"/>
        </w:rPr>
        <w:t xml:space="preserve">表2.3-4排放标准   </w:t>
      </w:r>
      <w:r>
        <w:rPr>
          <w:szCs w:val="24"/>
        </w:rPr>
        <w:t>单位：</w:t>
      </w:r>
      <w:r>
        <w:rPr>
          <w:rFonts w:hint="eastAsia"/>
          <w:sz w:val="21"/>
          <w:szCs w:val="21"/>
        </w:rPr>
        <w:t>mg</w:t>
      </w:r>
      <w:r>
        <w:rPr>
          <w:sz w:val="21"/>
          <w:szCs w:val="21"/>
        </w:rPr>
        <w:t>/</w:t>
      </w:r>
      <w:r>
        <w:rPr>
          <w:rFonts w:hint="eastAsia"/>
          <w:sz w:val="21"/>
          <w:szCs w:val="21"/>
        </w:rPr>
        <w:t>N</w:t>
      </w:r>
      <w:r>
        <w:rPr>
          <w:sz w:val="21"/>
          <w:szCs w:val="21"/>
        </w:rPr>
        <w:t>m</w:t>
      </w:r>
      <w:r>
        <w:rPr>
          <w:sz w:val="21"/>
          <w:szCs w:val="21"/>
          <w:vertAlign w:val="superscript"/>
        </w:rPr>
        <w:t>3</w:t>
      </w:r>
    </w:p>
    <w:tbl>
      <w:tblPr>
        <w:tblStyle w:val="30"/>
        <w:tblW w:w="837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313"/>
        <w:gridCol w:w="1172"/>
        <w:gridCol w:w="1393"/>
        <w:gridCol w:w="35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Align w:val="center"/>
          </w:tcPr>
          <w:p>
            <w:pPr>
              <w:pStyle w:val="29"/>
              <w:tabs>
                <w:tab w:val="left" w:pos="137"/>
              </w:tabs>
              <w:spacing w:after="0" w:line="240" w:lineRule="auto"/>
              <w:ind w:firstLine="0" w:firstLineChars="0"/>
              <w:jc w:val="center"/>
              <w:rPr>
                <w:b/>
                <w:sz w:val="22"/>
                <w:szCs w:val="22"/>
              </w:rPr>
            </w:pPr>
            <w:r>
              <w:rPr>
                <w:rFonts w:hint="eastAsia"/>
                <w:b/>
                <w:sz w:val="22"/>
                <w:szCs w:val="22"/>
              </w:rPr>
              <w:t>污染物</w:t>
            </w:r>
          </w:p>
        </w:tc>
        <w:tc>
          <w:tcPr>
            <w:tcW w:w="2565" w:type="dxa"/>
            <w:gridSpan w:val="2"/>
            <w:vAlign w:val="center"/>
          </w:tcPr>
          <w:p>
            <w:pPr>
              <w:pStyle w:val="29"/>
              <w:tabs>
                <w:tab w:val="left" w:pos="137"/>
              </w:tabs>
              <w:spacing w:after="0" w:line="240" w:lineRule="auto"/>
              <w:ind w:firstLine="0" w:firstLineChars="0"/>
              <w:jc w:val="center"/>
              <w:rPr>
                <w:b/>
                <w:sz w:val="22"/>
                <w:szCs w:val="22"/>
              </w:rPr>
            </w:pPr>
            <w:r>
              <w:rPr>
                <w:rFonts w:hint="eastAsia"/>
                <w:b/>
                <w:sz w:val="22"/>
                <w:szCs w:val="22"/>
              </w:rPr>
              <w:t>排放限值</w:t>
            </w:r>
          </w:p>
        </w:tc>
        <w:tc>
          <w:tcPr>
            <w:tcW w:w="3500" w:type="dxa"/>
            <w:vAlign w:val="center"/>
          </w:tcPr>
          <w:p>
            <w:pPr>
              <w:pStyle w:val="29"/>
              <w:tabs>
                <w:tab w:val="left" w:pos="137"/>
              </w:tabs>
              <w:spacing w:after="0" w:line="240" w:lineRule="auto"/>
              <w:ind w:firstLine="0" w:firstLineChars="0"/>
              <w:jc w:val="center"/>
              <w:rPr>
                <w:b/>
                <w:sz w:val="22"/>
                <w:szCs w:val="22"/>
              </w:rPr>
            </w:pPr>
            <w:r>
              <w:rPr>
                <w:rFonts w:hint="eastAsia"/>
                <w:b/>
                <w:sz w:val="22"/>
                <w:szCs w:val="22"/>
              </w:rPr>
              <w:t>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烟尘</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10.00</w:t>
            </w:r>
          </w:p>
        </w:tc>
        <w:tc>
          <w:tcPr>
            <w:tcW w:w="1393" w:type="dxa"/>
            <w:vAlign w:val="center"/>
          </w:tcPr>
          <w:p>
            <w:pPr>
              <w:pStyle w:val="29"/>
              <w:tabs>
                <w:tab w:val="left" w:pos="137"/>
              </w:tabs>
              <w:spacing w:after="0" w:line="240" w:lineRule="auto"/>
              <w:ind w:firstLine="0" w:firstLineChars="0"/>
              <w:jc w:val="center"/>
              <w:rPr>
                <w:sz w:val="22"/>
                <w:szCs w:val="22"/>
              </w:rPr>
            </w:pPr>
          </w:p>
        </w:tc>
        <w:tc>
          <w:tcPr>
            <w:tcW w:w="3500" w:type="dxa"/>
            <w:vMerge w:val="restart"/>
            <w:vAlign w:val="center"/>
          </w:tcPr>
          <w:p>
            <w:pPr>
              <w:pStyle w:val="29"/>
              <w:tabs>
                <w:tab w:val="left" w:pos="137"/>
              </w:tabs>
              <w:spacing w:after="0" w:line="240" w:lineRule="auto"/>
              <w:ind w:firstLine="0" w:firstLineChars="0"/>
              <w:jc w:val="center"/>
              <w:rPr>
                <w:sz w:val="22"/>
                <w:szCs w:val="22"/>
              </w:rPr>
            </w:pPr>
            <w:r>
              <w:rPr>
                <w:rFonts w:hint="eastAsia"/>
                <w:sz w:val="22"/>
                <w:szCs w:val="22"/>
              </w:rPr>
              <w:t>《火电厂大气污染物排放标准》（GB13223-2011）、《全面实施燃煤电厂超低排放和节能改造工作方案》要求标准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SO</w:t>
            </w:r>
            <w:r>
              <w:rPr>
                <w:rFonts w:hint="eastAsia"/>
                <w:sz w:val="22"/>
                <w:szCs w:val="22"/>
                <w:vertAlign w:val="subscript"/>
              </w:rPr>
              <w:t>2</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35.00</w:t>
            </w:r>
          </w:p>
        </w:tc>
        <w:tc>
          <w:tcPr>
            <w:tcW w:w="1393" w:type="dxa"/>
            <w:vAlign w:val="center"/>
          </w:tcPr>
          <w:p>
            <w:pPr>
              <w:pStyle w:val="29"/>
              <w:tabs>
                <w:tab w:val="left" w:pos="137"/>
              </w:tabs>
              <w:spacing w:after="0" w:line="240" w:lineRule="auto"/>
              <w:ind w:firstLine="0" w:firstLineChars="0"/>
              <w:jc w:val="center"/>
              <w:rPr>
                <w:sz w:val="22"/>
                <w:szCs w:val="22"/>
              </w:rPr>
            </w:pP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NOx</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50.00</w:t>
            </w:r>
          </w:p>
        </w:tc>
        <w:tc>
          <w:tcPr>
            <w:tcW w:w="1393" w:type="dxa"/>
            <w:vAlign w:val="center"/>
          </w:tcPr>
          <w:p>
            <w:pPr>
              <w:pStyle w:val="29"/>
              <w:tabs>
                <w:tab w:val="left" w:pos="137"/>
              </w:tabs>
              <w:spacing w:after="0" w:line="240" w:lineRule="auto"/>
              <w:ind w:firstLine="0" w:firstLineChars="0"/>
              <w:jc w:val="center"/>
              <w:rPr>
                <w:sz w:val="22"/>
                <w:szCs w:val="22"/>
              </w:rPr>
            </w:pP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Hg及其化合物</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0.03</w:t>
            </w:r>
          </w:p>
        </w:tc>
        <w:tc>
          <w:tcPr>
            <w:tcW w:w="1393" w:type="dxa"/>
            <w:vAlign w:val="center"/>
          </w:tcPr>
          <w:p>
            <w:pPr>
              <w:pStyle w:val="29"/>
              <w:tabs>
                <w:tab w:val="left" w:pos="137"/>
              </w:tabs>
              <w:spacing w:after="0" w:line="240" w:lineRule="auto"/>
              <w:ind w:firstLine="0" w:firstLineChars="0"/>
              <w:jc w:val="center"/>
              <w:rPr>
                <w:sz w:val="22"/>
                <w:szCs w:val="22"/>
              </w:rPr>
            </w:pP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restart"/>
            <w:vAlign w:val="center"/>
          </w:tcPr>
          <w:p>
            <w:pPr>
              <w:pStyle w:val="29"/>
              <w:tabs>
                <w:tab w:val="left" w:pos="137"/>
              </w:tabs>
              <w:spacing w:after="0" w:line="240" w:lineRule="auto"/>
              <w:ind w:firstLine="0" w:firstLineChars="0"/>
              <w:jc w:val="center"/>
              <w:rPr>
                <w:sz w:val="22"/>
                <w:szCs w:val="22"/>
              </w:rPr>
            </w:pPr>
            <w:r>
              <w:rPr>
                <w:rFonts w:hint="eastAsia"/>
                <w:sz w:val="22"/>
                <w:szCs w:val="22"/>
              </w:rPr>
              <w:t>二噁英（ngTEQ/m</w:t>
            </w:r>
            <w:r>
              <w:rPr>
                <w:rFonts w:hint="eastAsia"/>
                <w:sz w:val="22"/>
                <w:szCs w:val="22"/>
                <w:vertAlign w:val="superscript"/>
              </w:rPr>
              <w:t>3</w:t>
            </w:r>
            <w:r>
              <w:rPr>
                <w:rFonts w:hint="eastAsia"/>
                <w:sz w:val="22"/>
                <w:szCs w:val="22"/>
              </w:rPr>
              <w:t>）</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0.1</w:t>
            </w:r>
          </w:p>
        </w:tc>
        <w:tc>
          <w:tcPr>
            <w:tcW w:w="1393" w:type="dxa"/>
            <w:vAlign w:val="center"/>
          </w:tcPr>
          <w:p>
            <w:pPr>
              <w:pStyle w:val="29"/>
              <w:tabs>
                <w:tab w:val="left" w:pos="137"/>
              </w:tabs>
              <w:spacing w:after="0" w:line="240" w:lineRule="auto"/>
              <w:ind w:firstLine="0" w:firstLineChars="0"/>
              <w:jc w:val="center"/>
              <w:rPr>
                <w:sz w:val="18"/>
                <w:szCs w:val="18"/>
              </w:rPr>
            </w:pPr>
            <w:r>
              <w:rPr>
                <w:rFonts w:hint="eastAsia"/>
                <w:sz w:val="18"/>
                <w:szCs w:val="18"/>
              </w:rPr>
              <w:t>测定均值</w:t>
            </w:r>
          </w:p>
        </w:tc>
        <w:tc>
          <w:tcPr>
            <w:tcW w:w="3500" w:type="dxa"/>
            <w:vMerge w:val="restart"/>
            <w:vAlign w:val="center"/>
          </w:tcPr>
          <w:p>
            <w:pPr>
              <w:pStyle w:val="29"/>
              <w:tabs>
                <w:tab w:val="left" w:pos="137"/>
              </w:tabs>
              <w:spacing w:after="0" w:line="240" w:lineRule="auto"/>
              <w:ind w:firstLine="0" w:firstLineChars="0"/>
              <w:jc w:val="center"/>
              <w:rPr>
                <w:rFonts w:eastAsiaTheme="minorEastAsia"/>
              </w:rPr>
            </w:pPr>
            <w:r>
              <w:rPr>
                <w:rFonts w:hint="eastAsia"/>
                <w:snapToGrid w:val="0"/>
                <w:kern w:val="0"/>
              </w:rPr>
              <w:t>《生活垃圾焚烧污染控制标准》（GB18485-2014）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continue"/>
            <w:vAlign w:val="center"/>
          </w:tcPr>
          <w:p>
            <w:pPr>
              <w:pStyle w:val="29"/>
              <w:tabs>
                <w:tab w:val="left" w:pos="137"/>
              </w:tabs>
              <w:spacing w:after="0" w:line="240" w:lineRule="auto"/>
              <w:ind w:firstLine="0" w:firstLineChars="0"/>
              <w:jc w:val="center"/>
              <w:rPr>
                <w:sz w:val="22"/>
                <w:szCs w:val="22"/>
              </w:rPr>
            </w:pPr>
          </w:p>
        </w:tc>
        <w:tc>
          <w:tcPr>
            <w:tcW w:w="1172" w:type="dxa"/>
            <w:vAlign w:val="center"/>
          </w:tcPr>
          <w:p>
            <w:pPr>
              <w:pStyle w:val="29"/>
              <w:tabs>
                <w:tab w:val="left" w:pos="137"/>
              </w:tabs>
              <w:spacing w:after="0" w:line="240" w:lineRule="auto"/>
              <w:ind w:firstLine="0" w:firstLineChars="0"/>
              <w:jc w:val="center"/>
              <w:rPr>
                <w:rFonts w:hint="eastAsia" w:eastAsia="宋体"/>
                <w:sz w:val="22"/>
                <w:szCs w:val="22"/>
                <w:lang w:eastAsia="zh-CN"/>
              </w:rPr>
            </w:pPr>
            <w:r>
              <w:rPr>
                <w:rFonts w:hint="eastAsia"/>
                <w:sz w:val="22"/>
                <w:szCs w:val="22"/>
              </w:rPr>
              <w:t>0.</w:t>
            </w:r>
            <w:r>
              <w:rPr>
                <w:rFonts w:hint="eastAsia"/>
                <w:sz w:val="22"/>
                <w:szCs w:val="22"/>
                <w:lang w:val="en-US" w:eastAsia="zh-CN"/>
              </w:rPr>
              <w:t>5</w:t>
            </w:r>
          </w:p>
        </w:tc>
        <w:tc>
          <w:tcPr>
            <w:tcW w:w="1393" w:type="dxa"/>
            <w:vAlign w:val="center"/>
          </w:tcPr>
          <w:p>
            <w:pPr>
              <w:pStyle w:val="29"/>
              <w:tabs>
                <w:tab w:val="left" w:pos="137"/>
              </w:tabs>
              <w:spacing w:after="0" w:line="240" w:lineRule="auto"/>
              <w:ind w:firstLine="0" w:firstLineChars="0"/>
              <w:jc w:val="center"/>
              <w:rPr>
                <w:sz w:val="14"/>
                <w:szCs w:val="14"/>
              </w:rPr>
            </w:pPr>
            <w:r>
              <w:rPr>
                <w:rFonts w:hint="eastAsia"/>
                <w:sz w:val="14"/>
                <w:szCs w:val="14"/>
              </w:rPr>
              <w:t>污泥处理能力</w:t>
            </w:r>
          </w:p>
          <w:p>
            <w:pPr>
              <w:pStyle w:val="29"/>
              <w:tabs>
                <w:tab w:val="left" w:pos="137"/>
              </w:tabs>
              <w:spacing w:after="0" w:line="240" w:lineRule="auto"/>
              <w:ind w:firstLine="0" w:firstLineChars="0"/>
              <w:jc w:val="center"/>
              <w:rPr>
                <w:sz w:val="14"/>
                <w:szCs w:val="14"/>
              </w:rPr>
            </w:pPr>
            <w:r>
              <w:rPr>
                <w:rFonts w:hint="eastAsia"/>
                <w:sz w:val="14"/>
                <w:szCs w:val="14"/>
              </w:rPr>
              <w:t>50~100t/d</w:t>
            </w: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restart"/>
            <w:vAlign w:val="center"/>
          </w:tcPr>
          <w:p>
            <w:pPr>
              <w:pStyle w:val="29"/>
              <w:tabs>
                <w:tab w:val="left" w:pos="137"/>
              </w:tabs>
              <w:spacing w:after="0" w:line="240" w:lineRule="auto"/>
              <w:ind w:firstLine="0" w:firstLineChars="0"/>
              <w:jc w:val="center"/>
              <w:rPr>
                <w:sz w:val="22"/>
                <w:szCs w:val="22"/>
              </w:rPr>
            </w:pPr>
            <w:r>
              <w:rPr>
                <w:rFonts w:hint="eastAsia"/>
                <w:sz w:val="22"/>
                <w:szCs w:val="22"/>
              </w:rPr>
              <w:t>氯化氢（mg/m</w:t>
            </w:r>
            <w:r>
              <w:rPr>
                <w:rFonts w:hint="eastAsia"/>
                <w:sz w:val="22"/>
                <w:szCs w:val="22"/>
                <w:vertAlign w:val="superscript"/>
              </w:rPr>
              <w:t>3</w:t>
            </w:r>
            <w:r>
              <w:rPr>
                <w:rFonts w:hint="eastAsia"/>
                <w:sz w:val="22"/>
                <w:szCs w:val="22"/>
              </w:rPr>
              <w:t>）</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60</w:t>
            </w:r>
          </w:p>
        </w:tc>
        <w:tc>
          <w:tcPr>
            <w:tcW w:w="1393" w:type="dxa"/>
            <w:vAlign w:val="center"/>
          </w:tcPr>
          <w:p>
            <w:pPr>
              <w:pStyle w:val="29"/>
              <w:tabs>
                <w:tab w:val="left" w:pos="137"/>
              </w:tabs>
              <w:spacing w:after="0" w:line="240" w:lineRule="auto"/>
              <w:ind w:firstLine="0" w:firstLineChars="0"/>
              <w:jc w:val="center"/>
              <w:rPr>
                <w:sz w:val="18"/>
                <w:szCs w:val="18"/>
              </w:rPr>
            </w:pPr>
            <w:r>
              <w:rPr>
                <w:rFonts w:hint="eastAsia"/>
                <w:sz w:val="18"/>
                <w:szCs w:val="18"/>
              </w:rPr>
              <w:t>小时均值</w:t>
            </w: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continue"/>
            <w:vAlign w:val="center"/>
          </w:tcPr>
          <w:p>
            <w:pPr>
              <w:pStyle w:val="29"/>
              <w:tabs>
                <w:tab w:val="left" w:pos="137"/>
              </w:tabs>
              <w:spacing w:after="0" w:line="240" w:lineRule="auto"/>
              <w:ind w:firstLine="0" w:firstLineChars="0"/>
              <w:jc w:val="center"/>
              <w:rPr>
                <w:sz w:val="22"/>
                <w:szCs w:val="22"/>
              </w:rPr>
            </w:pP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50</w:t>
            </w:r>
          </w:p>
        </w:tc>
        <w:tc>
          <w:tcPr>
            <w:tcW w:w="1393" w:type="dxa"/>
            <w:vAlign w:val="center"/>
          </w:tcPr>
          <w:p>
            <w:pPr>
              <w:pStyle w:val="29"/>
              <w:tabs>
                <w:tab w:val="left" w:pos="137"/>
              </w:tabs>
              <w:spacing w:after="0" w:line="240" w:lineRule="auto"/>
              <w:ind w:firstLine="0" w:firstLineChars="0"/>
              <w:jc w:val="center"/>
              <w:rPr>
                <w:sz w:val="18"/>
                <w:szCs w:val="18"/>
              </w:rPr>
            </w:pPr>
            <w:r>
              <w:rPr>
                <w:rFonts w:hint="eastAsia"/>
                <w:sz w:val="18"/>
                <w:szCs w:val="18"/>
              </w:rPr>
              <w:t>24小时均值</w:t>
            </w: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restart"/>
            <w:vAlign w:val="center"/>
          </w:tcPr>
          <w:p>
            <w:pPr>
              <w:pStyle w:val="29"/>
              <w:tabs>
                <w:tab w:val="left" w:pos="137"/>
              </w:tabs>
              <w:spacing w:after="0" w:line="240" w:lineRule="auto"/>
              <w:ind w:firstLine="0" w:firstLineChars="0"/>
              <w:jc w:val="center"/>
              <w:rPr>
                <w:sz w:val="22"/>
                <w:szCs w:val="22"/>
              </w:rPr>
            </w:pPr>
            <w:r>
              <w:rPr>
                <w:rFonts w:hint="eastAsia"/>
                <w:sz w:val="22"/>
                <w:szCs w:val="22"/>
              </w:rPr>
              <w:t>一氧化碳（mg/m</w:t>
            </w:r>
            <w:r>
              <w:rPr>
                <w:rFonts w:hint="eastAsia"/>
                <w:sz w:val="22"/>
                <w:szCs w:val="22"/>
                <w:vertAlign w:val="superscript"/>
              </w:rPr>
              <w:t>3</w:t>
            </w:r>
            <w:r>
              <w:rPr>
                <w:rFonts w:hint="eastAsia"/>
                <w:sz w:val="22"/>
                <w:szCs w:val="22"/>
              </w:rPr>
              <w:t>）</w:t>
            </w: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100</w:t>
            </w:r>
          </w:p>
        </w:tc>
        <w:tc>
          <w:tcPr>
            <w:tcW w:w="1393" w:type="dxa"/>
            <w:vAlign w:val="center"/>
          </w:tcPr>
          <w:p>
            <w:pPr>
              <w:pStyle w:val="29"/>
              <w:tabs>
                <w:tab w:val="left" w:pos="137"/>
              </w:tabs>
              <w:spacing w:after="0" w:line="240" w:lineRule="auto"/>
              <w:ind w:firstLine="0" w:firstLineChars="0"/>
              <w:jc w:val="center"/>
              <w:rPr>
                <w:sz w:val="18"/>
                <w:szCs w:val="18"/>
              </w:rPr>
            </w:pPr>
            <w:r>
              <w:rPr>
                <w:rFonts w:hint="eastAsia"/>
                <w:sz w:val="18"/>
                <w:szCs w:val="18"/>
              </w:rPr>
              <w:t>小时均值</w:t>
            </w: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313" w:type="dxa"/>
            <w:vMerge w:val="continue"/>
            <w:vAlign w:val="center"/>
          </w:tcPr>
          <w:p>
            <w:pPr>
              <w:pStyle w:val="29"/>
              <w:tabs>
                <w:tab w:val="left" w:pos="137"/>
              </w:tabs>
              <w:spacing w:after="0" w:line="240" w:lineRule="auto"/>
              <w:ind w:firstLine="0" w:firstLineChars="0"/>
              <w:jc w:val="center"/>
              <w:rPr>
                <w:sz w:val="22"/>
                <w:szCs w:val="22"/>
              </w:rPr>
            </w:pPr>
          </w:p>
        </w:tc>
        <w:tc>
          <w:tcPr>
            <w:tcW w:w="1172" w:type="dxa"/>
            <w:vAlign w:val="center"/>
          </w:tcPr>
          <w:p>
            <w:pPr>
              <w:pStyle w:val="29"/>
              <w:tabs>
                <w:tab w:val="left" w:pos="137"/>
              </w:tabs>
              <w:spacing w:after="0" w:line="240" w:lineRule="auto"/>
              <w:ind w:firstLine="0" w:firstLineChars="0"/>
              <w:jc w:val="center"/>
              <w:rPr>
                <w:sz w:val="22"/>
                <w:szCs w:val="22"/>
              </w:rPr>
            </w:pPr>
            <w:r>
              <w:rPr>
                <w:rFonts w:hint="eastAsia"/>
                <w:sz w:val="22"/>
                <w:szCs w:val="22"/>
              </w:rPr>
              <w:t>80</w:t>
            </w:r>
          </w:p>
        </w:tc>
        <w:tc>
          <w:tcPr>
            <w:tcW w:w="1393" w:type="dxa"/>
            <w:vAlign w:val="center"/>
          </w:tcPr>
          <w:p>
            <w:pPr>
              <w:pStyle w:val="29"/>
              <w:tabs>
                <w:tab w:val="left" w:pos="137"/>
              </w:tabs>
              <w:spacing w:after="0" w:line="240" w:lineRule="auto"/>
              <w:ind w:firstLine="0" w:firstLineChars="0"/>
              <w:jc w:val="center"/>
              <w:rPr>
                <w:sz w:val="18"/>
                <w:szCs w:val="18"/>
              </w:rPr>
            </w:pPr>
            <w:r>
              <w:rPr>
                <w:rFonts w:hint="eastAsia"/>
                <w:sz w:val="18"/>
                <w:szCs w:val="18"/>
              </w:rPr>
              <w:t>24小时均值</w:t>
            </w:r>
          </w:p>
        </w:tc>
        <w:tc>
          <w:tcPr>
            <w:tcW w:w="3500" w:type="dxa"/>
            <w:vMerge w:val="continue"/>
            <w:vAlign w:val="center"/>
          </w:tcPr>
          <w:p>
            <w:pPr>
              <w:pStyle w:val="29"/>
              <w:tabs>
                <w:tab w:val="left" w:pos="137"/>
              </w:tabs>
              <w:spacing w:after="0" w:line="240" w:lineRule="auto"/>
              <w:ind w:firstLine="0" w:firstLineChars="0"/>
              <w:jc w:val="center"/>
              <w:rPr>
                <w:rFonts w:eastAsiaTheme="minorEastAsia"/>
              </w:rPr>
            </w:pPr>
          </w:p>
        </w:tc>
      </w:tr>
    </w:tbl>
    <w:p>
      <w:pPr>
        <w:pStyle w:val="29"/>
        <w:tabs>
          <w:tab w:val="left" w:pos="137"/>
        </w:tabs>
        <w:wordWrap w:val="0"/>
        <w:spacing w:beforeLines="100" w:after="100"/>
        <w:ind w:firstLine="0" w:firstLineChars="0"/>
        <w:rPr>
          <w:b/>
        </w:rPr>
      </w:pPr>
    </w:p>
    <w:p>
      <w:pPr>
        <w:pStyle w:val="29"/>
        <w:tabs>
          <w:tab w:val="left" w:pos="137"/>
        </w:tabs>
        <w:wordWrap w:val="0"/>
        <w:spacing w:beforeLines="100" w:after="100"/>
        <w:ind w:firstLine="0" w:firstLineChars="0"/>
        <w:rPr>
          <w:b/>
        </w:rPr>
      </w:pPr>
      <w:r>
        <w:rPr>
          <w:rFonts w:hint="eastAsia"/>
          <w:b/>
        </w:rPr>
        <w:t>3.声环境质量评价标准</w:t>
      </w:r>
    </w:p>
    <w:p>
      <w:pPr>
        <w:pStyle w:val="29"/>
        <w:wordWrap w:val="0"/>
        <w:spacing w:after="0"/>
        <w:ind w:firstLine="198" w:firstLineChars="0"/>
      </w:pPr>
      <w:r>
        <w:t>本项目所在区域执行《声环境质量标准》（GB3096-2008）</w:t>
      </w:r>
      <w:r>
        <w:rPr>
          <w:rFonts w:hint="eastAsia"/>
          <w:color w:val="000000" w:themeColor="text1"/>
        </w:rPr>
        <w:t>3</w:t>
      </w:r>
      <w:r>
        <w:rPr>
          <w:color w:val="000000" w:themeColor="text1"/>
        </w:rPr>
        <w:t>类</w:t>
      </w:r>
      <w:r>
        <w:t>标准</w:t>
      </w:r>
      <w:r>
        <w:rPr>
          <w:rFonts w:hint="eastAsia"/>
        </w:rPr>
        <w:t>；厂界200m范围内执行《工业企业厂界噪声排放标准》（GB12348-2008）3类标准；施工噪声执行《建筑施工场界限值》（GB12523-2011）</w:t>
      </w:r>
      <w:r>
        <w:t>具体指标详见表2.3-</w:t>
      </w:r>
      <w:r>
        <w:rPr>
          <w:rFonts w:hint="eastAsia"/>
        </w:rPr>
        <w:t>4</w:t>
      </w:r>
      <w:r>
        <w:t>。</w:t>
      </w:r>
    </w:p>
    <w:p>
      <w:pPr>
        <w:pStyle w:val="10"/>
        <w:wordWrap w:val="0"/>
        <w:rPr>
          <w:szCs w:val="24"/>
        </w:rPr>
      </w:pPr>
      <w:bookmarkStart w:id="357" w:name="_Ref418272339"/>
      <w:r>
        <w:t>表</w:t>
      </w:r>
      <w:bookmarkEnd w:id="357"/>
      <w:r>
        <w:rPr>
          <w:rFonts w:hint="eastAsia"/>
        </w:rPr>
        <w:t>2.3-5</w:t>
      </w:r>
      <w:r>
        <w:t xml:space="preserve"> 声环境</w:t>
      </w:r>
      <w:r>
        <w:rPr>
          <w:szCs w:val="24"/>
        </w:rPr>
        <w:t>质量标准    单位：dB（A）</w:t>
      </w:r>
    </w:p>
    <w:tbl>
      <w:tblPr>
        <w:tblStyle w:val="30"/>
        <w:tblW w:w="88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778"/>
        <w:gridCol w:w="1701"/>
        <w:gridCol w:w="141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778" w:type="dxa"/>
            <w:vMerge w:val="restart"/>
            <w:vAlign w:val="center"/>
          </w:tcPr>
          <w:p>
            <w:pPr>
              <w:spacing w:after="0" w:line="240" w:lineRule="auto"/>
              <w:jc w:val="center"/>
              <w:rPr>
                <w:b/>
                <w:sz w:val="21"/>
                <w:szCs w:val="20"/>
                <w:lang w:eastAsia="zh-CN"/>
              </w:rPr>
            </w:pPr>
            <w:r>
              <w:rPr>
                <w:rFonts w:hint="eastAsia"/>
                <w:b/>
                <w:sz w:val="21"/>
                <w:szCs w:val="20"/>
                <w:lang w:eastAsia="zh-CN"/>
              </w:rPr>
              <w:t>标准名称</w:t>
            </w:r>
          </w:p>
        </w:tc>
        <w:tc>
          <w:tcPr>
            <w:tcW w:w="3119" w:type="dxa"/>
            <w:gridSpan w:val="2"/>
            <w:vAlign w:val="center"/>
          </w:tcPr>
          <w:p>
            <w:pPr>
              <w:spacing w:after="0" w:line="240" w:lineRule="auto"/>
              <w:jc w:val="center"/>
              <w:rPr>
                <w:b/>
                <w:sz w:val="21"/>
                <w:szCs w:val="20"/>
                <w:lang w:eastAsia="zh-CN"/>
              </w:rPr>
            </w:pPr>
            <w:r>
              <w:rPr>
                <w:rFonts w:hint="eastAsia"/>
                <w:b/>
                <w:sz w:val="21"/>
                <w:szCs w:val="20"/>
                <w:lang w:eastAsia="zh-CN"/>
              </w:rPr>
              <w:t>噪声限值</w:t>
            </w:r>
            <w:r>
              <w:rPr>
                <w:rFonts w:eastAsiaTheme="minorEastAsia"/>
                <w:b/>
                <w:sz w:val="21"/>
                <w:szCs w:val="24"/>
              </w:rPr>
              <w:t>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778" w:type="dxa"/>
            <w:vMerge w:val="continue"/>
            <w:vAlign w:val="center"/>
          </w:tcPr>
          <w:p>
            <w:pPr>
              <w:spacing w:after="0" w:line="240" w:lineRule="auto"/>
              <w:jc w:val="center"/>
              <w:rPr>
                <w:rFonts w:eastAsiaTheme="minorEastAsia"/>
                <w:b/>
                <w:sz w:val="21"/>
                <w:szCs w:val="20"/>
                <w:lang w:eastAsia="zh-CN"/>
              </w:rPr>
            </w:pPr>
          </w:p>
        </w:tc>
        <w:tc>
          <w:tcPr>
            <w:tcW w:w="1701" w:type="dxa"/>
            <w:vAlign w:val="center"/>
          </w:tcPr>
          <w:p>
            <w:pPr>
              <w:spacing w:after="0" w:line="240" w:lineRule="auto"/>
              <w:jc w:val="center"/>
              <w:rPr>
                <w:b/>
                <w:sz w:val="21"/>
                <w:szCs w:val="20"/>
                <w:lang w:eastAsia="zh-CN"/>
              </w:rPr>
            </w:pPr>
            <w:r>
              <w:rPr>
                <w:rFonts w:hint="eastAsia"/>
                <w:b/>
                <w:sz w:val="21"/>
                <w:szCs w:val="20"/>
                <w:lang w:eastAsia="zh-CN"/>
              </w:rPr>
              <w:t>昼间</w:t>
            </w:r>
          </w:p>
        </w:tc>
        <w:tc>
          <w:tcPr>
            <w:tcW w:w="1418" w:type="dxa"/>
            <w:vAlign w:val="center"/>
          </w:tcPr>
          <w:p>
            <w:pPr>
              <w:spacing w:after="0" w:line="240" w:lineRule="auto"/>
              <w:jc w:val="center"/>
              <w:rPr>
                <w:b/>
                <w:sz w:val="21"/>
                <w:szCs w:val="20"/>
                <w:lang w:eastAsia="zh-CN"/>
              </w:rPr>
            </w:pPr>
            <w:r>
              <w:rPr>
                <w:rFonts w:hint="eastAsia"/>
                <w:b/>
                <w:sz w:val="21"/>
                <w:szCs w:val="20"/>
                <w:lang w:eastAsia="zh-CN"/>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778"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《声环境质量标准》（GB3096-2008）</w:t>
            </w:r>
            <w:r>
              <w:rPr>
                <w:rFonts w:hint="eastAsia" w:eastAsiaTheme="minorEastAsia"/>
                <w:sz w:val="21"/>
                <w:szCs w:val="20"/>
                <w:lang w:eastAsia="zh-CN"/>
              </w:rPr>
              <w:t>3</w:t>
            </w:r>
            <w:r>
              <w:rPr>
                <w:rFonts w:eastAsiaTheme="minorEastAsia"/>
                <w:sz w:val="21"/>
                <w:szCs w:val="20"/>
                <w:lang w:eastAsia="zh-CN"/>
              </w:rPr>
              <w:t>类标准</w:t>
            </w:r>
          </w:p>
        </w:tc>
        <w:tc>
          <w:tcPr>
            <w:tcW w:w="1701" w:type="dxa"/>
            <w:vAlign w:val="center"/>
          </w:tcPr>
          <w:p>
            <w:pPr>
              <w:spacing w:after="0" w:line="240" w:lineRule="auto"/>
              <w:jc w:val="center"/>
              <w:rPr>
                <w:sz w:val="21"/>
                <w:szCs w:val="20"/>
                <w:lang w:eastAsia="zh-CN"/>
              </w:rPr>
            </w:pPr>
            <w:r>
              <w:rPr>
                <w:rFonts w:hint="eastAsia"/>
                <w:sz w:val="21"/>
                <w:szCs w:val="20"/>
                <w:lang w:eastAsia="zh-CN"/>
              </w:rPr>
              <w:t>65</w:t>
            </w:r>
          </w:p>
        </w:tc>
        <w:tc>
          <w:tcPr>
            <w:tcW w:w="1418" w:type="dxa"/>
            <w:vAlign w:val="center"/>
          </w:tcPr>
          <w:p>
            <w:pPr>
              <w:spacing w:after="0" w:line="240" w:lineRule="auto"/>
              <w:jc w:val="center"/>
              <w:rPr>
                <w:sz w:val="21"/>
                <w:szCs w:val="20"/>
                <w:lang w:eastAsia="zh-CN"/>
              </w:rPr>
            </w:pPr>
            <w:r>
              <w:rPr>
                <w:rFonts w:hint="eastAsia"/>
                <w:sz w:val="21"/>
                <w:szCs w:val="20"/>
                <w:lang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778" w:type="dxa"/>
            <w:vAlign w:val="center"/>
          </w:tcPr>
          <w:p>
            <w:pPr>
              <w:spacing w:after="0" w:line="240" w:lineRule="auto"/>
              <w:jc w:val="center"/>
              <w:rPr>
                <w:rFonts w:eastAsiaTheme="minorEastAsia"/>
                <w:sz w:val="21"/>
                <w:szCs w:val="20"/>
                <w:lang w:eastAsia="zh-CN"/>
              </w:rPr>
            </w:pPr>
            <w:r>
              <w:rPr>
                <w:rFonts w:hint="eastAsia" w:eastAsiaTheme="minorEastAsia"/>
                <w:sz w:val="21"/>
                <w:szCs w:val="20"/>
                <w:lang w:eastAsia="zh-CN"/>
              </w:rPr>
              <w:t>《工业企业厂界噪声排放标准》（GB12348-2008）3类标准</w:t>
            </w:r>
          </w:p>
        </w:tc>
        <w:tc>
          <w:tcPr>
            <w:tcW w:w="1701" w:type="dxa"/>
            <w:vAlign w:val="center"/>
          </w:tcPr>
          <w:p>
            <w:pPr>
              <w:spacing w:after="0" w:line="240" w:lineRule="auto"/>
              <w:jc w:val="center"/>
              <w:rPr>
                <w:sz w:val="21"/>
                <w:szCs w:val="20"/>
                <w:lang w:eastAsia="zh-CN"/>
              </w:rPr>
            </w:pPr>
            <w:r>
              <w:rPr>
                <w:rFonts w:hint="eastAsia"/>
                <w:sz w:val="21"/>
                <w:szCs w:val="20"/>
                <w:lang w:eastAsia="zh-CN"/>
              </w:rPr>
              <w:t>65</w:t>
            </w:r>
          </w:p>
        </w:tc>
        <w:tc>
          <w:tcPr>
            <w:tcW w:w="1418" w:type="dxa"/>
            <w:vAlign w:val="center"/>
          </w:tcPr>
          <w:p>
            <w:pPr>
              <w:spacing w:after="0" w:line="240" w:lineRule="auto"/>
              <w:jc w:val="center"/>
              <w:rPr>
                <w:sz w:val="21"/>
                <w:szCs w:val="20"/>
                <w:lang w:eastAsia="zh-CN"/>
              </w:rPr>
            </w:pPr>
            <w:r>
              <w:rPr>
                <w:rFonts w:hint="eastAsia"/>
                <w:sz w:val="21"/>
                <w:szCs w:val="20"/>
                <w:lang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778" w:type="dxa"/>
            <w:vAlign w:val="center"/>
          </w:tcPr>
          <w:p>
            <w:pPr>
              <w:spacing w:after="0" w:line="240" w:lineRule="auto"/>
              <w:jc w:val="center"/>
              <w:rPr>
                <w:rFonts w:eastAsiaTheme="minorEastAsia"/>
                <w:sz w:val="21"/>
                <w:szCs w:val="20"/>
                <w:lang w:eastAsia="zh-CN"/>
              </w:rPr>
            </w:pPr>
            <w:r>
              <w:rPr>
                <w:rFonts w:hint="eastAsia" w:eastAsiaTheme="minorEastAsia"/>
                <w:sz w:val="21"/>
                <w:szCs w:val="20"/>
                <w:lang w:eastAsia="zh-CN"/>
              </w:rPr>
              <w:t>《建筑施工场界限值》（GB12523-2011）</w:t>
            </w:r>
          </w:p>
        </w:tc>
        <w:tc>
          <w:tcPr>
            <w:tcW w:w="1701" w:type="dxa"/>
            <w:vAlign w:val="center"/>
          </w:tcPr>
          <w:p>
            <w:pPr>
              <w:spacing w:after="0" w:line="240" w:lineRule="auto"/>
              <w:jc w:val="center"/>
              <w:rPr>
                <w:sz w:val="21"/>
                <w:szCs w:val="20"/>
                <w:lang w:eastAsia="zh-CN"/>
              </w:rPr>
            </w:pPr>
            <w:r>
              <w:rPr>
                <w:rFonts w:hint="eastAsia"/>
                <w:sz w:val="21"/>
                <w:szCs w:val="20"/>
                <w:lang w:eastAsia="zh-CN"/>
              </w:rPr>
              <w:t>70</w:t>
            </w:r>
          </w:p>
        </w:tc>
        <w:tc>
          <w:tcPr>
            <w:tcW w:w="1418" w:type="dxa"/>
            <w:vAlign w:val="center"/>
          </w:tcPr>
          <w:p>
            <w:pPr>
              <w:spacing w:after="0" w:line="240" w:lineRule="auto"/>
              <w:jc w:val="center"/>
              <w:rPr>
                <w:sz w:val="21"/>
                <w:szCs w:val="20"/>
                <w:lang w:eastAsia="zh-CN"/>
              </w:rPr>
            </w:pPr>
            <w:r>
              <w:rPr>
                <w:rFonts w:hint="eastAsia"/>
                <w:sz w:val="21"/>
                <w:szCs w:val="20"/>
                <w:lang w:eastAsia="zh-CN"/>
              </w:rPr>
              <w:t>55</w:t>
            </w:r>
          </w:p>
        </w:tc>
      </w:tr>
    </w:tbl>
    <w:p>
      <w:pPr>
        <w:pStyle w:val="29"/>
        <w:tabs>
          <w:tab w:val="left" w:pos="137"/>
        </w:tabs>
        <w:wordWrap w:val="0"/>
        <w:spacing w:beforeLines="100" w:after="100"/>
        <w:ind w:firstLine="0" w:firstLineChars="0"/>
        <w:rPr>
          <w:b/>
        </w:rPr>
      </w:pPr>
      <w:r>
        <w:rPr>
          <w:rFonts w:hint="eastAsia"/>
          <w:b/>
        </w:rPr>
        <w:t>4.固废标准</w:t>
      </w:r>
    </w:p>
    <w:p>
      <w:pPr>
        <w:pStyle w:val="29"/>
        <w:wordWrap w:val="0"/>
        <w:spacing w:after="0"/>
        <w:ind w:firstLine="198" w:firstLineChars="0"/>
      </w:pPr>
      <w:r>
        <w:rPr>
          <w:rFonts w:hint="eastAsia"/>
        </w:rPr>
        <w:t xml:space="preserve">      灰场应满足 GB18599—2001《一般工业固体废物贮存、处置场污染控制标准》Ⅱ类一般工业固体废物贮存、处置场地的要求。</w:t>
      </w:r>
    </w:p>
    <w:p>
      <w:pPr>
        <w:pStyle w:val="7"/>
        <w:widowControl w:val="0"/>
        <w:tabs>
          <w:tab w:val="left" w:pos="953"/>
        </w:tabs>
        <w:wordWrap w:val="0"/>
        <w:adjustRightInd w:val="0"/>
        <w:snapToGrid w:val="0"/>
        <w:spacing w:before="0" w:after="200" w:line="360" w:lineRule="auto"/>
        <w:rPr>
          <w:i w:val="0"/>
          <w:color w:val="000000" w:themeColor="text1"/>
          <w:sz w:val="24"/>
          <w:szCs w:val="24"/>
          <w:lang w:eastAsia="zh-CN"/>
        </w:rPr>
      </w:pPr>
      <w:r>
        <w:rPr>
          <w:rFonts w:hint="eastAsia" w:eastAsia="宋体"/>
          <w:i w:val="0"/>
          <w:color w:val="000000" w:themeColor="text1"/>
          <w:sz w:val="24"/>
          <w:szCs w:val="24"/>
          <w:lang w:eastAsia="zh-CN"/>
        </w:rPr>
        <w:t>2.3.3</w:t>
      </w:r>
      <w:r>
        <w:rPr>
          <w:i w:val="0"/>
          <w:color w:val="000000" w:themeColor="text1"/>
          <w:sz w:val="24"/>
          <w:szCs w:val="24"/>
          <w:lang w:eastAsia="zh-CN"/>
        </w:rPr>
        <w:t>标准汇总</w:t>
      </w:r>
    </w:p>
    <w:p>
      <w:pPr>
        <w:pStyle w:val="29"/>
        <w:wordWrap w:val="0"/>
        <w:spacing w:after="0"/>
        <w:ind w:firstLine="198" w:firstLineChars="0"/>
      </w:pPr>
      <w:r>
        <w:t>环境影响评价采用的标准见下表。</w:t>
      </w:r>
      <w:bookmarkEnd w:id="355"/>
      <w:bookmarkStart w:id="358" w:name="_Ref229931109"/>
      <w:bookmarkStart w:id="359" w:name="_Ref229931098"/>
    </w:p>
    <w:p>
      <w:pPr>
        <w:pStyle w:val="10"/>
        <w:wordWrap w:val="0"/>
      </w:pPr>
      <w:r>
        <w:t>表</w:t>
      </w:r>
      <w:bookmarkEnd w:id="358"/>
      <w:r>
        <w:rPr>
          <w:rFonts w:hint="eastAsia"/>
        </w:rPr>
        <w:t>2.3-6</w:t>
      </w:r>
      <w:r>
        <w:t>评价标准一览表</w:t>
      </w:r>
      <w:bookmarkEnd w:id="359"/>
    </w:p>
    <w:tbl>
      <w:tblPr>
        <w:tblStyle w:val="30"/>
        <w:tblW w:w="901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6"/>
        <w:gridCol w:w="851"/>
        <w:gridCol w:w="74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676" w:type="dxa"/>
            <w:vAlign w:val="center"/>
          </w:tcPr>
          <w:p>
            <w:pPr>
              <w:spacing w:after="0" w:line="240" w:lineRule="auto"/>
              <w:jc w:val="center"/>
              <w:rPr>
                <w:b/>
                <w:sz w:val="21"/>
                <w:szCs w:val="21"/>
                <w:lang w:eastAsia="zh-CN"/>
              </w:rPr>
            </w:pPr>
            <w:r>
              <w:rPr>
                <w:b/>
                <w:sz w:val="21"/>
                <w:szCs w:val="21"/>
                <w:lang w:eastAsia="zh-CN"/>
              </w:rPr>
              <w:t>类别</w:t>
            </w:r>
          </w:p>
        </w:tc>
        <w:tc>
          <w:tcPr>
            <w:tcW w:w="8334" w:type="dxa"/>
            <w:gridSpan w:val="2"/>
            <w:vAlign w:val="center"/>
          </w:tcPr>
          <w:p>
            <w:pPr>
              <w:wordWrap w:val="0"/>
              <w:spacing w:after="0" w:line="240" w:lineRule="auto"/>
              <w:jc w:val="center"/>
              <w:rPr>
                <w:b/>
                <w:sz w:val="21"/>
                <w:szCs w:val="21"/>
                <w:lang w:eastAsia="zh-CN"/>
              </w:rPr>
            </w:pPr>
            <w:r>
              <w:rPr>
                <w:b/>
                <w:sz w:val="21"/>
                <w:szCs w:val="21"/>
                <w:lang w:eastAsia="zh-CN"/>
              </w:rPr>
              <w:t>标准名称及执行级别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restart"/>
            <w:vAlign w:val="center"/>
          </w:tcPr>
          <w:p>
            <w:pPr>
              <w:wordWrap w:val="0"/>
              <w:spacing w:after="0" w:line="240" w:lineRule="auto"/>
              <w:jc w:val="center"/>
              <w:rPr>
                <w:sz w:val="21"/>
                <w:szCs w:val="21"/>
                <w:lang w:eastAsia="zh-CN"/>
              </w:rPr>
            </w:pPr>
            <w:r>
              <w:rPr>
                <w:sz w:val="21"/>
                <w:szCs w:val="21"/>
                <w:lang w:eastAsia="zh-CN"/>
              </w:rPr>
              <w:t>质</w:t>
            </w:r>
          </w:p>
          <w:p>
            <w:pPr>
              <w:wordWrap w:val="0"/>
              <w:spacing w:after="0" w:line="240" w:lineRule="auto"/>
              <w:jc w:val="center"/>
              <w:rPr>
                <w:sz w:val="21"/>
                <w:szCs w:val="21"/>
                <w:lang w:eastAsia="zh-CN"/>
              </w:rPr>
            </w:pPr>
            <w:r>
              <w:rPr>
                <w:sz w:val="21"/>
                <w:szCs w:val="21"/>
                <w:lang w:eastAsia="zh-CN"/>
              </w:rPr>
              <w:t>量</w:t>
            </w:r>
          </w:p>
          <w:p>
            <w:pPr>
              <w:wordWrap w:val="0"/>
              <w:spacing w:after="0" w:line="240" w:lineRule="auto"/>
              <w:jc w:val="center"/>
              <w:rPr>
                <w:sz w:val="21"/>
                <w:szCs w:val="21"/>
                <w:lang w:eastAsia="zh-CN"/>
              </w:rPr>
            </w:pPr>
            <w:r>
              <w:rPr>
                <w:sz w:val="21"/>
                <w:szCs w:val="21"/>
                <w:lang w:eastAsia="zh-CN"/>
              </w:rPr>
              <w:t>标</w:t>
            </w:r>
          </w:p>
          <w:p>
            <w:pPr>
              <w:wordWrap w:val="0"/>
              <w:spacing w:after="0" w:line="240" w:lineRule="auto"/>
              <w:jc w:val="center"/>
              <w:rPr>
                <w:sz w:val="21"/>
                <w:szCs w:val="21"/>
                <w:lang w:eastAsia="zh-CN"/>
              </w:rPr>
            </w:pPr>
            <w:r>
              <w:rPr>
                <w:sz w:val="21"/>
                <w:szCs w:val="21"/>
                <w:lang w:eastAsia="zh-CN"/>
              </w:rPr>
              <w:t>准</w:t>
            </w:r>
          </w:p>
        </w:tc>
        <w:tc>
          <w:tcPr>
            <w:tcW w:w="851" w:type="dxa"/>
            <w:vAlign w:val="center"/>
          </w:tcPr>
          <w:p>
            <w:pPr>
              <w:wordWrap w:val="0"/>
              <w:spacing w:after="0" w:line="240" w:lineRule="auto"/>
              <w:jc w:val="center"/>
              <w:rPr>
                <w:sz w:val="21"/>
                <w:szCs w:val="21"/>
                <w:lang w:eastAsia="zh-CN"/>
              </w:rPr>
            </w:pPr>
            <w:r>
              <w:rPr>
                <w:sz w:val="21"/>
                <w:szCs w:val="21"/>
                <w:lang w:eastAsia="zh-CN"/>
              </w:rPr>
              <w:t>地表水</w:t>
            </w:r>
          </w:p>
        </w:tc>
        <w:tc>
          <w:tcPr>
            <w:tcW w:w="7483" w:type="dxa"/>
            <w:vAlign w:val="center"/>
          </w:tcPr>
          <w:p>
            <w:pPr>
              <w:wordWrap w:val="0"/>
              <w:spacing w:after="0" w:line="240" w:lineRule="auto"/>
              <w:jc w:val="center"/>
              <w:rPr>
                <w:sz w:val="21"/>
                <w:szCs w:val="21"/>
                <w:lang w:eastAsia="zh-CN"/>
              </w:rPr>
            </w:pPr>
            <w:r>
              <w:rPr>
                <w:sz w:val="21"/>
                <w:szCs w:val="21"/>
                <w:lang w:eastAsia="zh-CN"/>
              </w:rPr>
              <w:t>《地表水环境质量标准》（GB3838-2002），</w:t>
            </w:r>
            <w:r>
              <w:rPr>
                <w:sz w:val="21"/>
                <w:szCs w:val="21"/>
              </w:rPr>
              <w:fldChar w:fldCharType="begin"/>
            </w:r>
            <w:r>
              <w:rPr>
                <w:sz w:val="21"/>
                <w:szCs w:val="21"/>
                <w:lang w:eastAsia="zh-CN"/>
              </w:rPr>
              <w:instrText xml:space="preserve"> = 3 \* ROMAN </w:instrText>
            </w:r>
            <w:r>
              <w:rPr>
                <w:sz w:val="21"/>
                <w:szCs w:val="21"/>
              </w:rPr>
              <w:fldChar w:fldCharType="separate"/>
            </w:r>
            <w:r>
              <w:rPr>
                <w:sz w:val="21"/>
                <w:szCs w:val="21"/>
                <w:lang w:eastAsia="zh-CN"/>
              </w:rPr>
              <w:t>III</w:t>
            </w:r>
            <w:r>
              <w:rPr>
                <w:sz w:val="21"/>
                <w:szCs w:val="21"/>
              </w:rPr>
              <w:fldChar w:fldCharType="end"/>
            </w:r>
            <w:r>
              <w:rPr>
                <w:sz w:val="21"/>
                <w:szCs w:val="21"/>
                <w:lang w:eastAsia="zh-CN"/>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Align w:val="center"/>
          </w:tcPr>
          <w:p>
            <w:pPr>
              <w:wordWrap w:val="0"/>
              <w:spacing w:after="0" w:line="240" w:lineRule="auto"/>
              <w:jc w:val="center"/>
              <w:rPr>
                <w:sz w:val="21"/>
                <w:szCs w:val="21"/>
              </w:rPr>
            </w:pPr>
            <w:r>
              <w:rPr>
                <w:sz w:val="21"/>
                <w:szCs w:val="21"/>
              </w:rPr>
              <w:t>地下水</w:t>
            </w:r>
          </w:p>
        </w:tc>
        <w:tc>
          <w:tcPr>
            <w:tcW w:w="7483" w:type="dxa"/>
            <w:vAlign w:val="center"/>
          </w:tcPr>
          <w:p>
            <w:pPr>
              <w:wordWrap w:val="0"/>
              <w:spacing w:after="0" w:line="240" w:lineRule="auto"/>
              <w:jc w:val="center"/>
              <w:rPr>
                <w:sz w:val="21"/>
                <w:szCs w:val="21"/>
                <w:lang w:eastAsia="zh-CN"/>
              </w:rPr>
            </w:pPr>
            <w:r>
              <w:rPr>
                <w:sz w:val="21"/>
                <w:szCs w:val="21"/>
                <w:lang w:eastAsia="zh-CN"/>
              </w:rPr>
              <w:t>《地下水质量标准》（GB/T14848-2017），III类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restart"/>
            <w:vAlign w:val="center"/>
          </w:tcPr>
          <w:p>
            <w:pPr>
              <w:wordWrap w:val="0"/>
              <w:spacing w:after="0" w:line="240" w:lineRule="auto"/>
              <w:jc w:val="center"/>
              <w:rPr>
                <w:sz w:val="21"/>
                <w:szCs w:val="21"/>
              </w:rPr>
            </w:pPr>
            <w:r>
              <w:rPr>
                <w:sz w:val="21"/>
                <w:szCs w:val="21"/>
              </w:rPr>
              <w:t>环境</w:t>
            </w:r>
          </w:p>
          <w:p>
            <w:pPr>
              <w:wordWrap w:val="0"/>
              <w:spacing w:after="0" w:line="240" w:lineRule="auto"/>
              <w:jc w:val="center"/>
              <w:rPr>
                <w:sz w:val="21"/>
                <w:szCs w:val="21"/>
              </w:rPr>
            </w:pPr>
            <w:r>
              <w:rPr>
                <w:sz w:val="21"/>
                <w:szCs w:val="21"/>
              </w:rPr>
              <w:t>空气</w:t>
            </w:r>
          </w:p>
        </w:tc>
        <w:tc>
          <w:tcPr>
            <w:tcW w:w="7483" w:type="dxa"/>
            <w:vAlign w:val="center"/>
          </w:tcPr>
          <w:p>
            <w:pPr>
              <w:wordWrap w:val="0"/>
              <w:spacing w:after="0" w:line="240" w:lineRule="auto"/>
              <w:jc w:val="center"/>
              <w:rPr>
                <w:sz w:val="21"/>
                <w:szCs w:val="21"/>
                <w:lang w:eastAsia="zh-CN"/>
              </w:rPr>
            </w:pPr>
            <w:r>
              <w:rPr>
                <w:sz w:val="21"/>
                <w:szCs w:val="21"/>
                <w:lang w:eastAsia="zh-CN"/>
              </w:rPr>
              <w:t>《环境空气质量标准》（GB3095-2012），二级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continue"/>
            <w:vAlign w:val="center"/>
          </w:tcPr>
          <w:p>
            <w:pPr>
              <w:wordWrap w:val="0"/>
              <w:spacing w:after="0" w:line="240" w:lineRule="auto"/>
              <w:jc w:val="center"/>
              <w:rPr>
                <w:sz w:val="21"/>
                <w:szCs w:val="21"/>
                <w:lang w:eastAsia="zh-CN"/>
              </w:rPr>
            </w:pPr>
          </w:p>
        </w:tc>
        <w:tc>
          <w:tcPr>
            <w:tcW w:w="7483" w:type="dxa"/>
            <w:vAlign w:val="center"/>
          </w:tcPr>
          <w:p>
            <w:pPr>
              <w:wordWrap w:val="0"/>
              <w:spacing w:after="0" w:line="240" w:lineRule="auto"/>
              <w:jc w:val="center"/>
              <w:rPr>
                <w:lang w:eastAsia="zh-CN"/>
              </w:rPr>
            </w:pPr>
            <w:r>
              <w:rPr>
                <w:lang w:eastAsia="zh-CN"/>
              </w:rPr>
              <w:t>《环境影响评价技术导则  大气环境》（HJ2.2-2018）附录D中</w:t>
            </w:r>
          </w:p>
          <w:p>
            <w:pPr>
              <w:wordWrap w:val="0"/>
              <w:spacing w:after="0" w:line="240" w:lineRule="auto"/>
              <w:jc w:val="center"/>
              <w:rPr>
                <w:sz w:val="21"/>
                <w:szCs w:val="21"/>
                <w:lang w:eastAsia="zh-CN"/>
              </w:rPr>
            </w:pPr>
            <w:r>
              <w:rPr>
                <w:lang w:eastAsia="zh-CN"/>
              </w:rPr>
              <w:t>其他污染物空气质量浓度参考限值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Align w:val="center"/>
          </w:tcPr>
          <w:p>
            <w:pPr>
              <w:wordWrap w:val="0"/>
              <w:spacing w:after="0" w:line="240" w:lineRule="auto"/>
              <w:jc w:val="center"/>
              <w:rPr>
                <w:sz w:val="21"/>
                <w:szCs w:val="21"/>
              </w:rPr>
            </w:pPr>
            <w:r>
              <w:rPr>
                <w:sz w:val="21"/>
                <w:szCs w:val="21"/>
              </w:rPr>
              <w:t>声环境</w:t>
            </w:r>
          </w:p>
        </w:tc>
        <w:tc>
          <w:tcPr>
            <w:tcW w:w="7483" w:type="dxa"/>
            <w:vAlign w:val="center"/>
          </w:tcPr>
          <w:p>
            <w:pPr>
              <w:wordWrap w:val="0"/>
              <w:spacing w:after="0" w:line="240" w:lineRule="auto"/>
              <w:jc w:val="center"/>
              <w:rPr>
                <w:sz w:val="21"/>
                <w:szCs w:val="21"/>
                <w:lang w:eastAsia="zh-CN"/>
              </w:rPr>
            </w:pPr>
            <w:r>
              <w:rPr>
                <w:sz w:val="21"/>
                <w:szCs w:val="21"/>
                <w:lang w:eastAsia="zh-CN"/>
              </w:rPr>
              <w:t>《声环境质量标准》（GB3096-2008）2类标准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Align w:val="center"/>
          </w:tcPr>
          <w:p>
            <w:pPr>
              <w:wordWrap w:val="0"/>
              <w:spacing w:after="0" w:line="240" w:lineRule="auto"/>
              <w:jc w:val="center"/>
              <w:rPr>
                <w:sz w:val="21"/>
                <w:szCs w:val="21"/>
              </w:rPr>
            </w:pPr>
            <w:r>
              <w:rPr>
                <w:sz w:val="21"/>
                <w:szCs w:val="21"/>
              </w:rPr>
              <w:t>土壤</w:t>
            </w:r>
          </w:p>
        </w:tc>
        <w:tc>
          <w:tcPr>
            <w:tcW w:w="7483" w:type="dxa"/>
            <w:vAlign w:val="center"/>
          </w:tcPr>
          <w:p>
            <w:pPr>
              <w:wordWrap w:val="0"/>
              <w:spacing w:after="0" w:line="240" w:lineRule="auto"/>
              <w:jc w:val="center"/>
              <w:rPr>
                <w:lang w:eastAsia="zh-CN"/>
              </w:rPr>
            </w:pPr>
            <w:r>
              <w:rPr>
                <w:lang w:eastAsia="zh-CN"/>
              </w:rPr>
              <w:t xml:space="preserve">《土壤环境质量  </w:t>
            </w:r>
            <w:r>
              <w:rPr>
                <w:rFonts w:hint="eastAsia"/>
                <w:lang w:eastAsia="zh-CN"/>
              </w:rPr>
              <w:t>建设</w:t>
            </w:r>
            <w:r>
              <w:rPr>
                <w:lang w:eastAsia="zh-CN"/>
              </w:rPr>
              <w:t>用地土壤污染风险管控标准（试行）》</w:t>
            </w:r>
          </w:p>
          <w:p>
            <w:pPr>
              <w:wordWrap w:val="0"/>
              <w:spacing w:after="0" w:line="240" w:lineRule="auto"/>
              <w:jc w:val="center"/>
              <w:rPr>
                <w:sz w:val="21"/>
                <w:szCs w:val="21"/>
                <w:lang w:eastAsia="zh-CN"/>
              </w:rPr>
            </w:pPr>
            <w:r>
              <w:rPr>
                <w:lang w:eastAsia="zh-CN"/>
              </w:rPr>
              <w:t>（GB</w:t>
            </w:r>
            <w:r>
              <w:rPr>
                <w:rFonts w:hint="eastAsia"/>
                <w:lang w:eastAsia="zh-CN"/>
              </w:rPr>
              <w:t>36600</w:t>
            </w:r>
            <w:r>
              <w:rPr>
                <w:lang w:eastAsia="zh-CN"/>
              </w:rPr>
              <w:t>-2018）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Align w:val="center"/>
          </w:tcPr>
          <w:p>
            <w:pPr>
              <w:wordWrap w:val="0"/>
              <w:spacing w:after="0" w:line="240" w:lineRule="auto"/>
              <w:jc w:val="center"/>
              <w:rPr>
                <w:color w:val="000000" w:themeColor="text1"/>
                <w:sz w:val="21"/>
                <w:szCs w:val="21"/>
                <w:lang w:eastAsia="zh-CN"/>
              </w:rPr>
            </w:pPr>
            <w:r>
              <w:rPr>
                <w:rFonts w:hint="eastAsia"/>
                <w:color w:val="000000" w:themeColor="text1"/>
                <w:sz w:val="21"/>
                <w:szCs w:val="21"/>
                <w:lang w:eastAsia="zh-CN"/>
              </w:rPr>
              <w:t>水</w:t>
            </w:r>
          </w:p>
        </w:tc>
        <w:tc>
          <w:tcPr>
            <w:tcW w:w="7483" w:type="dxa"/>
            <w:vAlign w:val="center"/>
          </w:tcPr>
          <w:p>
            <w:pPr>
              <w:wordWrap w:val="0"/>
              <w:spacing w:after="0" w:line="240" w:lineRule="auto"/>
              <w:jc w:val="center"/>
              <w:rPr>
                <w:color w:val="000000" w:themeColor="text1"/>
                <w:sz w:val="21"/>
                <w:szCs w:val="21"/>
                <w:lang w:eastAsia="zh-CN"/>
              </w:rPr>
            </w:pPr>
            <w:r>
              <w:rPr>
                <w:color w:val="000000" w:themeColor="text1"/>
                <w:sz w:val="21"/>
                <w:szCs w:val="21"/>
                <w:lang w:eastAsia="zh-CN"/>
              </w:rPr>
              <w:t>《城镇污水处理厂污染物排放标准》（GB18918-2002）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restart"/>
            <w:vAlign w:val="center"/>
          </w:tcPr>
          <w:p>
            <w:pPr>
              <w:wordWrap w:val="0"/>
              <w:spacing w:after="0" w:line="240" w:lineRule="auto"/>
              <w:jc w:val="center"/>
              <w:rPr>
                <w:sz w:val="21"/>
                <w:szCs w:val="21"/>
                <w:lang w:eastAsia="zh-CN"/>
              </w:rPr>
            </w:pPr>
            <w:r>
              <w:rPr>
                <w:rFonts w:hint="eastAsia"/>
                <w:sz w:val="21"/>
                <w:szCs w:val="21"/>
                <w:lang w:eastAsia="zh-CN"/>
              </w:rPr>
              <w:t>废气</w:t>
            </w:r>
          </w:p>
        </w:tc>
        <w:tc>
          <w:tcPr>
            <w:tcW w:w="7483" w:type="dxa"/>
            <w:vAlign w:val="center"/>
          </w:tcPr>
          <w:p>
            <w:pPr>
              <w:wordWrap w:val="0"/>
              <w:spacing w:after="0" w:line="240" w:lineRule="auto"/>
              <w:jc w:val="center"/>
              <w:rPr>
                <w:sz w:val="21"/>
                <w:szCs w:val="21"/>
                <w:lang w:eastAsia="zh-CN"/>
              </w:rPr>
            </w:pPr>
            <w:r>
              <w:rPr>
                <w:rFonts w:hint="eastAsia"/>
                <w:lang w:eastAsia="zh-CN"/>
              </w:rPr>
              <w:t>《火电厂大气污染物排放标准》（GB13223-2011）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tcPr>
          <w:p>
            <w:pPr>
              <w:wordWrap w:val="0"/>
              <w:spacing w:after="0" w:line="240" w:lineRule="auto"/>
              <w:jc w:val="center"/>
              <w:rPr>
                <w:sz w:val="21"/>
                <w:szCs w:val="21"/>
                <w:lang w:eastAsia="zh-CN"/>
              </w:rPr>
            </w:pPr>
          </w:p>
        </w:tc>
        <w:tc>
          <w:tcPr>
            <w:tcW w:w="851" w:type="dxa"/>
            <w:vMerge w:val="continue"/>
          </w:tcPr>
          <w:p>
            <w:pPr>
              <w:wordWrap w:val="0"/>
              <w:spacing w:after="0" w:line="240" w:lineRule="auto"/>
              <w:jc w:val="center"/>
              <w:rPr>
                <w:sz w:val="21"/>
                <w:szCs w:val="21"/>
                <w:lang w:eastAsia="zh-CN"/>
              </w:rPr>
            </w:pPr>
          </w:p>
        </w:tc>
        <w:tc>
          <w:tcPr>
            <w:tcW w:w="7483" w:type="dxa"/>
            <w:vAlign w:val="center"/>
          </w:tcPr>
          <w:p>
            <w:pPr>
              <w:wordWrap w:val="0"/>
              <w:spacing w:after="0" w:line="240" w:lineRule="auto"/>
              <w:jc w:val="center"/>
              <w:rPr>
                <w:snapToGrid w:val="0"/>
                <w:lang w:eastAsia="zh-CN"/>
              </w:rPr>
            </w:pPr>
            <w:r>
              <w:rPr>
                <w:rFonts w:hint="eastAsia"/>
                <w:sz w:val="21"/>
                <w:szCs w:val="21"/>
                <w:lang w:eastAsia="zh-CN"/>
              </w:rPr>
              <w:t>《生活垃圾焚烧污染控制标准》（GB18485-2014）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continue"/>
            <w:vAlign w:val="center"/>
          </w:tcPr>
          <w:p>
            <w:pPr>
              <w:wordWrap w:val="0"/>
              <w:spacing w:after="0" w:line="240" w:lineRule="auto"/>
              <w:jc w:val="center"/>
              <w:rPr>
                <w:sz w:val="21"/>
                <w:szCs w:val="21"/>
                <w:lang w:eastAsia="zh-CN"/>
              </w:rPr>
            </w:pPr>
          </w:p>
        </w:tc>
        <w:tc>
          <w:tcPr>
            <w:tcW w:w="7483" w:type="dxa"/>
            <w:vAlign w:val="center"/>
          </w:tcPr>
          <w:p>
            <w:pPr>
              <w:wordWrap w:val="0"/>
              <w:spacing w:after="0" w:line="240" w:lineRule="auto"/>
              <w:jc w:val="center"/>
              <w:rPr>
                <w:sz w:val="21"/>
                <w:szCs w:val="21"/>
                <w:lang w:eastAsia="zh-CN"/>
              </w:rPr>
            </w:pPr>
            <w:r>
              <w:rPr>
                <w:sz w:val="21"/>
                <w:szCs w:val="21"/>
                <w:lang w:eastAsia="zh-CN"/>
              </w:rPr>
              <w:t>《大气污染物综合排放标准》（GB16297-1996）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restart"/>
            <w:vAlign w:val="center"/>
          </w:tcPr>
          <w:p>
            <w:pPr>
              <w:wordWrap w:val="0"/>
              <w:spacing w:after="0" w:line="240" w:lineRule="auto"/>
              <w:jc w:val="center"/>
              <w:rPr>
                <w:sz w:val="21"/>
                <w:szCs w:val="21"/>
              </w:rPr>
            </w:pPr>
            <w:r>
              <w:rPr>
                <w:sz w:val="21"/>
                <w:szCs w:val="21"/>
              </w:rPr>
              <w:t>噪声</w:t>
            </w:r>
          </w:p>
        </w:tc>
        <w:tc>
          <w:tcPr>
            <w:tcW w:w="7483" w:type="dxa"/>
            <w:vAlign w:val="center"/>
          </w:tcPr>
          <w:p>
            <w:pPr>
              <w:wordWrap w:val="0"/>
              <w:spacing w:after="0" w:line="240" w:lineRule="auto"/>
              <w:jc w:val="center"/>
              <w:rPr>
                <w:sz w:val="21"/>
                <w:szCs w:val="21"/>
                <w:lang w:eastAsia="zh-CN"/>
              </w:rPr>
            </w:pPr>
            <w:r>
              <w:rPr>
                <w:sz w:val="21"/>
                <w:szCs w:val="21"/>
                <w:lang w:eastAsia="zh-CN"/>
              </w:rPr>
              <w:t>《建筑施工场界环境噪声排放标准》（GB12523-2011）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Merge w:val="continue"/>
            <w:vAlign w:val="center"/>
          </w:tcPr>
          <w:p>
            <w:pPr>
              <w:wordWrap w:val="0"/>
              <w:spacing w:after="0" w:line="240" w:lineRule="auto"/>
              <w:jc w:val="center"/>
              <w:rPr>
                <w:sz w:val="21"/>
                <w:szCs w:val="21"/>
                <w:lang w:eastAsia="zh-CN"/>
              </w:rPr>
            </w:pPr>
          </w:p>
        </w:tc>
        <w:tc>
          <w:tcPr>
            <w:tcW w:w="7483" w:type="dxa"/>
            <w:vAlign w:val="center"/>
          </w:tcPr>
          <w:p>
            <w:pPr>
              <w:wordWrap w:val="0"/>
              <w:spacing w:after="0" w:line="240" w:lineRule="auto"/>
              <w:jc w:val="center"/>
              <w:rPr>
                <w:sz w:val="21"/>
                <w:szCs w:val="21"/>
                <w:lang w:eastAsia="zh-CN"/>
              </w:rPr>
            </w:pPr>
            <w:r>
              <w:rPr>
                <w:sz w:val="21"/>
                <w:szCs w:val="21"/>
                <w:lang w:eastAsia="zh-CN"/>
              </w:rPr>
              <w:t>《工业企业厂界环境噪声排放标准》（GB12348-2008）</w:t>
            </w:r>
            <w:r>
              <w:rPr>
                <w:rFonts w:hint="eastAsia"/>
                <w:sz w:val="21"/>
                <w:szCs w:val="21"/>
                <w:lang w:eastAsia="zh-CN"/>
              </w:rPr>
              <w:t>3</w:t>
            </w:r>
            <w:r>
              <w:rPr>
                <w:sz w:val="21"/>
                <w:szCs w:val="21"/>
                <w:lang w:eastAsia="zh-CN"/>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76" w:type="dxa"/>
            <w:vMerge w:val="continue"/>
            <w:vAlign w:val="center"/>
          </w:tcPr>
          <w:p>
            <w:pPr>
              <w:wordWrap w:val="0"/>
              <w:spacing w:after="0" w:line="240" w:lineRule="auto"/>
              <w:jc w:val="center"/>
              <w:rPr>
                <w:sz w:val="21"/>
                <w:szCs w:val="21"/>
                <w:lang w:eastAsia="zh-CN"/>
              </w:rPr>
            </w:pPr>
          </w:p>
        </w:tc>
        <w:tc>
          <w:tcPr>
            <w:tcW w:w="851" w:type="dxa"/>
            <w:vAlign w:val="center"/>
          </w:tcPr>
          <w:p>
            <w:pPr>
              <w:wordWrap w:val="0"/>
              <w:spacing w:after="0" w:line="240" w:lineRule="auto"/>
              <w:jc w:val="center"/>
              <w:rPr>
                <w:sz w:val="21"/>
                <w:szCs w:val="21"/>
              </w:rPr>
            </w:pPr>
            <w:r>
              <w:rPr>
                <w:sz w:val="21"/>
                <w:szCs w:val="21"/>
              </w:rPr>
              <w:t>固废</w:t>
            </w:r>
          </w:p>
        </w:tc>
        <w:tc>
          <w:tcPr>
            <w:tcW w:w="7483" w:type="dxa"/>
            <w:vAlign w:val="center"/>
          </w:tcPr>
          <w:p>
            <w:pPr>
              <w:wordWrap w:val="0"/>
              <w:spacing w:after="0" w:line="240" w:lineRule="auto"/>
              <w:jc w:val="center"/>
              <w:rPr>
                <w:sz w:val="21"/>
                <w:szCs w:val="21"/>
                <w:lang w:eastAsia="zh-CN"/>
              </w:rPr>
            </w:pPr>
            <w:r>
              <w:rPr>
                <w:sz w:val="21"/>
                <w:szCs w:val="21"/>
                <w:lang w:eastAsia="zh-CN"/>
              </w:rPr>
              <w:t>《一般工业固体废物贮存、处置场污染控制标准》（GB18599-2001）</w:t>
            </w:r>
          </w:p>
          <w:p>
            <w:pPr>
              <w:wordWrap w:val="0"/>
              <w:spacing w:after="0" w:line="240" w:lineRule="auto"/>
              <w:jc w:val="center"/>
              <w:rPr>
                <w:sz w:val="21"/>
                <w:szCs w:val="21"/>
                <w:lang w:eastAsia="zh-CN"/>
              </w:rPr>
            </w:pPr>
            <w:r>
              <w:rPr>
                <w:sz w:val="21"/>
                <w:szCs w:val="21"/>
                <w:lang w:eastAsia="zh-CN"/>
              </w:rPr>
              <w:t>及2013年修改清单</w:t>
            </w:r>
          </w:p>
        </w:tc>
      </w:tr>
    </w:tbl>
    <w:p>
      <w:pPr>
        <w:pStyle w:val="5"/>
        <w:widowControl w:val="0"/>
        <w:tabs>
          <w:tab w:val="left" w:pos="-3900"/>
          <w:tab w:val="left" w:pos="0"/>
          <w:tab w:val="left" w:pos="953"/>
        </w:tabs>
        <w:wordWrap w:val="0"/>
        <w:adjustRightInd w:val="0"/>
        <w:snapToGrid w:val="0"/>
        <w:spacing w:beforeLines="50" w:afterLines="50" w:line="360" w:lineRule="auto"/>
        <w:rPr>
          <w:rFonts w:eastAsia="宋体"/>
          <w:color w:val="000000" w:themeColor="text1"/>
          <w:lang w:eastAsia="zh-CN"/>
        </w:rPr>
      </w:pPr>
      <w:bookmarkStart w:id="360" w:name="_Toc219258499"/>
      <w:bookmarkStart w:id="361" w:name="_Toc22151170"/>
      <w:bookmarkStart w:id="362" w:name="_Toc21814408"/>
      <w:bookmarkStart w:id="363" w:name="_Toc21814361"/>
      <w:bookmarkStart w:id="364" w:name="_Toc21815016"/>
      <w:bookmarkStart w:id="365" w:name="_Toc4081212"/>
      <w:bookmarkStart w:id="366" w:name="_Toc22150993"/>
      <w:bookmarkStart w:id="367" w:name="_Toc21814229"/>
      <w:bookmarkStart w:id="368" w:name="_Toc26866"/>
      <w:bookmarkStart w:id="369" w:name="_Toc220122773"/>
      <w:bookmarkStart w:id="370" w:name="_Toc22198209"/>
      <w:bookmarkStart w:id="371" w:name="_Toc22198327"/>
      <w:bookmarkStart w:id="372" w:name="_Toc22198433"/>
      <w:bookmarkStart w:id="373" w:name="_Toc22198536"/>
      <w:bookmarkStart w:id="374" w:name="_Toc22200319"/>
      <w:bookmarkStart w:id="375" w:name="_Toc22199195"/>
      <w:bookmarkStart w:id="376" w:name="_Toc22198832"/>
      <w:bookmarkStart w:id="377" w:name="_Toc22199684"/>
      <w:bookmarkStart w:id="378" w:name="_Toc22202032"/>
      <w:bookmarkStart w:id="379" w:name="_Toc22200986"/>
      <w:bookmarkStart w:id="380" w:name="_Toc22202324"/>
      <w:bookmarkStart w:id="381" w:name="_Toc22202736"/>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382" w:name="_Toc24969736"/>
      <w:r>
        <w:rPr>
          <w:rFonts w:hint="eastAsia" w:ascii="宋体" w:hAnsi="宋体" w:eastAsia="宋体"/>
          <w:color w:val="000000" w:themeColor="text1"/>
          <w:lang w:eastAsia="zh-CN"/>
        </w:rPr>
        <w:t>2.4</w:t>
      </w:r>
      <w:r>
        <w:rPr>
          <w:rFonts w:ascii="宋体" w:hAnsi="宋体" w:eastAsia="宋体"/>
          <w:color w:val="000000" w:themeColor="text1"/>
          <w:lang w:eastAsia="zh-CN"/>
        </w:rPr>
        <w:t>评价工作等级</w:t>
      </w:r>
      <w:bookmarkEnd w:id="360"/>
      <w:r>
        <w:rPr>
          <w:rFonts w:ascii="宋体" w:hAnsi="宋体" w:eastAsia="宋体"/>
          <w:color w:val="000000" w:themeColor="text1"/>
          <w:lang w:eastAsia="zh-CN"/>
        </w:rPr>
        <w:t>及评价范围</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wordWrap w:val="0"/>
        <w:spacing w:after="0" w:line="360" w:lineRule="auto"/>
        <w:ind w:firstLine="480" w:firstLineChars="200"/>
        <w:rPr>
          <w:sz w:val="24"/>
          <w:lang w:eastAsia="zh-CN"/>
        </w:rPr>
      </w:pPr>
      <w:r>
        <w:rPr>
          <w:sz w:val="24"/>
          <w:lang w:eastAsia="zh-CN"/>
        </w:rPr>
        <w:t>本次评价内容包括大气、地表水、地下水、声、生态环境影响评价及环境风险评价。</w:t>
      </w:r>
    </w:p>
    <w:p>
      <w:pPr>
        <w:pStyle w:val="58"/>
        <w:numPr>
          <w:ilvl w:val="0"/>
          <w:numId w:val="9"/>
        </w:numPr>
        <w:tabs>
          <w:tab w:val="left" w:pos="993"/>
        </w:tabs>
        <w:wordWrap w:val="0"/>
        <w:spacing w:after="0" w:line="360" w:lineRule="auto"/>
        <w:ind w:left="0" w:firstLine="482" w:firstLineChars="0"/>
        <w:rPr>
          <w:sz w:val="24"/>
        </w:rPr>
      </w:pPr>
      <w:r>
        <w:rPr>
          <w:sz w:val="24"/>
        </w:rPr>
        <w:t>大气环境</w:t>
      </w:r>
    </w:p>
    <w:p>
      <w:pPr>
        <w:pStyle w:val="29"/>
        <w:wordWrap w:val="0"/>
        <w:spacing w:after="0"/>
        <w:ind w:firstLine="482" w:firstLineChars="0"/>
        <w:rPr>
          <w:szCs w:val="24"/>
        </w:rPr>
      </w:pPr>
      <w:r>
        <w:t>本项目排放废气</w:t>
      </w:r>
      <w:r>
        <w:rPr>
          <w:rFonts w:hint="eastAsia"/>
        </w:rPr>
        <w:t>预测因子</w:t>
      </w:r>
      <w:r>
        <w:t>为</w:t>
      </w:r>
      <w:r>
        <w:rPr>
          <w:szCs w:val="24"/>
        </w:rPr>
        <w:t>SO</w:t>
      </w:r>
      <w:r>
        <w:rPr>
          <w:szCs w:val="24"/>
          <w:vertAlign w:val="subscript"/>
        </w:rPr>
        <w:t>2</w:t>
      </w:r>
      <w:r>
        <w:t>、N</w:t>
      </w:r>
      <w:r>
        <w:rPr>
          <w:rFonts w:hint="eastAsia"/>
        </w:rPr>
        <w:t>O</w:t>
      </w:r>
      <w:r>
        <w:rPr>
          <w:rFonts w:hint="eastAsia"/>
          <w:color w:val="000000" w:themeColor="text1"/>
          <w:vertAlign w:val="subscript"/>
        </w:rPr>
        <w:t>2</w:t>
      </w:r>
      <w:r>
        <w:t>、</w:t>
      </w:r>
      <w:r>
        <w:rPr>
          <w:rFonts w:hint="eastAsia"/>
        </w:rPr>
        <w:t>T</w:t>
      </w:r>
      <w:r>
        <w:t>S</w:t>
      </w:r>
      <w:r>
        <w:rPr>
          <w:rFonts w:hint="eastAsia"/>
        </w:rPr>
        <w:t>P</w:t>
      </w:r>
      <w:r>
        <w:t>，</w:t>
      </w:r>
      <w:r>
        <w:rPr>
          <w:szCs w:val="24"/>
        </w:rPr>
        <w:t>根据《环境影响评价技术导则-大气环境》（HJ2.2-2018）附录A推荐模型中的AERSCREEN模式进行预测，本项目</w:t>
      </w:r>
      <w:r>
        <w:rPr>
          <w:rFonts w:hint="eastAsia"/>
          <w:szCs w:val="24"/>
        </w:rPr>
        <w:t>烟</w:t>
      </w:r>
      <w:r>
        <w:rPr>
          <w:szCs w:val="24"/>
        </w:rPr>
        <w:t>气在正常工况下排放的污染物最大落地浓度占标率：SO</w:t>
      </w:r>
      <w:r>
        <w:rPr>
          <w:szCs w:val="24"/>
          <w:vertAlign w:val="subscript"/>
        </w:rPr>
        <w:t>2</w:t>
      </w:r>
      <w:r>
        <w:rPr>
          <w:szCs w:val="24"/>
        </w:rPr>
        <w:t>为</w:t>
      </w:r>
      <w:r>
        <w:rPr>
          <w:rFonts w:hint="eastAsia"/>
          <w:szCs w:val="24"/>
        </w:rPr>
        <w:t>0.003950</w:t>
      </w:r>
      <w:r>
        <w:rPr>
          <w:szCs w:val="24"/>
        </w:rPr>
        <w:t>%，N</w:t>
      </w:r>
      <w:r>
        <w:rPr>
          <w:rFonts w:hint="eastAsia"/>
          <w:szCs w:val="24"/>
        </w:rPr>
        <w:t>O</w:t>
      </w:r>
      <w:r>
        <w:rPr>
          <w:rFonts w:hint="eastAsia"/>
          <w:szCs w:val="24"/>
          <w:vertAlign w:val="subscript"/>
        </w:rPr>
        <w:t>2</w:t>
      </w:r>
      <w:r>
        <w:rPr>
          <w:szCs w:val="24"/>
        </w:rPr>
        <w:t>为</w:t>
      </w:r>
    </w:p>
    <w:p>
      <w:pPr>
        <w:pStyle w:val="29"/>
        <w:wordWrap w:val="0"/>
        <w:spacing w:after="0"/>
        <w:ind w:firstLine="0" w:firstLineChars="0"/>
      </w:pPr>
      <w:r>
        <w:rPr>
          <w:rFonts w:hint="eastAsia"/>
          <w:szCs w:val="24"/>
        </w:rPr>
        <w:t>0.03948</w:t>
      </w:r>
      <w:r>
        <w:rPr>
          <w:szCs w:val="24"/>
        </w:rPr>
        <w:t>%，</w:t>
      </w:r>
      <w:r>
        <w:rPr>
          <w:rFonts w:hint="eastAsia"/>
          <w:szCs w:val="24"/>
        </w:rPr>
        <w:t>T</w:t>
      </w:r>
      <w:r>
        <w:rPr>
          <w:szCs w:val="24"/>
        </w:rPr>
        <w:t>S</w:t>
      </w:r>
      <w:r>
        <w:rPr>
          <w:rFonts w:hint="eastAsia"/>
          <w:szCs w:val="24"/>
        </w:rPr>
        <w:t>P</w:t>
      </w:r>
      <w:r>
        <w:rPr>
          <w:szCs w:val="24"/>
        </w:rPr>
        <w:t>为</w:t>
      </w:r>
      <w:r>
        <w:rPr>
          <w:rFonts w:hint="eastAsia"/>
          <w:szCs w:val="24"/>
        </w:rPr>
        <w:t>0.003509</w:t>
      </w:r>
      <w:r>
        <w:rPr>
          <w:szCs w:val="24"/>
        </w:rPr>
        <w:t>%。由此可知，本项目废气污染物最大落地浓度占标率均小于</w:t>
      </w:r>
      <w:r>
        <w:rPr>
          <w:rFonts w:hint="eastAsia"/>
          <w:szCs w:val="24"/>
        </w:rPr>
        <w:t>1</w:t>
      </w:r>
      <w:r>
        <w:rPr>
          <w:szCs w:val="24"/>
        </w:rPr>
        <w:t>%。</w:t>
      </w:r>
      <w:r>
        <w:t>根据《环境影响评价技术导则  大气环境》（HJ2.2-2018），本项目大气环境影响评价等级为</w:t>
      </w:r>
      <w:r>
        <w:rPr>
          <w:rFonts w:hint="eastAsia"/>
        </w:rPr>
        <w:t>三</w:t>
      </w:r>
      <w:r>
        <w:t>级，</w:t>
      </w:r>
      <w:r>
        <w:rPr>
          <w:kern w:val="0"/>
          <w:szCs w:val="24"/>
        </w:rPr>
        <w:t>评价范围为</w:t>
      </w:r>
      <w:r>
        <w:t>以项目为中心，边长为5km的矩形。</w:t>
      </w:r>
    </w:p>
    <w:p>
      <w:pPr>
        <w:pStyle w:val="10"/>
        <w:wordWrap w:val="0"/>
        <w:rPr>
          <w:rStyle w:val="60"/>
        </w:rPr>
      </w:pPr>
      <w:r>
        <w:rPr>
          <w:szCs w:val="24"/>
        </w:rPr>
        <w:t>表</w:t>
      </w:r>
      <w:r>
        <w:rPr>
          <w:rFonts w:hint="eastAsia"/>
          <w:szCs w:val="24"/>
        </w:rPr>
        <w:t>2.4-1</w:t>
      </w:r>
      <w:r>
        <w:rPr>
          <w:szCs w:val="24"/>
        </w:rPr>
        <w:t xml:space="preserve">  大气</w:t>
      </w:r>
      <w:r>
        <w:rPr>
          <w:rStyle w:val="60"/>
        </w:rPr>
        <w:t>评级等级判别表</w:t>
      </w:r>
    </w:p>
    <w:tbl>
      <w:tblPr>
        <w:tblStyle w:val="30"/>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20"/>
        <w:gridCol w:w="430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20" w:type="dxa"/>
            <w:vAlign w:val="center"/>
          </w:tcPr>
          <w:p>
            <w:pPr>
              <w:spacing w:after="0" w:line="240" w:lineRule="auto"/>
              <w:jc w:val="center"/>
              <w:rPr>
                <w:rFonts w:eastAsiaTheme="minorEastAsia"/>
                <w:b/>
                <w:sz w:val="21"/>
                <w:szCs w:val="20"/>
                <w:lang w:eastAsia="zh-CN"/>
              </w:rPr>
            </w:pPr>
            <w:r>
              <w:rPr>
                <w:rFonts w:eastAsiaTheme="minorEastAsia"/>
                <w:b/>
                <w:sz w:val="21"/>
                <w:szCs w:val="20"/>
                <w:lang w:eastAsia="zh-CN"/>
              </w:rPr>
              <w:t>评价工作等级</w:t>
            </w:r>
          </w:p>
        </w:tc>
        <w:tc>
          <w:tcPr>
            <w:tcW w:w="4308" w:type="dxa"/>
            <w:vAlign w:val="center"/>
          </w:tcPr>
          <w:p>
            <w:pPr>
              <w:spacing w:after="0" w:line="240" w:lineRule="auto"/>
              <w:jc w:val="center"/>
              <w:rPr>
                <w:rFonts w:eastAsiaTheme="minorEastAsia"/>
                <w:b/>
                <w:sz w:val="21"/>
                <w:szCs w:val="20"/>
                <w:lang w:eastAsia="zh-CN"/>
              </w:rPr>
            </w:pPr>
            <w:r>
              <w:rPr>
                <w:rFonts w:eastAsiaTheme="minorEastAsia"/>
                <w:b/>
                <w:sz w:val="21"/>
                <w:szCs w:val="20"/>
                <w:lang w:eastAsia="zh-CN"/>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20"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一级评价</w:t>
            </w:r>
          </w:p>
        </w:tc>
        <w:tc>
          <w:tcPr>
            <w:tcW w:w="4308"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P</w:t>
            </w:r>
            <w:r>
              <w:rPr>
                <w:rFonts w:eastAsiaTheme="minorEastAsia"/>
                <w:sz w:val="21"/>
                <w:szCs w:val="20"/>
                <w:vertAlign w:val="subscript"/>
                <w:lang w:eastAsia="zh-CN"/>
              </w:rPr>
              <w:t>max</w:t>
            </w:r>
            <w:r>
              <w:rPr>
                <w:rFonts w:ascii="Cambria Math" w:hAnsi="Cambria Math" w:cs="Cambria Math" w:eastAsiaTheme="minorEastAsia"/>
                <w:sz w:val="21"/>
                <w:szCs w:val="20"/>
                <w:lang w:eastAsia="zh-CN"/>
              </w:rPr>
              <w:t>≧</w:t>
            </w:r>
            <w:r>
              <w:rPr>
                <w:rFonts w:ascii="Calibri" w:hAnsi="Calibri" w:cs="Calibri" w:eastAsiaTheme="minorEastAsia"/>
                <w:sz w:val="21"/>
                <w:szCs w:val="20"/>
                <w:lang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20"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二级评价</w:t>
            </w:r>
          </w:p>
        </w:tc>
        <w:tc>
          <w:tcPr>
            <w:tcW w:w="4308"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1%</w:t>
            </w:r>
            <w:r>
              <w:rPr>
                <w:rFonts w:ascii="Cambria Math" w:hAnsi="Cambria Math" w:cs="Cambria Math" w:eastAsiaTheme="minorEastAsia"/>
                <w:sz w:val="21"/>
                <w:szCs w:val="20"/>
                <w:lang w:eastAsia="zh-CN"/>
              </w:rPr>
              <w:t>≦</w:t>
            </w:r>
            <w:r>
              <w:rPr>
                <w:rFonts w:ascii="Calibri" w:hAnsi="Calibri" w:cs="Calibri" w:eastAsiaTheme="minorEastAsia"/>
                <w:sz w:val="21"/>
                <w:szCs w:val="20"/>
                <w:lang w:eastAsia="zh-CN"/>
              </w:rPr>
              <w:t>P</w:t>
            </w:r>
            <w:r>
              <w:rPr>
                <w:rFonts w:eastAsiaTheme="minorEastAsia"/>
                <w:sz w:val="21"/>
                <w:szCs w:val="20"/>
                <w:vertAlign w:val="subscript"/>
                <w:lang w:eastAsia="zh-CN"/>
              </w:rPr>
              <w:t>max</w:t>
            </w:r>
            <w:r>
              <w:rPr>
                <w:rFonts w:eastAsiaTheme="minorEastAsia"/>
                <w:sz w:val="21"/>
                <w:szCs w:val="20"/>
                <w:lang w:eastAsia="zh-CN"/>
              </w:rPr>
              <w:t>&lt;10%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220"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三级评价</w:t>
            </w:r>
          </w:p>
        </w:tc>
        <w:tc>
          <w:tcPr>
            <w:tcW w:w="4308" w:type="dxa"/>
            <w:vAlign w:val="center"/>
          </w:tcPr>
          <w:p>
            <w:pPr>
              <w:spacing w:after="0" w:line="240" w:lineRule="auto"/>
              <w:jc w:val="center"/>
              <w:rPr>
                <w:rFonts w:eastAsiaTheme="minorEastAsia"/>
                <w:sz w:val="21"/>
                <w:szCs w:val="20"/>
                <w:lang w:eastAsia="zh-CN"/>
              </w:rPr>
            </w:pPr>
            <w:r>
              <w:rPr>
                <w:rFonts w:eastAsiaTheme="minorEastAsia"/>
                <w:sz w:val="21"/>
                <w:szCs w:val="20"/>
                <w:lang w:eastAsia="zh-CN"/>
              </w:rPr>
              <w:t>P</w:t>
            </w:r>
            <w:r>
              <w:rPr>
                <w:rFonts w:eastAsiaTheme="minorEastAsia"/>
                <w:sz w:val="21"/>
                <w:szCs w:val="20"/>
                <w:vertAlign w:val="subscript"/>
                <w:lang w:eastAsia="zh-CN"/>
              </w:rPr>
              <w:t>max</w:t>
            </w:r>
            <w:r>
              <w:rPr>
                <w:rFonts w:eastAsiaTheme="minorEastAsia"/>
                <w:sz w:val="21"/>
                <w:szCs w:val="20"/>
                <w:lang w:eastAsia="zh-CN"/>
              </w:rPr>
              <w:t>&lt;1%</w:t>
            </w:r>
          </w:p>
        </w:tc>
      </w:tr>
    </w:tbl>
    <w:p>
      <w:pPr>
        <w:pStyle w:val="58"/>
        <w:tabs>
          <w:tab w:val="left" w:pos="993"/>
        </w:tabs>
        <w:wordWrap w:val="0"/>
        <w:spacing w:beforeLines="100" w:after="0" w:line="360" w:lineRule="auto"/>
        <w:ind w:left="480" w:firstLine="0" w:firstLineChars="0"/>
        <w:rPr>
          <w:sz w:val="24"/>
        </w:rPr>
      </w:pPr>
    </w:p>
    <w:p>
      <w:pPr>
        <w:pStyle w:val="58"/>
        <w:numPr>
          <w:ilvl w:val="0"/>
          <w:numId w:val="9"/>
        </w:numPr>
        <w:tabs>
          <w:tab w:val="left" w:pos="993"/>
        </w:tabs>
        <w:wordWrap w:val="0"/>
        <w:spacing w:beforeLines="100" w:after="0" w:line="360" w:lineRule="auto"/>
        <w:ind w:left="0" w:firstLine="480"/>
        <w:rPr>
          <w:sz w:val="24"/>
        </w:rPr>
      </w:pPr>
      <w:r>
        <w:rPr>
          <w:sz w:val="24"/>
        </w:rPr>
        <w:t>地表水环境</w:t>
      </w:r>
    </w:p>
    <w:p>
      <w:pPr>
        <w:wordWrap w:val="0"/>
        <w:spacing w:after="0" w:line="360" w:lineRule="auto"/>
        <w:ind w:firstLine="480" w:firstLineChars="200"/>
        <w:rPr>
          <w:sz w:val="24"/>
          <w:lang w:eastAsia="zh-CN"/>
        </w:rPr>
      </w:pPr>
      <w:r>
        <w:rPr>
          <w:sz w:val="24"/>
          <w:lang w:eastAsia="zh-CN"/>
        </w:rPr>
        <w:t>本项目运营期</w:t>
      </w:r>
      <w:r>
        <w:rPr>
          <w:rFonts w:hint="eastAsia"/>
          <w:sz w:val="24"/>
          <w:lang w:eastAsia="zh-CN"/>
        </w:rPr>
        <w:t>基本不新增废水排放。故不对地表水进行评价。</w:t>
      </w:r>
    </w:p>
    <w:p>
      <w:pPr>
        <w:pStyle w:val="58"/>
        <w:numPr>
          <w:ilvl w:val="0"/>
          <w:numId w:val="9"/>
        </w:numPr>
        <w:tabs>
          <w:tab w:val="left" w:pos="993"/>
        </w:tabs>
        <w:wordWrap w:val="0"/>
        <w:spacing w:after="0" w:line="360" w:lineRule="auto"/>
        <w:ind w:left="0" w:firstLine="480"/>
        <w:rPr>
          <w:sz w:val="24"/>
        </w:rPr>
      </w:pPr>
      <w:r>
        <w:rPr>
          <w:sz w:val="24"/>
        </w:rPr>
        <w:t>地下水环境</w:t>
      </w:r>
    </w:p>
    <w:p>
      <w:pPr>
        <w:wordWrap w:val="0"/>
        <w:spacing w:after="0" w:line="360" w:lineRule="auto"/>
        <w:ind w:firstLine="480" w:firstLineChars="200"/>
        <w:rPr>
          <w:sz w:val="24"/>
          <w:szCs w:val="24"/>
          <w:lang w:eastAsia="zh-CN"/>
        </w:rPr>
      </w:pPr>
      <w:r>
        <w:rPr>
          <w:sz w:val="24"/>
          <w:szCs w:val="24"/>
          <w:lang w:eastAsia="zh-CN"/>
        </w:rPr>
        <w:t>根据《环境影响评价技术导则  地下水环境》（HJ610-2016），</w:t>
      </w:r>
      <w:r>
        <w:rPr>
          <w:rFonts w:hint="eastAsia"/>
          <w:sz w:val="24"/>
          <w:szCs w:val="24"/>
          <w:lang w:eastAsia="zh-CN"/>
        </w:rPr>
        <w:t>本项目</w:t>
      </w:r>
      <w:r>
        <w:rPr>
          <w:sz w:val="24"/>
          <w:szCs w:val="24"/>
          <w:lang w:eastAsia="zh-CN"/>
        </w:rPr>
        <w:t>所在区域地下水环境敏感程度为不敏感，同时查询导则中附录A（地下水环境影响评价行业分类表），拟建项目地下水环境影响评价项目类别为</w:t>
      </w:r>
      <w:r>
        <w:rPr>
          <w:rFonts w:hint="eastAsia" w:ascii="宋体" w:hAnsi="宋体" w:cs="宋体"/>
          <w:sz w:val="24"/>
          <w:szCs w:val="24"/>
          <w:lang w:eastAsia="zh-CN"/>
        </w:rPr>
        <w:t>Ⅲ</w:t>
      </w:r>
      <w:r>
        <w:rPr>
          <w:sz w:val="24"/>
          <w:szCs w:val="24"/>
          <w:lang w:eastAsia="zh-CN"/>
        </w:rPr>
        <w:t>类，确定本项目地下水环境评价等级为</w:t>
      </w:r>
      <w:r>
        <w:rPr>
          <w:rFonts w:hint="eastAsia"/>
          <w:sz w:val="24"/>
          <w:szCs w:val="24"/>
          <w:lang w:eastAsia="zh-CN"/>
        </w:rPr>
        <w:t>三</w:t>
      </w:r>
      <w:r>
        <w:rPr>
          <w:sz w:val="24"/>
          <w:szCs w:val="24"/>
          <w:lang w:eastAsia="zh-CN"/>
        </w:rPr>
        <w:t>级</w:t>
      </w:r>
      <w:r>
        <w:rPr>
          <w:rFonts w:hint="eastAsia"/>
          <w:sz w:val="24"/>
          <w:szCs w:val="24"/>
          <w:lang w:eastAsia="zh-CN"/>
        </w:rPr>
        <w:t>。</w:t>
      </w:r>
      <w:bookmarkStart w:id="383" w:name="_Toc287606709"/>
    </w:p>
    <w:p>
      <w:pPr>
        <w:pStyle w:val="10"/>
        <w:wordWrap w:val="0"/>
        <w:rPr>
          <w:rStyle w:val="60"/>
        </w:rPr>
      </w:pPr>
      <w:r>
        <w:rPr>
          <w:szCs w:val="24"/>
        </w:rPr>
        <w:t>表</w:t>
      </w:r>
      <w:r>
        <w:rPr>
          <w:rFonts w:hint="eastAsia"/>
          <w:szCs w:val="24"/>
        </w:rPr>
        <w:t>2.4-2</w:t>
      </w:r>
      <w:r>
        <w:rPr>
          <w:szCs w:val="24"/>
        </w:rPr>
        <w:t xml:space="preserve"> 地下水</w:t>
      </w:r>
      <w:r>
        <w:rPr>
          <w:rStyle w:val="60"/>
        </w:rPr>
        <w:t>评级等级判别表</w:t>
      </w:r>
    </w:p>
    <w:tbl>
      <w:tblPr>
        <w:tblStyle w:val="30"/>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02"/>
        <w:gridCol w:w="2142"/>
        <w:gridCol w:w="2142"/>
        <w:gridCol w:w="21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8" w:hRule="atLeast"/>
          <w:jc w:val="center"/>
        </w:trPr>
        <w:tc>
          <w:tcPr>
            <w:tcW w:w="2102" w:type="dxa"/>
            <w:tcBorders>
              <w:top w:val="single" w:color="000000" w:sz="12" w:space="0"/>
              <w:bottom w:val="single" w:color="000000" w:sz="6" w:space="0"/>
              <w:tl2br w:val="single" w:color="000000" w:sz="6" w:space="0"/>
            </w:tcBorders>
          </w:tcPr>
          <w:p>
            <w:pPr>
              <w:rPr>
                <w:rFonts w:eastAsiaTheme="minorEastAsia"/>
                <w:b/>
                <w:sz w:val="21"/>
                <w:szCs w:val="20"/>
                <w:lang w:eastAsia="zh-CN"/>
              </w:rPr>
            </w:pPr>
            <w:r>
              <w:rPr>
                <w:rFonts w:eastAsiaTheme="minorEastAsia"/>
                <w:b/>
                <w:sz w:val="21"/>
                <w:szCs w:val="20"/>
                <w:lang w:eastAsia="zh-CN"/>
              </w:rPr>
              <w:t xml:space="preserve">       项目类别</w:t>
            </w:r>
          </w:p>
          <w:p>
            <w:pPr>
              <w:rPr>
                <w:rFonts w:eastAsiaTheme="minorEastAsia"/>
                <w:b/>
                <w:sz w:val="21"/>
                <w:szCs w:val="20"/>
                <w:lang w:eastAsia="zh-CN"/>
              </w:rPr>
            </w:pPr>
            <w:r>
              <w:rPr>
                <w:rFonts w:eastAsiaTheme="minorEastAsia"/>
                <w:b/>
                <w:sz w:val="21"/>
                <w:szCs w:val="20"/>
                <w:lang w:eastAsia="zh-CN"/>
              </w:rPr>
              <w:t>环境敏感程度</w:t>
            </w:r>
          </w:p>
        </w:tc>
        <w:tc>
          <w:tcPr>
            <w:tcW w:w="2142" w:type="dxa"/>
            <w:vAlign w:val="center"/>
          </w:tcPr>
          <w:p>
            <w:pPr>
              <w:spacing w:after="0" w:line="240" w:lineRule="auto"/>
              <w:jc w:val="center"/>
              <w:rPr>
                <w:rFonts w:eastAsiaTheme="minorEastAsia"/>
                <w:b/>
                <w:sz w:val="21"/>
                <w:szCs w:val="20"/>
              </w:rPr>
            </w:pPr>
            <w:r>
              <w:rPr>
                <w:rFonts w:hint="eastAsia" w:hAnsi="宋体" w:cs="宋体"/>
                <w:b/>
                <w:sz w:val="21"/>
                <w:szCs w:val="20"/>
              </w:rPr>
              <w:t>Ⅰ</w:t>
            </w:r>
            <w:r>
              <w:rPr>
                <w:rFonts w:eastAsiaTheme="minorEastAsia"/>
                <w:b/>
                <w:sz w:val="21"/>
                <w:szCs w:val="20"/>
              </w:rPr>
              <w:t>类项目</w:t>
            </w:r>
          </w:p>
        </w:tc>
        <w:tc>
          <w:tcPr>
            <w:tcW w:w="2142" w:type="dxa"/>
            <w:vAlign w:val="center"/>
          </w:tcPr>
          <w:p>
            <w:pPr>
              <w:spacing w:after="0" w:line="240" w:lineRule="auto"/>
              <w:jc w:val="center"/>
              <w:rPr>
                <w:rFonts w:eastAsiaTheme="minorEastAsia"/>
                <w:b/>
                <w:sz w:val="21"/>
                <w:szCs w:val="20"/>
              </w:rPr>
            </w:pPr>
            <w:r>
              <w:rPr>
                <w:rFonts w:hint="eastAsia" w:hAnsi="宋体" w:cs="宋体"/>
                <w:b/>
                <w:sz w:val="21"/>
                <w:szCs w:val="20"/>
              </w:rPr>
              <w:t>Ⅱ</w:t>
            </w:r>
            <w:r>
              <w:rPr>
                <w:rFonts w:eastAsiaTheme="minorEastAsia"/>
                <w:b/>
                <w:sz w:val="21"/>
                <w:szCs w:val="20"/>
              </w:rPr>
              <w:t>类项目</w:t>
            </w:r>
          </w:p>
        </w:tc>
        <w:tc>
          <w:tcPr>
            <w:tcW w:w="2142" w:type="dxa"/>
            <w:vAlign w:val="center"/>
          </w:tcPr>
          <w:p>
            <w:pPr>
              <w:spacing w:after="0" w:line="240" w:lineRule="auto"/>
              <w:jc w:val="center"/>
              <w:rPr>
                <w:rFonts w:eastAsiaTheme="minorEastAsia"/>
                <w:b/>
                <w:sz w:val="21"/>
                <w:szCs w:val="20"/>
              </w:rPr>
            </w:pPr>
            <w:r>
              <w:rPr>
                <w:rFonts w:hint="eastAsia" w:hAnsi="宋体" w:cs="宋体"/>
                <w:b/>
                <w:sz w:val="21"/>
                <w:szCs w:val="20"/>
              </w:rPr>
              <w:t>Ⅲ</w:t>
            </w:r>
            <w:r>
              <w:rPr>
                <w:rFonts w:eastAsiaTheme="minorEastAsia"/>
                <w:b/>
                <w:sz w:val="21"/>
                <w:szCs w:val="20"/>
              </w:rPr>
              <w:t>类项目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102" w:type="dxa"/>
            <w:tcBorders>
              <w:top w:val="single" w:color="000000" w:sz="6" w:space="0"/>
            </w:tcBorders>
            <w:vAlign w:val="center"/>
          </w:tcPr>
          <w:p>
            <w:pPr>
              <w:spacing w:after="0" w:line="240" w:lineRule="auto"/>
              <w:jc w:val="center"/>
              <w:rPr>
                <w:rFonts w:eastAsiaTheme="minorEastAsia"/>
                <w:sz w:val="21"/>
                <w:szCs w:val="20"/>
              </w:rPr>
            </w:pPr>
            <w:r>
              <w:rPr>
                <w:rFonts w:eastAsiaTheme="minorEastAsia"/>
                <w:sz w:val="21"/>
                <w:szCs w:val="20"/>
              </w:rPr>
              <w:t>敏感</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一</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一</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102" w:type="dxa"/>
            <w:vAlign w:val="center"/>
          </w:tcPr>
          <w:p>
            <w:pPr>
              <w:spacing w:after="0" w:line="240" w:lineRule="auto"/>
              <w:jc w:val="center"/>
              <w:rPr>
                <w:rFonts w:eastAsiaTheme="minorEastAsia"/>
                <w:sz w:val="21"/>
                <w:szCs w:val="20"/>
              </w:rPr>
            </w:pPr>
            <w:r>
              <w:rPr>
                <w:rFonts w:eastAsiaTheme="minorEastAsia"/>
                <w:sz w:val="21"/>
                <w:szCs w:val="20"/>
              </w:rPr>
              <w:t>较敏感</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一</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二</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102" w:type="dxa"/>
            <w:vAlign w:val="center"/>
          </w:tcPr>
          <w:p>
            <w:pPr>
              <w:spacing w:after="0" w:line="240" w:lineRule="auto"/>
              <w:jc w:val="center"/>
              <w:rPr>
                <w:rFonts w:eastAsiaTheme="minorEastAsia"/>
                <w:sz w:val="21"/>
                <w:szCs w:val="20"/>
              </w:rPr>
            </w:pPr>
            <w:r>
              <w:rPr>
                <w:rFonts w:eastAsiaTheme="minorEastAsia"/>
                <w:sz w:val="21"/>
                <w:szCs w:val="20"/>
              </w:rPr>
              <w:t>不敏感</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二</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三</w:t>
            </w:r>
          </w:p>
        </w:tc>
        <w:tc>
          <w:tcPr>
            <w:tcW w:w="2142" w:type="dxa"/>
            <w:vAlign w:val="center"/>
          </w:tcPr>
          <w:p>
            <w:pPr>
              <w:spacing w:after="0" w:line="240" w:lineRule="auto"/>
              <w:jc w:val="center"/>
              <w:rPr>
                <w:rFonts w:eastAsiaTheme="minorEastAsia"/>
                <w:sz w:val="21"/>
                <w:szCs w:val="20"/>
              </w:rPr>
            </w:pPr>
            <w:r>
              <w:rPr>
                <w:rFonts w:eastAsiaTheme="minorEastAsia"/>
                <w:sz w:val="21"/>
                <w:szCs w:val="20"/>
              </w:rPr>
              <w:t>三</w:t>
            </w:r>
          </w:p>
        </w:tc>
      </w:tr>
    </w:tbl>
    <w:p>
      <w:pPr>
        <w:wordWrap w:val="0"/>
        <w:spacing w:line="360" w:lineRule="auto"/>
        <w:ind w:firstLine="200" w:firstLineChars="200"/>
        <w:rPr>
          <w:sz w:val="10"/>
          <w:szCs w:val="10"/>
        </w:rPr>
      </w:pPr>
    </w:p>
    <w:p>
      <w:pPr>
        <w:pStyle w:val="58"/>
        <w:numPr>
          <w:ilvl w:val="0"/>
          <w:numId w:val="9"/>
        </w:numPr>
        <w:tabs>
          <w:tab w:val="left" w:pos="993"/>
        </w:tabs>
        <w:spacing w:after="0" w:line="360" w:lineRule="auto"/>
        <w:ind w:left="0" w:firstLine="480"/>
        <w:rPr>
          <w:sz w:val="24"/>
        </w:rPr>
      </w:pPr>
      <w:r>
        <w:rPr>
          <w:sz w:val="24"/>
        </w:rPr>
        <w:t>声环境</w:t>
      </w:r>
      <w:bookmarkEnd w:id="383"/>
    </w:p>
    <w:p>
      <w:pPr>
        <w:pStyle w:val="29"/>
        <w:adjustRightInd/>
        <w:snapToGrid/>
        <w:spacing w:after="0"/>
        <w:ind w:firstLine="480"/>
      </w:pPr>
      <w:r>
        <w:t>项目位于</w:t>
      </w:r>
      <w:r>
        <w:rPr>
          <w:rFonts w:hint="eastAsia"/>
        </w:rPr>
        <w:t>3</w:t>
      </w:r>
      <w:r>
        <w:t>类声环境功能区。根据《环境影响评价技术导则  声环境》（HJ2.4-2009）规定判断本项目声环境影响评价定为</w:t>
      </w:r>
      <w:r>
        <w:rPr>
          <w:rFonts w:hint="eastAsia"/>
        </w:rPr>
        <w:t>三</w:t>
      </w:r>
      <w:r>
        <w:t>级。</w:t>
      </w:r>
    </w:p>
    <w:p>
      <w:pPr>
        <w:pStyle w:val="29"/>
        <w:adjustRightInd/>
        <w:snapToGrid/>
        <w:spacing w:after="0"/>
        <w:ind w:firstLine="199" w:firstLineChars="83"/>
      </w:pPr>
      <w:r>
        <w:rPr>
          <w:rFonts w:hint="eastAsia"/>
        </w:rPr>
        <w:t>（5）土壤环境</w:t>
      </w:r>
    </w:p>
    <w:p>
      <w:pPr>
        <w:spacing w:after="0" w:line="360" w:lineRule="auto"/>
        <w:ind w:firstLine="480" w:firstLineChars="200"/>
        <w:rPr>
          <w:sz w:val="24"/>
          <w:szCs w:val="24"/>
          <w:lang w:eastAsia="zh-CN"/>
        </w:rPr>
      </w:pPr>
      <w:r>
        <w:rPr>
          <w:rFonts w:hint="eastAsia"/>
          <w:color w:val="000000" w:themeColor="text1"/>
          <w:sz w:val="24"/>
          <w:szCs w:val="24"/>
          <w:lang w:eastAsia="zh-CN"/>
        </w:rPr>
        <w:t>本项目属于其他行业Ⅳ类</w:t>
      </w:r>
      <w:r>
        <w:rPr>
          <w:rFonts w:hint="eastAsia"/>
          <w:sz w:val="24"/>
          <w:szCs w:val="24"/>
          <w:lang w:eastAsia="zh-CN"/>
        </w:rPr>
        <w:t>，根据</w:t>
      </w:r>
      <w:r>
        <w:rPr>
          <w:sz w:val="24"/>
          <w:szCs w:val="24"/>
          <w:lang w:eastAsia="zh-CN"/>
        </w:rPr>
        <w:t>《环境影响评价技术导则－</w:t>
      </w:r>
      <w:r>
        <w:rPr>
          <w:rFonts w:hint="eastAsia"/>
          <w:sz w:val="24"/>
          <w:szCs w:val="24"/>
          <w:lang w:eastAsia="zh-CN"/>
        </w:rPr>
        <w:t>土壤</w:t>
      </w:r>
      <w:r>
        <w:rPr>
          <w:sz w:val="24"/>
          <w:szCs w:val="24"/>
          <w:lang w:eastAsia="zh-CN"/>
        </w:rPr>
        <w:t>环境》（HJ</w:t>
      </w:r>
      <w:r>
        <w:rPr>
          <w:rFonts w:hint="eastAsia"/>
          <w:sz w:val="24"/>
          <w:szCs w:val="24"/>
          <w:lang w:eastAsia="zh-CN"/>
        </w:rPr>
        <w:t>964</w:t>
      </w:r>
      <w:r>
        <w:rPr>
          <w:sz w:val="24"/>
          <w:szCs w:val="24"/>
          <w:lang w:eastAsia="zh-CN"/>
        </w:rPr>
        <w:t>-20</w:t>
      </w:r>
      <w:r>
        <w:rPr>
          <w:rFonts w:hint="eastAsia"/>
          <w:sz w:val="24"/>
          <w:szCs w:val="24"/>
          <w:lang w:eastAsia="zh-CN"/>
        </w:rPr>
        <w:t>18</w:t>
      </w:r>
      <w:r>
        <w:rPr>
          <w:sz w:val="24"/>
          <w:szCs w:val="24"/>
          <w:lang w:eastAsia="zh-CN"/>
        </w:rPr>
        <w:t>）</w:t>
      </w:r>
      <w:r>
        <w:rPr>
          <w:rFonts w:hint="eastAsia"/>
          <w:sz w:val="24"/>
          <w:szCs w:val="24"/>
          <w:lang w:eastAsia="zh-CN"/>
        </w:rPr>
        <w:t>规定Ⅳ类项目可不进行土壤环境质量评价。</w:t>
      </w:r>
    </w:p>
    <w:p>
      <w:pPr>
        <w:spacing w:line="360" w:lineRule="auto"/>
        <w:ind w:firstLine="482"/>
        <w:jc w:val="center"/>
        <w:rPr>
          <w:b/>
          <w:sz w:val="24"/>
          <w:szCs w:val="24"/>
        </w:rPr>
      </w:pPr>
      <w:r>
        <w:rPr>
          <w:rFonts w:hint="eastAsia"/>
          <w:b/>
          <w:sz w:val="24"/>
          <w:szCs w:val="24"/>
        </w:rPr>
        <w:t>表2.4-</w:t>
      </w:r>
      <w:r>
        <w:rPr>
          <w:rFonts w:hint="eastAsia"/>
          <w:b/>
          <w:sz w:val="24"/>
          <w:szCs w:val="24"/>
          <w:lang w:eastAsia="zh-CN"/>
        </w:rPr>
        <w:t>3</w:t>
      </w:r>
      <w:r>
        <w:rPr>
          <w:rFonts w:hint="eastAsia"/>
          <w:b/>
          <w:sz w:val="24"/>
          <w:szCs w:val="24"/>
        </w:rPr>
        <w:t>土壤评级等级判别表</w:t>
      </w:r>
    </w:p>
    <w:tbl>
      <w:tblPr>
        <w:tblStyle w:val="30"/>
        <w:tblW w:w="88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28"/>
        <w:gridCol w:w="774"/>
        <w:gridCol w:w="850"/>
        <w:gridCol w:w="709"/>
        <w:gridCol w:w="850"/>
        <w:gridCol w:w="851"/>
        <w:gridCol w:w="709"/>
        <w:gridCol w:w="708"/>
        <w:gridCol w:w="709"/>
        <w:gridCol w:w="7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28" w:type="dxa"/>
            <w:vMerge w:val="restart"/>
          </w:tcPr>
          <w:p>
            <w:pPr>
              <w:pStyle w:val="2"/>
              <w:spacing w:after="0"/>
              <w:ind w:left="0" w:firstLine="0"/>
              <w:rPr>
                <w:rFonts w:eastAsiaTheme="minorEastAsia"/>
                <w:b/>
                <w:sz w:val="21"/>
                <w:szCs w:val="20"/>
                <w:lang w:eastAsia="zh-CN"/>
              </w:rPr>
            </w:pPr>
            <w:r>
              <w:rPr>
                <w:rFonts w:eastAsiaTheme="minorEastAsia"/>
                <w:b/>
                <w:sz w:val="21"/>
                <w:szCs w:val="20"/>
              </w:rPr>
              <w:pict>
                <v:shape id="自选图形 38" o:spid="_x0000_s1026" o:spt="32" type="#_x0000_t32" style="position:absolute;left:0pt;margin-left:38.65pt;margin-top:-1.7pt;height:38pt;width:57pt;z-index:251663360;mso-width-relative:page;mso-height-relative:page;" filled="f" coordsize="21600,21600" o:gfxdata="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ZhlAvXAAAACAEA&#10;AA8AAAAAAAAAAQAgAAAAIgAAAGRycy9kb3ducmV2LnhtbFBLAQIUABQAAAAIAIdO4kDKHFJL4gEA&#10;AKkDAAAOAAAAAAAAAAEAIAAAACYBAABkcnMvZTJvRG9jLnhtbFBLBQYAAAAABgAGAFkBAAB6BQAA&#10;AAA=&#10;">
                  <v:path arrowok="t"/>
                  <v:fill on="f" focussize="0,0"/>
                  <v:stroke/>
                  <v:imagedata o:title=""/>
                  <o:lock v:ext="edit"/>
                </v:shape>
              </w:pict>
            </w:r>
            <w:r>
              <w:rPr>
                <w:rFonts w:hint="eastAsia" w:eastAsiaTheme="minorEastAsia"/>
                <w:b/>
                <w:sz w:val="21"/>
                <w:szCs w:val="20"/>
                <w:lang w:eastAsia="zh-CN"/>
              </w:rPr>
              <w:t>评价等级  占地规模</w:t>
            </w:r>
          </w:p>
          <w:p>
            <w:pPr>
              <w:pStyle w:val="2"/>
              <w:spacing w:after="0"/>
              <w:ind w:left="0" w:firstLine="0"/>
              <w:rPr>
                <w:rFonts w:eastAsiaTheme="minorEastAsia"/>
                <w:b/>
                <w:sz w:val="21"/>
                <w:szCs w:val="20"/>
                <w:lang w:eastAsia="zh-CN"/>
              </w:rPr>
            </w:pPr>
            <w:r>
              <w:rPr>
                <w:rFonts w:eastAsiaTheme="minorEastAsia"/>
                <w:b/>
                <w:sz w:val="21"/>
                <w:szCs w:val="20"/>
              </w:rPr>
              <w:pict>
                <v:shape id="自选图形 37" o:spid="_x0000_s1096" o:spt="32" type="#_x0000_t32" style="position:absolute;left:0pt;margin-left:-3.65pt;margin-top:3.25pt;height:23.25pt;width:98.25pt;z-index:251662336;mso-width-relative:page;mso-height-relative:page;" filled="f" coordsize="21600,21600" o:gfxdata="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zpo3rWAAAABwEA&#10;AA8AAAAAAAAAAQAgAAAAIgAAAGRycy9kb3ducmV2LnhtbFBLAQIUABQAAAAIAIdO4kCo95FI4wEA&#10;AKoDAAAOAAAAAAAAAAEAIAAAACUBAABkcnMvZTJvRG9jLnhtbFBLBQYAAAAABgAGAFkBAAB6BQAA&#10;AAA=&#10;">
                  <v:path arrowok="t"/>
                  <v:fill on="f" focussize="0,0"/>
                  <v:stroke/>
                  <v:imagedata o:title=""/>
                  <o:lock v:ext="edit"/>
                </v:shape>
              </w:pict>
            </w:r>
          </w:p>
          <w:p>
            <w:pPr>
              <w:pStyle w:val="2"/>
              <w:spacing w:after="0"/>
              <w:ind w:left="0" w:firstLine="0"/>
              <w:rPr>
                <w:rFonts w:eastAsiaTheme="minorEastAsia"/>
                <w:sz w:val="21"/>
                <w:szCs w:val="20"/>
                <w:lang w:eastAsia="zh-CN"/>
              </w:rPr>
            </w:pPr>
            <w:r>
              <w:rPr>
                <w:rFonts w:hint="eastAsia" w:eastAsiaTheme="minorEastAsia"/>
                <w:b/>
                <w:sz w:val="21"/>
                <w:szCs w:val="20"/>
                <w:lang w:eastAsia="zh-CN"/>
              </w:rPr>
              <w:t>敏感程度</w:t>
            </w:r>
          </w:p>
        </w:tc>
        <w:tc>
          <w:tcPr>
            <w:tcW w:w="2333" w:type="dxa"/>
            <w:gridSpan w:val="3"/>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Ⅰ类</w:t>
            </w:r>
          </w:p>
        </w:tc>
        <w:tc>
          <w:tcPr>
            <w:tcW w:w="2410" w:type="dxa"/>
            <w:gridSpan w:val="3"/>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Ⅱ类</w:t>
            </w:r>
          </w:p>
        </w:tc>
        <w:tc>
          <w:tcPr>
            <w:tcW w:w="2126" w:type="dxa"/>
            <w:gridSpan w:val="3"/>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28" w:type="dxa"/>
            <w:vMerge w:val="continue"/>
          </w:tcPr>
          <w:p>
            <w:pPr>
              <w:pStyle w:val="2"/>
              <w:spacing w:after="0"/>
              <w:ind w:left="0" w:firstLine="0"/>
              <w:rPr>
                <w:rFonts w:eastAsiaTheme="minorEastAsia"/>
                <w:sz w:val="21"/>
                <w:szCs w:val="20"/>
              </w:rPr>
            </w:pPr>
          </w:p>
        </w:tc>
        <w:tc>
          <w:tcPr>
            <w:tcW w:w="774"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大</w:t>
            </w:r>
          </w:p>
        </w:tc>
        <w:tc>
          <w:tcPr>
            <w:tcW w:w="850"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中</w:t>
            </w:r>
          </w:p>
        </w:tc>
        <w:tc>
          <w:tcPr>
            <w:tcW w:w="709"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小</w:t>
            </w:r>
          </w:p>
        </w:tc>
        <w:tc>
          <w:tcPr>
            <w:tcW w:w="850"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大</w:t>
            </w:r>
          </w:p>
        </w:tc>
        <w:tc>
          <w:tcPr>
            <w:tcW w:w="851"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中</w:t>
            </w:r>
          </w:p>
        </w:tc>
        <w:tc>
          <w:tcPr>
            <w:tcW w:w="709"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小</w:t>
            </w:r>
          </w:p>
        </w:tc>
        <w:tc>
          <w:tcPr>
            <w:tcW w:w="708"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大</w:t>
            </w:r>
          </w:p>
        </w:tc>
        <w:tc>
          <w:tcPr>
            <w:tcW w:w="709"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中</w:t>
            </w:r>
          </w:p>
        </w:tc>
        <w:tc>
          <w:tcPr>
            <w:tcW w:w="709" w:type="dxa"/>
            <w:vAlign w:val="center"/>
          </w:tcPr>
          <w:p>
            <w:pPr>
              <w:pStyle w:val="2"/>
              <w:spacing w:after="0" w:line="240" w:lineRule="auto"/>
              <w:ind w:left="0" w:firstLine="0"/>
              <w:jc w:val="center"/>
              <w:rPr>
                <w:rFonts w:eastAsiaTheme="minorEastAsia"/>
                <w:b/>
                <w:sz w:val="21"/>
                <w:szCs w:val="20"/>
              </w:rPr>
            </w:pPr>
            <w:r>
              <w:rPr>
                <w:rFonts w:hint="eastAsia" w:eastAsiaTheme="minorEastAsia"/>
                <w:b/>
                <w:sz w:val="21"/>
                <w:szCs w:val="20"/>
              </w:rPr>
              <w:t>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2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敏感</w:t>
            </w:r>
          </w:p>
        </w:tc>
        <w:tc>
          <w:tcPr>
            <w:tcW w:w="774"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851"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70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2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较敏感</w:t>
            </w:r>
          </w:p>
        </w:tc>
        <w:tc>
          <w:tcPr>
            <w:tcW w:w="774"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851"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2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不敏感</w:t>
            </w:r>
          </w:p>
        </w:tc>
        <w:tc>
          <w:tcPr>
            <w:tcW w:w="774"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一级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850"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二级</w:t>
            </w:r>
          </w:p>
        </w:tc>
        <w:tc>
          <w:tcPr>
            <w:tcW w:w="851"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8"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三级</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w:t>
            </w:r>
          </w:p>
        </w:tc>
        <w:tc>
          <w:tcPr>
            <w:tcW w:w="709" w:type="dxa"/>
            <w:vAlign w:val="center"/>
          </w:tcPr>
          <w:p>
            <w:pPr>
              <w:pStyle w:val="2"/>
              <w:spacing w:after="0" w:line="240" w:lineRule="auto"/>
              <w:ind w:left="0" w:firstLine="0"/>
              <w:jc w:val="center"/>
              <w:rPr>
                <w:rFonts w:eastAsiaTheme="minorEastAsia"/>
                <w:sz w:val="21"/>
                <w:szCs w:val="20"/>
              </w:rPr>
            </w:pPr>
            <w:r>
              <w:rPr>
                <w:rFonts w:hint="eastAsia" w:eastAsiaTheme="minorEastAsia"/>
                <w:sz w:val="21"/>
                <w:szCs w:val="20"/>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897" w:type="dxa"/>
            <w:gridSpan w:val="10"/>
            <w:vAlign w:val="center"/>
          </w:tcPr>
          <w:p>
            <w:pPr>
              <w:pStyle w:val="2"/>
              <w:spacing w:after="0" w:line="240" w:lineRule="auto"/>
              <w:ind w:left="0" w:firstLine="0"/>
              <w:jc w:val="both"/>
              <w:rPr>
                <w:rFonts w:eastAsiaTheme="minorEastAsia"/>
                <w:sz w:val="21"/>
                <w:szCs w:val="20"/>
                <w:lang w:eastAsia="zh-CN"/>
              </w:rPr>
            </w:pPr>
            <w:r>
              <w:rPr>
                <w:rFonts w:hint="eastAsia" w:eastAsiaTheme="minorEastAsia"/>
                <w:sz w:val="21"/>
                <w:szCs w:val="20"/>
                <w:lang w:eastAsia="zh-CN"/>
              </w:rPr>
              <w:t>注：“——”表示可不开展土壤环境影响评价工作。</w:t>
            </w:r>
          </w:p>
        </w:tc>
      </w:tr>
    </w:tbl>
    <w:p>
      <w:pPr>
        <w:pStyle w:val="2"/>
        <w:ind w:left="400"/>
        <w:rPr>
          <w:lang w:eastAsia="zh-CN"/>
        </w:rPr>
      </w:pPr>
    </w:p>
    <w:p>
      <w:pPr>
        <w:tabs>
          <w:tab w:val="left" w:pos="993"/>
        </w:tabs>
        <w:wordWrap w:val="0"/>
        <w:spacing w:after="0" w:line="360" w:lineRule="auto"/>
        <w:ind w:firstLine="480" w:firstLineChars="200"/>
        <w:rPr>
          <w:sz w:val="24"/>
          <w:lang w:eastAsia="zh-CN"/>
        </w:rPr>
      </w:pPr>
      <w:r>
        <w:rPr>
          <w:rFonts w:hint="eastAsia"/>
          <w:sz w:val="24"/>
          <w:lang w:eastAsia="zh-CN"/>
        </w:rPr>
        <w:t>（6）</w:t>
      </w:r>
      <w:r>
        <w:rPr>
          <w:sz w:val="24"/>
          <w:lang w:eastAsia="zh-CN"/>
        </w:rPr>
        <w:t>生态环境</w:t>
      </w:r>
    </w:p>
    <w:p>
      <w:pPr>
        <w:pStyle w:val="29"/>
        <w:wordWrap w:val="0"/>
        <w:adjustRightInd/>
        <w:snapToGrid/>
        <w:spacing w:after="0"/>
        <w:ind w:firstLine="488"/>
        <w:rPr>
          <w:u w:val="single"/>
        </w:rPr>
      </w:pPr>
      <w:r>
        <w:rPr>
          <w:rFonts w:hint="eastAsia" w:ascii="宋体" w:hAnsi="宋体" w:cs="宋体"/>
          <w:spacing w:val="4"/>
          <w:szCs w:val="24"/>
        </w:rPr>
        <w:t>本项目</w:t>
      </w:r>
      <w:r>
        <w:rPr>
          <w:rFonts w:ascii="宋体" w:hAnsi="宋体" w:cs="宋体"/>
          <w:spacing w:val="4"/>
          <w:szCs w:val="24"/>
        </w:rPr>
        <w:t>拟</w:t>
      </w:r>
      <w:r>
        <w:rPr>
          <w:rFonts w:ascii="宋体" w:hAnsi="宋体" w:cs="宋体"/>
          <w:spacing w:val="6"/>
          <w:szCs w:val="24"/>
        </w:rPr>
        <w:t>建</w:t>
      </w:r>
      <w:r>
        <w:rPr>
          <w:rFonts w:ascii="宋体" w:hAnsi="宋体" w:cs="宋体"/>
          <w:spacing w:val="4"/>
          <w:szCs w:val="24"/>
        </w:rPr>
        <w:t>场地</w:t>
      </w:r>
      <w:r>
        <w:rPr>
          <w:rFonts w:ascii="宋体" w:hAnsi="宋体" w:cs="宋体"/>
          <w:spacing w:val="6"/>
          <w:szCs w:val="24"/>
        </w:rPr>
        <w:t>位于</w:t>
      </w:r>
      <w:r>
        <w:rPr>
          <w:rFonts w:hint="eastAsia" w:ascii="宋体" w:hAnsi="宋体" w:cs="宋体"/>
          <w:spacing w:val="4"/>
          <w:szCs w:val="24"/>
        </w:rPr>
        <w:t>华能岳阳电厂</w:t>
      </w:r>
      <w:r>
        <w:rPr>
          <w:rFonts w:ascii="宋体" w:hAnsi="宋体" w:cs="宋体"/>
          <w:szCs w:val="24"/>
        </w:rPr>
        <w:t>厂区内</w:t>
      </w:r>
      <w:r>
        <w:t>，</w:t>
      </w:r>
      <w:r>
        <w:rPr>
          <w:rFonts w:hint="eastAsia"/>
        </w:rPr>
        <w:t>面积</w:t>
      </w:r>
      <w:r>
        <w:t>小于2km</w:t>
      </w:r>
      <w:r>
        <w:rPr>
          <w:vertAlign w:val="superscript"/>
        </w:rPr>
        <w:t>2</w:t>
      </w:r>
      <w:r>
        <w:t>，项目位于一般区域，</w:t>
      </w:r>
      <w:r>
        <w:rPr>
          <w:snapToGrid w:val="0"/>
          <w:kern w:val="0"/>
          <w:szCs w:val="24"/>
        </w:rPr>
        <w:t>根据《环境影响评价技术导则  生态影响》（HJ19-2011），</w:t>
      </w:r>
      <w:r>
        <w:t>本项目生态环境评价等级定为三级，进行简要生态影响分析。</w:t>
      </w:r>
    </w:p>
    <w:p>
      <w:pPr>
        <w:pStyle w:val="10"/>
        <w:wordWrap w:val="0"/>
        <w:rPr>
          <w:rStyle w:val="60"/>
        </w:rPr>
      </w:pPr>
      <w:r>
        <w:rPr>
          <w:szCs w:val="24"/>
        </w:rPr>
        <w:t>表</w:t>
      </w:r>
      <w:r>
        <w:rPr>
          <w:rFonts w:hint="eastAsia"/>
          <w:szCs w:val="24"/>
        </w:rPr>
        <w:t>2.4-4</w:t>
      </w:r>
      <w:r>
        <w:rPr>
          <w:szCs w:val="24"/>
        </w:rPr>
        <w:t xml:space="preserve">  生态</w:t>
      </w:r>
      <w:r>
        <w:rPr>
          <w:rStyle w:val="60"/>
        </w:rPr>
        <w:t>评级等级判别表</w:t>
      </w:r>
    </w:p>
    <w:tbl>
      <w:tblPr>
        <w:tblStyle w:val="30"/>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2125"/>
        <w:gridCol w:w="2412"/>
        <w:gridCol w:w="189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093" w:type="dxa"/>
            <w:vMerge w:val="restart"/>
          </w:tcPr>
          <w:p>
            <w:pPr>
              <w:wordWrap w:val="0"/>
              <w:rPr>
                <w:rFonts w:eastAsiaTheme="minorEastAsia"/>
                <w:b/>
                <w:sz w:val="21"/>
                <w:szCs w:val="20"/>
                <w:lang w:eastAsia="zh-CN"/>
              </w:rPr>
            </w:pPr>
            <w:r>
              <w:rPr>
                <w:rFonts w:eastAsiaTheme="minorEastAsia"/>
                <w:b/>
                <w:sz w:val="21"/>
                <w:szCs w:val="20"/>
              </w:rPr>
              <w:t>影响区域</w:t>
            </w:r>
          </w:p>
          <w:p>
            <w:pPr>
              <w:wordWrap w:val="0"/>
              <w:rPr>
                <w:rFonts w:eastAsiaTheme="minorEastAsia"/>
                <w:b/>
                <w:sz w:val="21"/>
                <w:szCs w:val="20"/>
              </w:rPr>
            </w:pPr>
            <w:r>
              <w:rPr>
                <w:rFonts w:eastAsiaTheme="minorEastAsia"/>
                <w:b/>
                <w:sz w:val="21"/>
                <w:szCs w:val="20"/>
              </w:rPr>
              <w:t>生态敏感性</w:t>
            </w:r>
          </w:p>
        </w:tc>
        <w:tc>
          <w:tcPr>
            <w:tcW w:w="6435" w:type="dxa"/>
            <w:gridSpan w:val="3"/>
            <w:vAlign w:val="center"/>
          </w:tcPr>
          <w:p>
            <w:pPr>
              <w:wordWrap w:val="0"/>
              <w:spacing w:after="0" w:line="240" w:lineRule="auto"/>
              <w:jc w:val="center"/>
              <w:rPr>
                <w:rFonts w:eastAsiaTheme="minorEastAsia"/>
                <w:b/>
                <w:sz w:val="21"/>
                <w:szCs w:val="20"/>
                <w:lang w:eastAsia="zh-CN"/>
              </w:rPr>
            </w:pPr>
            <w:r>
              <w:rPr>
                <w:rFonts w:eastAsiaTheme="minorEastAsia"/>
                <w:b/>
                <w:sz w:val="21"/>
                <w:szCs w:val="20"/>
                <w:lang w:eastAsia="zh-CN"/>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093" w:type="dxa"/>
            <w:vMerge w:val="continue"/>
          </w:tcPr>
          <w:p>
            <w:pPr>
              <w:wordWrap w:val="0"/>
              <w:rPr>
                <w:rFonts w:eastAsiaTheme="minorEastAsia"/>
                <w:b/>
                <w:sz w:val="21"/>
                <w:szCs w:val="20"/>
                <w:lang w:eastAsia="zh-CN"/>
              </w:rPr>
            </w:pPr>
          </w:p>
        </w:tc>
        <w:tc>
          <w:tcPr>
            <w:tcW w:w="2125" w:type="dxa"/>
            <w:vAlign w:val="center"/>
          </w:tcPr>
          <w:p>
            <w:pPr>
              <w:wordWrap w:val="0"/>
              <w:spacing w:after="0" w:line="240" w:lineRule="auto"/>
              <w:jc w:val="center"/>
              <w:rPr>
                <w:rFonts w:eastAsiaTheme="minorEastAsia"/>
                <w:b/>
                <w:sz w:val="21"/>
                <w:szCs w:val="20"/>
              </w:rPr>
            </w:pPr>
            <w:r>
              <w:rPr>
                <w:rFonts w:eastAsiaTheme="minorEastAsia"/>
                <w:b/>
                <w:sz w:val="21"/>
                <w:szCs w:val="20"/>
              </w:rPr>
              <w:t>面积≧20km</w:t>
            </w:r>
            <w:r>
              <w:rPr>
                <w:rFonts w:eastAsiaTheme="minorEastAsia"/>
                <w:b/>
                <w:sz w:val="21"/>
                <w:szCs w:val="20"/>
                <w:vertAlign w:val="superscript"/>
              </w:rPr>
              <w:t>2</w:t>
            </w:r>
          </w:p>
          <w:p>
            <w:pPr>
              <w:wordWrap w:val="0"/>
              <w:spacing w:after="0" w:line="240" w:lineRule="auto"/>
              <w:jc w:val="center"/>
              <w:rPr>
                <w:rFonts w:eastAsiaTheme="minorEastAsia"/>
                <w:b/>
                <w:sz w:val="21"/>
                <w:szCs w:val="20"/>
              </w:rPr>
            </w:pPr>
            <w:r>
              <w:rPr>
                <w:rFonts w:eastAsiaTheme="minorEastAsia"/>
                <w:b/>
                <w:sz w:val="21"/>
                <w:szCs w:val="20"/>
              </w:rPr>
              <w:t>或长度≧100km</w:t>
            </w:r>
          </w:p>
        </w:tc>
        <w:tc>
          <w:tcPr>
            <w:tcW w:w="2412" w:type="dxa"/>
            <w:vAlign w:val="center"/>
          </w:tcPr>
          <w:p>
            <w:pPr>
              <w:wordWrap w:val="0"/>
              <w:spacing w:after="0" w:line="240" w:lineRule="auto"/>
              <w:jc w:val="center"/>
              <w:rPr>
                <w:rFonts w:eastAsiaTheme="minorEastAsia"/>
                <w:b/>
                <w:sz w:val="21"/>
                <w:szCs w:val="20"/>
              </w:rPr>
            </w:pPr>
            <w:r>
              <w:rPr>
                <w:rFonts w:eastAsiaTheme="minorEastAsia"/>
                <w:b/>
                <w:sz w:val="21"/>
                <w:szCs w:val="20"/>
              </w:rPr>
              <w:t>面积2km</w:t>
            </w:r>
            <w:r>
              <w:rPr>
                <w:rFonts w:eastAsiaTheme="minorEastAsia"/>
                <w:b/>
                <w:sz w:val="21"/>
                <w:szCs w:val="20"/>
                <w:vertAlign w:val="superscript"/>
              </w:rPr>
              <w:t>2</w:t>
            </w:r>
            <w:r>
              <w:rPr>
                <w:rFonts w:eastAsiaTheme="minorEastAsia"/>
                <w:b/>
                <w:sz w:val="21"/>
                <w:szCs w:val="20"/>
              </w:rPr>
              <w:t>～20km</w:t>
            </w:r>
            <w:r>
              <w:rPr>
                <w:rFonts w:eastAsiaTheme="minorEastAsia"/>
                <w:b/>
                <w:sz w:val="21"/>
                <w:szCs w:val="20"/>
                <w:vertAlign w:val="superscript"/>
              </w:rPr>
              <w:t>2</w:t>
            </w:r>
          </w:p>
          <w:p>
            <w:pPr>
              <w:wordWrap w:val="0"/>
              <w:spacing w:after="0" w:line="240" w:lineRule="auto"/>
              <w:jc w:val="center"/>
              <w:rPr>
                <w:rFonts w:eastAsiaTheme="minorEastAsia"/>
                <w:b/>
                <w:sz w:val="21"/>
                <w:szCs w:val="20"/>
              </w:rPr>
            </w:pPr>
            <w:r>
              <w:rPr>
                <w:rFonts w:eastAsiaTheme="minorEastAsia"/>
                <w:b/>
                <w:sz w:val="21"/>
                <w:szCs w:val="20"/>
              </w:rPr>
              <w:t>或长度50km～100km</w:t>
            </w:r>
          </w:p>
        </w:tc>
        <w:tc>
          <w:tcPr>
            <w:tcW w:w="1898" w:type="dxa"/>
            <w:vAlign w:val="center"/>
          </w:tcPr>
          <w:p>
            <w:pPr>
              <w:wordWrap w:val="0"/>
              <w:spacing w:after="0" w:line="240" w:lineRule="auto"/>
              <w:jc w:val="center"/>
              <w:rPr>
                <w:rFonts w:eastAsiaTheme="minorEastAsia"/>
                <w:b/>
                <w:sz w:val="21"/>
                <w:szCs w:val="20"/>
              </w:rPr>
            </w:pPr>
            <w:r>
              <w:rPr>
                <w:rFonts w:eastAsiaTheme="minorEastAsia"/>
                <w:b/>
                <w:sz w:val="21"/>
                <w:szCs w:val="20"/>
              </w:rPr>
              <w:t>面积≦2km</w:t>
            </w:r>
            <w:r>
              <w:rPr>
                <w:rFonts w:eastAsiaTheme="minorEastAsia"/>
                <w:b/>
                <w:sz w:val="21"/>
                <w:szCs w:val="20"/>
                <w:vertAlign w:val="superscript"/>
              </w:rPr>
              <w:t>2</w:t>
            </w:r>
          </w:p>
          <w:p>
            <w:pPr>
              <w:wordWrap w:val="0"/>
              <w:spacing w:after="0" w:line="240" w:lineRule="auto"/>
              <w:jc w:val="center"/>
              <w:rPr>
                <w:rFonts w:eastAsiaTheme="minorEastAsia"/>
                <w:b/>
                <w:sz w:val="21"/>
                <w:szCs w:val="20"/>
              </w:rPr>
            </w:pPr>
            <w:r>
              <w:rPr>
                <w:rFonts w:eastAsiaTheme="minorEastAsia"/>
                <w:b/>
                <w:sz w:val="21"/>
                <w:szCs w:val="20"/>
              </w:rPr>
              <w:t>或长度≦50km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093" w:type="dxa"/>
            <w:vAlign w:val="center"/>
          </w:tcPr>
          <w:p>
            <w:pPr>
              <w:wordWrap w:val="0"/>
              <w:spacing w:after="0" w:line="240" w:lineRule="auto"/>
              <w:jc w:val="center"/>
              <w:rPr>
                <w:rFonts w:eastAsiaTheme="minorEastAsia"/>
                <w:sz w:val="21"/>
                <w:szCs w:val="20"/>
              </w:rPr>
            </w:pPr>
            <w:r>
              <w:rPr>
                <w:rFonts w:eastAsiaTheme="minorEastAsia"/>
                <w:sz w:val="21"/>
                <w:szCs w:val="20"/>
              </w:rPr>
              <w:t>特殊生态敏感区</w:t>
            </w:r>
          </w:p>
        </w:tc>
        <w:tc>
          <w:tcPr>
            <w:tcW w:w="2125" w:type="dxa"/>
            <w:vAlign w:val="center"/>
          </w:tcPr>
          <w:p>
            <w:pPr>
              <w:wordWrap w:val="0"/>
              <w:spacing w:after="0" w:line="240" w:lineRule="auto"/>
              <w:jc w:val="center"/>
              <w:rPr>
                <w:rFonts w:eastAsiaTheme="minorEastAsia"/>
                <w:sz w:val="21"/>
                <w:szCs w:val="20"/>
              </w:rPr>
            </w:pPr>
            <w:r>
              <w:rPr>
                <w:rFonts w:eastAsiaTheme="minorEastAsia"/>
                <w:sz w:val="21"/>
                <w:szCs w:val="20"/>
              </w:rPr>
              <w:t>一级</w:t>
            </w:r>
          </w:p>
        </w:tc>
        <w:tc>
          <w:tcPr>
            <w:tcW w:w="2412" w:type="dxa"/>
            <w:vAlign w:val="center"/>
          </w:tcPr>
          <w:p>
            <w:pPr>
              <w:wordWrap w:val="0"/>
              <w:spacing w:after="0" w:line="240" w:lineRule="auto"/>
              <w:jc w:val="center"/>
              <w:rPr>
                <w:rFonts w:eastAsiaTheme="minorEastAsia"/>
                <w:sz w:val="21"/>
                <w:szCs w:val="20"/>
              </w:rPr>
            </w:pPr>
            <w:r>
              <w:rPr>
                <w:rFonts w:eastAsiaTheme="minorEastAsia"/>
                <w:sz w:val="21"/>
                <w:szCs w:val="20"/>
              </w:rPr>
              <w:t>一级</w:t>
            </w:r>
          </w:p>
        </w:tc>
        <w:tc>
          <w:tcPr>
            <w:tcW w:w="1898" w:type="dxa"/>
            <w:vAlign w:val="center"/>
          </w:tcPr>
          <w:p>
            <w:pPr>
              <w:wordWrap w:val="0"/>
              <w:spacing w:after="0" w:line="240" w:lineRule="auto"/>
              <w:jc w:val="center"/>
              <w:rPr>
                <w:rFonts w:eastAsiaTheme="minorEastAsia"/>
                <w:sz w:val="21"/>
                <w:szCs w:val="20"/>
              </w:rPr>
            </w:pPr>
            <w:r>
              <w:rPr>
                <w:rFonts w:eastAsiaTheme="minorEastAsia"/>
                <w:sz w:val="21"/>
                <w:szCs w:val="20"/>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093" w:type="dxa"/>
            <w:vAlign w:val="center"/>
          </w:tcPr>
          <w:p>
            <w:pPr>
              <w:wordWrap w:val="0"/>
              <w:spacing w:after="0" w:line="240" w:lineRule="auto"/>
              <w:jc w:val="center"/>
              <w:rPr>
                <w:rFonts w:eastAsiaTheme="minorEastAsia"/>
                <w:sz w:val="21"/>
                <w:szCs w:val="20"/>
              </w:rPr>
            </w:pPr>
            <w:r>
              <w:rPr>
                <w:rFonts w:eastAsiaTheme="minorEastAsia"/>
                <w:sz w:val="21"/>
                <w:szCs w:val="20"/>
              </w:rPr>
              <w:t>重要生态敏感区</w:t>
            </w:r>
          </w:p>
        </w:tc>
        <w:tc>
          <w:tcPr>
            <w:tcW w:w="2125" w:type="dxa"/>
            <w:vAlign w:val="center"/>
          </w:tcPr>
          <w:p>
            <w:pPr>
              <w:wordWrap w:val="0"/>
              <w:spacing w:after="0" w:line="240" w:lineRule="auto"/>
              <w:jc w:val="center"/>
              <w:rPr>
                <w:rFonts w:eastAsiaTheme="minorEastAsia"/>
                <w:sz w:val="21"/>
                <w:szCs w:val="20"/>
              </w:rPr>
            </w:pPr>
            <w:r>
              <w:rPr>
                <w:rFonts w:eastAsiaTheme="minorEastAsia"/>
                <w:sz w:val="21"/>
                <w:szCs w:val="20"/>
              </w:rPr>
              <w:t>一级</w:t>
            </w:r>
          </w:p>
        </w:tc>
        <w:tc>
          <w:tcPr>
            <w:tcW w:w="2412" w:type="dxa"/>
            <w:vAlign w:val="center"/>
          </w:tcPr>
          <w:p>
            <w:pPr>
              <w:wordWrap w:val="0"/>
              <w:spacing w:after="0" w:line="240" w:lineRule="auto"/>
              <w:jc w:val="center"/>
              <w:rPr>
                <w:rFonts w:eastAsiaTheme="minorEastAsia"/>
                <w:sz w:val="21"/>
                <w:szCs w:val="20"/>
              </w:rPr>
            </w:pPr>
            <w:r>
              <w:rPr>
                <w:rFonts w:eastAsiaTheme="minorEastAsia"/>
                <w:sz w:val="21"/>
                <w:szCs w:val="20"/>
              </w:rPr>
              <w:t>二级</w:t>
            </w:r>
          </w:p>
        </w:tc>
        <w:tc>
          <w:tcPr>
            <w:tcW w:w="1898" w:type="dxa"/>
            <w:vAlign w:val="center"/>
          </w:tcPr>
          <w:p>
            <w:pPr>
              <w:wordWrap w:val="0"/>
              <w:spacing w:after="0" w:line="240" w:lineRule="auto"/>
              <w:jc w:val="center"/>
              <w:rPr>
                <w:rFonts w:eastAsiaTheme="minorEastAsia"/>
                <w:sz w:val="21"/>
                <w:szCs w:val="20"/>
              </w:rPr>
            </w:pPr>
            <w:r>
              <w:rPr>
                <w:rFonts w:eastAsiaTheme="minorEastAsia"/>
                <w:sz w:val="21"/>
                <w:szCs w:val="20"/>
              </w:rPr>
              <w:t>三级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093" w:type="dxa"/>
            <w:vAlign w:val="center"/>
          </w:tcPr>
          <w:p>
            <w:pPr>
              <w:wordWrap w:val="0"/>
              <w:spacing w:after="0" w:line="240" w:lineRule="auto"/>
              <w:jc w:val="center"/>
              <w:rPr>
                <w:rFonts w:eastAsiaTheme="minorEastAsia"/>
                <w:sz w:val="21"/>
                <w:szCs w:val="20"/>
              </w:rPr>
            </w:pPr>
            <w:r>
              <w:rPr>
                <w:rFonts w:eastAsiaTheme="minorEastAsia"/>
                <w:sz w:val="21"/>
                <w:szCs w:val="20"/>
              </w:rPr>
              <w:t>一般区域</w:t>
            </w:r>
          </w:p>
        </w:tc>
        <w:tc>
          <w:tcPr>
            <w:tcW w:w="2125" w:type="dxa"/>
            <w:vAlign w:val="center"/>
          </w:tcPr>
          <w:p>
            <w:pPr>
              <w:wordWrap w:val="0"/>
              <w:spacing w:after="0" w:line="240" w:lineRule="auto"/>
              <w:jc w:val="center"/>
              <w:rPr>
                <w:rFonts w:eastAsiaTheme="minorEastAsia"/>
                <w:sz w:val="21"/>
                <w:szCs w:val="20"/>
              </w:rPr>
            </w:pPr>
            <w:r>
              <w:rPr>
                <w:rFonts w:eastAsiaTheme="minorEastAsia"/>
                <w:sz w:val="21"/>
                <w:szCs w:val="20"/>
              </w:rPr>
              <w:t>二级</w:t>
            </w:r>
          </w:p>
        </w:tc>
        <w:tc>
          <w:tcPr>
            <w:tcW w:w="2412" w:type="dxa"/>
            <w:vAlign w:val="center"/>
          </w:tcPr>
          <w:p>
            <w:pPr>
              <w:wordWrap w:val="0"/>
              <w:spacing w:after="0" w:line="240" w:lineRule="auto"/>
              <w:jc w:val="center"/>
              <w:rPr>
                <w:rFonts w:eastAsiaTheme="minorEastAsia"/>
                <w:sz w:val="21"/>
                <w:szCs w:val="20"/>
              </w:rPr>
            </w:pPr>
            <w:r>
              <w:rPr>
                <w:rFonts w:eastAsiaTheme="minorEastAsia"/>
                <w:sz w:val="21"/>
                <w:szCs w:val="20"/>
              </w:rPr>
              <w:t>三级</w:t>
            </w:r>
          </w:p>
        </w:tc>
        <w:tc>
          <w:tcPr>
            <w:tcW w:w="1898" w:type="dxa"/>
            <w:vAlign w:val="center"/>
          </w:tcPr>
          <w:p>
            <w:pPr>
              <w:wordWrap w:val="0"/>
              <w:spacing w:after="0" w:line="240" w:lineRule="auto"/>
              <w:jc w:val="center"/>
              <w:rPr>
                <w:rFonts w:eastAsiaTheme="minorEastAsia"/>
                <w:sz w:val="21"/>
                <w:szCs w:val="20"/>
              </w:rPr>
            </w:pPr>
            <w:r>
              <w:rPr>
                <w:rFonts w:eastAsiaTheme="minorEastAsia"/>
                <w:sz w:val="21"/>
                <w:szCs w:val="20"/>
              </w:rPr>
              <w:t>三级</w:t>
            </w:r>
          </w:p>
        </w:tc>
      </w:tr>
    </w:tbl>
    <w:p>
      <w:pPr>
        <w:pStyle w:val="29"/>
        <w:wordWrap w:val="0"/>
        <w:adjustRightInd/>
        <w:snapToGrid/>
        <w:rPr>
          <w:sz w:val="10"/>
          <w:szCs w:val="10"/>
          <w:u w:val="single"/>
        </w:rPr>
      </w:pPr>
    </w:p>
    <w:p>
      <w:pPr>
        <w:pStyle w:val="29"/>
        <w:wordWrap w:val="0"/>
        <w:adjustRightInd/>
        <w:snapToGrid/>
        <w:spacing w:after="0"/>
        <w:ind w:firstLine="448" w:firstLineChars="181"/>
        <w:rPr>
          <w:rFonts w:ascii="宋体" w:hAnsi="宋体" w:cs="宋体"/>
          <w:spacing w:val="4"/>
          <w:szCs w:val="24"/>
        </w:rPr>
      </w:pPr>
      <w:r>
        <w:rPr>
          <w:rFonts w:hint="eastAsia" w:ascii="宋体" w:hAnsi="宋体" w:cs="宋体"/>
          <w:spacing w:val="4"/>
          <w:szCs w:val="24"/>
        </w:rPr>
        <w:t>（7）</w:t>
      </w:r>
      <w:r>
        <w:rPr>
          <w:rFonts w:ascii="宋体" w:hAnsi="宋体" w:cs="宋体"/>
          <w:spacing w:val="4"/>
          <w:szCs w:val="24"/>
        </w:rPr>
        <w:t>环境风险</w:t>
      </w:r>
    </w:p>
    <w:p>
      <w:pPr>
        <w:pStyle w:val="29"/>
        <w:wordWrap w:val="0"/>
        <w:adjustRightInd/>
        <w:snapToGrid/>
        <w:ind w:firstLine="488"/>
        <w:jc w:val="center"/>
      </w:pPr>
      <w:r>
        <w:rPr>
          <w:rFonts w:ascii="宋体" w:hAnsi="宋体" w:cs="宋体"/>
          <w:spacing w:val="4"/>
          <w:szCs w:val="24"/>
        </w:rPr>
        <w:t>本项目为</w:t>
      </w:r>
      <w:r>
        <w:rPr>
          <w:rFonts w:hint="eastAsia" w:ascii="宋体" w:hAnsi="宋体" w:cs="宋体"/>
          <w:spacing w:val="4"/>
          <w:szCs w:val="24"/>
        </w:rPr>
        <w:t>污泥处理技术研发</w:t>
      </w:r>
      <w:r>
        <w:rPr>
          <w:rFonts w:ascii="宋体" w:hAnsi="宋体" w:cs="宋体"/>
          <w:spacing w:val="4"/>
          <w:szCs w:val="24"/>
        </w:rPr>
        <w:t>项目，本项目运营主要风险为</w:t>
      </w:r>
      <w:r>
        <w:rPr>
          <w:rFonts w:hint="eastAsia"/>
        </w:rPr>
        <w:t>恶臭气体</w:t>
      </w:r>
      <w:r>
        <w:t>和</w:t>
      </w:r>
      <w:r>
        <w:rPr>
          <w:rFonts w:hint="eastAsia"/>
        </w:rPr>
        <w:t>污泥</w:t>
      </w:r>
      <w:r>
        <w:t>事故排放。根据《建设项目环境风险评价技术导则》（HJ169-2018），根据建设项目涉及的物质和工艺系统的危险性及其所在地的环境敏感程度，结合事故情形下环境影响途径，对建设项目潜在环境危害程度进行概化分析，按照表2.4</w:t>
      </w:r>
      <w:r>
        <w:rPr>
          <w:rFonts w:hint="eastAsia"/>
        </w:rPr>
        <w:t>-5</w:t>
      </w:r>
      <w:r>
        <w:t>确定环境风险潜势。</w:t>
      </w:r>
    </w:p>
    <w:p>
      <w:pPr>
        <w:pStyle w:val="29"/>
        <w:wordWrap w:val="0"/>
        <w:adjustRightInd/>
        <w:snapToGrid/>
        <w:ind w:firstLine="482"/>
        <w:jc w:val="center"/>
        <w:rPr>
          <w:b/>
          <w:bCs/>
        </w:rPr>
      </w:pPr>
      <w:r>
        <w:rPr>
          <w:b/>
          <w:bCs/>
        </w:rPr>
        <w:t>表2.4-</w:t>
      </w:r>
      <w:r>
        <w:rPr>
          <w:rFonts w:hint="eastAsia"/>
          <w:b/>
          <w:bCs/>
        </w:rPr>
        <w:t>5</w:t>
      </w:r>
      <w:r>
        <w:rPr>
          <w:b/>
          <w:bCs/>
        </w:rPr>
        <w:t xml:space="preserve">  建设项目环境风险潜势划分</w:t>
      </w:r>
    </w:p>
    <w:tbl>
      <w:tblPr>
        <w:tblStyle w:val="30"/>
        <w:tblW w:w="86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2"/>
        <w:gridCol w:w="1567"/>
        <w:gridCol w:w="1600"/>
        <w:gridCol w:w="1590"/>
        <w:gridCol w:w="15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322" w:type="dxa"/>
            <w:vMerge w:val="restart"/>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环境敏感程度（E）</w:t>
            </w:r>
          </w:p>
        </w:tc>
        <w:tc>
          <w:tcPr>
            <w:tcW w:w="6317" w:type="dxa"/>
            <w:gridSpan w:val="4"/>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322" w:type="dxa"/>
            <w:vMerge w:val="continue"/>
            <w:shd w:val="clear" w:color="auto" w:fill="auto"/>
            <w:vAlign w:val="center"/>
          </w:tcPr>
          <w:p>
            <w:pPr>
              <w:pStyle w:val="29"/>
              <w:wordWrap w:val="0"/>
              <w:adjustRightInd/>
              <w:snapToGrid/>
              <w:spacing w:after="0" w:line="240" w:lineRule="auto"/>
              <w:ind w:firstLine="0" w:firstLineChars="0"/>
              <w:jc w:val="center"/>
              <w:rPr>
                <w:b/>
                <w:sz w:val="21"/>
                <w:szCs w:val="21"/>
              </w:rPr>
            </w:pPr>
          </w:p>
        </w:tc>
        <w:tc>
          <w:tcPr>
            <w:tcW w:w="1567"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极高危害</w:t>
            </w:r>
            <w:r>
              <w:rPr>
                <w:b/>
                <w:sz w:val="15"/>
                <w:szCs w:val="15"/>
              </w:rPr>
              <w:t>（P1）</w:t>
            </w:r>
          </w:p>
        </w:tc>
        <w:tc>
          <w:tcPr>
            <w:tcW w:w="1600"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高度危害</w:t>
            </w:r>
            <w:r>
              <w:rPr>
                <w:b/>
                <w:sz w:val="15"/>
                <w:szCs w:val="15"/>
              </w:rPr>
              <w:t>（P2）</w:t>
            </w:r>
          </w:p>
        </w:tc>
        <w:tc>
          <w:tcPr>
            <w:tcW w:w="1590"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中度危害</w:t>
            </w:r>
            <w:r>
              <w:rPr>
                <w:b/>
                <w:sz w:val="15"/>
                <w:szCs w:val="15"/>
              </w:rPr>
              <w:t>（P3）</w:t>
            </w:r>
          </w:p>
        </w:tc>
        <w:tc>
          <w:tcPr>
            <w:tcW w:w="1560"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轻度危害</w:t>
            </w:r>
            <w:r>
              <w:rPr>
                <w:b/>
                <w:sz w:val="15"/>
                <w:szCs w:val="15"/>
              </w:rPr>
              <w:t>（P4）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环境高度敏感区(E1)</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vertAlign w:val="subscript"/>
              </w:rPr>
            </w:pPr>
            <w:r>
              <w:rPr>
                <w:rFonts w:hint="eastAsia" w:ascii="宋体" w:hAnsi="宋体" w:cs="宋体"/>
                <w:sz w:val="21"/>
                <w:szCs w:val="21"/>
              </w:rPr>
              <w:t>Ⅲ</w:t>
            </w:r>
            <w:r>
              <w:rPr>
                <w:sz w:val="21"/>
                <w:szCs w:val="21"/>
                <w:vertAlign w:val="superscript"/>
              </w:rPr>
              <w:t>+</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9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6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环境中度敏感区(E2)</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9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6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环境低度敏感区(E3)</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9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Ⅱ</w:t>
            </w:r>
          </w:p>
        </w:tc>
        <w:tc>
          <w:tcPr>
            <w:tcW w:w="156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639" w:type="dxa"/>
            <w:gridSpan w:val="5"/>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注：</w:t>
            </w:r>
            <w:r>
              <w:rPr>
                <w:rFonts w:hint="eastAsia" w:ascii="宋体" w:hAnsi="宋体" w:cs="宋体"/>
                <w:sz w:val="21"/>
                <w:szCs w:val="21"/>
              </w:rPr>
              <w:t>Ⅲ</w:t>
            </w:r>
            <w:r>
              <w:rPr>
                <w:sz w:val="21"/>
                <w:szCs w:val="21"/>
                <w:vertAlign w:val="superscript"/>
              </w:rPr>
              <w:t>+</w:t>
            </w:r>
            <w:r>
              <w:rPr>
                <w:sz w:val="21"/>
                <w:szCs w:val="21"/>
              </w:rPr>
              <w:t>为极高环境风险</w:t>
            </w:r>
          </w:p>
        </w:tc>
      </w:tr>
    </w:tbl>
    <w:p>
      <w:pPr>
        <w:pStyle w:val="29"/>
        <w:wordWrap w:val="0"/>
        <w:adjustRightInd/>
        <w:snapToGrid/>
        <w:ind w:firstLine="480"/>
      </w:pPr>
    </w:p>
    <w:p>
      <w:pPr>
        <w:pStyle w:val="29"/>
        <w:wordWrap w:val="0"/>
        <w:adjustRightInd/>
        <w:snapToGrid/>
        <w:ind w:firstLine="480"/>
      </w:pPr>
      <w:r>
        <w:t>本项目填埋的垃圾储存过程中会产生危险物质主要为H</w:t>
      </w:r>
      <w:r>
        <w:rPr>
          <w:vertAlign w:val="subscript"/>
        </w:rPr>
        <w:t>2</w:t>
      </w:r>
      <w:r>
        <w:t>S、NH</w:t>
      </w:r>
      <w:r>
        <w:rPr>
          <w:vertAlign w:val="subscript"/>
        </w:rPr>
        <w:t>3</w:t>
      </w:r>
      <w:r>
        <w:t>，它们的存在量、临界量、危险物质数量与临界量的比值(Q)详见表2.4-</w:t>
      </w:r>
      <w:r>
        <w:rPr>
          <w:rFonts w:hint="eastAsia"/>
        </w:rPr>
        <w:t>6</w:t>
      </w:r>
      <w:r>
        <w:t xml:space="preserve">。 </w:t>
      </w:r>
    </w:p>
    <w:p>
      <w:pPr>
        <w:pStyle w:val="29"/>
        <w:wordWrap w:val="0"/>
        <w:adjustRightInd/>
        <w:snapToGrid/>
        <w:ind w:firstLine="482"/>
        <w:jc w:val="center"/>
        <w:rPr>
          <w:b/>
          <w:bCs/>
        </w:rPr>
      </w:pPr>
      <w:r>
        <w:rPr>
          <w:b/>
          <w:bCs/>
        </w:rPr>
        <w:t>表2.4-</w:t>
      </w:r>
      <w:r>
        <w:rPr>
          <w:rFonts w:hint="eastAsia"/>
          <w:b/>
          <w:bCs/>
        </w:rPr>
        <w:t>6</w:t>
      </w:r>
      <w:r>
        <w:rPr>
          <w:b/>
          <w:bCs/>
        </w:rPr>
        <w:t xml:space="preserve"> 风险调查表表2.4-5 风险调查表</w:t>
      </w:r>
    </w:p>
    <w:tbl>
      <w:tblPr>
        <w:tblStyle w:val="30"/>
        <w:tblW w:w="85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0"/>
        <w:gridCol w:w="3420"/>
        <w:gridCol w:w="34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风险物质</w:t>
            </w:r>
          </w:p>
        </w:tc>
        <w:tc>
          <w:tcPr>
            <w:tcW w:w="3420" w:type="dxa"/>
            <w:vAlign w:val="center"/>
          </w:tcPr>
          <w:p>
            <w:pPr>
              <w:pStyle w:val="29"/>
              <w:wordWrap w:val="0"/>
              <w:spacing w:after="0" w:line="240" w:lineRule="auto"/>
              <w:ind w:firstLine="0" w:firstLineChars="0"/>
              <w:jc w:val="center"/>
              <w:rPr>
                <w:sz w:val="21"/>
                <w:szCs w:val="21"/>
              </w:rPr>
            </w:pPr>
            <w:r>
              <w:rPr>
                <w:sz w:val="21"/>
                <w:szCs w:val="21"/>
              </w:rPr>
              <w:t>H</w:t>
            </w:r>
            <w:r>
              <w:rPr>
                <w:sz w:val="21"/>
                <w:szCs w:val="21"/>
                <w:vertAlign w:val="subscript"/>
              </w:rPr>
              <w:t>2</w:t>
            </w:r>
            <w:r>
              <w:rPr>
                <w:sz w:val="21"/>
                <w:szCs w:val="21"/>
              </w:rPr>
              <w:t>S</w:t>
            </w:r>
          </w:p>
        </w:tc>
        <w:tc>
          <w:tcPr>
            <w:tcW w:w="3408" w:type="dxa"/>
            <w:vAlign w:val="center"/>
          </w:tcPr>
          <w:p>
            <w:pPr>
              <w:pStyle w:val="29"/>
              <w:wordWrap w:val="0"/>
              <w:spacing w:after="0" w:line="240" w:lineRule="auto"/>
              <w:ind w:firstLine="0" w:firstLineChars="0"/>
              <w:jc w:val="center"/>
              <w:rPr>
                <w:sz w:val="21"/>
                <w:szCs w:val="21"/>
              </w:rPr>
            </w:pPr>
            <w:r>
              <w:rPr>
                <w:sz w:val="21"/>
                <w:szCs w:val="21"/>
              </w:rPr>
              <w:t>NH</w:t>
            </w:r>
            <w:r>
              <w:rPr>
                <w:sz w:val="21"/>
                <w:szCs w:val="21"/>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临界量</w:t>
            </w:r>
          </w:p>
        </w:tc>
        <w:tc>
          <w:tcPr>
            <w:tcW w:w="3420" w:type="dxa"/>
            <w:vAlign w:val="center"/>
          </w:tcPr>
          <w:p>
            <w:pPr>
              <w:pStyle w:val="29"/>
              <w:wordWrap w:val="0"/>
              <w:spacing w:after="0" w:line="240" w:lineRule="auto"/>
              <w:ind w:firstLine="0" w:firstLineChars="0"/>
              <w:jc w:val="center"/>
              <w:rPr>
                <w:sz w:val="21"/>
                <w:szCs w:val="21"/>
              </w:rPr>
            </w:pPr>
            <w:r>
              <w:rPr>
                <w:sz w:val="21"/>
                <w:szCs w:val="21"/>
              </w:rPr>
              <w:t>2.5</w:t>
            </w:r>
          </w:p>
        </w:tc>
        <w:tc>
          <w:tcPr>
            <w:tcW w:w="3408" w:type="dxa"/>
            <w:vAlign w:val="center"/>
          </w:tcPr>
          <w:p>
            <w:pPr>
              <w:pStyle w:val="29"/>
              <w:wordWrap w:val="0"/>
              <w:spacing w:after="0"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存在量</w:t>
            </w:r>
          </w:p>
        </w:tc>
        <w:tc>
          <w:tcPr>
            <w:tcW w:w="3420"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0.00048</w:t>
            </w:r>
          </w:p>
        </w:tc>
        <w:tc>
          <w:tcPr>
            <w:tcW w:w="3408"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Qn</w:t>
            </w:r>
          </w:p>
        </w:tc>
        <w:tc>
          <w:tcPr>
            <w:tcW w:w="3420"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0.000192</w:t>
            </w:r>
          </w:p>
        </w:tc>
        <w:tc>
          <w:tcPr>
            <w:tcW w:w="3408"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Q</w:t>
            </w:r>
          </w:p>
        </w:tc>
        <w:tc>
          <w:tcPr>
            <w:tcW w:w="6828" w:type="dxa"/>
            <w:gridSpan w:val="2"/>
            <w:vAlign w:val="center"/>
          </w:tcPr>
          <w:p>
            <w:pPr>
              <w:pStyle w:val="29"/>
              <w:wordWrap w:val="0"/>
              <w:spacing w:after="0" w:line="240" w:lineRule="auto"/>
              <w:ind w:firstLine="0" w:firstLineChars="0"/>
              <w:jc w:val="center"/>
              <w:rPr>
                <w:sz w:val="21"/>
                <w:szCs w:val="21"/>
              </w:rPr>
            </w:pPr>
            <w:r>
              <w:rPr>
                <w:rFonts w:hint="eastAsia"/>
                <w:sz w:val="21"/>
                <w:szCs w:val="21"/>
              </w:rPr>
              <w:t>0.000192+0.00096=0.001152＜1</w:t>
            </w:r>
          </w:p>
        </w:tc>
      </w:tr>
    </w:tbl>
    <w:p>
      <w:pPr>
        <w:pStyle w:val="29"/>
        <w:wordWrap w:val="0"/>
        <w:adjustRightInd/>
        <w:snapToGrid/>
        <w:ind w:firstLine="480"/>
      </w:pPr>
      <w:r>
        <w:t>根据表2.4-</w:t>
      </w:r>
      <w:r>
        <w:rPr>
          <w:rFonts w:hint="eastAsia"/>
        </w:rPr>
        <w:t>6</w:t>
      </w:r>
      <w:r>
        <w:t>可知，Q&lt;1，风险潜势为</w:t>
      </w:r>
      <w:r>
        <w:rPr>
          <w:rFonts w:hint="eastAsia" w:ascii="宋体" w:hAnsi="宋体" w:cs="宋体"/>
        </w:rPr>
        <w:t>Ⅰ</w:t>
      </w:r>
      <w:r>
        <w:t>。结合表2.4-</w:t>
      </w:r>
      <w:r>
        <w:rPr>
          <w:rFonts w:hint="eastAsia"/>
        </w:rPr>
        <w:t>5</w:t>
      </w:r>
      <w:r>
        <w:t>环境风险潜势划分情况可知本项目风险只需简要分析即可。</w:t>
      </w:r>
    </w:p>
    <w:p>
      <w:pPr>
        <w:pStyle w:val="29"/>
        <w:wordWrap w:val="0"/>
        <w:adjustRightInd/>
        <w:snapToGrid/>
        <w:ind w:firstLine="0" w:firstLineChars="0"/>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384" w:name="_Toc24969737"/>
      <w:r>
        <w:rPr>
          <w:rFonts w:hint="eastAsia" w:ascii="宋体" w:hAnsi="宋体" w:eastAsia="宋体"/>
          <w:color w:val="000000" w:themeColor="text1"/>
          <w:lang w:eastAsia="zh-CN"/>
        </w:rPr>
        <w:t>2.5</w:t>
      </w:r>
      <w:r>
        <w:rPr>
          <w:rFonts w:ascii="宋体" w:hAnsi="宋体" w:eastAsia="宋体"/>
          <w:color w:val="000000" w:themeColor="text1"/>
          <w:lang w:eastAsia="zh-CN"/>
        </w:rPr>
        <w:t>主要环境保护目标（列出名单及保护级别）：</w:t>
      </w:r>
      <w:bookmarkEnd w:id="384"/>
    </w:p>
    <w:p>
      <w:pPr>
        <w:pStyle w:val="29"/>
        <w:wordWrap w:val="0"/>
        <w:adjustRightInd/>
        <w:snapToGrid/>
        <w:spacing w:after="0"/>
        <w:ind w:firstLine="480"/>
        <w:rPr>
          <w:szCs w:val="24"/>
        </w:rPr>
      </w:pPr>
      <w:r>
        <w:rPr>
          <w:szCs w:val="24"/>
        </w:rPr>
        <w:t>项目周边主要环境保护目标见</w:t>
      </w:r>
      <w:r>
        <w:rPr>
          <w:rFonts w:hint="eastAsia"/>
          <w:szCs w:val="24"/>
        </w:rPr>
        <w:t>下</w:t>
      </w:r>
      <w:r>
        <w:rPr>
          <w:szCs w:val="24"/>
        </w:rPr>
        <w:t>表</w:t>
      </w:r>
    </w:p>
    <w:p>
      <w:pPr>
        <w:pStyle w:val="10"/>
        <w:wordWrap w:val="0"/>
        <w:spacing w:line="360" w:lineRule="auto"/>
        <w:rPr>
          <w:rStyle w:val="60"/>
          <w:color w:val="000000" w:themeColor="text1"/>
        </w:rPr>
      </w:pPr>
      <w:r>
        <w:rPr>
          <w:szCs w:val="24"/>
        </w:rPr>
        <w:t>表</w:t>
      </w:r>
      <w:r>
        <w:rPr>
          <w:rFonts w:hint="eastAsia"/>
          <w:szCs w:val="24"/>
        </w:rPr>
        <w:t>2.5-1</w:t>
      </w:r>
      <w:r>
        <w:rPr>
          <w:rStyle w:val="60"/>
          <w:color w:val="000000" w:themeColor="text1"/>
        </w:rPr>
        <w:t>项目环境敏感目标统计表</w:t>
      </w:r>
    </w:p>
    <w:tbl>
      <w:tblPr>
        <w:tblStyle w:val="30"/>
        <w:tblW w:w="960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558"/>
        <w:gridCol w:w="1135"/>
        <w:gridCol w:w="1134"/>
        <w:gridCol w:w="993"/>
        <w:gridCol w:w="708"/>
        <w:gridCol w:w="993"/>
        <w:gridCol w:w="992"/>
        <w:gridCol w:w="12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17"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环境要素</w:t>
            </w:r>
          </w:p>
        </w:tc>
        <w:tc>
          <w:tcPr>
            <w:tcW w:w="1558"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名称</w:t>
            </w:r>
          </w:p>
        </w:tc>
        <w:tc>
          <w:tcPr>
            <w:tcW w:w="2269" w:type="dxa"/>
            <w:gridSpan w:val="2"/>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坐标</w:t>
            </w:r>
          </w:p>
        </w:tc>
        <w:tc>
          <w:tcPr>
            <w:tcW w:w="993"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保护</w:t>
            </w:r>
          </w:p>
          <w:p>
            <w:pPr>
              <w:spacing w:after="0" w:line="240" w:lineRule="auto"/>
              <w:jc w:val="center"/>
              <w:rPr>
                <w:rFonts w:hAnsi="宋体" w:cs="宋体"/>
                <w:b/>
                <w:sz w:val="21"/>
                <w:szCs w:val="21"/>
                <w:lang w:eastAsia="zh-CN"/>
              </w:rPr>
            </w:pPr>
            <w:r>
              <w:rPr>
                <w:rFonts w:hint="eastAsia" w:hAnsi="宋体" w:cs="宋体"/>
                <w:b/>
                <w:sz w:val="21"/>
                <w:szCs w:val="21"/>
                <w:lang w:eastAsia="zh-CN"/>
              </w:rPr>
              <w:t>对象</w:t>
            </w:r>
          </w:p>
        </w:tc>
        <w:tc>
          <w:tcPr>
            <w:tcW w:w="708"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保护内容</w:t>
            </w:r>
          </w:p>
        </w:tc>
        <w:tc>
          <w:tcPr>
            <w:tcW w:w="993"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环境功能区</w:t>
            </w:r>
          </w:p>
        </w:tc>
        <w:tc>
          <w:tcPr>
            <w:tcW w:w="992"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相对厂址方位</w:t>
            </w:r>
          </w:p>
        </w:tc>
        <w:tc>
          <w:tcPr>
            <w:tcW w:w="1276" w:type="dxa"/>
            <w:vMerge w:val="restart"/>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相对距离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Merge w:val="continue"/>
            <w:vAlign w:val="center"/>
          </w:tcPr>
          <w:p>
            <w:pPr>
              <w:spacing w:after="0" w:line="240" w:lineRule="auto"/>
              <w:jc w:val="center"/>
              <w:rPr>
                <w:rFonts w:hAnsi="宋体" w:cs="宋体"/>
                <w:sz w:val="21"/>
                <w:szCs w:val="21"/>
                <w:lang w:eastAsia="zh-CN"/>
              </w:rPr>
            </w:pPr>
          </w:p>
        </w:tc>
        <w:tc>
          <w:tcPr>
            <w:tcW w:w="1135" w:type="dxa"/>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东经</w:t>
            </w:r>
          </w:p>
        </w:tc>
        <w:tc>
          <w:tcPr>
            <w:tcW w:w="1134" w:type="dxa"/>
            <w:vAlign w:val="center"/>
          </w:tcPr>
          <w:p>
            <w:pPr>
              <w:spacing w:after="0" w:line="240" w:lineRule="auto"/>
              <w:jc w:val="center"/>
              <w:rPr>
                <w:rFonts w:hAnsi="宋体" w:cs="宋体"/>
                <w:b/>
                <w:sz w:val="21"/>
                <w:szCs w:val="21"/>
                <w:lang w:eastAsia="zh-CN"/>
              </w:rPr>
            </w:pPr>
            <w:r>
              <w:rPr>
                <w:rFonts w:hint="eastAsia" w:hAnsi="宋体" w:cs="宋体"/>
                <w:b/>
                <w:sz w:val="21"/>
                <w:szCs w:val="21"/>
                <w:lang w:eastAsia="zh-CN"/>
              </w:rPr>
              <w:t>北纬</w:t>
            </w:r>
          </w:p>
        </w:tc>
        <w:tc>
          <w:tcPr>
            <w:tcW w:w="993" w:type="dxa"/>
            <w:vMerge w:val="continue"/>
            <w:vAlign w:val="center"/>
          </w:tcPr>
          <w:p>
            <w:pPr>
              <w:spacing w:after="0" w:line="240" w:lineRule="auto"/>
              <w:jc w:val="center"/>
              <w:rPr>
                <w:rFonts w:hAnsi="宋体" w:cs="宋体"/>
                <w:sz w:val="21"/>
                <w:szCs w:val="21"/>
                <w:lang w:eastAsia="zh-CN"/>
              </w:rPr>
            </w:pPr>
          </w:p>
        </w:tc>
        <w:tc>
          <w:tcPr>
            <w:tcW w:w="708" w:type="dxa"/>
            <w:vMerge w:val="continue"/>
            <w:vAlign w:val="center"/>
          </w:tcPr>
          <w:p>
            <w:pPr>
              <w:spacing w:after="0" w:line="240" w:lineRule="auto"/>
              <w:jc w:val="center"/>
              <w:rPr>
                <w:rFonts w:hAnsi="宋体" w:cs="宋体"/>
                <w:sz w:val="21"/>
                <w:szCs w:val="21"/>
                <w:lang w:eastAsia="zh-CN"/>
              </w:rPr>
            </w:pPr>
          </w:p>
        </w:tc>
        <w:tc>
          <w:tcPr>
            <w:tcW w:w="993" w:type="dxa"/>
            <w:vMerge w:val="continue"/>
            <w:vAlign w:val="center"/>
          </w:tcPr>
          <w:p>
            <w:pPr>
              <w:spacing w:after="0" w:line="240" w:lineRule="auto"/>
              <w:jc w:val="center"/>
              <w:rPr>
                <w:rFonts w:hAnsi="宋体" w:cs="宋体"/>
                <w:sz w:val="21"/>
                <w:szCs w:val="21"/>
                <w:lang w:eastAsia="zh-CN"/>
              </w:rPr>
            </w:pPr>
          </w:p>
        </w:tc>
        <w:tc>
          <w:tcPr>
            <w:tcW w:w="992" w:type="dxa"/>
            <w:vMerge w:val="continue"/>
            <w:vAlign w:val="center"/>
          </w:tcPr>
          <w:p>
            <w:pPr>
              <w:spacing w:after="0" w:line="240" w:lineRule="auto"/>
              <w:jc w:val="center"/>
              <w:rPr>
                <w:rFonts w:hAnsi="宋体" w:cs="宋体"/>
                <w:sz w:val="21"/>
                <w:szCs w:val="21"/>
                <w:lang w:eastAsia="zh-CN"/>
              </w:rPr>
            </w:pPr>
          </w:p>
        </w:tc>
        <w:tc>
          <w:tcPr>
            <w:tcW w:w="1276" w:type="dxa"/>
            <w:vMerge w:val="continue"/>
            <w:vAlign w:val="center"/>
          </w:tcPr>
          <w:p>
            <w:pPr>
              <w:spacing w:after="0" w:line="240" w:lineRule="auto"/>
              <w:jc w:val="center"/>
              <w:rPr>
                <w:rFonts w:hAnsi="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restart"/>
            <w:vAlign w:val="center"/>
          </w:tcPr>
          <w:p>
            <w:pPr>
              <w:spacing w:after="0" w:line="240" w:lineRule="auto"/>
              <w:jc w:val="center"/>
              <w:rPr>
                <w:rFonts w:hAnsi="宋体" w:cs="宋体"/>
                <w:sz w:val="21"/>
                <w:szCs w:val="21"/>
                <w:lang w:eastAsia="zh-CN"/>
              </w:rPr>
            </w:pPr>
            <w:r>
              <w:rPr>
                <w:rFonts w:hint="eastAsia" w:hAnsi="宋体" w:cs="宋体"/>
                <w:sz w:val="21"/>
                <w:szCs w:val="21"/>
                <w:lang w:eastAsia="zh-CN"/>
              </w:rPr>
              <w:t>大气环境</w:t>
            </w: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擂鼓台村</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113.1652</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29.4590</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N</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约500m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长江村</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113.1724</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29.4660</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N</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约1800m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苏家坡</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113.1804</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29.4536</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E</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约1300m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光明村</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113.1539</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29.4485</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约1300m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洪家洲社区</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113.1553</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29.4434</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约1400m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lang w:eastAsia="zh-CN"/>
              </w:rPr>
            </w:pPr>
            <w:r>
              <w:rPr>
                <w:rFonts w:hint="eastAsia" w:hAnsi="宋体" w:cs="宋体"/>
                <w:color w:val="000000"/>
                <w:sz w:val="21"/>
                <w:szCs w:val="21"/>
              </w:rPr>
              <w:t>泰格职业</w:t>
            </w:r>
          </w:p>
          <w:p>
            <w:pPr>
              <w:spacing w:after="0" w:line="240" w:lineRule="auto"/>
              <w:jc w:val="center"/>
              <w:rPr>
                <w:rFonts w:hAnsi="宋体" w:cs="宋体"/>
                <w:color w:val="000000"/>
                <w:sz w:val="21"/>
                <w:szCs w:val="21"/>
              </w:rPr>
            </w:pPr>
            <w:r>
              <w:rPr>
                <w:rFonts w:hint="eastAsia" w:hAnsi="宋体" w:cs="宋体"/>
                <w:color w:val="000000"/>
                <w:sz w:val="21"/>
                <w:szCs w:val="21"/>
              </w:rPr>
              <w:t>技术学院</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113.1564</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29.4470</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学校</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师生</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约1200米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林纸医院</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113.1540</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29.4415</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医院</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人群</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约1600米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新建山小区</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113.1473</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29.4382</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约2200米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城陵矶红旗组</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113.1476</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29.4403</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约2100米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color w:val="000000"/>
                <w:sz w:val="21"/>
                <w:szCs w:val="21"/>
              </w:rPr>
            </w:pPr>
            <w:r>
              <w:rPr>
                <w:rFonts w:hint="eastAsia" w:hAnsi="宋体" w:cs="宋体"/>
                <w:color w:val="000000"/>
                <w:sz w:val="21"/>
                <w:szCs w:val="21"/>
              </w:rPr>
              <w:t>紫园小区</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113.1538</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29.4410</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SW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约1700米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pPr>
              <w:spacing w:after="0" w:line="240" w:lineRule="auto"/>
              <w:jc w:val="center"/>
              <w:rPr>
                <w:rFonts w:hAnsi="宋体" w:cs="宋体"/>
                <w:sz w:val="21"/>
                <w:szCs w:val="21"/>
                <w:lang w:eastAsia="zh-CN"/>
              </w:rPr>
            </w:pPr>
          </w:p>
        </w:tc>
        <w:tc>
          <w:tcPr>
            <w:tcW w:w="1558" w:type="dxa"/>
            <w:vAlign w:val="center"/>
          </w:tcPr>
          <w:p>
            <w:pPr>
              <w:spacing w:after="0" w:line="240" w:lineRule="auto"/>
              <w:jc w:val="center"/>
              <w:rPr>
                <w:rFonts w:hAnsi="宋体" w:cs="宋体"/>
                <w:sz w:val="21"/>
                <w:szCs w:val="21"/>
              </w:rPr>
            </w:pPr>
            <w:r>
              <w:rPr>
                <w:rFonts w:hint="eastAsia" w:hAnsi="宋体" w:cs="宋体"/>
                <w:sz w:val="21"/>
                <w:szCs w:val="21"/>
              </w:rPr>
              <w:t>恒泰雅园</w:t>
            </w:r>
          </w:p>
        </w:tc>
        <w:tc>
          <w:tcPr>
            <w:tcW w:w="1135" w:type="dxa"/>
            <w:vAlign w:val="center"/>
          </w:tcPr>
          <w:p>
            <w:pPr>
              <w:pStyle w:val="16"/>
              <w:spacing w:after="0" w:line="240" w:lineRule="auto"/>
              <w:jc w:val="center"/>
              <w:rPr>
                <w:rFonts w:hAnsi="宋体" w:cs="宋体"/>
                <w:sz w:val="21"/>
                <w:szCs w:val="21"/>
              </w:rPr>
            </w:pPr>
            <w:r>
              <w:rPr>
                <w:rFonts w:hint="eastAsia" w:hAnsi="宋体" w:cs="宋体"/>
                <w:sz w:val="21"/>
                <w:szCs w:val="21"/>
              </w:rPr>
              <w:t>113.1670</w:t>
            </w:r>
          </w:p>
        </w:tc>
        <w:tc>
          <w:tcPr>
            <w:tcW w:w="1134" w:type="dxa"/>
            <w:vAlign w:val="center"/>
          </w:tcPr>
          <w:p>
            <w:pPr>
              <w:pStyle w:val="16"/>
              <w:spacing w:after="0" w:line="240" w:lineRule="auto"/>
              <w:jc w:val="center"/>
              <w:rPr>
                <w:rFonts w:hAnsi="宋体" w:cs="宋体"/>
                <w:sz w:val="21"/>
                <w:szCs w:val="21"/>
              </w:rPr>
            </w:pPr>
            <w:r>
              <w:rPr>
                <w:rFonts w:hint="eastAsia" w:hAnsi="宋体" w:cs="宋体"/>
                <w:sz w:val="21"/>
                <w:szCs w:val="21"/>
              </w:rPr>
              <w:t>29.4320</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居住区</w:t>
            </w:r>
          </w:p>
        </w:tc>
        <w:tc>
          <w:tcPr>
            <w:tcW w:w="708" w:type="dxa"/>
            <w:vAlign w:val="center"/>
          </w:tcPr>
          <w:p>
            <w:pPr>
              <w:pStyle w:val="16"/>
              <w:spacing w:after="0" w:line="240" w:lineRule="auto"/>
              <w:jc w:val="center"/>
              <w:rPr>
                <w:rFonts w:hAnsi="宋体" w:cs="宋体"/>
                <w:sz w:val="21"/>
                <w:szCs w:val="21"/>
              </w:rPr>
            </w:pPr>
            <w:r>
              <w:rPr>
                <w:rFonts w:hint="eastAsia" w:hAnsi="宋体" w:cs="宋体"/>
                <w:sz w:val="21"/>
                <w:szCs w:val="21"/>
              </w:rPr>
              <w:t>居民</w:t>
            </w:r>
          </w:p>
        </w:tc>
        <w:tc>
          <w:tcPr>
            <w:tcW w:w="993" w:type="dxa"/>
            <w:vAlign w:val="center"/>
          </w:tcPr>
          <w:p>
            <w:pPr>
              <w:pStyle w:val="16"/>
              <w:spacing w:after="0" w:line="240" w:lineRule="auto"/>
              <w:jc w:val="center"/>
              <w:rPr>
                <w:rFonts w:hAnsi="宋体" w:cs="宋体"/>
                <w:sz w:val="21"/>
                <w:szCs w:val="21"/>
              </w:rPr>
            </w:pPr>
            <w:r>
              <w:rPr>
                <w:rFonts w:hint="eastAsia" w:hAnsi="宋体" w:cs="宋体"/>
                <w:sz w:val="21"/>
                <w:szCs w:val="21"/>
              </w:rPr>
              <w:t>二类区</w:t>
            </w:r>
          </w:p>
        </w:tc>
        <w:tc>
          <w:tcPr>
            <w:tcW w:w="992" w:type="dxa"/>
            <w:vAlign w:val="center"/>
          </w:tcPr>
          <w:p>
            <w:pPr>
              <w:spacing w:after="0" w:line="240" w:lineRule="auto"/>
              <w:jc w:val="center"/>
              <w:rPr>
                <w:rFonts w:hAnsi="宋体" w:cs="宋体"/>
                <w:sz w:val="21"/>
                <w:szCs w:val="21"/>
              </w:rPr>
            </w:pPr>
            <w:r>
              <w:rPr>
                <w:rFonts w:hint="eastAsia" w:hAnsi="宋体" w:cs="宋体"/>
                <w:sz w:val="21"/>
                <w:szCs w:val="21"/>
              </w:rPr>
              <w:t>W</w:t>
            </w:r>
          </w:p>
        </w:tc>
        <w:tc>
          <w:tcPr>
            <w:tcW w:w="1276" w:type="dxa"/>
            <w:vAlign w:val="center"/>
          </w:tcPr>
          <w:p>
            <w:pPr>
              <w:pStyle w:val="16"/>
              <w:spacing w:after="0" w:line="240" w:lineRule="auto"/>
              <w:jc w:val="center"/>
              <w:rPr>
                <w:rFonts w:hAnsi="宋体" w:cs="宋体"/>
                <w:sz w:val="21"/>
                <w:szCs w:val="21"/>
              </w:rPr>
            </w:pPr>
            <w:r>
              <w:rPr>
                <w:rFonts w:hint="eastAsia" w:hAnsi="宋体" w:cs="宋体"/>
                <w:sz w:val="21"/>
                <w:szCs w:val="21"/>
              </w:rPr>
              <w:t>约2300米</w:t>
            </w:r>
          </w:p>
        </w:tc>
      </w:tr>
    </w:tbl>
    <w:p>
      <w:pPr>
        <w:rPr>
          <w:lang w:eastAsia="zh-CN"/>
        </w:rPr>
      </w:pPr>
    </w:p>
    <w:p>
      <w:pPr>
        <w:pStyle w:val="10"/>
        <w:wordWrap w:val="0"/>
        <w:spacing w:line="360" w:lineRule="auto"/>
        <w:rPr>
          <w:rStyle w:val="60"/>
        </w:rPr>
      </w:pPr>
      <w:r>
        <w:rPr>
          <w:szCs w:val="24"/>
        </w:rPr>
        <w:t>表</w:t>
      </w:r>
      <w:r>
        <w:rPr>
          <w:rFonts w:hint="eastAsia"/>
          <w:szCs w:val="24"/>
        </w:rPr>
        <w:t xml:space="preserve">2.5-2  </w:t>
      </w:r>
      <w:r>
        <w:rPr>
          <w:rStyle w:val="60"/>
        </w:rPr>
        <w:t>项目环境敏感目标统计表</w:t>
      </w:r>
    </w:p>
    <w:tbl>
      <w:tblPr>
        <w:tblStyle w:val="30"/>
        <w:tblW w:w="960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06"/>
        <w:gridCol w:w="1003"/>
        <w:gridCol w:w="993"/>
        <w:gridCol w:w="850"/>
        <w:gridCol w:w="709"/>
        <w:gridCol w:w="2410"/>
        <w:gridCol w:w="850"/>
        <w:gridCol w:w="709"/>
        <w:gridCol w:w="12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6" w:type="dxa"/>
            <w:vMerge w:val="restart"/>
            <w:vAlign w:val="center"/>
          </w:tcPr>
          <w:p>
            <w:pPr>
              <w:spacing w:after="0"/>
              <w:jc w:val="center"/>
              <w:rPr>
                <w:b/>
                <w:sz w:val="21"/>
                <w:szCs w:val="21"/>
                <w:lang w:eastAsia="zh-CN"/>
              </w:rPr>
            </w:pPr>
            <w:r>
              <w:rPr>
                <w:rFonts w:hint="eastAsia"/>
                <w:b/>
                <w:sz w:val="21"/>
                <w:szCs w:val="21"/>
                <w:lang w:eastAsia="zh-CN"/>
              </w:rPr>
              <w:t>环境要素</w:t>
            </w:r>
          </w:p>
        </w:tc>
        <w:tc>
          <w:tcPr>
            <w:tcW w:w="1003" w:type="dxa"/>
            <w:vMerge w:val="restart"/>
            <w:vAlign w:val="center"/>
          </w:tcPr>
          <w:p>
            <w:pPr>
              <w:spacing w:after="0"/>
              <w:jc w:val="center"/>
              <w:rPr>
                <w:b/>
                <w:sz w:val="21"/>
                <w:szCs w:val="21"/>
                <w:lang w:eastAsia="zh-CN"/>
              </w:rPr>
            </w:pPr>
            <w:r>
              <w:rPr>
                <w:rFonts w:hint="eastAsia"/>
                <w:b/>
                <w:sz w:val="21"/>
                <w:szCs w:val="21"/>
                <w:lang w:eastAsia="zh-CN"/>
              </w:rPr>
              <w:t>名称</w:t>
            </w:r>
          </w:p>
        </w:tc>
        <w:tc>
          <w:tcPr>
            <w:tcW w:w="1843" w:type="dxa"/>
            <w:gridSpan w:val="2"/>
            <w:vAlign w:val="center"/>
          </w:tcPr>
          <w:p>
            <w:pPr>
              <w:spacing w:after="0"/>
              <w:jc w:val="center"/>
              <w:rPr>
                <w:b/>
                <w:sz w:val="21"/>
                <w:szCs w:val="21"/>
                <w:lang w:eastAsia="zh-CN"/>
              </w:rPr>
            </w:pPr>
            <w:r>
              <w:rPr>
                <w:rFonts w:hint="eastAsia"/>
                <w:b/>
                <w:sz w:val="21"/>
                <w:szCs w:val="21"/>
                <w:lang w:eastAsia="zh-CN"/>
              </w:rPr>
              <w:t>坐标</w:t>
            </w:r>
          </w:p>
        </w:tc>
        <w:tc>
          <w:tcPr>
            <w:tcW w:w="709" w:type="dxa"/>
            <w:vMerge w:val="restart"/>
            <w:vAlign w:val="center"/>
          </w:tcPr>
          <w:p>
            <w:pPr>
              <w:spacing w:after="0"/>
              <w:jc w:val="center"/>
              <w:rPr>
                <w:b/>
                <w:sz w:val="21"/>
                <w:szCs w:val="21"/>
                <w:lang w:eastAsia="zh-CN"/>
              </w:rPr>
            </w:pPr>
            <w:r>
              <w:rPr>
                <w:rFonts w:hint="eastAsia"/>
                <w:b/>
                <w:sz w:val="21"/>
                <w:szCs w:val="21"/>
                <w:lang w:eastAsia="zh-CN"/>
              </w:rPr>
              <w:t>保护对象</w:t>
            </w:r>
          </w:p>
        </w:tc>
        <w:tc>
          <w:tcPr>
            <w:tcW w:w="2410" w:type="dxa"/>
            <w:vMerge w:val="restart"/>
            <w:vAlign w:val="center"/>
          </w:tcPr>
          <w:p>
            <w:pPr>
              <w:spacing w:after="0"/>
              <w:jc w:val="center"/>
              <w:rPr>
                <w:b/>
                <w:sz w:val="21"/>
                <w:szCs w:val="21"/>
                <w:lang w:eastAsia="zh-CN"/>
              </w:rPr>
            </w:pPr>
            <w:r>
              <w:rPr>
                <w:rFonts w:hint="eastAsia"/>
                <w:b/>
                <w:sz w:val="21"/>
                <w:szCs w:val="21"/>
                <w:lang w:eastAsia="zh-CN"/>
              </w:rPr>
              <w:t>保护内容</w:t>
            </w:r>
          </w:p>
        </w:tc>
        <w:tc>
          <w:tcPr>
            <w:tcW w:w="850" w:type="dxa"/>
            <w:vMerge w:val="restart"/>
            <w:vAlign w:val="center"/>
          </w:tcPr>
          <w:p>
            <w:pPr>
              <w:spacing w:after="0"/>
              <w:jc w:val="center"/>
              <w:rPr>
                <w:b/>
                <w:sz w:val="21"/>
                <w:szCs w:val="21"/>
                <w:lang w:eastAsia="zh-CN"/>
              </w:rPr>
            </w:pPr>
            <w:r>
              <w:rPr>
                <w:rFonts w:hint="eastAsia"/>
                <w:b/>
                <w:sz w:val="21"/>
                <w:szCs w:val="21"/>
                <w:lang w:eastAsia="zh-CN"/>
              </w:rPr>
              <w:t>环境功能区</w:t>
            </w:r>
          </w:p>
        </w:tc>
        <w:tc>
          <w:tcPr>
            <w:tcW w:w="709" w:type="dxa"/>
            <w:vMerge w:val="restart"/>
            <w:vAlign w:val="center"/>
          </w:tcPr>
          <w:p>
            <w:pPr>
              <w:spacing w:after="0"/>
              <w:jc w:val="center"/>
              <w:rPr>
                <w:b/>
                <w:sz w:val="21"/>
                <w:szCs w:val="21"/>
                <w:lang w:eastAsia="zh-CN"/>
              </w:rPr>
            </w:pPr>
            <w:r>
              <w:rPr>
                <w:rFonts w:hint="eastAsia"/>
                <w:b/>
                <w:sz w:val="21"/>
                <w:szCs w:val="21"/>
                <w:lang w:eastAsia="zh-CN"/>
              </w:rPr>
              <w:t>相对厂址方位</w:t>
            </w:r>
          </w:p>
        </w:tc>
        <w:tc>
          <w:tcPr>
            <w:tcW w:w="1276" w:type="dxa"/>
            <w:vMerge w:val="restart"/>
            <w:vAlign w:val="center"/>
          </w:tcPr>
          <w:p>
            <w:pPr>
              <w:spacing w:after="0"/>
              <w:jc w:val="center"/>
              <w:rPr>
                <w:b/>
                <w:sz w:val="21"/>
                <w:szCs w:val="21"/>
                <w:lang w:eastAsia="zh-CN"/>
              </w:rPr>
            </w:pPr>
            <w:r>
              <w:rPr>
                <w:rFonts w:hint="eastAsia"/>
                <w:b/>
                <w:sz w:val="21"/>
                <w:szCs w:val="21"/>
                <w:lang w:eastAsia="zh-CN"/>
              </w:rPr>
              <w:t>相对距离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6" w:type="dxa"/>
            <w:vMerge w:val="continue"/>
            <w:vAlign w:val="center"/>
          </w:tcPr>
          <w:p>
            <w:pPr>
              <w:spacing w:after="0"/>
              <w:jc w:val="center"/>
              <w:rPr>
                <w:rFonts w:eastAsiaTheme="minorEastAsia"/>
                <w:sz w:val="21"/>
                <w:szCs w:val="21"/>
                <w:lang w:eastAsia="zh-CN"/>
              </w:rPr>
            </w:pPr>
          </w:p>
        </w:tc>
        <w:tc>
          <w:tcPr>
            <w:tcW w:w="1003" w:type="dxa"/>
            <w:vMerge w:val="continue"/>
            <w:vAlign w:val="center"/>
          </w:tcPr>
          <w:p>
            <w:pPr>
              <w:spacing w:after="0"/>
              <w:jc w:val="center"/>
              <w:rPr>
                <w:rFonts w:eastAsiaTheme="minorEastAsia"/>
                <w:sz w:val="21"/>
                <w:szCs w:val="21"/>
                <w:lang w:eastAsia="zh-CN"/>
              </w:rPr>
            </w:pPr>
          </w:p>
        </w:tc>
        <w:tc>
          <w:tcPr>
            <w:tcW w:w="993" w:type="dxa"/>
            <w:vAlign w:val="center"/>
          </w:tcPr>
          <w:p>
            <w:pPr>
              <w:spacing w:after="0"/>
              <w:jc w:val="center"/>
              <w:rPr>
                <w:rFonts w:eastAsiaTheme="minorEastAsia"/>
                <w:sz w:val="21"/>
                <w:szCs w:val="21"/>
                <w:lang w:eastAsia="zh-CN"/>
              </w:rPr>
            </w:pPr>
            <w:r>
              <w:rPr>
                <w:rFonts w:hint="eastAsia" w:hAnsi="宋体" w:cs="宋体"/>
                <w:sz w:val="21"/>
                <w:szCs w:val="21"/>
                <w:lang w:eastAsia="zh-CN"/>
              </w:rPr>
              <w:t>东经</w:t>
            </w:r>
          </w:p>
        </w:tc>
        <w:tc>
          <w:tcPr>
            <w:tcW w:w="850" w:type="dxa"/>
            <w:vAlign w:val="center"/>
          </w:tcPr>
          <w:p>
            <w:pPr>
              <w:spacing w:after="0"/>
              <w:jc w:val="center"/>
              <w:rPr>
                <w:rFonts w:eastAsiaTheme="minorEastAsia"/>
                <w:sz w:val="21"/>
                <w:szCs w:val="21"/>
                <w:lang w:eastAsia="zh-CN"/>
              </w:rPr>
            </w:pPr>
            <w:r>
              <w:rPr>
                <w:rFonts w:hint="eastAsia" w:hAnsi="宋体" w:cs="宋体"/>
                <w:sz w:val="21"/>
                <w:szCs w:val="21"/>
                <w:lang w:eastAsia="zh-CN"/>
              </w:rPr>
              <w:t>北纬</w:t>
            </w:r>
          </w:p>
        </w:tc>
        <w:tc>
          <w:tcPr>
            <w:tcW w:w="709" w:type="dxa"/>
            <w:vMerge w:val="continue"/>
            <w:vAlign w:val="center"/>
          </w:tcPr>
          <w:p>
            <w:pPr>
              <w:spacing w:after="0"/>
              <w:jc w:val="center"/>
              <w:rPr>
                <w:rFonts w:eastAsiaTheme="minorEastAsia"/>
                <w:sz w:val="21"/>
                <w:szCs w:val="21"/>
                <w:lang w:eastAsia="zh-CN"/>
              </w:rPr>
            </w:pPr>
          </w:p>
        </w:tc>
        <w:tc>
          <w:tcPr>
            <w:tcW w:w="2410" w:type="dxa"/>
            <w:vMerge w:val="continue"/>
            <w:vAlign w:val="center"/>
          </w:tcPr>
          <w:p>
            <w:pPr>
              <w:spacing w:after="0"/>
              <w:jc w:val="center"/>
              <w:rPr>
                <w:rFonts w:eastAsiaTheme="minorEastAsia"/>
                <w:sz w:val="21"/>
                <w:szCs w:val="21"/>
                <w:lang w:eastAsia="zh-CN"/>
              </w:rPr>
            </w:pPr>
          </w:p>
        </w:tc>
        <w:tc>
          <w:tcPr>
            <w:tcW w:w="850" w:type="dxa"/>
            <w:vMerge w:val="continue"/>
            <w:vAlign w:val="center"/>
          </w:tcPr>
          <w:p>
            <w:pPr>
              <w:spacing w:after="0"/>
              <w:jc w:val="center"/>
              <w:rPr>
                <w:rFonts w:eastAsiaTheme="minorEastAsia"/>
                <w:sz w:val="21"/>
                <w:szCs w:val="21"/>
                <w:lang w:eastAsia="zh-CN"/>
              </w:rPr>
            </w:pPr>
          </w:p>
        </w:tc>
        <w:tc>
          <w:tcPr>
            <w:tcW w:w="709" w:type="dxa"/>
            <w:vMerge w:val="continue"/>
            <w:vAlign w:val="center"/>
          </w:tcPr>
          <w:p>
            <w:pPr>
              <w:spacing w:after="0"/>
              <w:jc w:val="center"/>
              <w:rPr>
                <w:rFonts w:eastAsiaTheme="minorEastAsia"/>
                <w:sz w:val="21"/>
                <w:szCs w:val="21"/>
                <w:lang w:eastAsia="zh-CN"/>
              </w:rPr>
            </w:pPr>
          </w:p>
        </w:tc>
        <w:tc>
          <w:tcPr>
            <w:tcW w:w="1276" w:type="dxa"/>
            <w:vMerge w:val="continue"/>
            <w:vAlign w:val="center"/>
          </w:tcPr>
          <w:p>
            <w:pPr>
              <w:spacing w:after="0"/>
              <w:jc w:val="center"/>
              <w:rPr>
                <w:rFonts w:eastAsiaTheme="minorEastAsia"/>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6" w:type="dxa"/>
            <w:vMerge w:val="restart"/>
            <w:vAlign w:val="center"/>
          </w:tcPr>
          <w:p>
            <w:pPr>
              <w:spacing w:after="0"/>
              <w:jc w:val="center"/>
              <w:rPr>
                <w:rFonts w:eastAsiaTheme="minorEastAsia"/>
                <w:sz w:val="21"/>
                <w:szCs w:val="21"/>
              </w:rPr>
            </w:pPr>
            <w:r>
              <w:rPr>
                <w:rFonts w:hint="eastAsia" w:eastAsiaTheme="minorEastAsia"/>
                <w:sz w:val="21"/>
                <w:szCs w:val="21"/>
              </w:rPr>
              <w:t>地表水</w:t>
            </w:r>
          </w:p>
        </w:tc>
        <w:tc>
          <w:tcPr>
            <w:tcW w:w="1003" w:type="dxa"/>
            <w:vAlign w:val="center"/>
          </w:tcPr>
          <w:p>
            <w:pPr>
              <w:spacing w:after="0"/>
              <w:jc w:val="center"/>
              <w:rPr>
                <w:rFonts w:eastAsiaTheme="minorEastAsia"/>
                <w:color w:val="000000"/>
                <w:sz w:val="21"/>
                <w:szCs w:val="21"/>
              </w:rPr>
            </w:pPr>
            <w:r>
              <w:rPr>
                <w:rFonts w:hint="eastAsia" w:eastAsiaTheme="minorEastAsia"/>
                <w:color w:val="000000"/>
                <w:sz w:val="21"/>
                <w:szCs w:val="21"/>
              </w:rPr>
              <w:t>长江</w:t>
            </w:r>
          </w:p>
        </w:tc>
        <w:tc>
          <w:tcPr>
            <w:tcW w:w="993" w:type="dxa"/>
            <w:vAlign w:val="center"/>
          </w:tcPr>
          <w:p>
            <w:pPr>
              <w:pStyle w:val="16"/>
              <w:spacing w:after="0"/>
              <w:jc w:val="center"/>
              <w:rPr>
                <w:rFonts w:ascii="Times New Roman" w:hAnsi="Times New Roman" w:eastAsiaTheme="minorEastAsia"/>
                <w:sz w:val="21"/>
                <w:szCs w:val="21"/>
              </w:rPr>
            </w:pPr>
          </w:p>
        </w:tc>
        <w:tc>
          <w:tcPr>
            <w:tcW w:w="850" w:type="dxa"/>
            <w:vAlign w:val="center"/>
          </w:tcPr>
          <w:p>
            <w:pPr>
              <w:pStyle w:val="16"/>
              <w:spacing w:after="0"/>
              <w:jc w:val="center"/>
              <w:rPr>
                <w:rFonts w:ascii="Times New Roman" w:hAnsi="Times New Roman" w:eastAsiaTheme="minorEastAsia"/>
                <w:sz w:val="21"/>
                <w:szCs w:val="21"/>
              </w:rPr>
            </w:pPr>
          </w:p>
        </w:tc>
        <w:tc>
          <w:tcPr>
            <w:tcW w:w="709" w:type="dxa"/>
            <w:vAlign w:val="center"/>
          </w:tcPr>
          <w:p>
            <w:pPr>
              <w:pStyle w:val="16"/>
              <w:spacing w:after="0"/>
              <w:jc w:val="center"/>
              <w:rPr>
                <w:rFonts w:ascii="Times New Roman" w:hAnsi="Times New Roman" w:eastAsiaTheme="minorEastAsia"/>
                <w:sz w:val="21"/>
                <w:szCs w:val="21"/>
              </w:rPr>
            </w:pPr>
            <w:r>
              <w:rPr>
                <w:rFonts w:hint="eastAsia" w:hAnsi="宋体" w:cs="宋体"/>
                <w:sz w:val="21"/>
                <w:szCs w:val="21"/>
              </w:rPr>
              <w:t>大河</w:t>
            </w:r>
          </w:p>
        </w:tc>
        <w:tc>
          <w:tcPr>
            <w:tcW w:w="2410" w:type="dxa"/>
            <w:vAlign w:val="center"/>
          </w:tcPr>
          <w:p>
            <w:pPr>
              <w:pStyle w:val="16"/>
              <w:spacing w:after="0"/>
              <w:jc w:val="center"/>
              <w:rPr>
                <w:rFonts w:eastAsiaTheme="minorEastAsia"/>
                <w:color w:val="000000"/>
                <w:sz w:val="21"/>
                <w:szCs w:val="21"/>
              </w:rPr>
            </w:pPr>
            <w:r>
              <w:rPr>
                <w:rFonts w:eastAsiaTheme="minorEastAsia"/>
                <w:color w:val="000000"/>
                <w:sz w:val="21"/>
                <w:szCs w:val="21"/>
              </w:rPr>
              <w:t>鱼类、水生动植物、</w:t>
            </w:r>
          </w:p>
          <w:p>
            <w:pPr>
              <w:pStyle w:val="16"/>
              <w:spacing w:after="0"/>
              <w:jc w:val="center"/>
              <w:rPr>
                <w:rFonts w:eastAsiaTheme="minorEastAsia"/>
                <w:color w:val="000000"/>
                <w:sz w:val="21"/>
                <w:szCs w:val="21"/>
              </w:rPr>
            </w:pPr>
            <w:r>
              <w:rPr>
                <w:rFonts w:eastAsiaTheme="minorEastAsia"/>
                <w:color w:val="000000"/>
                <w:sz w:val="21"/>
                <w:szCs w:val="21"/>
              </w:rPr>
              <w:t>国家重点保护的</w:t>
            </w:r>
          </w:p>
          <w:p>
            <w:pPr>
              <w:pStyle w:val="16"/>
              <w:spacing w:after="0"/>
              <w:jc w:val="center"/>
              <w:rPr>
                <w:rFonts w:ascii="Times New Roman" w:hAnsi="Times New Roman" w:eastAsiaTheme="minorEastAsia"/>
                <w:sz w:val="21"/>
                <w:szCs w:val="21"/>
              </w:rPr>
            </w:pPr>
            <w:r>
              <w:rPr>
                <w:rFonts w:eastAsiaTheme="minorEastAsia"/>
                <w:color w:val="000000"/>
                <w:sz w:val="21"/>
                <w:szCs w:val="21"/>
              </w:rPr>
              <w:t>水生哺乳动物</w:t>
            </w:r>
          </w:p>
        </w:tc>
        <w:tc>
          <w:tcPr>
            <w:tcW w:w="850" w:type="dxa"/>
            <w:vAlign w:val="center"/>
          </w:tcPr>
          <w:p>
            <w:pPr>
              <w:pStyle w:val="16"/>
              <w:spacing w:after="0"/>
              <w:jc w:val="center"/>
              <w:rPr>
                <w:rFonts w:ascii="Times New Roman" w:hAnsi="Times New Roman" w:eastAsiaTheme="minorEastAsia"/>
                <w:sz w:val="21"/>
                <w:szCs w:val="21"/>
              </w:rPr>
            </w:pPr>
            <w:r>
              <w:rPr>
                <w:rFonts w:hint="eastAsia" w:hAnsi="宋体" w:cs="宋体"/>
                <w:sz w:val="21"/>
                <w:szCs w:val="21"/>
              </w:rPr>
              <w:t>二类区</w:t>
            </w:r>
          </w:p>
        </w:tc>
        <w:tc>
          <w:tcPr>
            <w:tcW w:w="709" w:type="dxa"/>
            <w:vAlign w:val="center"/>
          </w:tcPr>
          <w:p>
            <w:pPr>
              <w:spacing w:after="0"/>
              <w:jc w:val="center"/>
              <w:rPr>
                <w:rFonts w:eastAsiaTheme="minorEastAsia"/>
                <w:sz w:val="21"/>
                <w:szCs w:val="21"/>
              </w:rPr>
            </w:pPr>
            <w:r>
              <w:rPr>
                <w:rFonts w:hint="eastAsia" w:eastAsiaTheme="minorEastAsia"/>
                <w:sz w:val="21"/>
                <w:szCs w:val="21"/>
              </w:rPr>
              <w:t>N</w:t>
            </w:r>
          </w:p>
        </w:tc>
        <w:tc>
          <w:tcPr>
            <w:tcW w:w="1276" w:type="dxa"/>
            <w:vAlign w:val="center"/>
          </w:tcPr>
          <w:p>
            <w:pPr>
              <w:pStyle w:val="16"/>
              <w:spacing w:after="0"/>
              <w:jc w:val="center"/>
              <w:rPr>
                <w:rFonts w:ascii="Times New Roman" w:hAnsi="Times New Roman" w:eastAsiaTheme="minorEastAsia"/>
                <w:sz w:val="21"/>
                <w:szCs w:val="21"/>
              </w:rPr>
            </w:pPr>
            <w:r>
              <w:rPr>
                <w:rFonts w:hint="eastAsia" w:hAnsi="宋体" w:cs="宋体"/>
                <w:sz w:val="21"/>
                <w:szCs w:val="21"/>
              </w:rPr>
              <w:t>约</w:t>
            </w:r>
            <w:r>
              <w:rPr>
                <w:rFonts w:hint="eastAsia" w:ascii="Times New Roman" w:hAnsi="Times New Roman" w:eastAsiaTheme="minorEastAsia"/>
                <w:sz w:val="21"/>
                <w:szCs w:val="21"/>
              </w:rPr>
              <w:t>1200</w:t>
            </w:r>
            <w:r>
              <w:rPr>
                <w:rFonts w:ascii="Times New Roman" w:hAnsi="Times New Roman" w:eastAsiaTheme="minorEastAsia"/>
                <w:sz w:val="21"/>
                <w:szCs w:val="21"/>
              </w:rPr>
              <w:t>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6" w:type="dxa"/>
            <w:vMerge w:val="continue"/>
            <w:vAlign w:val="center"/>
          </w:tcPr>
          <w:p>
            <w:pPr>
              <w:spacing w:after="0"/>
              <w:jc w:val="center"/>
              <w:rPr>
                <w:rFonts w:eastAsiaTheme="minorEastAsia"/>
                <w:sz w:val="21"/>
                <w:szCs w:val="21"/>
                <w:lang w:eastAsia="zh-CN"/>
              </w:rPr>
            </w:pPr>
          </w:p>
        </w:tc>
        <w:tc>
          <w:tcPr>
            <w:tcW w:w="1003" w:type="dxa"/>
            <w:vAlign w:val="center"/>
          </w:tcPr>
          <w:p>
            <w:pPr>
              <w:spacing w:after="0"/>
              <w:jc w:val="center"/>
              <w:rPr>
                <w:rFonts w:hAnsi="宋体" w:eastAsiaTheme="minorEastAsia"/>
                <w:color w:val="000000"/>
                <w:sz w:val="21"/>
                <w:szCs w:val="21"/>
              </w:rPr>
            </w:pPr>
            <w:r>
              <w:rPr>
                <w:rFonts w:hint="eastAsia" w:eastAsiaTheme="minorEastAsia"/>
                <w:color w:val="000000"/>
                <w:sz w:val="21"/>
                <w:szCs w:val="21"/>
              </w:rPr>
              <w:t>芭蕉湖</w:t>
            </w:r>
          </w:p>
        </w:tc>
        <w:tc>
          <w:tcPr>
            <w:tcW w:w="993" w:type="dxa"/>
            <w:vAlign w:val="center"/>
          </w:tcPr>
          <w:p>
            <w:pPr>
              <w:pStyle w:val="16"/>
              <w:spacing w:after="0"/>
              <w:jc w:val="center"/>
              <w:rPr>
                <w:rFonts w:hAnsi="宋体" w:eastAsiaTheme="minorEastAsia"/>
                <w:sz w:val="21"/>
                <w:szCs w:val="21"/>
              </w:rPr>
            </w:pPr>
            <w:r>
              <w:rPr>
                <w:rFonts w:ascii="Arial" w:hAnsi="Arial" w:cs="Arial"/>
                <w:color w:val="333333"/>
                <w:sz w:val="19"/>
                <w:szCs w:val="19"/>
                <w:shd w:val="clear" w:color="auto" w:fill="FFFFFF"/>
              </w:rPr>
              <w:t>113°12''</w:t>
            </w:r>
          </w:p>
        </w:tc>
        <w:tc>
          <w:tcPr>
            <w:tcW w:w="850" w:type="dxa"/>
            <w:vAlign w:val="center"/>
          </w:tcPr>
          <w:p>
            <w:pPr>
              <w:pStyle w:val="16"/>
              <w:spacing w:after="0"/>
              <w:jc w:val="center"/>
              <w:rPr>
                <w:rFonts w:hAnsi="宋体" w:eastAsiaTheme="minorEastAsia"/>
                <w:sz w:val="21"/>
                <w:szCs w:val="21"/>
              </w:rPr>
            </w:pPr>
            <w:r>
              <w:rPr>
                <w:rFonts w:ascii="Arial" w:hAnsi="Arial" w:cs="Arial"/>
                <w:color w:val="333333"/>
                <w:sz w:val="19"/>
                <w:szCs w:val="19"/>
                <w:shd w:val="clear" w:color="auto" w:fill="FFFFFF"/>
              </w:rPr>
              <w:t>29°26</w:t>
            </w:r>
          </w:p>
        </w:tc>
        <w:tc>
          <w:tcPr>
            <w:tcW w:w="709" w:type="dxa"/>
            <w:vAlign w:val="center"/>
          </w:tcPr>
          <w:p>
            <w:pPr>
              <w:pStyle w:val="16"/>
              <w:spacing w:after="0"/>
              <w:jc w:val="center"/>
              <w:rPr>
                <w:rFonts w:hAnsi="宋体" w:eastAsiaTheme="minorEastAsia"/>
                <w:sz w:val="21"/>
                <w:szCs w:val="21"/>
              </w:rPr>
            </w:pPr>
            <w:r>
              <w:rPr>
                <w:rFonts w:hint="eastAsia" w:hAnsi="宋体" w:cs="宋体"/>
                <w:sz w:val="21"/>
                <w:szCs w:val="21"/>
              </w:rPr>
              <w:t>湖泊</w:t>
            </w:r>
          </w:p>
        </w:tc>
        <w:tc>
          <w:tcPr>
            <w:tcW w:w="2410" w:type="dxa"/>
            <w:vAlign w:val="center"/>
          </w:tcPr>
          <w:p>
            <w:pPr>
              <w:pStyle w:val="16"/>
              <w:spacing w:after="0"/>
              <w:jc w:val="center"/>
              <w:rPr>
                <w:rFonts w:hAnsi="宋体" w:eastAsiaTheme="minorEastAsia"/>
                <w:sz w:val="21"/>
                <w:szCs w:val="21"/>
              </w:rPr>
            </w:pPr>
            <w:r>
              <w:rPr>
                <w:rFonts w:eastAsiaTheme="minorEastAsia"/>
                <w:color w:val="000000"/>
                <w:sz w:val="21"/>
                <w:szCs w:val="21"/>
              </w:rPr>
              <w:t>鱼类、水生动植物</w:t>
            </w:r>
          </w:p>
        </w:tc>
        <w:tc>
          <w:tcPr>
            <w:tcW w:w="850" w:type="dxa"/>
            <w:vAlign w:val="center"/>
          </w:tcPr>
          <w:p>
            <w:pPr>
              <w:pStyle w:val="16"/>
              <w:spacing w:after="0"/>
              <w:jc w:val="center"/>
              <w:rPr>
                <w:rFonts w:hAnsi="宋体" w:eastAsiaTheme="minorEastAsia"/>
                <w:sz w:val="21"/>
                <w:szCs w:val="21"/>
              </w:rPr>
            </w:pPr>
            <w:r>
              <w:rPr>
                <w:rFonts w:hint="eastAsia" w:hAnsi="宋体" w:cs="宋体"/>
                <w:sz w:val="21"/>
                <w:szCs w:val="21"/>
              </w:rPr>
              <w:t>二类区</w:t>
            </w:r>
          </w:p>
        </w:tc>
        <w:tc>
          <w:tcPr>
            <w:tcW w:w="709" w:type="dxa"/>
            <w:vAlign w:val="center"/>
          </w:tcPr>
          <w:p>
            <w:pPr>
              <w:spacing w:after="0"/>
              <w:jc w:val="center"/>
              <w:rPr>
                <w:rFonts w:hAnsi="宋体" w:eastAsiaTheme="minorEastAsia"/>
                <w:sz w:val="21"/>
                <w:szCs w:val="21"/>
              </w:rPr>
            </w:pPr>
            <w:r>
              <w:rPr>
                <w:rFonts w:eastAsiaTheme="minorEastAsia"/>
                <w:sz w:val="21"/>
                <w:szCs w:val="21"/>
              </w:rPr>
              <w:t>E</w:t>
            </w:r>
          </w:p>
        </w:tc>
        <w:tc>
          <w:tcPr>
            <w:tcW w:w="1276" w:type="dxa"/>
            <w:vAlign w:val="center"/>
          </w:tcPr>
          <w:p>
            <w:pPr>
              <w:pStyle w:val="16"/>
              <w:spacing w:after="0"/>
              <w:jc w:val="center"/>
              <w:rPr>
                <w:rFonts w:hAnsi="宋体" w:eastAsiaTheme="minorEastAsia"/>
                <w:sz w:val="21"/>
                <w:szCs w:val="21"/>
              </w:rPr>
            </w:pPr>
            <w:r>
              <w:rPr>
                <w:rFonts w:hint="eastAsia" w:hAnsi="宋体" w:cs="宋体"/>
                <w:sz w:val="21"/>
                <w:szCs w:val="21"/>
              </w:rPr>
              <w:t>约</w:t>
            </w:r>
            <w:r>
              <w:rPr>
                <w:rFonts w:hint="eastAsia" w:ascii="Times New Roman" w:hAnsi="Times New Roman" w:eastAsiaTheme="minorEastAsia"/>
                <w:sz w:val="21"/>
                <w:szCs w:val="21"/>
              </w:rPr>
              <w:t>800</w:t>
            </w:r>
            <w:r>
              <w:rPr>
                <w:rFonts w:ascii="Times New Roman" w:hAnsi="Times New Roman" w:eastAsiaTheme="minorEastAsia"/>
                <w:sz w:val="21"/>
                <w:szCs w:val="21"/>
              </w:rPr>
              <w:t>m</w:t>
            </w:r>
          </w:p>
        </w:tc>
      </w:tr>
    </w:tbl>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p>
    <w:p>
      <w:pPr>
        <w:pStyle w:val="29"/>
        <w:wordWrap w:val="0"/>
        <w:adjustRightInd/>
        <w:snapToGrid/>
        <w:ind w:firstLine="0" w:firstLineChars="0"/>
        <w:jc w:val="center"/>
        <w:rPr>
          <w:b/>
          <w:szCs w:val="24"/>
        </w:rPr>
      </w:pPr>
      <w:r>
        <w:rPr>
          <w:rFonts w:hint="eastAsia"/>
          <w:b/>
          <w:szCs w:val="24"/>
        </w:rPr>
        <w:t>图2.5-1环境保护目标图</w:t>
      </w:r>
    </w:p>
    <w:p>
      <w:pPr>
        <w:pStyle w:val="29"/>
        <w:wordWrap w:val="0"/>
        <w:adjustRightInd/>
        <w:snapToGrid/>
        <w:ind w:firstLine="0" w:firstLineChars="0"/>
        <w:jc w:val="center"/>
        <w:rPr>
          <w:b/>
          <w:szCs w:val="24"/>
        </w:rPr>
      </w:pPr>
      <w:r>
        <w:rPr>
          <w:b/>
          <w:szCs w:val="24"/>
          <w:lang w:eastAsia="en-US"/>
        </w:rPr>
        <w:drawing>
          <wp:inline distT="0" distB="0" distL="0" distR="0">
            <wp:extent cx="5118100" cy="4400550"/>
            <wp:effectExtent l="1905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srcRect/>
                    <a:stretch>
                      <a:fillRect/>
                    </a:stretch>
                  </pic:blipFill>
                  <pic:spPr>
                    <a:xfrm>
                      <a:off x="0" y="0"/>
                      <a:ext cx="5118100" cy="4400710"/>
                    </a:xfrm>
                    <a:prstGeom prst="rect">
                      <a:avLst/>
                    </a:prstGeom>
                    <a:noFill/>
                    <a:ln w="9525">
                      <a:noFill/>
                      <a:miter lim="800000"/>
                      <a:headEnd/>
                      <a:tailEnd/>
                    </a:ln>
                  </pic:spPr>
                </pic:pic>
              </a:graphicData>
            </a:graphic>
          </wp:inline>
        </w:drawing>
      </w:r>
    </w:p>
    <w:p>
      <w:pPr>
        <w:pStyle w:val="29"/>
        <w:wordWrap w:val="0"/>
        <w:adjustRightInd/>
        <w:snapToGrid/>
        <w:ind w:firstLine="0" w:firstLineChars="0"/>
        <w:rPr>
          <w:b/>
          <w:sz w:val="36"/>
          <w:szCs w:val="36"/>
        </w:rPr>
      </w:pPr>
    </w:p>
    <w:tbl>
      <w:tblPr>
        <w:tblStyle w:val="30"/>
        <w:tblW w:w="9096" w:type="dxa"/>
        <w:tblInd w:w="0" w:type="dxa"/>
        <w:tblLayout w:type="fixed"/>
        <w:tblCellMar>
          <w:top w:w="0" w:type="dxa"/>
          <w:left w:w="108" w:type="dxa"/>
          <w:bottom w:w="0" w:type="dxa"/>
          <w:right w:w="108" w:type="dxa"/>
        </w:tblCellMar>
      </w:tblPr>
      <w:tblGrid>
        <w:gridCol w:w="601"/>
        <w:gridCol w:w="610"/>
        <w:gridCol w:w="610"/>
        <w:gridCol w:w="610"/>
        <w:gridCol w:w="611"/>
        <w:gridCol w:w="611"/>
        <w:gridCol w:w="611"/>
        <w:gridCol w:w="611"/>
        <w:gridCol w:w="611"/>
        <w:gridCol w:w="611"/>
        <w:gridCol w:w="611"/>
        <w:gridCol w:w="609"/>
        <w:gridCol w:w="609"/>
        <w:gridCol w:w="609"/>
        <w:gridCol w:w="561"/>
      </w:tblGrid>
      <w:tr>
        <w:tblPrEx>
          <w:tblCellMar>
            <w:top w:w="0" w:type="dxa"/>
            <w:left w:w="108" w:type="dxa"/>
            <w:bottom w:w="0" w:type="dxa"/>
            <w:right w:w="108" w:type="dxa"/>
          </w:tblCellMar>
        </w:tblPrEx>
        <w:tc>
          <w:tcPr>
            <w:tcW w:w="60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代号</w:t>
            </w:r>
          </w:p>
        </w:tc>
        <w:tc>
          <w:tcPr>
            <w:tcW w:w="610"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①</w:t>
            </w:r>
          </w:p>
        </w:tc>
        <w:tc>
          <w:tcPr>
            <w:tcW w:w="610"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②</w:t>
            </w:r>
          </w:p>
        </w:tc>
        <w:tc>
          <w:tcPr>
            <w:tcW w:w="610"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③</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④</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⑤</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⑥</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⑦</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⑧</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⑨</w:t>
            </w:r>
          </w:p>
        </w:tc>
        <w:tc>
          <w:tcPr>
            <w:tcW w:w="61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⑩</w:t>
            </w:r>
          </w:p>
        </w:tc>
        <w:tc>
          <w:tcPr>
            <w:tcW w:w="609"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⑪</w:t>
            </w:r>
          </w:p>
        </w:tc>
        <w:tc>
          <w:tcPr>
            <w:tcW w:w="609"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⑫</w:t>
            </w:r>
          </w:p>
        </w:tc>
        <w:tc>
          <w:tcPr>
            <w:tcW w:w="609"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⑬</w:t>
            </w:r>
          </w:p>
        </w:tc>
        <w:tc>
          <w:tcPr>
            <w:tcW w:w="561" w:type="dxa"/>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⑭</w:t>
            </w:r>
          </w:p>
        </w:tc>
      </w:tr>
      <w:tr>
        <w:tblPrEx>
          <w:tblCellMar>
            <w:top w:w="0" w:type="dxa"/>
            <w:left w:w="108" w:type="dxa"/>
            <w:bottom w:w="0" w:type="dxa"/>
            <w:right w:w="108" w:type="dxa"/>
          </w:tblCellMar>
        </w:tblPrEx>
        <w:trPr>
          <w:trHeight w:val="2388" w:hRule="atLeast"/>
        </w:trPr>
        <w:tc>
          <w:tcPr>
            <w:tcW w:w="601" w:type="dxa"/>
          </w:tcPr>
          <w:p>
            <w:pPr>
              <w:rPr>
                <w:rFonts w:ascii="Cambria Math" w:hAnsi="Cambria Math" w:cs="Cambria Math" w:eastAsiaTheme="minorEastAsia"/>
                <w:b/>
                <w:sz w:val="20"/>
                <w:szCs w:val="20"/>
              </w:rPr>
            </w:pPr>
            <w:r>
              <w:rPr>
                <w:rFonts w:hint="eastAsia" w:ascii="Cambria Math" w:hAnsi="Cambria Math" w:cs="Cambria Math"/>
                <w:b/>
                <w:sz w:val="20"/>
                <w:szCs w:val="20"/>
                <w:lang w:eastAsia="zh-CN"/>
              </w:rPr>
              <w:t>环境保护</w:t>
            </w:r>
            <w:r>
              <w:rPr>
                <w:rFonts w:hint="eastAsia" w:ascii="Cambria Math" w:hAnsi="Cambria Math" w:cs="Cambria Math" w:eastAsiaTheme="minorEastAsia"/>
                <w:b/>
                <w:sz w:val="20"/>
                <w:szCs w:val="20"/>
              </w:rPr>
              <w:t>名称</w:t>
            </w:r>
          </w:p>
        </w:tc>
        <w:tc>
          <w:tcPr>
            <w:tcW w:w="610"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擂鼓台村</w:t>
            </w:r>
          </w:p>
        </w:tc>
        <w:tc>
          <w:tcPr>
            <w:tcW w:w="610"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长江村</w:t>
            </w:r>
          </w:p>
        </w:tc>
        <w:tc>
          <w:tcPr>
            <w:tcW w:w="610"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苏家坡</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光明村</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洪家洲社区</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泰格职业技术学院</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林纸医院</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新建山小区</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城陵矶红旗组</w:t>
            </w:r>
          </w:p>
        </w:tc>
        <w:tc>
          <w:tcPr>
            <w:tcW w:w="61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紫园小区</w:t>
            </w:r>
          </w:p>
        </w:tc>
        <w:tc>
          <w:tcPr>
            <w:tcW w:w="609"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恒泰雅园</w:t>
            </w:r>
          </w:p>
        </w:tc>
        <w:tc>
          <w:tcPr>
            <w:tcW w:w="609"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长江</w:t>
            </w:r>
          </w:p>
        </w:tc>
        <w:tc>
          <w:tcPr>
            <w:tcW w:w="609"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湘江</w:t>
            </w:r>
          </w:p>
        </w:tc>
        <w:tc>
          <w:tcPr>
            <w:tcW w:w="561" w:type="dxa"/>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芭蕉湖</w:t>
            </w:r>
          </w:p>
        </w:tc>
      </w:tr>
    </w:tbl>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385" w:name="_Toc24969738"/>
      <w:bookmarkStart w:id="386" w:name="_Toc22200987"/>
      <w:bookmarkStart w:id="387" w:name="_Toc22202325"/>
      <w:bookmarkStart w:id="388" w:name="_Toc22202033"/>
      <w:bookmarkStart w:id="389" w:name="_Toc22200320"/>
      <w:bookmarkStart w:id="390" w:name="_Toc22199685"/>
      <w:bookmarkStart w:id="391" w:name="_Toc22202737"/>
      <w:r>
        <w:rPr>
          <w:rFonts w:hint="eastAsia" w:ascii="宋体" w:hAnsi="宋体" w:eastAsia="宋体"/>
          <w:sz w:val="44"/>
          <w:szCs w:val="44"/>
          <w:lang w:eastAsia="zh-CN"/>
        </w:rPr>
        <w:t>3.工程分析</w:t>
      </w:r>
      <w:bookmarkEnd w:id="385"/>
      <w:bookmarkEnd w:id="386"/>
      <w:bookmarkEnd w:id="387"/>
      <w:bookmarkEnd w:id="388"/>
      <w:bookmarkEnd w:id="389"/>
      <w:bookmarkEnd w:id="390"/>
      <w:bookmarkEnd w:id="391"/>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392" w:name="_Toc24969739"/>
      <w:bookmarkStart w:id="393" w:name="_Toc22200321"/>
      <w:bookmarkStart w:id="394" w:name="_Toc22200988"/>
      <w:bookmarkStart w:id="395" w:name="_Toc22202034"/>
      <w:bookmarkStart w:id="396" w:name="_Toc22202326"/>
      <w:bookmarkStart w:id="397" w:name="_Toc22202738"/>
      <w:r>
        <w:rPr>
          <w:rFonts w:hint="eastAsia" w:ascii="宋体" w:hAnsi="宋体" w:eastAsia="宋体"/>
          <w:color w:val="000000" w:themeColor="text1"/>
          <w:lang w:eastAsia="zh-CN"/>
        </w:rPr>
        <w:t>3.1依托工程基本内容</w:t>
      </w:r>
      <w:bookmarkEnd w:id="392"/>
      <w:bookmarkEnd w:id="393"/>
      <w:bookmarkEnd w:id="394"/>
      <w:bookmarkEnd w:id="395"/>
      <w:bookmarkEnd w:id="396"/>
      <w:bookmarkEnd w:id="397"/>
    </w:p>
    <w:p>
      <w:pPr>
        <w:pStyle w:val="27"/>
        <w:shd w:val="clear" w:color="auto" w:fill="FFFFFF"/>
        <w:spacing w:before="0" w:beforeAutospacing="0" w:after="0" w:afterAutospacing="0" w:line="360" w:lineRule="auto"/>
        <w:ind w:firstLine="465"/>
        <w:jc w:val="both"/>
        <w:rPr>
          <w:rFonts w:ascii="宋体" w:hAnsi="宋体" w:eastAsia="宋体" w:cs="宋体"/>
          <w:bCs/>
          <w:color w:val="333333"/>
          <w:lang w:eastAsia="zh-CN"/>
        </w:rPr>
      </w:pPr>
      <w:r>
        <w:rPr>
          <w:rFonts w:hint="eastAsia" w:ascii="宋体" w:hAnsi="宋体" w:eastAsia="宋体"/>
          <w:color w:val="3A3A3A"/>
          <w:lang w:eastAsia="zh-CN"/>
        </w:rPr>
        <w:t>华能岳阳电厂包括一期 2×362.5MW亚临界机组；二期2×300MW国产亚临界机组；三期 2×600MW</w:t>
      </w:r>
      <w:r>
        <w:rPr>
          <w:rFonts w:hint="eastAsia" w:ascii="宋体" w:hAnsi="宋体" w:eastAsia="宋体" w:cs="宋体"/>
          <w:color w:val="000000"/>
          <w:lang w:eastAsia="zh-CN"/>
        </w:rPr>
        <w:t>超超临界</w:t>
      </w:r>
      <w:r>
        <w:rPr>
          <w:rFonts w:hint="eastAsia" w:ascii="宋体" w:hAnsi="宋体" w:eastAsia="宋体"/>
          <w:color w:val="3A3A3A"/>
          <w:lang w:eastAsia="zh-CN"/>
        </w:rPr>
        <w:t xml:space="preserve"> 机组：5#和6#</w:t>
      </w:r>
      <w:r>
        <w:rPr>
          <w:rFonts w:hint="eastAsia" w:ascii="宋体" w:hAnsi="宋体" w:eastAsia="宋体" w:cs="宋体"/>
          <w:bCs/>
          <w:color w:val="333333"/>
          <w:lang w:eastAsia="zh-CN"/>
        </w:rPr>
        <w:t>机组。西安西热锅炉环保工程有限公司燃煤电厂污泥及生物质干燥炭化输送一体化处理系统关键技术研究依托</w:t>
      </w:r>
      <w:r>
        <w:rPr>
          <w:rFonts w:hint="eastAsia" w:ascii="宋体" w:hAnsi="宋体" w:eastAsia="宋体"/>
          <w:color w:val="3A3A3A"/>
          <w:lang w:eastAsia="zh-CN"/>
        </w:rPr>
        <w:t xml:space="preserve">三期 2×600MW </w:t>
      </w:r>
      <w:r>
        <w:rPr>
          <w:rFonts w:hint="eastAsia" w:ascii="宋体" w:hAnsi="宋体" w:eastAsia="宋体" w:cs="宋体"/>
          <w:bCs/>
          <w:color w:val="333333"/>
          <w:lang w:eastAsia="zh-CN"/>
        </w:rPr>
        <w:t>机组的5#和6#锅炉。该锅炉在二期主厂房东面扩建，距二期工程扩建端约 52m，三期工程主厂房与二期工程方向一致，固定端朝南偏西约 38°，向北偏东扩建。厂址总用地面积 90.94hm</w:t>
      </w:r>
      <w:r>
        <w:rPr>
          <w:rFonts w:hint="eastAsia" w:ascii="宋体" w:hAnsi="宋体" w:eastAsia="宋体" w:cs="宋体"/>
          <w:bCs/>
          <w:color w:val="333333"/>
          <w:vertAlign w:val="superscript"/>
          <w:lang w:eastAsia="zh-CN"/>
        </w:rPr>
        <w:t>2</w:t>
      </w:r>
      <w:r>
        <w:rPr>
          <w:rFonts w:hint="eastAsia" w:ascii="宋体" w:hAnsi="宋体" w:eastAsia="宋体" w:cs="宋体"/>
          <w:bCs/>
          <w:color w:val="333333"/>
          <w:lang w:eastAsia="zh-CN"/>
        </w:rPr>
        <w:t>，三期工程两台锅炉烟气经脱硝、除尘、脱硫等措施处理后，通过一座 240m 高的烟囱外排，外排废气浓度烟尘小于 10.00mg/dNm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，二氧化硫小于 35.00mg/dNm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，氮氧化物小于50.00mg/dNm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，满足环保要求。本项目依托工程内容及项目构成见</w:t>
      </w:r>
      <w:r>
        <w:rPr>
          <w:rFonts w:hint="eastAsia" w:ascii="宋体" w:hAnsi="宋体" w:eastAsia="宋体" w:cs="宋体"/>
          <w:b/>
          <w:bCs/>
          <w:color w:val="333333"/>
          <w:lang w:eastAsia="zh-CN"/>
        </w:rPr>
        <w:t>表3.1- 1</w:t>
      </w:r>
      <w:r>
        <w:rPr>
          <w:rFonts w:hint="eastAsia" w:ascii="宋体" w:hAnsi="宋体" w:eastAsia="宋体" w:cs="宋体"/>
          <w:bCs/>
          <w:color w:val="333333"/>
          <w:lang w:eastAsia="zh-CN"/>
        </w:rPr>
        <w:t>。</w:t>
      </w:r>
    </w:p>
    <w:p>
      <w:pPr>
        <w:pStyle w:val="10"/>
        <w:wordWrap w:val="0"/>
        <w:spacing w:after="0" w:line="360" w:lineRule="auto"/>
        <w:rPr>
          <w:szCs w:val="24"/>
        </w:rPr>
      </w:pPr>
      <w:r>
        <w:rPr>
          <w:rFonts w:hint="eastAsia"/>
          <w:szCs w:val="24"/>
        </w:rPr>
        <w:t>表3.1-1 依托工程内容及项目构成</w:t>
      </w:r>
    </w:p>
    <w:tbl>
      <w:tblPr>
        <w:tblStyle w:val="30"/>
        <w:tblW w:w="918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1134"/>
        <w:gridCol w:w="6237"/>
        <w:gridCol w:w="11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类别</w:t>
            </w:r>
          </w:p>
        </w:tc>
        <w:tc>
          <w:tcPr>
            <w:tcW w:w="1134"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工程名称</w:t>
            </w:r>
          </w:p>
        </w:tc>
        <w:tc>
          <w:tcPr>
            <w:tcW w:w="6237"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工程内容及规模</w:t>
            </w:r>
          </w:p>
        </w:tc>
        <w:tc>
          <w:tcPr>
            <w:tcW w:w="1134"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实际情况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主体工程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锅炉房</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主厂房</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汽机房</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配超超临界、一次中间再热、单轴、二缸二排气、凝汽式汽轮机</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公辅工程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机修间</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锅炉、汽机、电气、热工四大检修工程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供水</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生产及冷却水供水，生活用水供水。</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储运工程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煤储罐</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利用二期工程煤场，建设3个混煤筒储罐</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灰渣库</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利用前期工程灰渣库</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环保工程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废气</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锅炉烟气采用低氮燃烧+ SCR脱硝工艺，电除尘器除尘，采用石灰石-石膏湿法脱硫工艺，尾气达到《火电厂大气污染物排放标准》（GB13223-2011）相关标准后通过240m 高烟囱排放。</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废水</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脱硫工艺废水用于厂区灰坝抑尘加湿，不外排；循环冷却系统排水等生产废水、生活废水进污水站集中处理后回用，不外排。</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固废</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脱硝装置运行过程中产生的废催化剂由催化剂供应商回收；脱硫石膏可全部外运销售；锅炉灰渣集中收集后外售给建材公司作为生产建筑材料的原料综合利用； 生活垃圾交由市政统一处理。</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噪声</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相关设备已设置消声、减振、厂房隔声等措施</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配套工程</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办公区</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配置行政办公楼、生产区办公室等。</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食堂</w:t>
            </w:r>
          </w:p>
        </w:tc>
        <w:tc>
          <w:tcPr>
            <w:tcW w:w="6237" w:type="dxa"/>
            <w:vAlign w:val="center"/>
          </w:tcPr>
          <w:p>
            <w:pPr>
              <w:pStyle w:val="27"/>
              <w:spacing w:before="0" w:beforeAutospacing="0" w:after="0" w:afterAutospacing="0"/>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配置配员工餐厅等。</w:t>
            </w:r>
          </w:p>
        </w:tc>
        <w:tc>
          <w:tcPr>
            <w:tcW w:w="113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已建成</w:t>
            </w:r>
          </w:p>
        </w:tc>
      </w:tr>
    </w:tbl>
    <w:p>
      <w:pPr>
        <w:pStyle w:val="5"/>
        <w:widowControl w:val="0"/>
        <w:tabs>
          <w:tab w:val="left" w:pos="-3900"/>
          <w:tab w:val="left" w:pos="0"/>
        </w:tabs>
        <w:wordWrap w:val="0"/>
        <w:adjustRightInd w:val="0"/>
        <w:snapToGrid w:val="0"/>
        <w:spacing w:beforeLines="50" w:afterLines="50" w:line="360" w:lineRule="auto"/>
        <w:rPr>
          <w:rFonts w:ascii="宋体" w:hAnsi="宋体" w:eastAsia="宋体" w:cs="宋体"/>
          <w:b w:val="0"/>
          <w:bCs w:val="0"/>
          <w:color w:val="333333"/>
          <w:lang w:eastAsia="zh-CN"/>
        </w:rPr>
      </w:pPr>
      <w:bookmarkStart w:id="398" w:name="_Toc24969740"/>
      <w:r>
        <w:rPr>
          <w:rFonts w:hint="eastAsia" w:ascii="宋体" w:hAnsi="宋体" w:eastAsia="宋体"/>
          <w:color w:val="000000" w:themeColor="text1"/>
          <w:lang w:eastAsia="zh-CN"/>
        </w:rPr>
        <w:t>3.2依托工程环保治理措施</w:t>
      </w:r>
      <w:r>
        <w:rPr>
          <w:rFonts w:ascii="宋体" w:hAnsi="宋体" w:eastAsia="宋体"/>
          <w:color w:val="000000" w:themeColor="text1"/>
          <w:lang w:eastAsia="zh-CN"/>
        </w:rPr>
        <w:cr/>
      </w:r>
      <w:r>
        <w:rPr>
          <w:rFonts w:hint="eastAsia" w:ascii="宋体" w:hAnsi="宋体" w:eastAsia="宋体" w:cs="宋体"/>
          <w:b w:val="0"/>
          <w:bCs w:val="0"/>
          <w:color w:val="333333"/>
          <w:lang w:eastAsia="zh-CN"/>
        </w:rPr>
        <w:t>3.2.1 废气</w:t>
      </w:r>
      <w:bookmarkEnd w:id="398"/>
    </w:p>
    <w:p>
      <w:pPr>
        <w:pStyle w:val="27"/>
        <w:shd w:val="clear" w:color="auto" w:fill="FFFFFF"/>
        <w:spacing w:before="0" w:beforeAutospacing="0" w:after="0" w:afterAutospacing="0" w:line="360" w:lineRule="auto"/>
        <w:ind w:firstLine="482"/>
        <w:jc w:val="both"/>
        <w:rPr>
          <w:rFonts w:ascii="宋体" w:hAnsi="宋体" w:eastAsia="宋体" w:cs="宋体"/>
          <w:lang w:eastAsia="zh-CN"/>
        </w:rPr>
      </w:pPr>
      <w:r>
        <w:rPr>
          <w:rFonts w:hint="eastAsia" w:ascii="宋体" w:hAnsi="宋体" w:eastAsia="宋体" w:cs="宋体"/>
          <w:lang w:eastAsia="zh-CN"/>
        </w:rPr>
        <w:t>华能岳阳电厂三期超超临界煤粉锅炉采样低氮燃烧技术，产生的烟气经配套脱硝系统、电除尘系统后，再经过脱硫处理，净化烟气通过 240m 高烟囱排放。根据 2018年全年烟气在线监测数据，烟气排放口颗粒物排放浓度约2.53mg/m³， SO</w:t>
      </w:r>
      <w:r>
        <w:rPr>
          <w:rFonts w:hint="eastAsia" w:ascii="宋体" w:hAnsi="宋体" w:eastAsia="宋体" w:cs="宋体"/>
          <w:vertAlign w:val="subscript"/>
          <w:lang w:eastAsia="zh-CN"/>
        </w:rPr>
        <w:t>2</w:t>
      </w:r>
      <w:r>
        <w:rPr>
          <w:rFonts w:hint="eastAsia" w:ascii="宋体" w:hAnsi="宋体" w:eastAsia="宋体" w:cs="宋体"/>
          <w:lang w:eastAsia="zh-CN"/>
        </w:rPr>
        <w:t xml:space="preserve"> 排放浓度约为 16.17mg/m³，NOx 排放浓度约为32.14mg/m³，达到《火电厂大气污染物排放标准》（GB13223-2011）、《全面实施燃煤电厂超低排放和节能改造工作方案》要求要求的颗粒物排放浓度10.00mg/m³ ，SO</w:t>
      </w:r>
      <w:r>
        <w:rPr>
          <w:rFonts w:hint="eastAsia" w:ascii="宋体" w:hAnsi="宋体" w:eastAsia="宋体" w:cs="宋体"/>
          <w:vertAlign w:val="subscript"/>
          <w:lang w:eastAsia="zh-CN"/>
        </w:rPr>
        <w:t>2</w:t>
      </w:r>
      <w:r>
        <w:rPr>
          <w:rFonts w:hint="eastAsia" w:ascii="宋体" w:hAnsi="宋体" w:eastAsia="宋体" w:cs="宋体"/>
          <w:lang w:eastAsia="zh-CN"/>
        </w:rPr>
        <w:t xml:space="preserve"> 排放浓度为35.00mg/m³，NOx 排放浓度50.00mg/m³。</w:t>
      </w:r>
    </w:p>
    <w:p>
      <w:pPr>
        <w:pStyle w:val="27"/>
        <w:shd w:val="clear" w:color="auto" w:fill="FFFFFF"/>
        <w:spacing w:before="0" w:beforeAutospacing="0" w:after="0" w:afterAutospacing="0" w:line="360" w:lineRule="auto"/>
        <w:jc w:val="center"/>
        <w:rPr>
          <w:rFonts w:ascii="宋体" w:hAnsi="宋体" w:eastAsia="宋体" w:cs="宋体"/>
          <w:b/>
          <w:bCs/>
          <w:color w:val="333333"/>
          <w:lang w:eastAsia="zh-CN"/>
        </w:rPr>
      </w:pPr>
      <w:r>
        <w:rPr>
          <w:rFonts w:hint="eastAsia" w:ascii="宋体" w:hAnsi="宋体" w:eastAsia="宋体" w:cs="宋体"/>
          <w:b/>
          <w:bCs/>
          <w:color w:val="333333"/>
          <w:lang w:eastAsia="zh-CN"/>
        </w:rPr>
        <w:t>表3.2-1 三期超超临界锅炉废气治理设施及排放情况表</w:t>
      </w:r>
    </w:p>
    <w:tbl>
      <w:tblPr>
        <w:tblStyle w:val="30"/>
        <w:tblW w:w="8789"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93"/>
        <w:gridCol w:w="1417"/>
        <w:gridCol w:w="1276"/>
        <w:gridCol w:w="992"/>
        <w:gridCol w:w="1418"/>
        <w:gridCol w:w="1701"/>
        <w:gridCol w:w="9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993"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污染物</w:t>
            </w:r>
          </w:p>
        </w:tc>
        <w:tc>
          <w:tcPr>
            <w:tcW w:w="1417"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产生浓度mg/Nm</w:t>
            </w:r>
            <w:r>
              <w:rPr>
                <w:rFonts w:hint="eastAsia" w:ascii="宋体" w:hAnsi="宋体" w:eastAsia="宋体" w:cs="宋体"/>
                <w:b/>
                <w:bCs/>
                <w:color w:val="333333"/>
                <w:sz w:val="16"/>
                <w:szCs w:val="16"/>
                <w:vertAlign w:val="superscript"/>
                <w:lang w:eastAsia="zh-CN"/>
              </w:rPr>
              <w:t>3</w:t>
            </w:r>
          </w:p>
        </w:tc>
        <w:tc>
          <w:tcPr>
            <w:tcW w:w="1276"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污染治理措施</w:t>
            </w:r>
          </w:p>
        </w:tc>
        <w:tc>
          <w:tcPr>
            <w:tcW w:w="992"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运行效率</w:t>
            </w:r>
          </w:p>
        </w:tc>
        <w:tc>
          <w:tcPr>
            <w:tcW w:w="1418" w:type="dxa"/>
            <w:vAlign w:val="center"/>
          </w:tcPr>
          <w:p>
            <w:pPr>
              <w:pStyle w:val="27"/>
              <w:shd w:val="clear" w:color="auto" w:fill="FFFFFF"/>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排放浓度mg/Nm</w:t>
            </w:r>
            <w:r>
              <w:rPr>
                <w:rFonts w:hint="eastAsia" w:ascii="宋体" w:hAnsi="宋体" w:eastAsia="宋体" w:cs="宋体"/>
                <w:b/>
                <w:bCs/>
                <w:color w:val="333333"/>
                <w:sz w:val="16"/>
                <w:szCs w:val="16"/>
                <w:vertAlign w:val="superscript"/>
                <w:lang w:eastAsia="zh-CN"/>
              </w:rPr>
              <w:t>3</w:t>
            </w:r>
          </w:p>
        </w:tc>
        <w:tc>
          <w:tcPr>
            <w:tcW w:w="1701"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排放量t/a</w:t>
            </w:r>
          </w:p>
        </w:tc>
        <w:tc>
          <w:tcPr>
            <w:tcW w:w="992" w:type="dxa"/>
            <w:vAlign w:val="center"/>
          </w:tcPr>
          <w:p>
            <w:pPr>
              <w:pStyle w:val="27"/>
              <w:spacing w:before="0" w:beforeAutospacing="0" w:after="0" w:afterAutospacing="0"/>
              <w:jc w:val="center"/>
              <w:rPr>
                <w:rFonts w:ascii="宋体" w:hAnsi="宋体" w:eastAsia="宋体" w:cs="宋体"/>
                <w:b/>
                <w:bCs/>
                <w:color w:val="333333"/>
                <w:sz w:val="16"/>
                <w:szCs w:val="16"/>
                <w:lang w:eastAsia="zh-CN"/>
              </w:rPr>
            </w:pPr>
            <w:r>
              <w:rPr>
                <w:rFonts w:hint="eastAsia" w:ascii="宋体" w:hAnsi="宋体" w:eastAsia="宋体" w:cs="宋体"/>
                <w:b/>
                <w:bCs/>
                <w:color w:val="333333"/>
                <w:sz w:val="16"/>
                <w:szCs w:val="16"/>
                <w:lang w:eastAsia="zh-CN"/>
              </w:rPr>
              <w:t>烟囱高度m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993"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烟气</w:t>
            </w:r>
          </w:p>
        </w:tc>
        <w:tc>
          <w:tcPr>
            <w:tcW w:w="1417"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740470万 N m</w:t>
            </w:r>
            <w:r>
              <w:rPr>
                <w:rFonts w:hint="eastAsia" w:ascii="宋体" w:hAnsi="宋体" w:eastAsia="宋体" w:cs="宋体"/>
                <w:bCs/>
                <w:color w:val="333333"/>
                <w:sz w:val="16"/>
                <w:szCs w:val="16"/>
                <w:vertAlign w:val="superscript"/>
                <w:lang w:eastAsia="zh-CN"/>
              </w:rPr>
              <w:t>3</w:t>
            </w:r>
            <w:r>
              <w:rPr>
                <w:rFonts w:ascii="宋体" w:hAnsi="宋体" w:eastAsia="宋体" w:cs="宋体"/>
                <w:bCs/>
                <w:color w:val="333333"/>
                <w:sz w:val="16"/>
                <w:szCs w:val="16"/>
                <w:lang w:eastAsia="zh-CN"/>
              </w:rPr>
              <w:t>/a</w:t>
            </w:r>
          </w:p>
        </w:tc>
        <w:tc>
          <w:tcPr>
            <w:tcW w:w="2268" w:type="dxa"/>
            <w:gridSpan w:val="2"/>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在线监测</w:t>
            </w:r>
          </w:p>
        </w:tc>
        <w:tc>
          <w:tcPr>
            <w:tcW w:w="1418"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w:t>
            </w:r>
          </w:p>
        </w:tc>
        <w:tc>
          <w:tcPr>
            <w:tcW w:w="1701"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740470万 N m</w:t>
            </w:r>
            <w:r>
              <w:rPr>
                <w:rFonts w:hint="eastAsia" w:ascii="宋体" w:hAnsi="宋体" w:eastAsia="宋体" w:cs="宋体"/>
                <w:bCs/>
                <w:color w:val="333333"/>
                <w:sz w:val="16"/>
                <w:szCs w:val="16"/>
                <w:vertAlign w:val="superscript"/>
                <w:lang w:eastAsia="zh-CN"/>
              </w:rPr>
              <w:t>3</w:t>
            </w:r>
            <w:r>
              <w:rPr>
                <w:rFonts w:ascii="宋体" w:hAnsi="宋体" w:eastAsia="宋体" w:cs="宋体"/>
                <w:bCs/>
                <w:color w:val="333333"/>
                <w:sz w:val="16"/>
                <w:szCs w:val="16"/>
                <w:lang w:eastAsia="zh-CN"/>
              </w:rPr>
              <w:t>/a</w:t>
            </w:r>
          </w:p>
        </w:tc>
        <w:tc>
          <w:tcPr>
            <w:tcW w:w="992" w:type="dxa"/>
            <w:vMerge w:val="restart"/>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240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993"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二氧化硫</w:t>
            </w:r>
          </w:p>
        </w:tc>
        <w:tc>
          <w:tcPr>
            <w:tcW w:w="1417"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1301</w:t>
            </w:r>
          </w:p>
        </w:tc>
        <w:tc>
          <w:tcPr>
            <w:tcW w:w="1276"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石灰石-石膏湿法烟气脱硫</w:t>
            </w:r>
          </w:p>
        </w:tc>
        <w:tc>
          <w:tcPr>
            <w:tcW w:w="992"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97.29%</w:t>
            </w:r>
          </w:p>
        </w:tc>
        <w:tc>
          <w:tcPr>
            <w:tcW w:w="1418"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16.17</w:t>
            </w:r>
          </w:p>
        </w:tc>
        <w:tc>
          <w:tcPr>
            <w:tcW w:w="1701"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119.73</w:t>
            </w:r>
          </w:p>
        </w:tc>
        <w:tc>
          <w:tcPr>
            <w:tcW w:w="992"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993"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氮氧化物</w:t>
            </w:r>
          </w:p>
        </w:tc>
        <w:tc>
          <w:tcPr>
            <w:tcW w:w="1417"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728</w:t>
            </w:r>
          </w:p>
        </w:tc>
        <w:tc>
          <w:tcPr>
            <w:tcW w:w="1276"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SCR 脱硝系统</w:t>
            </w:r>
          </w:p>
        </w:tc>
        <w:tc>
          <w:tcPr>
            <w:tcW w:w="992"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70.00%</w:t>
            </w:r>
          </w:p>
        </w:tc>
        <w:tc>
          <w:tcPr>
            <w:tcW w:w="1418"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32.14</w:t>
            </w:r>
          </w:p>
        </w:tc>
        <w:tc>
          <w:tcPr>
            <w:tcW w:w="1701"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238.00</w:t>
            </w:r>
          </w:p>
        </w:tc>
        <w:tc>
          <w:tcPr>
            <w:tcW w:w="992"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5" w:hRule="atLeast"/>
        </w:trPr>
        <w:tc>
          <w:tcPr>
            <w:tcW w:w="993"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颗粒物</w:t>
            </w:r>
          </w:p>
        </w:tc>
        <w:tc>
          <w:tcPr>
            <w:tcW w:w="1417"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29424</w:t>
            </w:r>
          </w:p>
        </w:tc>
        <w:tc>
          <w:tcPr>
            <w:tcW w:w="1276"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电除尘</w:t>
            </w:r>
          </w:p>
        </w:tc>
        <w:tc>
          <w:tcPr>
            <w:tcW w:w="992"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99.98%</w:t>
            </w:r>
          </w:p>
        </w:tc>
        <w:tc>
          <w:tcPr>
            <w:tcW w:w="1418"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2.53</w:t>
            </w:r>
          </w:p>
        </w:tc>
        <w:tc>
          <w:tcPr>
            <w:tcW w:w="1701" w:type="dxa"/>
            <w:vAlign w:val="center"/>
          </w:tcPr>
          <w:p>
            <w:pPr>
              <w:pStyle w:val="27"/>
              <w:spacing w:before="0" w:beforeAutospacing="0" w:after="0" w:afterAutospacing="0"/>
              <w:jc w:val="center"/>
              <w:rPr>
                <w:rFonts w:ascii="宋体" w:hAnsi="宋体" w:eastAsia="宋体" w:cs="宋体"/>
                <w:bCs/>
                <w:color w:val="333333"/>
                <w:sz w:val="16"/>
                <w:szCs w:val="16"/>
                <w:lang w:eastAsia="zh-CN"/>
              </w:rPr>
            </w:pPr>
            <w:r>
              <w:rPr>
                <w:rFonts w:hint="eastAsia" w:ascii="宋体" w:hAnsi="宋体" w:eastAsia="宋体" w:cs="宋体"/>
                <w:bCs/>
                <w:color w:val="333333"/>
                <w:sz w:val="16"/>
                <w:szCs w:val="16"/>
                <w:lang w:eastAsia="zh-CN"/>
              </w:rPr>
              <w:t>18.73</w:t>
            </w:r>
          </w:p>
        </w:tc>
        <w:tc>
          <w:tcPr>
            <w:tcW w:w="992"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r>
    </w:tbl>
    <w:p>
      <w:pPr>
        <w:pStyle w:val="27"/>
        <w:shd w:val="clear" w:color="auto" w:fill="FFFFFF"/>
        <w:tabs>
          <w:tab w:val="left" w:pos="426"/>
          <w:tab w:val="left" w:pos="567"/>
        </w:tabs>
        <w:spacing w:beforeLines="100" w:beforeAutospacing="0" w:after="0" w:afterAutospacing="0" w:line="360" w:lineRule="auto"/>
        <w:ind w:firstLine="480" w:firstLineChars="200"/>
        <w:rPr>
          <w:rFonts w:ascii="宋体" w:hAnsi="宋体" w:eastAsia="宋体" w:cs="宋体"/>
          <w:bCs/>
          <w:color w:val="333333"/>
          <w:lang w:eastAsia="zh-CN"/>
        </w:rPr>
      </w:pPr>
      <w:r>
        <w:rPr>
          <w:rFonts w:hint="eastAsia" w:ascii="宋体" w:hAnsi="宋体" w:eastAsia="宋体" w:cs="宋体"/>
          <w:bCs/>
          <w:color w:val="333333"/>
          <w:lang w:eastAsia="zh-CN"/>
        </w:rPr>
        <w:t xml:space="preserve"> 其他尾气：碎煤系统尾气：在碎煤机间设有布袋除尘设施，尾气排放量20000Nm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/h，排尘浓度小于 10mg/m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（按除尘率 99.8%计算,下同 ）。灰库尾气:3 座灰库各安装 1 台布袋除尘器，废气排放量</w:t>
      </w:r>
      <w:r>
        <w:rPr>
          <w:rFonts w:ascii="宋体" w:hAnsi="宋体" w:eastAsia="宋体" w:cs="宋体"/>
          <w:bCs/>
          <w:color w:val="333333"/>
          <w:lang w:eastAsia="zh-CN"/>
        </w:rPr>
        <w:t>30000Nm</w:t>
      </w:r>
      <w:r>
        <w:rPr>
          <w:rFonts w:ascii="宋体" w:hAnsi="宋体" w:eastAsia="宋体" w:cs="宋体"/>
          <w:bCs/>
          <w:color w:val="333333"/>
          <w:vertAlign w:val="superscript"/>
          <w:lang w:eastAsia="zh-CN"/>
        </w:rPr>
        <w:t>3</w:t>
      </w:r>
      <w:r>
        <w:rPr>
          <w:rFonts w:hint="eastAsia" w:ascii="宋体" w:hAnsi="宋体" w:eastAsia="宋体" w:cs="宋体"/>
          <w:bCs/>
          <w:color w:val="333333"/>
          <w:lang w:eastAsia="zh-CN"/>
        </w:rPr>
        <w:t>/h，排尘浓度小于 10mg/m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煤粉制备系统尾气：煤制粉均采用密闭设置、负压，有严格的措施，以减少物料损耗和空气污染，技术是成熟的。煤粉制备系统采用中速磨，无煤粉库，煤粉及尾气直接进入锅炉燃烧系统，无尾气外排。石灰石粉贮储罐尾气: 石灰石粉贮储罐安装 1 台布袋除尘器，废气排放量 1000Nm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/h，排尘浓度小于10mg/m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w:t>
      </w:r>
    </w:p>
    <w:p>
      <w:pPr>
        <w:pStyle w:val="27"/>
        <w:shd w:val="clear" w:color="auto" w:fill="FFFFFF"/>
        <w:spacing w:line="360" w:lineRule="auto"/>
        <w:jc w:val="center"/>
        <w:rPr>
          <w:rFonts w:ascii="宋体" w:hAnsi="宋体" w:eastAsia="宋体" w:cs="宋体"/>
          <w:b/>
          <w:bCs/>
          <w:color w:val="333333"/>
          <w:lang w:eastAsia="zh-CN"/>
        </w:rPr>
      </w:pPr>
    </w:p>
    <w:p>
      <w:pPr>
        <w:pStyle w:val="27"/>
        <w:shd w:val="clear" w:color="auto" w:fill="FFFFFF"/>
        <w:spacing w:line="360" w:lineRule="auto"/>
        <w:jc w:val="center"/>
        <w:rPr>
          <w:rFonts w:ascii="宋体" w:hAnsi="宋体" w:eastAsia="宋体" w:cs="宋体"/>
          <w:b/>
          <w:bCs/>
          <w:color w:val="333333"/>
          <w:lang w:eastAsia="zh-CN"/>
        </w:rPr>
      </w:pPr>
    </w:p>
    <w:p>
      <w:pPr>
        <w:pStyle w:val="27"/>
        <w:shd w:val="clear" w:color="auto" w:fill="FFFFFF"/>
        <w:spacing w:line="360" w:lineRule="auto"/>
        <w:jc w:val="center"/>
        <w:rPr>
          <w:rFonts w:ascii="宋体" w:hAnsi="宋体" w:eastAsia="宋体" w:cs="宋体"/>
          <w:b/>
          <w:bCs/>
          <w:color w:val="333333"/>
          <w:lang w:eastAsia="zh-CN"/>
        </w:rPr>
      </w:pPr>
      <w:r>
        <w:rPr>
          <w:rFonts w:hint="eastAsia" w:ascii="宋体" w:hAnsi="宋体" w:eastAsia="宋体" w:cs="宋体"/>
          <w:b/>
          <w:bCs/>
          <w:color w:val="333333"/>
          <w:lang w:eastAsia="zh-CN"/>
        </w:rPr>
        <w:t>图3.2-1废气处理工艺流程图</w:t>
      </w:r>
    </w:p>
    <w:p>
      <w:pPr>
        <w:pStyle w:val="27"/>
        <w:shd w:val="clear" w:color="auto" w:fill="FFFFFF"/>
        <w:spacing w:after="360" w:line="360" w:lineRule="auto"/>
        <w:ind w:firstLine="480"/>
        <w:jc w:val="center"/>
        <w:rPr>
          <w:rFonts w:ascii="宋体" w:hAnsi="宋体" w:eastAsia="宋体" w:cs="宋体"/>
          <w:b/>
          <w:bCs/>
          <w:color w:val="333333"/>
          <w:lang w:eastAsia="zh-CN"/>
        </w:rPr>
      </w:pPr>
      <w:r>
        <w:rPr>
          <w:rFonts w:hint="eastAsia" w:ascii="宋体" w:hAnsi="宋体" w:cs="宋体"/>
          <w:b/>
          <w:bCs/>
          <w:color w:val="333333"/>
        </w:rPr>
        <w:drawing>
          <wp:inline distT="0" distB="0" distL="0" distR="0">
            <wp:extent cx="5525135" cy="213550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srcRect/>
                    <a:stretch>
                      <a:fillRect/>
                    </a:stretch>
                  </pic:blipFill>
                  <pic:spPr>
                    <a:xfrm>
                      <a:off x="0" y="0"/>
                      <a:ext cx="5536641" cy="2140273"/>
                    </a:xfrm>
                    <a:prstGeom prst="rect">
                      <a:avLst/>
                    </a:prstGeom>
                    <a:noFill/>
                    <a:ln w="9525">
                      <a:noFill/>
                      <a:miter lim="800000"/>
                      <a:headEnd/>
                      <a:tailEnd/>
                    </a:ln>
                  </pic:spPr>
                </pic:pic>
              </a:graphicData>
            </a:graphic>
          </wp:inline>
        </w:drawing>
      </w:r>
    </w:p>
    <w:p>
      <w:pPr>
        <w:pStyle w:val="27"/>
        <w:shd w:val="clear" w:color="auto" w:fill="FFFFFF"/>
        <w:spacing w:before="0" w:beforeAutospacing="0" w:after="0" w:afterAutospacing="0" w:line="360" w:lineRule="auto"/>
        <w:rPr>
          <w:rFonts w:ascii="宋体" w:hAnsi="宋体" w:eastAsia="宋体" w:cs="宋体"/>
          <w:b/>
          <w:bCs/>
          <w:color w:val="333333"/>
          <w:lang w:eastAsia="zh-CN"/>
        </w:rPr>
      </w:pPr>
      <w:r>
        <w:rPr>
          <w:rFonts w:hint="eastAsia" w:ascii="宋体" w:hAnsi="宋体" w:eastAsia="宋体" w:cs="宋体"/>
          <w:b/>
          <w:bCs/>
          <w:color w:val="333333"/>
          <w:lang w:eastAsia="zh-CN"/>
        </w:rPr>
        <w:t>3.2.2 废水</w:t>
      </w:r>
    </w:p>
    <w:p>
      <w:pPr>
        <w:pStyle w:val="27"/>
        <w:shd w:val="clear" w:color="auto" w:fill="FFFFFF"/>
        <w:spacing w:before="0" w:beforeAutospacing="0" w:after="0" w:afterAutospacing="0" w:line="360" w:lineRule="auto"/>
        <w:ind w:firstLine="480" w:firstLineChars="200"/>
        <w:rPr>
          <w:rFonts w:ascii="宋体" w:hAnsi="宋体" w:eastAsia="宋体" w:cs="宋体"/>
          <w:bCs/>
          <w:color w:val="333333"/>
          <w:lang w:eastAsia="zh-CN"/>
        </w:rPr>
      </w:pPr>
      <w:r>
        <w:rPr>
          <w:rFonts w:hint="eastAsia" w:ascii="宋体" w:hAnsi="宋体" w:eastAsia="宋体" w:cs="宋体"/>
          <w:lang w:eastAsia="zh-CN"/>
        </w:rPr>
        <w:t>项目废水主要是锅炉排水。除锅炉冷却水是清净水直接排入长江外，</w:t>
      </w:r>
      <w:r>
        <w:rPr>
          <w:rFonts w:hint="eastAsia" w:ascii="宋体" w:hAnsi="宋体" w:eastAsia="宋体" w:cs="宋体"/>
          <w:bCs/>
          <w:color w:val="333333"/>
          <w:lang w:eastAsia="zh-CN"/>
        </w:rPr>
        <w:t>生活污水由管道汇集后流至华能岳阳电厂生活污水处理场，处理达到排放标准后回用。酸碱废水经废水处理站处理达到排放标准后排入除灰系统回用。厂区雨水通过雨水口汇集，流入雨水管道，最终排入芭蕉湖。华能岳阳电厂有全厂化学废水集中处理系统。废水处理设施主要有废水贮存池、pH 调节槽、加药凝聚、澄清、浓缩脱水、降解COD 处理设施及处理设施控制楼等。华能岳阳电厂的工业废污水经处理后回收复用，不对外排放。三期工程一般废水排放情况见表 3.2-2。</w:t>
      </w:r>
    </w:p>
    <w:p>
      <w:pPr>
        <w:pStyle w:val="27"/>
        <w:shd w:val="clear" w:color="auto" w:fill="FFFFFF"/>
        <w:spacing w:before="0" w:beforeAutospacing="0" w:after="0" w:afterAutospacing="0" w:line="360" w:lineRule="auto"/>
        <w:ind w:firstLine="480" w:firstLineChars="200"/>
        <w:rPr>
          <w:rFonts w:ascii="宋体" w:hAnsi="宋体" w:eastAsia="宋体" w:cs="宋体"/>
          <w:bCs/>
          <w:color w:val="333333"/>
          <w:lang w:eastAsia="zh-CN"/>
        </w:rPr>
      </w:pPr>
      <w:r>
        <w:rPr>
          <w:rFonts w:hint="eastAsia" w:ascii="宋体" w:hAnsi="宋体" w:eastAsia="宋体" w:cs="宋体"/>
          <w:bCs/>
          <w:color w:val="333333"/>
          <w:lang w:eastAsia="zh-CN"/>
        </w:rPr>
        <w:t>三期工程配套V=1000m</w:t>
      </w:r>
      <w:r>
        <w:rPr>
          <w:rFonts w:hint="eastAsia" w:ascii="宋体" w:hAnsi="宋体" w:eastAsia="宋体" w:cs="宋体"/>
          <w:bCs/>
          <w:color w:val="333333"/>
          <w:vertAlign w:val="superscript"/>
          <w:lang w:eastAsia="zh-CN"/>
        </w:rPr>
        <w:t>3</w:t>
      </w:r>
      <w:r>
        <w:rPr>
          <w:rFonts w:hint="eastAsia" w:ascii="宋体" w:hAnsi="宋体" w:eastAsia="宋体" w:cs="宋体"/>
          <w:bCs/>
          <w:color w:val="333333"/>
          <w:lang w:eastAsia="zh-CN"/>
        </w:rPr>
        <w:t>的废水池2座,满足二台600MW级机组锅炉酸洗废水贮存及处理要求。华能岳阳电厂工业废水集中处理站经常性废水处理设施处理能力为200t/h，非经常性废水处理设施处理能力为100t/h，可满足全厂废水处理需要。本期工程利用二期工程已有工业废水集中处理站，不新建工业废水集中处理站。新增脱硫废水单独处理设施。本期工程各种废水分类收集后送至工业废水集中处理站，处理合格后的废水符合《污水综合排放标准》GB8978-96中一级标准要求，全部回用。全厂正常运行时，全厂耗水指标为0.119m</w:t>
      </w:r>
      <w:r>
        <w:rPr>
          <w:rFonts w:ascii="宋体" w:hAnsi="宋体" w:eastAsia="宋体" w:cs="宋体"/>
          <w:bCs/>
          <w:color w:val="333333"/>
          <w:vertAlign w:val="superscript"/>
          <w:lang w:eastAsia="zh-CN"/>
        </w:rPr>
        <w:t>3</w:t>
      </w:r>
      <w:r>
        <w:rPr>
          <w:rFonts w:hint="eastAsia" w:ascii="宋体" w:hAnsi="宋体" w:eastAsia="宋体" w:cs="宋体"/>
          <w:bCs/>
          <w:color w:val="333333"/>
          <w:lang w:eastAsia="zh-CN"/>
        </w:rPr>
        <w:t>/GW·s。不外排工业和生活污水。本期工程非正常工况废水，经工业废水集中处理站处理合格后排到灰场，以备回用。</w:t>
      </w:r>
    </w:p>
    <w:p>
      <w:pPr>
        <w:pStyle w:val="27"/>
        <w:shd w:val="clear" w:color="auto" w:fill="FFFFFF"/>
        <w:spacing w:after="360" w:line="360" w:lineRule="auto"/>
        <w:ind w:right="-192" w:firstLine="465"/>
        <w:jc w:val="center"/>
        <w:rPr>
          <w:rFonts w:ascii="宋体" w:hAnsi="宋体" w:eastAsia="宋体" w:cs="宋体"/>
          <w:b/>
          <w:bCs/>
          <w:color w:val="333333"/>
          <w:lang w:eastAsia="zh-CN"/>
        </w:rPr>
      </w:pPr>
    </w:p>
    <w:p>
      <w:pPr>
        <w:pStyle w:val="27"/>
        <w:shd w:val="clear" w:color="auto" w:fill="FFFFFF"/>
        <w:spacing w:before="0" w:beforeAutospacing="0" w:after="0" w:afterAutospacing="0" w:line="360" w:lineRule="auto"/>
        <w:jc w:val="center"/>
        <w:rPr>
          <w:rFonts w:ascii="宋体" w:hAnsi="宋体" w:eastAsia="宋体" w:cs="宋体"/>
          <w:b/>
          <w:bCs/>
          <w:color w:val="333333"/>
          <w:lang w:eastAsia="zh-CN"/>
        </w:rPr>
      </w:pPr>
      <w:r>
        <w:rPr>
          <w:rFonts w:hint="eastAsia" w:ascii="宋体" w:hAnsi="宋体" w:eastAsia="宋体" w:cs="宋体"/>
          <w:b/>
          <w:bCs/>
          <w:color w:val="333333"/>
          <w:lang w:eastAsia="zh-CN"/>
        </w:rPr>
        <w:t>表3.2-2废水排放量及水污染防治措施</w:t>
      </w:r>
    </w:p>
    <w:tbl>
      <w:tblPr>
        <w:tblStyle w:val="30"/>
        <w:tblW w:w="8735" w:type="dxa"/>
        <w:tblInd w:w="121"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82"/>
        <w:gridCol w:w="1680"/>
        <w:gridCol w:w="924"/>
        <w:gridCol w:w="1061"/>
        <w:gridCol w:w="1134"/>
        <w:gridCol w:w="1126"/>
        <w:gridCol w:w="23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b/>
                <w:sz w:val="21"/>
              </w:rPr>
            </w:pPr>
            <w:r>
              <w:rPr>
                <w:b/>
                <w:sz w:val="21"/>
              </w:rPr>
              <w:t>序号</w:t>
            </w:r>
          </w:p>
        </w:tc>
        <w:tc>
          <w:tcPr>
            <w:tcW w:w="1680" w:type="dxa"/>
            <w:vAlign w:val="center"/>
          </w:tcPr>
          <w:p>
            <w:pPr>
              <w:pStyle w:val="62"/>
              <w:adjustRightInd w:val="0"/>
              <w:jc w:val="center"/>
              <w:rPr>
                <w:b/>
                <w:sz w:val="21"/>
              </w:rPr>
            </w:pPr>
            <w:r>
              <w:rPr>
                <w:b/>
                <w:sz w:val="21"/>
              </w:rPr>
              <w:t>废水项目</w:t>
            </w:r>
          </w:p>
        </w:tc>
        <w:tc>
          <w:tcPr>
            <w:tcW w:w="924" w:type="dxa"/>
            <w:vAlign w:val="center"/>
          </w:tcPr>
          <w:p>
            <w:pPr>
              <w:pStyle w:val="62"/>
              <w:adjustRightInd w:val="0"/>
              <w:jc w:val="center"/>
              <w:rPr>
                <w:rFonts w:eastAsiaTheme="minorEastAsia"/>
                <w:b/>
                <w:sz w:val="21"/>
                <w:lang w:eastAsia="zh-CN"/>
              </w:rPr>
            </w:pPr>
            <w:r>
              <w:rPr>
                <w:b/>
                <w:sz w:val="21"/>
              </w:rPr>
              <w:t>排放</w:t>
            </w:r>
          </w:p>
          <w:p>
            <w:pPr>
              <w:pStyle w:val="62"/>
              <w:adjustRightInd w:val="0"/>
              <w:jc w:val="center"/>
              <w:rPr>
                <w:b/>
                <w:sz w:val="21"/>
              </w:rPr>
            </w:pPr>
            <w:r>
              <w:rPr>
                <w:b/>
                <w:sz w:val="21"/>
              </w:rPr>
              <w:t>方式</w:t>
            </w:r>
          </w:p>
        </w:tc>
        <w:tc>
          <w:tcPr>
            <w:tcW w:w="1061" w:type="dxa"/>
            <w:vAlign w:val="center"/>
          </w:tcPr>
          <w:p>
            <w:pPr>
              <w:pStyle w:val="62"/>
              <w:adjustRightInd w:val="0"/>
              <w:jc w:val="center"/>
              <w:rPr>
                <w:b/>
                <w:sz w:val="21"/>
              </w:rPr>
            </w:pPr>
            <w:r>
              <w:rPr>
                <w:b/>
                <w:sz w:val="21"/>
              </w:rPr>
              <w:t>排放量</w:t>
            </w:r>
          </w:p>
          <w:p>
            <w:pPr>
              <w:pStyle w:val="62"/>
              <w:adjustRightInd w:val="0"/>
              <w:jc w:val="center"/>
              <w:rPr>
                <w:b/>
                <w:sz w:val="21"/>
              </w:rPr>
            </w:pPr>
            <w:r>
              <w:rPr>
                <w:b/>
                <w:sz w:val="21"/>
              </w:rPr>
              <w:t>（t/h）</w:t>
            </w:r>
          </w:p>
        </w:tc>
        <w:tc>
          <w:tcPr>
            <w:tcW w:w="1134" w:type="dxa"/>
            <w:vAlign w:val="center"/>
          </w:tcPr>
          <w:p>
            <w:pPr>
              <w:pStyle w:val="62"/>
              <w:adjustRightInd w:val="0"/>
              <w:jc w:val="center"/>
              <w:rPr>
                <w:rFonts w:eastAsiaTheme="minorEastAsia"/>
                <w:b/>
                <w:sz w:val="21"/>
                <w:lang w:eastAsia="zh-CN"/>
              </w:rPr>
            </w:pPr>
            <w:r>
              <w:rPr>
                <w:b/>
                <w:sz w:val="21"/>
              </w:rPr>
              <w:t>主要</w:t>
            </w:r>
          </w:p>
          <w:p>
            <w:pPr>
              <w:pStyle w:val="62"/>
              <w:adjustRightInd w:val="0"/>
              <w:jc w:val="center"/>
              <w:rPr>
                <w:b/>
                <w:sz w:val="21"/>
              </w:rPr>
            </w:pPr>
            <w:r>
              <w:rPr>
                <w:b/>
                <w:sz w:val="21"/>
              </w:rPr>
              <w:t>污染因子</w:t>
            </w:r>
          </w:p>
        </w:tc>
        <w:tc>
          <w:tcPr>
            <w:tcW w:w="1126" w:type="dxa"/>
            <w:vAlign w:val="center"/>
          </w:tcPr>
          <w:p>
            <w:pPr>
              <w:pStyle w:val="62"/>
              <w:adjustRightInd w:val="0"/>
              <w:jc w:val="center"/>
              <w:rPr>
                <w:b/>
                <w:sz w:val="21"/>
              </w:rPr>
            </w:pPr>
            <w:r>
              <w:rPr>
                <w:b/>
                <w:sz w:val="21"/>
              </w:rPr>
              <w:t>处理方式</w:t>
            </w:r>
          </w:p>
        </w:tc>
        <w:tc>
          <w:tcPr>
            <w:tcW w:w="2328" w:type="dxa"/>
            <w:vAlign w:val="center"/>
          </w:tcPr>
          <w:p>
            <w:pPr>
              <w:pStyle w:val="62"/>
              <w:tabs>
                <w:tab w:val="left" w:pos="1375"/>
              </w:tabs>
              <w:adjustRightInd w:val="0"/>
              <w:jc w:val="center"/>
              <w:rPr>
                <w:b/>
                <w:sz w:val="21"/>
              </w:rPr>
            </w:pPr>
            <w:r>
              <w:rPr>
                <w:b/>
                <w:sz w:val="21"/>
              </w:rPr>
              <w:t>去向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1</w:t>
            </w:r>
          </w:p>
        </w:tc>
        <w:tc>
          <w:tcPr>
            <w:tcW w:w="1680" w:type="dxa"/>
            <w:vAlign w:val="center"/>
          </w:tcPr>
          <w:p>
            <w:pPr>
              <w:pStyle w:val="62"/>
              <w:adjustRightInd w:val="0"/>
              <w:jc w:val="center"/>
              <w:rPr>
                <w:sz w:val="21"/>
              </w:rPr>
            </w:pPr>
            <w:r>
              <w:rPr>
                <w:sz w:val="21"/>
              </w:rPr>
              <w:t>酸碱废水</w:t>
            </w:r>
          </w:p>
        </w:tc>
        <w:tc>
          <w:tcPr>
            <w:tcW w:w="924" w:type="dxa"/>
            <w:vAlign w:val="center"/>
          </w:tcPr>
          <w:p>
            <w:pPr>
              <w:pStyle w:val="62"/>
              <w:adjustRightInd w:val="0"/>
              <w:jc w:val="center"/>
              <w:rPr>
                <w:sz w:val="21"/>
              </w:rPr>
            </w:pPr>
            <w:r>
              <w:rPr>
                <w:sz w:val="21"/>
              </w:rPr>
              <w:t>间歇</w:t>
            </w:r>
          </w:p>
        </w:tc>
        <w:tc>
          <w:tcPr>
            <w:tcW w:w="1061" w:type="dxa"/>
            <w:vAlign w:val="center"/>
          </w:tcPr>
          <w:p>
            <w:pPr>
              <w:pStyle w:val="62"/>
              <w:adjustRightInd w:val="0"/>
              <w:jc w:val="center"/>
              <w:rPr>
                <w:sz w:val="21"/>
              </w:rPr>
            </w:pPr>
            <w:r>
              <w:rPr>
                <w:sz w:val="21"/>
              </w:rPr>
              <w:t>10</w:t>
            </w:r>
          </w:p>
        </w:tc>
        <w:tc>
          <w:tcPr>
            <w:tcW w:w="1134" w:type="dxa"/>
            <w:vAlign w:val="center"/>
          </w:tcPr>
          <w:p>
            <w:pPr>
              <w:pStyle w:val="62"/>
              <w:adjustRightInd w:val="0"/>
              <w:jc w:val="center"/>
              <w:rPr>
                <w:sz w:val="21"/>
              </w:rPr>
            </w:pPr>
            <w:r>
              <w:rPr>
                <w:sz w:val="21"/>
              </w:rPr>
              <w:t>pH</w:t>
            </w:r>
          </w:p>
        </w:tc>
        <w:tc>
          <w:tcPr>
            <w:tcW w:w="1126" w:type="dxa"/>
            <w:vAlign w:val="center"/>
          </w:tcPr>
          <w:p>
            <w:pPr>
              <w:pStyle w:val="62"/>
              <w:adjustRightInd w:val="0"/>
              <w:jc w:val="center"/>
              <w:rPr>
                <w:sz w:val="21"/>
              </w:rPr>
            </w:pPr>
            <w:r>
              <w:rPr>
                <w:sz w:val="21"/>
              </w:rPr>
              <w:t>中和</w:t>
            </w:r>
          </w:p>
        </w:tc>
        <w:tc>
          <w:tcPr>
            <w:tcW w:w="2328" w:type="dxa"/>
            <w:vAlign w:val="center"/>
          </w:tcPr>
          <w:p>
            <w:pPr>
              <w:pStyle w:val="62"/>
              <w:adjustRightInd w:val="0"/>
              <w:jc w:val="center"/>
              <w:rPr>
                <w:sz w:val="21"/>
              </w:rPr>
            </w:pPr>
            <w:r>
              <w:rPr>
                <w:sz w:val="21"/>
              </w:rPr>
              <w:t>工业废水集中处理站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b/>
                <w:sz w:val="19"/>
              </w:rPr>
            </w:pPr>
          </w:p>
          <w:p>
            <w:pPr>
              <w:pStyle w:val="62"/>
              <w:adjustRightInd w:val="0"/>
              <w:jc w:val="center"/>
              <w:rPr>
                <w:sz w:val="21"/>
              </w:rPr>
            </w:pPr>
            <w:r>
              <w:rPr>
                <w:sz w:val="21"/>
              </w:rPr>
              <w:t>2</w:t>
            </w:r>
          </w:p>
        </w:tc>
        <w:tc>
          <w:tcPr>
            <w:tcW w:w="1680" w:type="dxa"/>
            <w:vAlign w:val="center"/>
          </w:tcPr>
          <w:p>
            <w:pPr>
              <w:pStyle w:val="62"/>
              <w:adjustRightInd w:val="0"/>
              <w:jc w:val="center"/>
              <w:rPr>
                <w:sz w:val="21"/>
              </w:rPr>
            </w:pPr>
            <w:r>
              <w:rPr>
                <w:sz w:val="21"/>
              </w:rPr>
              <w:t>含油污水</w:t>
            </w:r>
          </w:p>
        </w:tc>
        <w:tc>
          <w:tcPr>
            <w:tcW w:w="924" w:type="dxa"/>
            <w:vAlign w:val="center"/>
          </w:tcPr>
          <w:p>
            <w:pPr>
              <w:pStyle w:val="62"/>
              <w:adjustRightInd w:val="0"/>
              <w:jc w:val="center"/>
              <w:rPr>
                <w:sz w:val="21"/>
              </w:rPr>
            </w:pPr>
            <w:r>
              <w:rPr>
                <w:sz w:val="21"/>
              </w:rPr>
              <w:t>间歇</w:t>
            </w:r>
          </w:p>
        </w:tc>
        <w:tc>
          <w:tcPr>
            <w:tcW w:w="1061" w:type="dxa"/>
            <w:vAlign w:val="center"/>
          </w:tcPr>
          <w:p>
            <w:pPr>
              <w:pStyle w:val="62"/>
              <w:adjustRightInd w:val="0"/>
              <w:jc w:val="center"/>
              <w:rPr>
                <w:sz w:val="21"/>
              </w:rPr>
            </w:pPr>
            <w:r>
              <w:rPr>
                <w:sz w:val="21"/>
              </w:rPr>
              <w:t>5</w:t>
            </w:r>
          </w:p>
        </w:tc>
        <w:tc>
          <w:tcPr>
            <w:tcW w:w="1134" w:type="dxa"/>
            <w:vAlign w:val="center"/>
          </w:tcPr>
          <w:p>
            <w:pPr>
              <w:pStyle w:val="62"/>
              <w:adjustRightInd w:val="0"/>
              <w:jc w:val="center"/>
              <w:rPr>
                <w:rFonts w:eastAsiaTheme="minorEastAsia"/>
                <w:sz w:val="21"/>
                <w:lang w:eastAsia="zh-CN"/>
              </w:rPr>
            </w:pPr>
            <w:r>
              <w:rPr>
                <w:sz w:val="21"/>
              </w:rPr>
              <w:t>石油类、</w:t>
            </w:r>
          </w:p>
          <w:p>
            <w:pPr>
              <w:pStyle w:val="62"/>
              <w:adjustRightInd w:val="0"/>
              <w:jc w:val="center"/>
              <w:rPr>
                <w:sz w:val="21"/>
              </w:rPr>
            </w:pPr>
            <w:r>
              <w:rPr>
                <w:sz w:val="21"/>
              </w:rPr>
              <w:t>SS 等</w:t>
            </w:r>
          </w:p>
        </w:tc>
        <w:tc>
          <w:tcPr>
            <w:tcW w:w="1126" w:type="dxa"/>
            <w:vAlign w:val="center"/>
          </w:tcPr>
          <w:p>
            <w:pPr>
              <w:pStyle w:val="62"/>
              <w:adjustRightInd w:val="0"/>
              <w:jc w:val="center"/>
              <w:rPr>
                <w:sz w:val="21"/>
              </w:rPr>
            </w:pPr>
            <w:r>
              <w:rPr>
                <w:sz w:val="21"/>
              </w:rPr>
              <w:t>油水分离</w:t>
            </w:r>
          </w:p>
        </w:tc>
        <w:tc>
          <w:tcPr>
            <w:tcW w:w="2328" w:type="dxa"/>
            <w:vAlign w:val="center"/>
          </w:tcPr>
          <w:p>
            <w:pPr>
              <w:pStyle w:val="62"/>
              <w:adjustRightInd w:val="0"/>
              <w:jc w:val="center"/>
              <w:rPr>
                <w:sz w:val="21"/>
              </w:rPr>
            </w:pPr>
            <w:r>
              <w:rPr>
                <w:sz w:val="21"/>
              </w:rPr>
              <w:t>工业废水集中处理站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3</w:t>
            </w:r>
          </w:p>
        </w:tc>
        <w:tc>
          <w:tcPr>
            <w:tcW w:w="1680" w:type="dxa"/>
            <w:vAlign w:val="center"/>
          </w:tcPr>
          <w:p>
            <w:pPr>
              <w:pStyle w:val="62"/>
              <w:adjustRightInd w:val="0"/>
              <w:jc w:val="center"/>
              <w:rPr>
                <w:sz w:val="21"/>
              </w:rPr>
            </w:pPr>
            <w:r>
              <w:rPr>
                <w:sz w:val="21"/>
              </w:rPr>
              <w:t>锅炉酸洗废液</w:t>
            </w:r>
          </w:p>
        </w:tc>
        <w:tc>
          <w:tcPr>
            <w:tcW w:w="924" w:type="dxa"/>
            <w:vAlign w:val="center"/>
          </w:tcPr>
          <w:p>
            <w:pPr>
              <w:pStyle w:val="62"/>
              <w:adjustRightInd w:val="0"/>
              <w:jc w:val="center"/>
              <w:rPr>
                <w:sz w:val="21"/>
              </w:rPr>
            </w:pPr>
            <w:r>
              <w:rPr>
                <w:sz w:val="21"/>
              </w:rPr>
              <w:t>6</w:t>
            </w:r>
            <w:r>
              <w:rPr>
                <w:spacing w:val="-35"/>
                <w:sz w:val="21"/>
              </w:rPr>
              <w:t xml:space="preserve"> 年 </w:t>
            </w:r>
            <w:r>
              <w:rPr>
                <w:spacing w:val="-15"/>
                <w:sz w:val="21"/>
              </w:rPr>
              <w:t xml:space="preserve">1 </w:t>
            </w:r>
            <w:r>
              <w:rPr>
                <w:sz w:val="21"/>
              </w:rPr>
              <w:t>次</w:t>
            </w:r>
          </w:p>
        </w:tc>
        <w:tc>
          <w:tcPr>
            <w:tcW w:w="1061" w:type="dxa"/>
            <w:vAlign w:val="center"/>
          </w:tcPr>
          <w:p>
            <w:pPr>
              <w:pStyle w:val="62"/>
              <w:adjustRightInd w:val="0"/>
              <w:jc w:val="center"/>
              <w:rPr>
                <w:sz w:val="21"/>
              </w:rPr>
            </w:pPr>
            <w:r>
              <w:rPr>
                <w:sz w:val="21"/>
              </w:rPr>
              <w:t>2000 t/次</w:t>
            </w:r>
          </w:p>
        </w:tc>
        <w:tc>
          <w:tcPr>
            <w:tcW w:w="1134" w:type="dxa"/>
            <w:vAlign w:val="center"/>
          </w:tcPr>
          <w:p>
            <w:pPr>
              <w:pStyle w:val="62"/>
              <w:adjustRightInd w:val="0"/>
              <w:jc w:val="center"/>
              <w:rPr>
                <w:sz w:val="21"/>
              </w:rPr>
            </w:pPr>
            <w:r>
              <w:rPr>
                <w:sz w:val="21"/>
              </w:rPr>
              <w:t>pH、SS 等</w:t>
            </w:r>
          </w:p>
        </w:tc>
        <w:tc>
          <w:tcPr>
            <w:tcW w:w="1126" w:type="dxa"/>
            <w:vAlign w:val="center"/>
          </w:tcPr>
          <w:p>
            <w:pPr>
              <w:pStyle w:val="62"/>
              <w:adjustRightInd w:val="0"/>
              <w:jc w:val="center"/>
              <w:rPr>
                <w:sz w:val="21"/>
              </w:rPr>
            </w:pPr>
            <w:r>
              <w:rPr>
                <w:sz w:val="21"/>
              </w:rPr>
              <w:t>中和、沉淀</w:t>
            </w:r>
          </w:p>
        </w:tc>
        <w:tc>
          <w:tcPr>
            <w:tcW w:w="2328" w:type="dxa"/>
            <w:vAlign w:val="center"/>
          </w:tcPr>
          <w:p>
            <w:pPr>
              <w:pStyle w:val="62"/>
              <w:adjustRightInd w:val="0"/>
              <w:jc w:val="center"/>
              <w:rPr>
                <w:sz w:val="21"/>
              </w:rPr>
            </w:pPr>
            <w:r>
              <w:rPr>
                <w:sz w:val="21"/>
              </w:rPr>
              <w:t>工业废水集中处理站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4</w:t>
            </w:r>
          </w:p>
        </w:tc>
        <w:tc>
          <w:tcPr>
            <w:tcW w:w="1680" w:type="dxa"/>
            <w:vAlign w:val="center"/>
          </w:tcPr>
          <w:p>
            <w:pPr>
              <w:pStyle w:val="62"/>
              <w:adjustRightInd w:val="0"/>
              <w:jc w:val="center"/>
              <w:rPr>
                <w:sz w:val="21"/>
              </w:rPr>
            </w:pPr>
            <w:r>
              <w:rPr>
                <w:sz w:val="21"/>
              </w:rPr>
              <w:t>生活污水</w:t>
            </w:r>
          </w:p>
        </w:tc>
        <w:tc>
          <w:tcPr>
            <w:tcW w:w="924" w:type="dxa"/>
            <w:vAlign w:val="center"/>
          </w:tcPr>
          <w:p>
            <w:pPr>
              <w:pStyle w:val="62"/>
              <w:adjustRightInd w:val="0"/>
              <w:jc w:val="center"/>
              <w:rPr>
                <w:sz w:val="21"/>
              </w:rPr>
            </w:pPr>
            <w:r>
              <w:rPr>
                <w:sz w:val="21"/>
              </w:rPr>
              <w:t>间歇</w:t>
            </w:r>
          </w:p>
        </w:tc>
        <w:tc>
          <w:tcPr>
            <w:tcW w:w="1061" w:type="dxa"/>
            <w:vAlign w:val="center"/>
          </w:tcPr>
          <w:p>
            <w:pPr>
              <w:pStyle w:val="62"/>
              <w:adjustRightInd w:val="0"/>
              <w:jc w:val="center"/>
              <w:rPr>
                <w:sz w:val="21"/>
              </w:rPr>
            </w:pPr>
            <w:r>
              <w:rPr>
                <w:sz w:val="21"/>
              </w:rPr>
              <w:t>5</w:t>
            </w:r>
          </w:p>
        </w:tc>
        <w:tc>
          <w:tcPr>
            <w:tcW w:w="1134" w:type="dxa"/>
            <w:vAlign w:val="center"/>
          </w:tcPr>
          <w:p>
            <w:pPr>
              <w:pStyle w:val="62"/>
              <w:adjustRightInd w:val="0"/>
              <w:jc w:val="center"/>
              <w:rPr>
                <w:sz w:val="21"/>
              </w:rPr>
            </w:pPr>
            <w:r>
              <w:rPr>
                <w:sz w:val="21"/>
              </w:rPr>
              <w:t>COD</w:t>
            </w:r>
            <w:r>
              <w:rPr>
                <w:spacing w:val="-56"/>
                <w:sz w:val="21"/>
              </w:rPr>
              <w:t>、</w:t>
            </w:r>
            <w:r>
              <w:rPr>
                <w:sz w:val="21"/>
              </w:rPr>
              <w:t>BOD</w:t>
            </w:r>
          </w:p>
        </w:tc>
        <w:tc>
          <w:tcPr>
            <w:tcW w:w="1126" w:type="dxa"/>
            <w:vAlign w:val="center"/>
          </w:tcPr>
          <w:p>
            <w:pPr>
              <w:pStyle w:val="62"/>
              <w:adjustRightInd w:val="0"/>
              <w:jc w:val="center"/>
              <w:rPr>
                <w:sz w:val="21"/>
              </w:rPr>
            </w:pPr>
            <w:r>
              <w:rPr>
                <w:sz w:val="21"/>
              </w:rPr>
              <w:t>生化处理</w:t>
            </w:r>
          </w:p>
        </w:tc>
        <w:tc>
          <w:tcPr>
            <w:tcW w:w="2328" w:type="dxa"/>
            <w:vAlign w:val="center"/>
          </w:tcPr>
          <w:p>
            <w:pPr>
              <w:pStyle w:val="62"/>
              <w:adjustRightInd w:val="0"/>
              <w:jc w:val="center"/>
              <w:rPr>
                <w:sz w:val="21"/>
              </w:rPr>
            </w:pPr>
            <w:r>
              <w:rPr>
                <w:sz w:val="21"/>
              </w:rPr>
              <w:t>厂区绿化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5</w:t>
            </w:r>
          </w:p>
        </w:tc>
        <w:tc>
          <w:tcPr>
            <w:tcW w:w="1680" w:type="dxa"/>
            <w:vAlign w:val="center"/>
          </w:tcPr>
          <w:p>
            <w:pPr>
              <w:pStyle w:val="62"/>
              <w:adjustRightInd w:val="0"/>
              <w:jc w:val="center"/>
              <w:rPr>
                <w:sz w:val="21"/>
              </w:rPr>
            </w:pPr>
            <w:r>
              <w:rPr>
                <w:sz w:val="21"/>
              </w:rPr>
              <w:t>脱硫废水</w:t>
            </w:r>
          </w:p>
        </w:tc>
        <w:tc>
          <w:tcPr>
            <w:tcW w:w="924" w:type="dxa"/>
            <w:vAlign w:val="center"/>
          </w:tcPr>
          <w:p>
            <w:pPr>
              <w:pStyle w:val="62"/>
              <w:adjustRightInd w:val="0"/>
              <w:jc w:val="center"/>
              <w:rPr>
                <w:sz w:val="21"/>
              </w:rPr>
            </w:pPr>
            <w:r>
              <w:rPr>
                <w:sz w:val="21"/>
              </w:rPr>
              <w:t>连续</w:t>
            </w:r>
          </w:p>
        </w:tc>
        <w:tc>
          <w:tcPr>
            <w:tcW w:w="1061" w:type="dxa"/>
            <w:vAlign w:val="center"/>
          </w:tcPr>
          <w:p>
            <w:pPr>
              <w:pStyle w:val="62"/>
              <w:adjustRightInd w:val="0"/>
              <w:jc w:val="center"/>
              <w:rPr>
                <w:sz w:val="21"/>
              </w:rPr>
            </w:pPr>
            <w:r>
              <w:rPr>
                <w:sz w:val="21"/>
              </w:rPr>
              <w:t>15</w:t>
            </w:r>
          </w:p>
        </w:tc>
        <w:tc>
          <w:tcPr>
            <w:tcW w:w="1134" w:type="dxa"/>
            <w:vAlign w:val="center"/>
          </w:tcPr>
          <w:p>
            <w:pPr>
              <w:pStyle w:val="62"/>
              <w:adjustRightInd w:val="0"/>
              <w:jc w:val="center"/>
              <w:rPr>
                <w:sz w:val="21"/>
              </w:rPr>
            </w:pPr>
            <w:r>
              <w:rPr>
                <w:sz w:val="21"/>
              </w:rPr>
              <w:t>pH、SS 等</w:t>
            </w:r>
          </w:p>
        </w:tc>
        <w:tc>
          <w:tcPr>
            <w:tcW w:w="1126" w:type="dxa"/>
            <w:vAlign w:val="center"/>
          </w:tcPr>
          <w:p>
            <w:pPr>
              <w:pStyle w:val="62"/>
              <w:adjustRightInd w:val="0"/>
              <w:jc w:val="center"/>
              <w:rPr>
                <w:sz w:val="21"/>
              </w:rPr>
            </w:pPr>
            <w:r>
              <w:rPr>
                <w:sz w:val="21"/>
              </w:rPr>
              <w:t>单独处理</w:t>
            </w:r>
          </w:p>
        </w:tc>
        <w:tc>
          <w:tcPr>
            <w:tcW w:w="2328" w:type="dxa"/>
            <w:vAlign w:val="center"/>
          </w:tcPr>
          <w:p>
            <w:pPr>
              <w:pStyle w:val="62"/>
              <w:adjustRightInd w:val="0"/>
              <w:jc w:val="center"/>
              <w:rPr>
                <w:sz w:val="21"/>
              </w:rPr>
            </w:pPr>
            <w:r>
              <w:rPr>
                <w:sz w:val="21"/>
              </w:rPr>
              <w:t>灰场防尘、干灰调湿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6</w:t>
            </w:r>
          </w:p>
        </w:tc>
        <w:tc>
          <w:tcPr>
            <w:tcW w:w="1680" w:type="dxa"/>
            <w:vAlign w:val="center"/>
          </w:tcPr>
          <w:p>
            <w:pPr>
              <w:pStyle w:val="62"/>
              <w:adjustRightInd w:val="0"/>
              <w:jc w:val="center"/>
              <w:rPr>
                <w:sz w:val="21"/>
              </w:rPr>
            </w:pPr>
            <w:r>
              <w:rPr>
                <w:sz w:val="21"/>
              </w:rPr>
              <w:t>工业杂用水废水</w:t>
            </w:r>
          </w:p>
        </w:tc>
        <w:tc>
          <w:tcPr>
            <w:tcW w:w="924" w:type="dxa"/>
            <w:vAlign w:val="center"/>
          </w:tcPr>
          <w:p>
            <w:pPr>
              <w:pStyle w:val="62"/>
              <w:adjustRightInd w:val="0"/>
              <w:jc w:val="center"/>
              <w:rPr>
                <w:sz w:val="21"/>
              </w:rPr>
            </w:pPr>
            <w:r>
              <w:rPr>
                <w:sz w:val="21"/>
              </w:rPr>
              <w:t>连续</w:t>
            </w:r>
          </w:p>
        </w:tc>
        <w:tc>
          <w:tcPr>
            <w:tcW w:w="1061" w:type="dxa"/>
            <w:vAlign w:val="center"/>
          </w:tcPr>
          <w:p>
            <w:pPr>
              <w:pStyle w:val="62"/>
              <w:adjustRightInd w:val="0"/>
              <w:jc w:val="center"/>
              <w:rPr>
                <w:sz w:val="21"/>
              </w:rPr>
            </w:pPr>
            <w:r>
              <w:rPr>
                <w:sz w:val="21"/>
              </w:rPr>
              <w:t>20</w:t>
            </w:r>
          </w:p>
        </w:tc>
        <w:tc>
          <w:tcPr>
            <w:tcW w:w="1134" w:type="dxa"/>
            <w:vAlign w:val="center"/>
          </w:tcPr>
          <w:p>
            <w:pPr>
              <w:pStyle w:val="62"/>
              <w:adjustRightInd w:val="0"/>
              <w:jc w:val="center"/>
              <w:rPr>
                <w:sz w:val="21"/>
              </w:rPr>
            </w:pPr>
            <w:r>
              <w:rPr>
                <w:sz w:val="21"/>
              </w:rPr>
              <w:t>SS</w:t>
            </w:r>
          </w:p>
        </w:tc>
        <w:tc>
          <w:tcPr>
            <w:tcW w:w="1126" w:type="dxa"/>
            <w:vAlign w:val="center"/>
          </w:tcPr>
          <w:p>
            <w:pPr>
              <w:pStyle w:val="62"/>
              <w:adjustRightInd w:val="0"/>
              <w:jc w:val="center"/>
              <w:rPr>
                <w:sz w:val="21"/>
              </w:rPr>
            </w:pPr>
            <w:r>
              <w:rPr>
                <w:sz w:val="21"/>
              </w:rPr>
              <w:t>沉淀</w:t>
            </w:r>
          </w:p>
        </w:tc>
        <w:tc>
          <w:tcPr>
            <w:tcW w:w="2328" w:type="dxa"/>
            <w:vAlign w:val="center"/>
          </w:tcPr>
          <w:p>
            <w:pPr>
              <w:pStyle w:val="62"/>
              <w:adjustRightInd w:val="0"/>
              <w:jc w:val="center"/>
              <w:rPr>
                <w:sz w:val="21"/>
              </w:rPr>
            </w:pPr>
            <w:r>
              <w:rPr>
                <w:sz w:val="21"/>
              </w:rPr>
              <w:t>工业杂用水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b/>
                <w:sz w:val="16"/>
              </w:rPr>
            </w:pPr>
          </w:p>
          <w:p>
            <w:pPr>
              <w:pStyle w:val="62"/>
              <w:adjustRightInd w:val="0"/>
              <w:jc w:val="center"/>
              <w:rPr>
                <w:sz w:val="21"/>
              </w:rPr>
            </w:pPr>
            <w:r>
              <w:rPr>
                <w:sz w:val="21"/>
              </w:rPr>
              <w:t>7</w:t>
            </w:r>
          </w:p>
        </w:tc>
        <w:tc>
          <w:tcPr>
            <w:tcW w:w="1680" w:type="dxa"/>
            <w:vAlign w:val="center"/>
          </w:tcPr>
          <w:p>
            <w:pPr>
              <w:pStyle w:val="62"/>
              <w:adjustRightInd w:val="0"/>
              <w:jc w:val="center"/>
              <w:rPr>
                <w:rFonts w:eastAsiaTheme="minorEastAsia"/>
                <w:sz w:val="21"/>
                <w:lang w:eastAsia="zh-CN"/>
              </w:rPr>
            </w:pPr>
            <w:r>
              <w:rPr>
                <w:sz w:val="21"/>
                <w:lang w:eastAsia="zh-CN"/>
              </w:rPr>
              <w:t>输煤系统</w:t>
            </w:r>
          </w:p>
          <w:p>
            <w:pPr>
              <w:pStyle w:val="62"/>
              <w:adjustRightInd w:val="0"/>
              <w:jc w:val="center"/>
              <w:rPr>
                <w:sz w:val="21"/>
                <w:lang w:eastAsia="zh-CN"/>
              </w:rPr>
            </w:pPr>
            <w:r>
              <w:rPr>
                <w:sz w:val="21"/>
                <w:lang w:eastAsia="zh-CN"/>
              </w:rPr>
              <w:t>冲洗用水废水</w:t>
            </w:r>
          </w:p>
        </w:tc>
        <w:tc>
          <w:tcPr>
            <w:tcW w:w="924" w:type="dxa"/>
            <w:vAlign w:val="center"/>
          </w:tcPr>
          <w:p>
            <w:pPr>
              <w:pStyle w:val="62"/>
              <w:adjustRightInd w:val="0"/>
              <w:jc w:val="center"/>
              <w:rPr>
                <w:sz w:val="21"/>
              </w:rPr>
            </w:pPr>
            <w:r>
              <w:rPr>
                <w:sz w:val="21"/>
              </w:rPr>
              <w:t>间歇</w:t>
            </w:r>
          </w:p>
        </w:tc>
        <w:tc>
          <w:tcPr>
            <w:tcW w:w="1061" w:type="dxa"/>
            <w:vAlign w:val="center"/>
          </w:tcPr>
          <w:p>
            <w:pPr>
              <w:pStyle w:val="62"/>
              <w:adjustRightInd w:val="0"/>
              <w:jc w:val="center"/>
              <w:rPr>
                <w:sz w:val="21"/>
              </w:rPr>
            </w:pPr>
            <w:r>
              <w:rPr>
                <w:sz w:val="21"/>
              </w:rPr>
              <w:t>20</w:t>
            </w:r>
          </w:p>
        </w:tc>
        <w:tc>
          <w:tcPr>
            <w:tcW w:w="1134" w:type="dxa"/>
            <w:vAlign w:val="center"/>
          </w:tcPr>
          <w:p>
            <w:pPr>
              <w:pStyle w:val="62"/>
              <w:adjustRightInd w:val="0"/>
              <w:jc w:val="center"/>
              <w:rPr>
                <w:sz w:val="21"/>
              </w:rPr>
            </w:pPr>
            <w:r>
              <w:rPr>
                <w:sz w:val="21"/>
              </w:rPr>
              <w:t>SS</w:t>
            </w:r>
          </w:p>
        </w:tc>
        <w:tc>
          <w:tcPr>
            <w:tcW w:w="1126" w:type="dxa"/>
            <w:vAlign w:val="center"/>
          </w:tcPr>
          <w:p>
            <w:pPr>
              <w:pStyle w:val="62"/>
              <w:adjustRightInd w:val="0"/>
              <w:jc w:val="center"/>
              <w:rPr>
                <w:b/>
                <w:sz w:val="16"/>
              </w:rPr>
            </w:pPr>
          </w:p>
          <w:p>
            <w:pPr>
              <w:pStyle w:val="62"/>
              <w:adjustRightInd w:val="0"/>
              <w:jc w:val="center"/>
              <w:rPr>
                <w:sz w:val="21"/>
              </w:rPr>
            </w:pPr>
            <w:r>
              <w:rPr>
                <w:sz w:val="21"/>
              </w:rPr>
              <w:t>沉淀</w:t>
            </w:r>
          </w:p>
        </w:tc>
        <w:tc>
          <w:tcPr>
            <w:tcW w:w="2328" w:type="dxa"/>
            <w:vAlign w:val="center"/>
          </w:tcPr>
          <w:p>
            <w:pPr>
              <w:pStyle w:val="62"/>
              <w:adjustRightInd w:val="0"/>
              <w:jc w:val="center"/>
              <w:rPr>
                <w:sz w:val="21"/>
              </w:rPr>
            </w:pPr>
            <w:r>
              <w:rPr>
                <w:sz w:val="21"/>
              </w:rPr>
              <w:t>输煤系统冲洗用水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sz w:val="21"/>
              </w:rPr>
            </w:pPr>
            <w:r>
              <w:rPr>
                <w:sz w:val="21"/>
              </w:rPr>
              <w:t>8</w:t>
            </w:r>
          </w:p>
        </w:tc>
        <w:tc>
          <w:tcPr>
            <w:tcW w:w="1680" w:type="dxa"/>
            <w:vAlign w:val="center"/>
          </w:tcPr>
          <w:p>
            <w:pPr>
              <w:pStyle w:val="62"/>
              <w:adjustRightInd w:val="0"/>
              <w:jc w:val="center"/>
              <w:rPr>
                <w:sz w:val="21"/>
              </w:rPr>
            </w:pPr>
            <w:r>
              <w:rPr>
                <w:sz w:val="21"/>
              </w:rPr>
              <w:t>锅炉排污</w:t>
            </w:r>
          </w:p>
        </w:tc>
        <w:tc>
          <w:tcPr>
            <w:tcW w:w="924" w:type="dxa"/>
            <w:vAlign w:val="center"/>
          </w:tcPr>
          <w:p>
            <w:pPr>
              <w:pStyle w:val="62"/>
              <w:adjustRightInd w:val="0"/>
              <w:jc w:val="center"/>
              <w:rPr>
                <w:sz w:val="21"/>
              </w:rPr>
            </w:pPr>
            <w:r>
              <w:rPr>
                <w:sz w:val="21"/>
              </w:rPr>
              <w:t>间歇</w:t>
            </w:r>
          </w:p>
        </w:tc>
        <w:tc>
          <w:tcPr>
            <w:tcW w:w="1061" w:type="dxa"/>
            <w:vAlign w:val="center"/>
          </w:tcPr>
          <w:p>
            <w:pPr>
              <w:pStyle w:val="62"/>
              <w:adjustRightInd w:val="0"/>
              <w:jc w:val="center"/>
              <w:rPr>
                <w:sz w:val="21"/>
              </w:rPr>
            </w:pPr>
            <w:r>
              <w:rPr>
                <w:sz w:val="21"/>
              </w:rPr>
              <w:t>20</w:t>
            </w:r>
          </w:p>
        </w:tc>
        <w:tc>
          <w:tcPr>
            <w:tcW w:w="1134" w:type="dxa"/>
            <w:vAlign w:val="center"/>
          </w:tcPr>
          <w:p>
            <w:pPr>
              <w:pStyle w:val="62"/>
              <w:adjustRightInd w:val="0"/>
              <w:jc w:val="center"/>
              <w:rPr>
                <w:sz w:val="21"/>
              </w:rPr>
            </w:pPr>
            <w:r>
              <w:rPr>
                <w:sz w:val="21"/>
              </w:rPr>
              <w:t>--</w:t>
            </w:r>
          </w:p>
        </w:tc>
        <w:tc>
          <w:tcPr>
            <w:tcW w:w="1126" w:type="dxa"/>
            <w:vAlign w:val="center"/>
          </w:tcPr>
          <w:p>
            <w:pPr>
              <w:pStyle w:val="62"/>
              <w:adjustRightInd w:val="0"/>
              <w:jc w:val="center"/>
              <w:rPr>
                <w:sz w:val="21"/>
              </w:rPr>
            </w:pPr>
            <w:r>
              <w:rPr>
                <w:sz w:val="21"/>
              </w:rPr>
              <w:t>--</w:t>
            </w:r>
          </w:p>
        </w:tc>
        <w:tc>
          <w:tcPr>
            <w:tcW w:w="2328" w:type="dxa"/>
            <w:vAlign w:val="center"/>
          </w:tcPr>
          <w:p>
            <w:pPr>
              <w:pStyle w:val="62"/>
              <w:adjustRightInd w:val="0"/>
              <w:jc w:val="center"/>
              <w:rPr>
                <w:sz w:val="21"/>
              </w:rPr>
            </w:pPr>
            <w:r>
              <w:rPr>
                <w:sz w:val="21"/>
              </w:rPr>
              <w:t>工业废水集中处理站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82" w:type="dxa"/>
            <w:vAlign w:val="center"/>
          </w:tcPr>
          <w:p>
            <w:pPr>
              <w:pStyle w:val="62"/>
              <w:adjustRightInd w:val="0"/>
              <w:jc w:val="center"/>
              <w:rPr>
                <w:b/>
                <w:sz w:val="20"/>
              </w:rPr>
            </w:pPr>
          </w:p>
          <w:p>
            <w:pPr>
              <w:pStyle w:val="62"/>
              <w:adjustRightInd w:val="0"/>
              <w:jc w:val="center"/>
              <w:rPr>
                <w:sz w:val="21"/>
              </w:rPr>
            </w:pPr>
            <w:r>
              <w:rPr>
                <w:sz w:val="21"/>
              </w:rPr>
              <w:t>9</w:t>
            </w:r>
          </w:p>
        </w:tc>
        <w:tc>
          <w:tcPr>
            <w:tcW w:w="1680" w:type="dxa"/>
            <w:vAlign w:val="center"/>
          </w:tcPr>
          <w:p>
            <w:pPr>
              <w:pStyle w:val="62"/>
              <w:adjustRightInd w:val="0"/>
              <w:jc w:val="center"/>
              <w:rPr>
                <w:sz w:val="21"/>
                <w:lang w:eastAsia="zh-CN"/>
              </w:rPr>
            </w:pPr>
            <w:r>
              <w:rPr>
                <w:sz w:val="21"/>
                <w:lang w:eastAsia="zh-CN"/>
              </w:rPr>
              <w:t>工业废水集中处理站处理后废水</w:t>
            </w:r>
          </w:p>
        </w:tc>
        <w:tc>
          <w:tcPr>
            <w:tcW w:w="924" w:type="dxa"/>
            <w:vAlign w:val="center"/>
          </w:tcPr>
          <w:p>
            <w:pPr>
              <w:pStyle w:val="62"/>
              <w:adjustRightInd w:val="0"/>
              <w:jc w:val="center"/>
              <w:rPr>
                <w:sz w:val="21"/>
              </w:rPr>
            </w:pPr>
            <w:r>
              <w:rPr>
                <w:sz w:val="21"/>
              </w:rPr>
              <w:t>连续</w:t>
            </w:r>
          </w:p>
        </w:tc>
        <w:tc>
          <w:tcPr>
            <w:tcW w:w="1061" w:type="dxa"/>
            <w:vAlign w:val="center"/>
          </w:tcPr>
          <w:p>
            <w:pPr>
              <w:pStyle w:val="62"/>
              <w:adjustRightInd w:val="0"/>
              <w:jc w:val="center"/>
              <w:rPr>
                <w:sz w:val="21"/>
              </w:rPr>
            </w:pPr>
            <w:r>
              <w:rPr>
                <w:sz w:val="21"/>
              </w:rPr>
              <w:t>30</w:t>
            </w:r>
          </w:p>
        </w:tc>
        <w:tc>
          <w:tcPr>
            <w:tcW w:w="1134" w:type="dxa"/>
            <w:vAlign w:val="center"/>
          </w:tcPr>
          <w:p>
            <w:pPr>
              <w:pStyle w:val="62"/>
              <w:adjustRightInd w:val="0"/>
              <w:jc w:val="center"/>
              <w:rPr>
                <w:sz w:val="21"/>
              </w:rPr>
            </w:pPr>
            <w:r>
              <w:rPr>
                <w:sz w:val="21"/>
              </w:rPr>
              <w:t>COD、SS</w:t>
            </w:r>
          </w:p>
        </w:tc>
        <w:tc>
          <w:tcPr>
            <w:tcW w:w="1126" w:type="dxa"/>
            <w:vAlign w:val="center"/>
          </w:tcPr>
          <w:p>
            <w:pPr>
              <w:pStyle w:val="62"/>
              <w:adjustRightInd w:val="0"/>
              <w:jc w:val="center"/>
              <w:rPr>
                <w:rFonts w:ascii="Times New Roman"/>
                <w:sz w:val="24"/>
              </w:rPr>
            </w:pPr>
          </w:p>
        </w:tc>
        <w:tc>
          <w:tcPr>
            <w:tcW w:w="2328" w:type="dxa"/>
            <w:vAlign w:val="center"/>
          </w:tcPr>
          <w:p>
            <w:pPr>
              <w:pStyle w:val="62"/>
              <w:adjustRightInd w:val="0"/>
              <w:jc w:val="center"/>
              <w:rPr>
                <w:sz w:val="21"/>
              </w:rPr>
            </w:pPr>
            <w:r>
              <w:rPr>
                <w:sz w:val="21"/>
              </w:rPr>
              <w:t>30t/h 作冲渣补充水</w:t>
            </w:r>
          </w:p>
        </w:tc>
      </w:tr>
    </w:tbl>
    <w:p>
      <w:pPr>
        <w:pStyle w:val="27"/>
        <w:shd w:val="clear" w:color="auto" w:fill="FFFFFF"/>
        <w:spacing w:beforeLines="5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（1）酸、碱废水：超超临界锅炉排放量约200t/d，锅炉补给水处理和凝结水处理系统的含酸、碱废水拟先排入废水处理站中和池中和处理后作冲渣用水。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2）锅炉非经常性废水：锅炉非经常性废水包括锅炉化学清洗水（一般6年1次）、锅炉排污水、空气预热器冲洗水、静电除尘器冲洗水等，这类废水中主要污染物为pH值、悬浮物和少量联胺，拟排入废水处理站集中处理，经处理后，使排水达到《污水综合排放标准》（GB 8978—1996）中的三级标准，锅炉酸洗废液中的污染物主要为酸，排放量约2000t/次，处理后用作冲渣补充水。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（3）脱硫废水：排放的废水中总悬浮固体（SS）浓度较高、呈弱酸性，排放量约15t/h，单独处理后作灰场防尘或干灰调湿用水。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（4）煤系统排水：依托工程的煤场和输煤系统等的间断冲洗排水和煤场雨水经沉淀处理后作煤场冲洗用水。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（5）生活污水：生活污水排放量约5t/h，经生活污水处理站处理后作厂区绿化用水。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（6）含油污水：依托工程的少量含油污水排入油水分离处理装置进行处理，处理后的排水进工业废水集中处理站处理后作冲渣用水。</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（7）全厂工业和生活废水全部回收利用，废水重复利用率100%。</w:t>
      </w:r>
    </w:p>
    <w:p>
      <w:pPr>
        <w:pStyle w:val="27"/>
        <w:shd w:val="clear" w:color="auto" w:fill="FFFFFF"/>
        <w:spacing w:before="0" w:beforeAutospacing="0" w:after="0" w:afterAutospacing="0" w:line="360" w:lineRule="auto"/>
        <w:ind w:firstLine="482"/>
        <w:rPr>
          <w:rFonts w:ascii="宋体" w:hAnsi="宋体" w:eastAsia="宋体" w:cs="宋体"/>
          <w:bCs/>
          <w:color w:val="333333"/>
          <w:lang w:eastAsia="zh-CN"/>
        </w:rPr>
      </w:pPr>
      <w:r>
        <w:rPr>
          <w:rFonts w:hint="eastAsia" w:ascii="宋体" w:hAnsi="宋体" w:eastAsia="宋体" w:cs="宋体"/>
          <w:bCs/>
          <w:color w:val="333333"/>
          <w:lang w:eastAsia="zh-CN"/>
        </w:rPr>
        <w:t>（8）煤场初期雨水:煤场初期雨水收集后排入沉煤池沉淀后全部作煤场冲洗用水。电厂雨水排入雨水管网。依托工程不外排污水，不增加COD排放量，不会对水环境产生影响。依托工程产生的废水处理措施为脱硫工艺废水用于厂区灰渣抑尘加湿，不外排；循环冷却系统排水等生产废水、生活废水进污水站集中处理后回用。</w:t>
      </w:r>
    </w:p>
    <w:p>
      <w:pPr>
        <w:pStyle w:val="5"/>
        <w:widowControl w:val="0"/>
        <w:tabs>
          <w:tab w:val="left" w:pos="-3900"/>
          <w:tab w:val="left" w:pos="0"/>
        </w:tabs>
        <w:adjustRightInd w:val="0"/>
        <w:snapToGrid w:val="0"/>
        <w:spacing w:before="0" w:line="360" w:lineRule="auto"/>
        <w:rPr>
          <w:rFonts w:eastAsia="宋体"/>
          <w:color w:val="000000" w:themeColor="text1"/>
          <w:lang w:eastAsia="zh-CN"/>
        </w:rPr>
      </w:pPr>
      <w:bookmarkStart w:id="399" w:name="_Toc22202035"/>
      <w:bookmarkStart w:id="400" w:name="_Toc22200989"/>
      <w:bookmarkStart w:id="401" w:name="_Toc22202739"/>
      <w:bookmarkStart w:id="402" w:name="_Toc22202327"/>
      <w:bookmarkStart w:id="403" w:name="_Toc22200322"/>
      <w:bookmarkStart w:id="404" w:name="_Toc24969741"/>
      <w:r>
        <w:rPr>
          <w:rFonts w:hint="eastAsia" w:eastAsia="宋体"/>
          <w:color w:val="000000" w:themeColor="text1"/>
          <w:lang w:eastAsia="zh-CN"/>
        </w:rPr>
        <w:t>3.2.3 噪声</w:t>
      </w:r>
      <w:bookmarkEnd w:id="399"/>
      <w:bookmarkEnd w:id="400"/>
      <w:bookmarkEnd w:id="401"/>
      <w:bookmarkEnd w:id="402"/>
      <w:bookmarkEnd w:id="403"/>
      <w:bookmarkEnd w:id="404"/>
    </w:p>
    <w:p>
      <w:pPr>
        <w:pStyle w:val="27"/>
        <w:shd w:val="clear" w:color="auto" w:fill="FFFFFF"/>
        <w:spacing w:before="0" w:beforeAutospacing="0" w:after="0" w:afterAutospacing="0" w:line="360" w:lineRule="auto"/>
        <w:ind w:firstLine="480"/>
        <w:rPr>
          <w:rFonts w:ascii="宋体" w:hAnsi="宋体" w:eastAsia="宋体" w:cs="宋体"/>
          <w:bCs/>
          <w:color w:val="333333"/>
          <w:lang w:eastAsia="zh-CN"/>
        </w:rPr>
      </w:pPr>
      <w:r>
        <w:rPr>
          <w:rFonts w:hint="eastAsia" w:ascii="宋体" w:hAnsi="宋体" w:eastAsia="宋体" w:cs="宋体"/>
          <w:bCs/>
          <w:color w:val="333333"/>
          <w:lang w:eastAsia="zh-CN"/>
        </w:rPr>
        <w:t>电厂噪声多为中、低频声源，主要是汽轮机、磨煤机、各种泵和风机等设备及管道的节流、振动等所产生的噪声，强度一般为 80-100dB（A）。锅炉安全阀排汽噪声为一间断高频噪声源，安装消音器后强度一般不高于 100dB（A）。本期工程将综合考虑声源设备的种类、布置、运行方式、噪声等级来采取降噪措施，参考同类型机组工程，依托工程主要噪声设备的噪声等级参见表 3.2-3。依托工程主要噪声源为风机、煤炭磨粉机、冷却塔、空压机、给料机、各类泵等设备，采取了选用低噪声设备，加设隔音罩、消声器等降噪措施。</w:t>
      </w:r>
    </w:p>
    <w:p>
      <w:pPr>
        <w:pStyle w:val="27"/>
        <w:shd w:val="clear" w:color="auto" w:fill="FFFFFF"/>
        <w:spacing w:before="0" w:beforeAutospacing="0" w:after="0" w:afterAutospacing="0" w:line="360" w:lineRule="auto"/>
        <w:jc w:val="center"/>
        <w:rPr>
          <w:rFonts w:ascii="宋体" w:hAnsi="宋体" w:eastAsia="宋体" w:cs="宋体"/>
          <w:b/>
          <w:bCs/>
          <w:color w:val="333333"/>
          <w:lang w:eastAsia="zh-CN"/>
        </w:rPr>
      </w:pPr>
      <w:r>
        <w:rPr>
          <w:rFonts w:hint="eastAsia" w:ascii="宋体" w:hAnsi="宋体" w:eastAsia="宋体" w:cs="宋体"/>
          <w:b/>
          <w:bCs/>
          <w:color w:val="333333"/>
          <w:lang w:eastAsia="zh-CN"/>
        </w:rPr>
        <w:t>表3.2-3主要噪声源设备噪声水平 单位：dB(A)</w:t>
      </w:r>
    </w:p>
    <w:tbl>
      <w:tblPr>
        <w:tblStyle w:val="30"/>
        <w:tblW w:w="914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87"/>
        <w:gridCol w:w="1744"/>
        <w:gridCol w:w="916"/>
        <w:gridCol w:w="916"/>
        <w:gridCol w:w="501"/>
        <w:gridCol w:w="1348"/>
        <w:gridCol w:w="31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587" w:type="dxa"/>
            <w:vMerge w:val="restart"/>
            <w:vAlign w:val="center"/>
          </w:tcPr>
          <w:p>
            <w:pPr>
              <w:pStyle w:val="62"/>
              <w:jc w:val="center"/>
              <w:rPr>
                <w:b/>
                <w:sz w:val="21"/>
              </w:rPr>
            </w:pPr>
            <w:r>
              <w:rPr>
                <w:b/>
                <w:sz w:val="21"/>
              </w:rPr>
              <w:t>序号</w:t>
            </w:r>
          </w:p>
        </w:tc>
        <w:tc>
          <w:tcPr>
            <w:tcW w:w="1744" w:type="dxa"/>
            <w:vMerge w:val="restart"/>
            <w:vAlign w:val="center"/>
          </w:tcPr>
          <w:p>
            <w:pPr>
              <w:pStyle w:val="62"/>
              <w:tabs>
                <w:tab w:val="left" w:pos="1082"/>
              </w:tabs>
              <w:jc w:val="center"/>
              <w:rPr>
                <w:b/>
                <w:sz w:val="21"/>
              </w:rPr>
            </w:pPr>
            <w:r>
              <w:rPr>
                <w:b/>
                <w:sz w:val="21"/>
              </w:rPr>
              <w:t>设</w:t>
            </w:r>
            <w:r>
              <w:rPr>
                <w:b/>
                <w:sz w:val="21"/>
              </w:rPr>
              <w:tab/>
            </w:r>
            <w:r>
              <w:rPr>
                <w:b/>
                <w:sz w:val="21"/>
              </w:rPr>
              <w:t>备</w:t>
            </w:r>
          </w:p>
        </w:tc>
        <w:tc>
          <w:tcPr>
            <w:tcW w:w="1832" w:type="dxa"/>
            <w:gridSpan w:val="2"/>
            <w:vAlign w:val="center"/>
          </w:tcPr>
          <w:p>
            <w:pPr>
              <w:pStyle w:val="62"/>
              <w:tabs>
                <w:tab w:val="left" w:pos="1020"/>
              </w:tabs>
              <w:jc w:val="center"/>
              <w:rPr>
                <w:b/>
                <w:sz w:val="21"/>
              </w:rPr>
            </w:pPr>
            <w:r>
              <w:rPr>
                <w:b/>
                <w:sz w:val="21"/>
              </w:rPr>
              <w:t>源</w:t>
            </w:r>
            <w:r>
              <w:rPr>
                <w:b/>
                <w:sz w:val="21"/>
              </w:rPr>
              <w:tab/>
            </w:r>
            <w:r>
              <w:rPr>
                <w:b/>
                <w:sz w:val="21"/>
              </w:rPr>
              <w:t>强</w:t>
            </w:r>
          </w:p>
        </w:tc>
        <w:tc>
          <w:tcPr>
            <w:tcW w:w="501" w:type="dxa"/>
            <w:vMerge w:val="restart"/>
            <w:vAlign w:val="center"/>
          </w:tcPr>
          <w:p>
            <w:pPr>
              <w:pStyle w:val="62"/>
              <w:jc w:val="center"/>
              <w:rPr>
                <w:b/>
                <w:sz w:val="21"/>
              </w:rPr>
            </w:pPr>
            <w:r>
              <w:rPr>
                <w:b/>
                <w:sz w:val="21"/>
              </w:rPr>
              <w:t>数量</w:t>
            </w:r>
          </w:p>
        </w:tc>
        <w:tc>
          <w:tcPr>
            <w:tcW w:w="1348" w:type="dxa"/>
            <w:vMerge w:val="restart"/>
            <w:vAlign w:val="center"/>
          </w:tcPr>
          <w:p>
            <w:pPr>
              <w:pStyle w:val="62"/>
              <w:jc w:val="center"/>
              <w:rPr>
                <w:b/>
                <w:sz w:val="21"/>
              </w:rPr>
            </w:pPr>
            <w:r>
              <w:rPr>
                <w:b/>
                <w:sz w:val="21"/>
              </w:rPr>
              <w:t>测量位置</w:t>
            </w:r>
          </w:p>
        </w:tc>
        <w:tc>
          <w:tcPr>
            <w:tcW w:w="3136" w:type="dxa"/>
            <w:vMerge w:val="restart"/>
            <w:vAlign w:val="center"/>
          </w:tcPr>
          <w:p>
            <w:pPr>
              <w:pStyle w:val="62"/>
              <w:jc w:val="center"/>
              <w:rPr>
                <w:b/>
                <w:sz w:val="21"/>
              </w:rPr>
            </w:pPr>
            <w:r>
              <w:rPr>
                <w:b/>
                <w:sz w:val="21"/>
              </w:rPr>
              <w:t>措施与效果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587" w:type="dxa"/>
            <w:vMerge w:val="continue"/>
            <w:vAlign w:val="center"/>
          </w:tcPr>
          <w:p>
            <w:pPr>
              <w:spacing w:after="0" w:line="240" w:lineRule="auto"/>
              <w:jc w:val="center"/>
              <w:rPr>
                <w:sz w:val="2"/>
                <w:szCs w:val="2"/>
              </w:rPr>
            </w:pPr>
          </w:p>
        </w:tc>
        <w:tc>
          <w:tcPr>
            <w:tcW w:w="1744" w:type="dxa"/>
            <w:vMerge w:val="continue"/>
            <w:vAlign w:val="center"/>
          </w:tcPr>
          <w:p>
            <w:pPr>
              <w:spacing w:after="0" w:line="240" w:lineRule="auto"/>
              <w:jc w:val="center"/>
              <w:rPr>
                <w:sz w:val="2"/>
                <w:szCs w:val="2"/>
              </w:rPr>
            </w:pPr>
          </w:p>
        </w:tc>
        <w:tc>
          <w:tcPr>
            <w:tcW w:w="916" w:type="dxa"/>
            <w:vAlign w:val="center"/>
          </w:tcPr>
          <w:p>
            <w:pPr>
              <w:pStyle w:val="62"/>
              <w:jc w:val="center"/>
              <w:rPr>
                <w:b/>
                <w:sz w:val="21"/>
              </w:rPr>
            </w:pPr>
            <w:r>
              <w:rPr>
                <w:b/>
                <w:sz w:val="21"/>
              </w:rPr>
              <w:t>降噪前</w:t>
            </w:r>
          </w:p>
        </w:tc>
        <w:tc>
          <w:tcPr>
            <w:tcW w:w="916" w:type="dxa"/>
            <w:vAlign w:val="center"/>
          </w:tcPr>
          <w:p>
            <w:pPr>
              <w:pStyle w:val="62"/>
              <w:jc w:val="center"/>
              <w:rPr>
                <w:b/>
                <w:sz w:val="21"/>
              </w:rPr>
            </w:pPr>
            <w:r>
              <w:rPr>
                <w:b/>
                <w:sz w:val="21"/>
              </w:rPr>
              <w:t>降噪后</w:t>
            </w:r>
          </w:p>
        </w:tc>
        <w:tc>
          <w:tcPr>
            <w:tcW w:w="501" w:type="dxa"/>
            <w:vMerge w:val="continue"/>
            <w:vAlign w:val="center"/>
          </w:tcPr>
          <w:p>
            <w:pPr>
              <w:spacing w:after="0" w:line="240" w:lineRule="auto"/>
              <w:jc w:val="center"/>
              <w:rPr>
                <w:sz w:val="2"/>
                <w:szCs w:val="2"/>
              </w:rPr>
            </w:pPr>
          </w:p>
        </w:tc>
        <w:tc>
          <w:tcPr>
            <w:tcW w:w="1348" w:type="dxa"/>
            <w:vMerge w:val="continue"/>
            <w:vAlign w:val="center"/>
          </w:tcPr>
          <w:p>
            <w:pPr>
              <w:spacing w:after="0" w:line="240" w:lineRule="auto"/>
              <w:jc w:val="center"/>
              <w:rPr>
                <w:sz w:val="2"/>
                <w:szCs w:val="2"/>
              </w:rPr>
            </w:pPr>
          </w:p>
        </w:tc>
        <w:tc>
          <w:tcPr>
            <w:tcW w:w="3136" w:type="dxa"/>
            <w:vMerge w:val="continue"/>
            <w:vAlign w:val="center"/>
          </w:tcPr>
          <w:p>
            <w:pPr>
              <w:spacing w:after="0" w:line="240" w:lineRule="auto"/>
              <w:jc w:val="cente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1</w:t>
            </w:r>
          </w:p>
        </w:tc>
        <w:tc>
          <w:tcPr>
            <w:tcW w:w="1744" w:type="dxa"/>
            <w:vAlign w:val="center"/>
          </w:tcPr>
          <w:p>
            <w:pPr>
              <w:pStyle w:val="62"/>
              <w:jc w:val="center"/>
              <w:rPr>
                <w:sz w:val="21"/>
              </w:rPr>
            </w:pPr>
            <w:r>
              <w:rPr>
                <w:sz w:val="21"/>
              </w:rPr>
              <w:t>汽轮发电机组</w:t>
            </w:r>
          </w:p>
        </w:tc>
        <w:tc>
          <w:tcPr>
            <w:tcW w:w="916" w:type="dxa"/>
            <w:vAlign w:val="center"/>
          </w:tcPr>
          <w:p>
            <w:pPr>
              <w:pStyle w:val="62"/>
              <w:jc w:val="center"/>
              <w:rPr>
                <w:sz w:val="21"/>
              </w:rPr>
            </w:pPr>
            <w:r>
              <w:rPr>
                <w:sz w:val="21"/>
              </w:rPr>
              <w:t>90</w:t>
            </w:r>
          </w:p>
        </w:tc>
        <w:tc>
          <w:tcPr>
            <w:tcW w:w="916" w:type="dxa"/>
            <w:vAlign w:val="center"/>
          </w:tcPr>
          <w:p>
            <w:pPr>
              <w:pStyle w:val="62"/>
              <w:jc w:val="center"/>
              <w:rPr>
                <w:sz w:val="21"/>
              </w:rPr>
            </w:pPr>
            <w:r>
              <w:rPr>
                <w:sz w:val="21"/>
              </w:rPr>
              <w:t>75</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距离</w:t>
            </w:r>
          </w:p>
        </w:tc>
        <w:tc>
          <w:tcPr>
            <w:tcW w:w="3136" w:type="dxa"/>
            <w:vAlign w:val="center"/>
          </w:tcPr>
          <w:p>
            <w:pPr>
              <w:pStyle w:val="62"/>
              <w:jc w:val="center"/>
              <w:rPr>
                <w:sz w:val="21"/>
              </w:rPr>
            </w:pPr>
            <w:r>
              <w:rPr>
                <w:sz w:val="21"/>
              </w:rPr>
              <w:t>主厂房隔声，15dB(A)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2</w:t>
            </w:r>
          </w:p>
        </w:tc>
        <w:tc>
          <w:tcPr>
            <w:tcW w:w="1744" w:type="dxa"/>
            <w:vAlign w:val="center"/>
          </w:tcPr>
          <w:p>
            <w:pPr>
              <w:pStyle w:val="62"/>
              <w:jc w:val="center"/>
              <w:rPr>
                <w:sz w:val="21"/>
              </w:rPr>
            </w:pPr>
            <w:r>
              <w:rPr>
                <w:sz w:val="21"/>
              </w:rPr>
              <w:t>送风机</w:t>
            </w:r>
          </w:p>
        </w:tc>
        <w:tc>
          <w:tcPr>
            <w:tcW w:w="916" w:type="dxa"/>
            <w:vAlign w:val="center"/>
          </w:tcPr>
          <w:p>
            <w:pPr>
              <w:pStyle w:val="62"/>
              <w:jc w:val="center"/>
              <w:rPr>
                <w:sz w:val="21"/>
              </w:rPr>
            </w:pPr>
            <w:r>
              <w:rPr>
                <w:sz w:val="21"/>
              </w:rPr>
              <w:t>95</w:t>
            </w:r>
          </w:p>
        </w:tc>
        <w:tc>
          <w:tcPr>
            <w:tcW w:w="916" w:type="dxa"/>
            <w:vAlign w:val="center"/>
          </w:tcPr>
          <w:p>
            <w:pPr>
              <w:pStyle w:val="62"/>
              <w:jc w:val="center"/>
              <w:rPr>
                <w:sz w:val="21"/>
              </w:rPr>
            </w:pPr>
            <w:r>
              <w:rPr>
                <w:sz w:val="21"/>
              </w:rPr>
              <w:t>80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进风口 3m</w:t>
            </w:r>
          </w:p>
        </w:tc>
        <w:tc>
          <w:tcPr>
            <w:tcW w:w="3136" w:type="dxa"/>
            <w:vAlign w:val="center"/>
          </w:tcPr>
          <w:p>
            <w:pPr>
              <w:pStyle w:val="62"/>
              <w:jc w:val="center"/>
              <w:rPr>
                <w:sz w:val="21"/>
              </w:rPr>
            </w:pPr>
            <w:r>
              <w:rPr>
                <w:sz w:val="21"/>
              </w:rPr>
              <w:t>吸风口安装消声器，15dB(A)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3</w:t>
            </w:r>
          </w:p>
        </w:tc>
        <w:tc>
          <w:tcPr>
            <w:tcW w:w="1744" w:type="dxa"/>
            <w:vAlign w:val="center"/>
          </w:tcPr>
          <w:p>
            <w:pPr>
              <w:pStyle w:val="62"/>
              <w:jc w:val="center"/>
              <w:rPr>
                <w:sz w:val="21"/>
              </w:rPr>
            </w:pPr>
            <w:r>
              <w:rPr>
                <w:sz w:val="21"/>
              </w:rPr>
              <w:t>引风机</w:t>
            </w:r>
          </w:p>
        </w:tc>
        <w:tc>
          <w:tcPr>
            <w:tcW w:w="916" w:type="dxa"/>
            <w:vAlign w:val="center"/>
          </w:tcPr>
          <w:p>
            <w:pPr>
              <w:pStyle w:val="62"/>
              <w:jc w:val="center"/>
              <w:rPr>
                <w:sz w:val="21"/>
              </w:rPr>
            </w:pPr>
            <w:r>
              <w:rPr>
                <w:sz w:val="21"/>
              </w:rPr>
              <w:t>90</w:t>
            </w:r>
          </w:p>
        </w:tc>
        <w:tc>
          <w:tcPr>
            <w:tcW w:w="916" w:type="dxa"/>
            <w:vAlign w:val="center"/>
          </w:tcPr>
          <w:p>
            <w:pPr>
              <w:pStyle w:val="62"/>
              <w:jc w:val="center"/>
              <w:rPr>
                <w:sz w:val="21"/>
              </w:rPr>
            </w:pPr>
            <w:r>
              <w:rPr>
                <w:sz w:val="21"/>
              </w:rPr>
              <w:t>75</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吸风口 3m</w:t>
            </w:r>
          </w:p>
        </w:tc>
        <w:tc>
          <w:tcPr>
            <w:tcW w:w="3136" w:type="dxa"/>
            <w:vAlign w:val="center"/>
          </w:tcPr>
          <w:p>
            <w:pPr>
              <w:pStyle w:val="62"/>
              <w:jc w:val="center"/>
              <w:rPr>
                <w:sz w:val="21"/>
              </w:rPr>
            </w:pPr>
            <w:r>
              <w:rPr>
                <w:sz w:val="21"/>
              </w:rPr>
              <w:t>隔声罩，15dB(A)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16"/>
              </w:rPr>
            </w:pPr>
          </w:p>
          <w:p>
            <w:pPr>
              <w:pStyle w:val="62"/>
              <w:jc w:val="center"/>
              <w:rPr>
                <w:sz w:val="21"/>
              </w:rPr>
            </w:pPr>
            <w:r>
              <w:rPr>
                <w:sz w:val="21"/>
              </w:rPr>
              <w:t>4</w:t>
            </w:r>
          </w:p>
        </w:tc>
        <w:tc>
          <w:tcPr>
            <w:tcW w:w="1744" w:type="dxa"/>
            <w:vAlign w:val="center"/>
          </w:tcPr>
          <w:p>
            <w:pPr>
              <w:pStyle w:val="62"/>
              <w:jc w:val="center"/>
              <w:rPr>
                <w:sz w:val="21"/>
              </w:rPr>
            </w:pPr>
            <w:r>
              <w:rPr>
                <w:sz w:val="21"/>
              </w:rPr>
              <w:t>磨煤机</w:t>
            </w:r>
          </w:p>
        </w:tc>
        <w:tc>
          <w:tcPr>
            <w:tcW w:w="916" w:type="dxa"/>
            <w:vAlign w:val="center"/>
          </w:tcPr>
          <w:p>
            <w:pPr>
              <w:pStyle w:val="62"/>
              <w:jc w:val="center"/>
              <w:rPr>
                <w:sz w:val="21"/>
              </w:rPr>
            </w:pPr>
            <w:r>
              <w:rPr>
                <w:sz w:val="21"/>
              </w:rPr>
              <w:t>105</w:t>
            </w:r>
          </w:p>
        </w:tc>
        <w:tc>
          <w:tcPr>
            <w:tcW w:w="916" w:type="dxa"/>
            <w:vAlign w:val="center"/>
          </w:tcPr>
          <w:p>
            <w:pPr>
              <w:pStyle w:val="62"/>
              <w:jc w:val="center"/>
              <w:rPr>
                <w:sz w:val="21"/>
              </w:rPr>
            </w:pPr>
            <w:r>
              <w:rPr>
                <w:sz w:val="21"/>
              </w:rPr>
              <w:t>85</w:t>
            </w:r>
          </w:p>
        </w:tc>
        <w:tc>
          <w:tcPr>
            <w:tcW w:w="501" w:type="dxa"/>
            <w:vAlign w:val="center"/>
          </w:tcPr>
          <w:p>
            <w:pPr>
              <w:pStyle w:val="62"/>
              <w:jc w:val="center"/>
              <w:rPr>
                <w:sz w:val="21"/>
              </w:rPr>
            </w:pPr>
            <w:r>
              <w:rPr>
                <w:sz w:val="21"/>
              </w:rPr>
              <w:t>4</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主厂房隔声 15 ， 消声罩20dB(A)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5</w:t>
            </w:r>
          </w:p>
        </w:tc>
        <w:tc>
          <w:tcPr>
            <w:tcW w:w="1744" w:type="dxa"/>
            <w:vAlign w:val="center"/>
          </w:tcPr>
          <w:p>
            <w:pPr>
              <w:pStyle w:val="62"/>
              <w:jc w:val="center"/>
              <w:rPr>
                <w:sz w:val="21"/>
              </w:rPr>
            </w:pPr>
            <w:r>
              <w:rPr>
                <w:sz w:val="21"/>
              </w:rPr>
              <w:t>碎煤机</w:t>
            </w:r>
          </w:p>
        </w:tc>
        <w:tc>
          <w:tcPr>
            <w:tcW w:w="916" w:type="dxa"/>
            <w:vAlign w:val="center"/>
          </w:tcPr>
          <w:p>
            <w:pPr>
              <w:pStyle w:val="62"/>
              <w:jc w:val="center"/>
              <w:rPr>
                <w:sz w:val="21"/>
              </w:rPr>
            </w:pPr>
            <w:r>
              <w:rPr>
                <w:sz w:val="21"/>
              </w:rPr>
              <w:t>95</w:t>
            </w:r>
          </w:p>
        </w:tc>
        <w:tc>
          <w:tcPr>
            <w:tcW w:w="916" w:type="dxa"/>
            <w:vAlign w:val="center"/>
          </w:tcPr>
          <w:p>
            <w:pPr>
              <w:pStyle w:val="62"/>
              <w:jc w:val="center"/>
              <w:rPr>
                <w:sz w:val="21"/>
              </w:rPr>
            </w:pPr>
            <w:r>
              <w:rPr>
                <w:sz w:val="21"/>
              </w:rPr>
              <w:t>75</w:t>
            </w:r>
          </w:p>
        </w:tc>
        <w:tc>
          <w:tcPr>
            <w:tcW w:w="501" w:type="dxa"/>
            <w:vAlign w:val="center"/>
          </w:tcPr>
          <w:p>
            <w:pPr>
              <w:pStyle w:val="62"/>
              <w:jc w:val="center"/>
              <w:rPr>
                <w:sz w:val="21"/>
              </w:rPr>
            </w:pPr>
            <w:r>
              <w:rPr>
                <w:sz w:val="21"/>
              </w:rPr>
              <w:t>4</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碎煤机房隔声，15dB(A)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6</w:t>
            </w:r>
          </w:p>
        </w:tc>
        <w:tc>
          <w:tcPr>
            <w:tcW w:w="1744" w:type="dxa"/>
            <w:vAlign w:val="center"/>
          </w:tcPr>
          <w:p>
            <w:pPr>
              <w:pStyle w:val="62"/>
              <w:jc w:val="center"/>
              <w:rPr>
                <w:sz w:val="21"/>
              </w:rPr>
            </w:pPr>
            <w:r>
              <w:rPr>
                <w:sz w:val="21"/>
              </w:rPr>
              <w:t>汽动给水泵组</w:t>
            </w:r>
          </w:p>
        </w:tc>
        <w:tc>
          <w:tcPr>
            <w:tcW w:w="916" w:type="dxa"/>
            <w:vAlign w:val="center"/>
          </w:tcPr>
          <w:p>
            <w:pPr>
              <w:pStyle w:val="62"/>
              <w:jc w:val="center"/>
              <w:rPr>
                <w:sz w:val="21"/>
              </w:rPr>
            </w:pPr>
            <w:r>
              <w:rPr>
                <w:sz w:val="21"/>
              </w:rPr>
              <w:t>90</w:t>
            </w:r>
          </w:p>
        </w:tc>
        <w:tc>
          <w:tcPr>
            <w:tcW w:w="916" w:type="dxa"/>
            <w:vAlign w:val="center"/>
          </w:tcPr>
          <w:p>
            <w:pPr>
              <w:pStyle w:val="62"/>
              <w:jc w:val="center"/>
              <w:rPr>
                <w:sz w:val="21"/>
              </w:rPr>
            </w:pPr>
            <w:r>
              <w:rPr>
                <w:sz w:val="21"/>
              </w:rPr>
              <w:t>80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厂房隔声，10dB(A)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7</w:t>
            </w:r>
          </w:p>
        </w:tc>
        <w:tc>
          <w:tcPr>
            <w:tcW w:w="1744" w:type="dxa"/>
            <w:vAlign w:val="center"/>
          </w:tcPr>
          <w:p>
            <w:pPr>
              <w:pStyle w:val="62"/>
              <w:jc w:val="center"/>
              <w:rPr>
                <w:sz w:val="21"/>
              </w:rPr>
            </w:pPr>
            <w:r>
              <w:rPr>
                <w:sz w:val="21"/>
              </w:rPr>
              <w:t>主变</w:t>
            </w:r>
          </w:p>
        </w:tc>
        <w:tc>
          <w:tcPr>
            <w:tcW w:w="916" w:type="dxa"/>
            <w:vAlign w:val="center"/>
          </w:tcPr>
          <w:p>
            <w:pPr>
              <w:pStyle w:val="62"/>
              <w:jc w:val="center"/>
              <w:rPr>
                <w:sz w:val="21"/>
              </w:rPr>
            </w:pPr>
            <w:r>
              <w:rPr>
                <w:sz w:val="21"/>
              </w:rPr>
              <w:t>80</w:t>
            </w:r>
          </w:p>
        </w:tc>
        <w:tc>
          <w:tcPr>
            <w:tcW w:w="916" w:type="dxa"/>
            <w:vAlign w:val="center"/>
          </w:tcPr>
          <w:p>
            <w:pPr>
              <w:pStyle w:val="62"/>
              <w:jc w:val="center"/>
              <w:rPr>
                <w:sz w:val="21"/>
              </w:rPr>
            </w:pPr>
            <w:r>
              <w:rPr>
                <w:sz w:val="21"/>
              </w:rPr>
              <w:t>80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8</w:t>
            </w:r>
          </w:p>
        </w:tc>
        <w:tc>
          <w:tcPr>
            <w:tcW w:w="1744" w:type="dxa"/>
            <w:vAlign w:val="center"/>
          </w:tcPr>
          <w:p>
            <w:pPr>
              <w:pStyle w:val="62"/>
              <w:jc w:val="center"/>
              <w:rPr>
                <w:sz w:val="21"/>
              </w:rPr>
            </w:pPr>
            <w:r>
              <w:rPr>
                <w:sz w:val="21"/>
              </w:rPr>
              <w:t>脱硫增压风机</w:t>
            </w:r>
          </w:p>
        </w:tc>
        <w:tc>
          <w:tcPr>
            <w:tcW w:w="916" w:type="dxa"/>
            <w:vAlign w:val="center"/>
          </w:tcPr>
          <w:p>
            <w:pPr>
              <w:pStyle w:val="62"/>
              <w:jc w:val="center"/>
              <w:rPr>
                <w:sz w:val="21"/>
              </w:rPr>
            </w:pPr>
            <w:r>
              <w:rPr>
                <w:sz w:val="21"/>
              </w:rPr>
              <w:t>100</w:t>
            </w:r>
          </w:p>
        </w:tc>
        <w:tc>
          <w:tcPr>
            <w:tcW w:w="916" w:type="dxa"/>
            <w:vAlign w:val="center"/>
          </w:tcPr>
          <w:p>
            <w:pPr>
              <w:pStyle w:val="62"/>
              <w:jc w:val="center"/>
              <w:rPr>
                <w:sz w:val="21"/>
              </w:rPr>
            </w:pPr>
            <w:r>
              <w:rPr>
                <w:sz w:val="21"/>
              </w:rPr>
              <w:t>90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隔声罩，10dB(A)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9</w:t>
            </w:r>
          </w:p>
        </w:tc>
        <w:tc>
          <w:tcPr>
            <w:tcW w:w="1744" w:type="dxa"/>
            <w:vAlign w:val="center"/>
          </w:tcPr>
          <w:p>
            <w:pPr>
              <w:pStyle w:val="62"/>
              <w:jc w:val="center"/>
              <w:rPr>
                <w:sz w:val="21"/>
              </w:rPr>
            </w:pPr>
            <w:r>
              <w:rPr>
                <w:sz w:val="21"/>
              </w:rPr>
              <w:t>脱硫氧化风机</w:t>
            </w:r>
          </w:p>
        </w:tc>
        <w:tc>
          <w:tcPr>
            <w:tcW w:w="916" w:type="dxa"/>
            <w:vAlign w:val="center"/>
          </w:tcPr>
          <w:p>
            <w:pPr>
              <w:pStyle w:val="62"/>
              <w:jc w:val="center"/>
              <w:rPr>
                <w:sz w:val="21"/>
              </w:rPr>
            </w:pPr>
            <w:r>
              <w:rPr>
                <w:sz w:val="21"/>
              </w:rPr>
              <w:t>105</w:t>
            </w:r>
          </w:p>
        </w:tc>
        <w:tc>
          <w:tcPr>
            <w:tcW w:w="916" w:type="dxa"/>
            <w:vAlign w:val="center"/>
          </w:tcPr>
          <w:p>
            <w:pPr>
              <w:pStyle w:val="62"/>
              <w:jc w:val="center"/>
              <w:rPr>
                <w:sz w:val="21"/>
              </w:rPr>
            </w:pPr>
            <w:r>
              <w:rPr>
                <w:sz w:val="21"/>
              </w:rPr>
              <w:t>85</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隔声罩、厂房隔声，20dB(A)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10</w:t>
            </w:r>
          </w:p>
        </w:tc>
        <w:tc>
          <w:tcPr>
            <w:tcW w:w="1744" w:type="dxa"/>
            <w:vAlign w:val="center"/>
          </w:tcPr>
          <w:p>
            <w:pPr>
              <w:pStyle w:val="62"/>
              <w:jc w:val="center"/>
              <w:rPr>
                <w:sz w:val="21"/>
              </w:rPr>
            </w:pPr>
            <w:r>
              <w:rPr>
                <w:sz w:val="21"/>
              </w:rPr>
              <w:t>吸收剂浆液输送泵</w:t>
            </w:r>
          </w:p>
        </w:tc>
        <w:tc>
          <w:tcPr>
            <w:tcW w:w="916" w:type="dxa"/>
            <w:vAlign w:val="center"/>
          </w:tcPr>
          <w:p>
            <w:pPr>
              <w:pStyle w:val="62"/>
              <w:jc w:val="center"/>
              <w:rPr>
                <w:sz w:val="21"/>
              </w:rPr>
            </w:pPr>
            <w:r>
              <w:rPr>
                <w:sz w:val="21"/>
              </w:rPr>
              <w:t>85</w:t>
            </w:r>
          </w:p>
        </w:tc>
        <w:tc>
          <w:tcPr>
            <w:tcW w:w="916" w:type="dxa"/>
            <w:vAlign w:val="center"/>
          </w:tcPr>
          <w:p>
            <w:pPr>
              <w:pStyle w:val="62"/>
              <w:jc w:val="center"/>
              <w:rPr>
                <w:sz w:val="21"/>
              </w:rPr>
            </w:pPr>
            <w:r>
              <w:rPr>
                <w:sz w:val="21"/>
              </w:rPr>
              <w:t>75</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隔声罩 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sz w:val="21"/>
              </w:rPr>
            </w:pPr>
            <w:r>
              <w:rPr>
                <w:sz w:val="21"/>
              </w:rPr>
              <w:t>11</w:t>
            </w:r>
          </w:p>
        </w:tc>
        <w:tc>
          <w:tcPr>
            <w:tcW w:w="1744" w:type="dxa"/>
            <w:vAlign w:val="center"/>
          </w:tcPr>
          <w:p>
            <w:pPr>
              <w:pStyle w:val="62"/>
              <w:jc w:val="center"/>
              <w:rPr>
                <w:sz w:val="21"/>
              </w:rPr>
            </w:pPr>
            <w:r>
              <w:rPr>
                <w:sz w:val="21"/>
              </w:rPr>
              <w:t>吸收塔浆液循环泵</w:t>
            </w:r>
          </w:p>
        </w:tc>
        <w:tc>
          <w:tcPr>
            <w:tcW w:w="916" w:type="dxa"/>
            <w:vAlign w:val="center"/>
          </w:tcPr>
          <w:p>
            <w:pPr>
              <w:pStyle w:val="62"/>
              <w:jc w:val="center"/>
              <w:rPr>
                <w:sz w:val="21"/>
              </w:rPr>
            </w:pPr>
            <w:r>
              <w:rPr>
                <w:sz w:val="21"/>
              </w:rPr>
              <w:t>85</w:t>
            </w:r>
          </w:p>
        </w:tc>
        <w:tc>
          <w:tcPr>
            <w:tcW w:w="916" w:type="dxa"/>
            <w:vAlign w:val="center"/>
          </w:tcPr>
          <w:p>
            <w:pPr>
              <w:pStyle w:val="62"/>
              <w:jc w:val="center"/>
              <w:rPr>
                <w:sz w:val="21"/>
              </w:rPr>
            </w:pPr>
            <w:r>
              <w:rPr>
                <w:sz w:val="21"/>
              </w:rPr>
              <w:t>75</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隔声罩 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rFonts w:eastAsia="宋体"/>
                <w:sz w:val="21"/>
                <w:lang w:eastAsia="zh-CN"/>
              </w:rPr>
            </w:pPr>
            <w:r>
              <w:rPr>
                <w:sz w:val="21"/>
              </w:rPr>
              <w:t>1</w:t>
            </w:r>
            <w:r>
              <w:rPr>
                <w:rFonts w:hint="eastAsia" w:eastAsia="宋体"/>
                <w:sz w:val="21"/>
                <w:lang w:eastAsia="zh-CN"/>
              </w:rPr>
              <w:t>2</w:t>
            </w:r>
          </w:p>
        </w:tc>
        <w:tc>
          <w:tcPr>
            <w:tcW w:w="1744" w:type="dxa"/>
            <w:vAlign w:val="center"/>
          </w:tcPr>
          <w:p>
            <w:pPr>
              <w:pStyle w:val="62"/>
              <w:jc w:val="center"/>
              <w:rPr>
                <w:sz w:val="21"/>
              </w:rPr>
            </w:pPr>
            <w:r>
              <w:rPr>
                <w:sz w:val="21"/>
              </w:rPr>
              <w:t>真空泵</w:t>
            </w:r>
          </w:p>
        </w:tc>
        <w:tc>
          <w:tcPr>
            <w:tcW w:w="916" w:type="dxa"/>
            <w:vAlign w:val="center"/>
          </w:tcPr>
          <w:p>
            <w:pPr>
              <w:pStyle w:val="62"/>
              <w:jc w:val="center"/>
              <w:rPr>
                <w:sz w:val="21"/>
              </w:rPr>
            </w:pPr>
            <w:r>
              <w:rPr>
                <w:sz w:val="21"/>
              </w:rPr>
              <w:t>95</w:t>
            </w:r>
          </w:p>
        </w:tc>
        <w:tc>
          <w:tcPr>
            <w:tcW w:w="916" w:type="dxa"/>
            <w:vAlign w:val="center"/>
          </w:tcPr>
          <w:p>
            <w:pPr>
              <w:pStyle w:val="62"/>
              <w:jc w:val="center"/>
              <w:rPr>
                <w:sz w:val="21"/>
              </w:rPr>
            </w:pPr>
            <w:r>
              <w:rPr>
                <w:sz w:val="21"/>
              </w:rPr>
              <w:t>80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厂房隔声，15dB(A)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rFonts w:eastAsia="宋体"/>
                <w:sz w:val="21"/>
                <w:lang w:eastAsia="zh-CN"/>
              </w:rPr>
            </w:pPr>
            <w:r>
              <w:rPr>
                <w:sz w:val="21"/>
              </w:rPr>
              <w:t>1</w:t>
            </w:r>
            <w:r>
              <w:rPr>
                <w:rFonts w:hint="eastAsia" w:eastAsia="宋体"/>
                <w:sz w:val="21"/>
                <w:lang w:eastAsia="zh-CN"/>
              </w:rPr>
              <w:t>3</w:t>
            </w:r>
          </w:p>
        </w:tc>
        <w:tc>
          <w:tcPr>
            <w:tcW w:w="1744" w:type="dxa"/>
            <w:vAlign w:val="center"/>
          </w:tcPr>
          <w:p>
            <w:pPr>
              <w:pStyle w:val="62"/>
              <w:jc w:val="center"/>
              <w:rPr>
                <w:sz w:val="21"/>
              </w:rPr>
            </w:pPr>
            <w:r>
              <w:rPr>
                <w:sz w:val="21"/>
              </w:rPr>
              <w:t>主变</w:t>
            </w:r>
          </w:p>
        </w:tc>
        <w:tc>
          <w:tcPr>
            <w:tcW w:w="916" w:type="dxa"/>
            <w:vAlign w:val="center"/>
          </w:tcPr>
          <w:p>
            <w:pPr>
              <w:pStyle w:val="62"/>
              <w:jc w:val="center"/>
              <w:rPr>
                <w:sz w:val="21"/>
              </w:rPr>
            </w:pPr>
            <w:r>
              <w:rPr>
                <w:sz w:val="21"/>
              </w:rPr>
              <w:t>80</w:t>
            </w:r>
          </w:p>
        </w:tc>
        <w:tc>
          <w:tcPr>
            <w:tcW w:w="916" w:type="dxa"/>
            <w:vAlign w:val="center"/>
          </w:tcPr>
          <w:p>
            <w:pPr>
              <w:pStyle w:val="62"/>
              <w:jc w:val="center"/>
              <w:rPr>
                <w:sz w:val="21"/>
              </w:rPr>
            </w:pPr>
            <w:r>
              <w:rPr>
                <w:sz w:val="21"/>
              </w:rPr>
              <w:t>80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边距 1m</w:t>
            </w:r>
          </w:p>
        </w:tc>
        <w:tc>
          <w:tcPr>
            <w:tcW w:w="3136" w:type="dxa"/>
            <w:vAlign w:val="center"/>
          </w:tcPr>
          <w:p>
            <w:pPr>
              <w:pStyle w:val="62"/>
              <w:jc w:val="center"/>
              <w:rPr>
                <w:sz w:val="21"/>
              </w:rPr>
            </w:pPr>
            <w:r>
              <w:rPr>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87" w:type="dxa"/>
            <w:vAlign w:val="center"/>
          </w:tcPr>
          <w:p>
            <w:pPr>
              <w:pStyle w:val="62"/>
              <w:jc w:val="center"/>
              <w:rPr>
                <w:rFonts w:eastAsia="宋体"/>
                <w:sz w:val="21"/>
                <w:lang w:eastAsia="zh-CN"/>
              </w:rPr>
            </w:pPr>
            <w:r>
              <w:rPr>
                <w:sz w:val="21"/>
              </w:rPr>
              <w:t>1</w:t>
            </w:r>
            <w:r>
              <w:rPr>
                <w:rFonts w:hint="eastAsia" w:eastAsia="宋体"/>
                <w:sz w:val="21"/>
                <w:lang w:eastAsia="zh-CN"/>
              </w:rPr>
              <w:t>4</w:t>
            </w:r>
          </w:p>
        </w:tc>
        <w:tc>
          <w:tcPr>
            <w:tcW w:w="1744" w:type="dxa"/>
            <w:vAlign w:val="center"/>
          </w:tcPr>
          <w:p>
            <w:pPr>
              <w:pStyle w:val="62"/>
              <w:jc w:val="center"/>
              <w:rPr>
                <w:sz w:val="21"/>
              </w:rPr>
            </w:pPr>
            <w:r>
              <w:rPr>
                <w:sz w:val="21"/>
              </w:rPr>
              <w:t>锅炉排汽</w:t>
            </w:r>
          </w:p>
        </w:tc>
        <w:tc>
          <w:tcPr>
            <w:tcW w:w="916" w:type="dxa"/>
            <w:vAlign w:val="center"/>
          </w:tcPr>
          <w:p>
            <w:pPr>
              <w:pStyle w:val="62"/>
              <w:jc w:val="center"/>
              <w:rPr>
                <w:sz w:val="21"/>
              </w:rPr>
            </w:pPr>
            <w:r>
              <w:rPr>
                <w:sz w:val="21"/>
              </w:rPr>
              <w:t>130</w:t>
            </w:r>
          </w:p>
        </w:tc>
        <w:tc>
          <w:tcPr>
            <w:tcW w:w="916" w:type="dxa"/>
            <w:vAlign w:val="center"/>
          </w:tcPr>
          <w:p>
            <w:pPr>
              <w:pStyle w:val="62"/>
              <w:jc w:val="center"/>
              <w:rPr>
                <w:sz w:val="21"/>
              </w:rPr>
            </w:pPr>
            <w:r>
              <w:rPr>
                <w:sz w:val="21"/>
              </w:rPr>
              <w:t>100</w:t>
            </w:r>
          </w:p>
        </w:tc>
        <w:tc>
          <w:tcPr>
            <w:tcW w:w="501" w:type="dxa"/>
            <w:vAlign w:val="center"/>
          </w:tcPr>
          <w:p>
            <w:pPr>
              <w:pStyle w:val="62"/>
              <w:jc w:val="center"/>
              <w:rPr>
                <w:sz w:val="21"/>
              </w:rPr>
            </w:pPr>
            <w:r>
              <w:rPr>
                <w:sz w:val="21"/>
              </w:rPr>
              <w:t>2</w:t>
            </w:r>
          </w:p>
        </w:tc>
        <w:tc>
          <w:tcPr>
            <w:tcW w:w="1348" w:type="dxa"/>
            <w:vAlign w:val="center"/>
          </w:tcPr>
          <w:p>
            <w:pPr>
              <w:pStyle w:val="62"/>
              <w:jc w:val="center"/>
              <w:rPr>
                <w:sz w:val="21"/>
              </w:rPr>
            </w:pPr>
            <w:r>
              <w:rPr>
                <w:sz w:val="21"/>
              </w:rPr>
              <w:t>排汽口边 1m</w:t>
            </w:r>
          </w:p>
        </w:tc>
        <w:tc>
          <w:tcPr>
            <w:tcW w:w="3136" w:type="dxa"/>
            <w:vAlign w:val="center"/>
          </w:tcPr>
          <w:p>
            <w:pPr>
              <w:pStyle w:val="62"/>
              <w:jc w:val="center"/>
              <w:rPr>
                <w:sz w:val="21"/>
              </w:rPr>
            </w:pPr>
            <w:r>
              <w:rPr>
                <w:sz w:val="21"/>
              </w:rPr>
              <w:t>消声器 30 dB(A)</w:t>
            </w:r>
          </w:p>
        </w:tc>
      </w:tr>
    </w:tbl>
    <w:p>
      <w:pPr>
        <w:pStyle w:val="5"/>
        <w:widowControl w:val="0"/>
        <w:tabs>
          <w:tab w:val="left" w:pos="-3900"/>
          <w:tab w:val="left" w:pos="0"/>
        </w:tabs>
        <w:adjustRightInd w:val="0"/>
        <w:snapToGrid w:val="0"/>
        <w:spacing w:before="0" w:line="360" w:lineRule="auto"/>
        <w:rPr>
          <w:rFonts w:ascii="宋体" w:hAnsi="宋体" w:eastAsia="宋体" w:cs="宋体"/>
          <w:bCs w:val="0"/>
          <w:color w:val="333333"/>
          <w:lang w:eastAsia="zh-CN"/>
        </w:rPr>
      </w:pPr>
      <w:r>
        <w:rPr>
          <w:rFonts w:ascii="宋体" w:hAnsi="宋体" w:eastAsia="宋体" w:cs="宋体"/>
          <w:bCs w:val="0"/>
          <w:color w:val="333333"/>
          <w:lang w:eastAsia="zh-CN"/>
        </w:rPr>
        <w:cr/>
      </w:r>
      <w:bookmarkStart w:id="405" w:name="_Toc22202328"/>
      <w:bookmarkStart w:id="406" w:name="_Toc22202036"/>
      <w:bookmarkStart w:id="407" w:name="_Toc22200990"/>
      <w:bookmarkStart w:id="408" w:name="_Toc22202740"/>
      <w:bookmarkStart w:id="409" w:name="_Toc22200323"/>
      <w:bookmarkStart w:id="410" w:name="_Toc24969742"/>
      <w:r>
        <w:rPr>
          <w:rFonts w:hint="eastAsia" w:eastAsia="宋体"/>
          <w:color w:val="000000" w:themeColor="text1"/>
          <w:lang w:eastAsia="zh-CN"/>
        </w:rPr>
        <w:t>3.2.4 固体废物</w:t>
      </w:r>
      <w:bookmarkEnd w:id="405"/>
      <w:bookmarkEnd w:id="406"/>
      <w:bookmarkEnd w:id="407"/>
      <w:bookmarkEnd w:id="408"/>
      <w:bookmarkEnd w:id="409"/>
      <w:bookmarkEnd w:id="410"/>
    </w:p>
    <w:p>
      <w:pPr>
        <w:pStyle w:val="27"/>
        <w:shd w:val="clear" w:color="auto" w:fill="FFFFFF"/>
        <w:spacing w:before="0" w:beforeAutospacing="0" w:after="0" w:afterAutospacing="0" w:line="360" w:lineRule="auto"/>
        <w:ind w:firstLine="480"/>
        <w:rPr>
          <w:rFonts w:ascii="宋体" w:hAnsi="宋体" w:eastAsia="宋体" w:cs="宋体"/>
          <w:bCs/>
          <w:color w:val="333333"/>
          <w:lang w:eastAsia="zh-CN"/>
        </w:rPr>
      </w:pPr>
      <w:r>
        <w:rPr>
          <w:rFonts w:hint="eastAsia" w:ascii="宋体" w:hAnsi="宋体" w:eastAsia="宋体" w:cs="宋体"/>
          <w:bCs/>
          <w:color w:val="333333"/>
          <w:lang w:eastAsia="zh-CN"/>
        </w:rPr>
        <w:t>依托工程产生的固体废弃物主要为灰渣、脱硝废催化剂、脱硫石膏。依托工程固体废物产生、处置情况见</w:t>
      </w:r>
      <w:r>
        <w:rPr>
          <w:rFonts w:hint="eastAsia" w:ascii="宋体" w:hAnsi="宋体" w:eastAsia="宋体" w:cs="宋体"/>
          <w:b/>
          <w:bCs/>
          <w:color w:val="333333"/>
          <w:lang w:eastAsia="zh-CN"/>
        </w:rPr>
        <w:t>表 3.2-4</w:t>
      </w:r>
      <w:r>
        <w:rPr>
          <w:rFonts w:hint="eastAsia" w:ascii="宋体" w:hAnsi="宋体" w:eastAsia="宋体" w:cs="宋体"/>
          <w:bCs/>
          <w:color w:val="333333"/>
          <w:lang w:eastAsia="zh-CN"/>
        </w:rPr>
        <w:t>。</w:t>
      </w:r>
    </w:p>
    <w:p>
      <w:pPr>
        <w:pStyle w:val="27"/>
        <w:shd w:val="clear" w:color="auto" w:fill="FFFFFF"/>
        <w:spacing w:before="0" w:beforeAutospacing="0" w:after="0" w:afterAutospacing="0" w:line="360" w:lineRule="auto"/>
        <w:ind w:firstLine="480"/>
        <w:jc w:val="center"/>
        <w:rPr>
          <w:rFonts w:ascii="宋体" w:hAnsi="宋体" w:eastAsia="宋体" w:cs="宋体"/>
          <w:b/>
          <w:bCs/>
          <w:color w:val="333333"/>
          <w:lang w:eastAsia="zh-CN"/>
        </w:rPr>
      </w:pPr>
      <w:r>
        <w:rPr>
          <w:rFonts w:hint="eastAsia" w:ascii="宋体" w:hAnsi="宋体" w:eastAsia="宋体" w:cs="宋体"/>
          <w:b/>
          <w:bCs/>
          <w:color w:val="333333"/>
          <w:lang w:eastAsia="zh-CN"/>
        </w:rPr>
        <w:t>表 3.2-4依托工程固体废物产生、处置情况表</w:t>
      </w:r>
    </w:p>
    <w:tbl>
      <w:tblPr>
        <w:tblStyle w:val="30"/>
        <w:tblW w:w="918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6"/>
        <w:gridCol w:w="1843"/>
        <w:gridCol w:w="1984"/>
        <w:gridCol w:w="38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526"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名称</w:t>
            </w:r>
          </w:p>
        </w:tc>
        <w:tc>
          <w:tcPr>
            <w:tcW w:w="1843"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污染物</w:t>
            </w:r>
          </w:p>
        </w:tc>
        <w:tc>
          <w:tcPr>
            <w:tcW w:w="1984"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产生量</w:t>
            </w:r>
          </w:p>
        </w:tc>
        <w:tc>
          <w:tcPr>
            <w:tcW w:w="3827" w:type="dxa"/>
            <w:vAlign w:val="center"/>
          </w:tcPr>
          <w:p>
            <w:pPr>
              <w:pStyle w:val="27"/>
              <w:spacing w:before="0" w:beforeAutospacing="0" w:after="0" w:afterAutospacing="0"/>
              <w:jc w:val="center"/>
              <w:rPr>
                <w:rFonts w:ascii="宋体" w:hAnsi="宋体" w:eastAsia="宋体" w:cs="宋体"/>
                <w:b/>
                <w:bCs/>
                <w:color w:val="333333"/>
                <w:sz w:val="21"/>
                <w:szCs w:val="21"/>
                <w:lang w:eastAsia="zh-CN"/>
              </w:rPr>
            </w:pPr>
            <w:r>
              <w:rPr>
                <w:rFonts w:hint="eastAsia" w:ascii="宋体" w:hAnsi="宋体" w:eastAsia="宋体" w:cs="宋体"/>
                <w:b/>
                <w:bCs/>
                <w:color w:val="333333"/>
                <w:sz w:val="21"/>
                <w:szCs w:val="21"/>
                <w:lang w:eastAsia="zh-CN"/>
              </w:rPr>
              <w:t>处置措施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526" w:type="dxa"/>
            <w:vMerge w:val="restart"/>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固体废物</w:t>
            </w:r>
          </w:p>
        </w:tc>
        <w:tc>
          <w:tcPr>
            <w:tcW w:w="1843"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灰渣</w:t>
            </w:r>
          </w:p>
        </w:tc>
        <w:tc>
          <w:tcPr>
            <w:tcW w:w="198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25.5万t/a</w:t>
            </w:r>
          </w:p>
        </w:tc>
        <w:tc>
          <w:tcPr>
            <w:tcW w:w="3827"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全部外售，综合利用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526"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843"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废催化剂</w:t>
            </w:r>
          </w:p>
        </w:tc>
        <w:tc>
          <w:tcPr>
            <w:tcW w:w="198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15.2t/a</w:t>
            </w:r>
          </w:p>
        </w:tc>
        <w:tc>
          <w:tcPr>
            <w:tcW w:w="3827"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厂家回收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526" w:type="dxa"/>
            <w:vMerge w:val="continue"/>
            <w:vAlign w:val="center"/>
          </w:tcPr>
          <w:p>
            <w:pPr>
              <w:pStyle w:val="27"/>
              <w:spacing w:before="0" w:beforeAutospacing="0" w:after="0" w:afterAutospacing="0"/>
              <w:jc w:val="center"/>
              <w:rPr>
                <w:rFonts w:ascii="宋体" w:hAnsi="宋体" w:eastAsia="宋体" w:cs="宋体"/>
                <w:bCs/>
                <w:color w:val="333333"/>
                <w:sz w:val="21"/>
                <w:szCs w:val="21"/>
                <w:lang w:eastAsia="zh-CN"/>
              </w:rPr>
            </w:pPr>
          </w:p>
        </w:tc>
        <w:tc>
          <w:tcPr>
            <w:tcW w:w="1843"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脱硫石膏</w:t>
            </w:r>
          </w:p>
        </w:tc>
        <w:tc>
          <w:tcPr>
            <w:tcW w:w="1984"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1.34万t/a</w:t>
            </w:r>
          </w:p>
        </w:tc>
        <w:tc>
          <w:tcPr>
            <w:tcW w:w="3827" w:type="dxa"/>
            <w:vAlign w:val="center"/>
          </w:tcPr>
          <w:p>
            <w:pPr>
              <w:pStyle w:val="27"/>
              <w:spacing w:before="0" w:beforeAutospacing="0" w:after="0" w:afterAutospacing="0"/>
              <w:jc w:val="center"/>
              <w:rPr>
                <w:rFonts w:ascii="宋体" w:hAnsi="宋体" w:eastAsia="宋体" w:cs="宋体"/>
                <w:bCs/>
                <w:color w:val="333333"/>
                <w:sz w:val="21"/>
                <w:szCs w:val="21"/>
                <w:lang w:eastAsia="zh-CN"/>
              </w:rPr>
            </w:pPr>
            <w:r>
              <w:rPr>
                <w:rFonts w:hint="eastAsia" w:ascii="宋体" w:hAnsi="宋体" w:eastAsia="宋体" w:cs="宋体"/>
                <w:bCs/>
                <w:color w:val="333333"/>
                <w:sz w:val="21"/>
                <w:szCs w:val="21"/>
                <w:lang w:eastAsia="zh-CN"/>
              </w:rPr>
              <w:t>全部外售，综合利用</w:t>
            </w:r>
          </w:p>
        </w:tc>
      </w:tr>
    </w:tbl>
    <w:p>
      <w:pPr>
        <w:pStyle w:val="5"/>
        <w:widowControl w:val="0"/>
        <w:tabs>
          <w:tab w:val="left" w:pos="-3900"/>
          <w:tab w:val="left" w:pos="0"/>
        </w:tabs>
        <w:adjustRightInd w:val="0"/>
        <w:snapToGrid w:val="0"/>
        <w:spacing w:beforeLines="100" w:line="360" w:lineRule="auto"/>
        <w:rPr>
          <w:rFonts w:eastAsia="宋体"/>
          <w:color w:val="000000" w:themeColor="text1"/>
          <w:lang w:eastAsia="zh-CN"/>
        </w:rPr>
      </w:pPr>
      <w:bookmarkStart w:id="411" w:name="_Toc22202337"/>
      <w:bookmarkStart w:id="412" w:name="_Toc22202749"/>
      <w:bookmarkStart w:id="413" w:name="_Toc24969743"/>
      <w:bookmarkStart w:id="414" w:name="_Toc22202037"/>
      <w:bookmarkStart w:id="415" w:name="_Toc22202329"/>
      <w:bookmarkStart w:id="416" w:name="_Toc22202741"/>
      <w:bookmarkStart w:id="417" w:name="_Toc22200324"/>
      <w:bookmarkStart w:id="418" w:name="_Toc22200991"/>
      <w:r>
        <w:rPr>
          <w:rFonts w:hint="eastAsia" w:eastAsia="宋体"/>
          <w:color w:val="000000" w:themeColor="text1"/>
          <w:lang w:eastAsia="zh-CN"/>
        </w:rPr>
        <w:t>3.2.5依托项目原有污染</w:t>
      </w:r>
      <w:bookmarkEnd w:id="411"/>
      <w:bookmarkEnd w:id="412"/>
      <w:r>
        <w:rPr>
          <w:rFonts w:hint="eastAsia" w:eastAsia="宋体"/>
          <w:color w:val="000000" w:themeColor="text1"/>
          <w:lang w:eastAsia="zh-CN"/>
        </w:rPr>
        <w:t>物排放情况汇总</w:t>
      </w:r>
      <w:bookmarkEnd w:id="413"/>
    </w:p>
    <w:p>
      <w:pPr>
        <w:pStyle w:val="27"/>
        <w:shd w:val="clear" w:color="auto" w:fill="FFFFFF"/>
        <w:spacing w:before="0" w:beforeAutospacing="0" w:after="0" w:afterAutospacing="0" w:line="360" w:lineRule="auto"/>
        <w:ind w:right="-194" w:firstLine="465"/>
        <w:rPr>
          <w:rFonts w:ascii="宋体" w:hAnsi="宋体" w:eastAsia="宋体" w:cs="宋体"/>
          <w:lang w:eastAsia="zh-CN"/>
        </w:rPr>
      </w:pPr>
      <w:r>
        <w:rPr>
          <w:rFonts w:hint="eastAsia" w:ascii="宋体" w:hAnsi="宋体" w:eastAsia="宋体" w:cs="宋体"/>
          <w:lang w:eastAsia="zh-CN"/>
        </w:rPr>
        <w:t>目前，华能岳阳电厂三期超超临界煤粉炉产生的烟气采用低氮燃烧技术，产生的烟气经配套脱硝系统、电除尘器除尘后，再经过脱硫处理，净烟气通过 240m 高烟囱排放。本项目依托三期工程的超超临界煤粉两台锅炉，正常情况下依托6#锅炉，6#锅炉停车检修时切换至5#锅炉（5#锅炉和6#锅炉同时停车检修的情况一般不会发生）。根据6#锅炉 2018年全年烟气在线监测数据，烟气排放口颗粒物排放浓度约2.53mg/m³， SO</w:t>
      </w:r>
      <w:r>
        <w:rPr>
          <w:rFonts w:hint="eastAsia" w:ascii="宋体" w:hAnsi="宋体" w:eastAsia="宋体" w:cs="宋体"/>
          <w:vertAlign w:val="subscript"/>
          <w:lang w:eastAsia="zh-CN"/>
        </w:rPr>
        <w:t>2</w:t>
      </w:r>
      <w:r>
        <w:rPr>
          <w:rFonts w:hint="eastAsia" w:ascii="宋体" w:hAnsi="宋体" w:eastAsia="宋体" w:cs="宋体"/>
          <w:lang w:eastAsia="zh-CN"/>
        </w:rPr>
        <w:t xml:space="preserve"> 排放浓度约为 16.17mg/m³，NOx 排放浓度32.14mg/m³，烟气中汞及其化合物</w:t>
      </w:r>
      <w:r>
        <w:rPr>
          <w:rFonts w:hint="eastAsia" w:eastAsia="宋体"/>
          <w:color w:val="000000" w:themeColor="text1"/>
          <w:lang w:eastAsia="zh-CN"/>
        </w:rPr>
        <w:t>湖南佳蓝检测有限公司</w:t>
      </w:r>
      <w:r>
        <w:rPr>
          <w:rFonts w:hint="eastAsia" w:ascii="宋体" w:hAnsi="宋体" w:eastAsia="宋体" w:cs="宋体"/>
          <w:lang w:eastAsia="zh-CN"/>
        </w:rPr>
        <w:t>2019年9月5日检测的结果为0.00014mg/m³，达到《火电厂大气污染物排放标准》（GB13223-2011）、《全面实施燃煤电厂超低排放和节能改造工作方案》要求要求的颗粒物排放浓度10.00mg/m³ SO</w:t>
      </w:r>
      <w:r>
        <w:rPr>
          <w:rFonts w:hint="eastAsia" w:ascii="宋体" w:hAnsi="宋体" w:eastAsia="宋体" w:cs="宋体"/>
          <w:vertAlign w:val="subscript"/>
          <w:lang w:eastAsia="zh-CN"/>
        </w:rPr>
        <w:t xml:space="preserve">2 </w:t>
      </w:r>
      <w:r>
        <w:rPr>
          <w:rFonts w:hint="eastAsia" w:ascii="宋体" w:hAnsi="宋体" w:eastAsia="宋体" w:cs="宋体"/>
          <w:lang w:eastAsia="zh-CN"/>
        </w:rPr>
        <w:t>排放浓度为35.00mg/m³，NOx 排放浓度50.00mg/m³，汞及其化合物排放浓度为0.03mg/m³。三期超超临界锅炉污染物 2018 年产排现状见</w:t>
      </w:r>
      <w:r>
        <w:rPr>
          <w:rFonts w:hint="eastAsia" w:ascii="宋体" w:hAnsi="宋体" w:eastAsia="宋体" w:cs="宋体"/>
          <w:b/>
          <w:lang w:eastAsia="zh-CN"/>
        </w:rPr>
        <w:t>表 3.2-5。</w:t>
      </w:r>
    </w:p>
    <w:p>
      <w:pPr>
        <w:pStyle w:val="27"/>
        <w:shd w:val="clear" w:color="auto" w:fill="FFFFFF"/>
        <w:spacing w:before="0" w:beforeAutospacing="0" w:after="0" w:afterAutospacing="0" w:line="360" w:lineRule="auto"/>
        <w:jc w:val="center"/>
        <w:rPr>
          <w:rFonts w:ascii="宋体" w:hAnsi="宋体" w:eastAsia="宋体" w:cs="宋体"/>
          <w:b/>
          <w:lang w:eastAsia="zh-CN"/>
        </w:rPr>
      </w:pPr>
      <w:r>
        <w:rPr>
          <w:rFonts w:hint="eastAsia" w:ascii="宋体" w:hAnsi="宋体" w:eastAsia="宋体" w:cs="宋体"/>
          <w:b/>
          <w:lang w:eastAsia="zh-CN"/>
        </w:rPr>
        <w:t>表3.2-5三期超超临界6#锅炉污染物产排情况表</w:t>
      </w:r>
    </w:p>
    <w:tbl>
      <w:tblPr>
        <w:tblStyle w:val="30"/>
        <w:tblW w:w="932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1134"/>
        <w:gridCol w:w="1701"/>
        <w:gridCol w:w="1842"/>
        <w:gridCol w:w="1802"/>
        <w:gridCol w:w="17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restart"/>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Merge w:val="restart"/>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污染物</w:t>
            </w:r>
          </w:p>
        </w:tc>
        <w:tc>
          <w:tcPr>
            <w:tcW w:w="1701" w:type="dxa"/>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产生情况</w:t>
            </w:r>
          </w:p>
        </w:tc>
        <w:tc>
          <w:tcPr>
            <w:tcW w:w="1842" w:type="dxa"/>
            <w:vMerge w:val="restart"/>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治理措施</w:t>
            </w:r>
          </w:p>
        </w:tc>
        <w:tc>
          <w:tcPr>
            <w:tcW w:w="3544" w:type="dxa"/>
            <w:gridSpan w:val="2"/>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排放情况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Merge w:val="continue"/>
            <w:vAlign w:val="center"/>
          </w:tcPr>
          <w:p>
            <w:pPr>
              <w:pStyle w:val="27"/>
              <w:spacing w:before="0" w:beforeAutospacing="0" w:after="0" w:afterAutospacing="0"/>
              <w:jc w:val="center"/>
              <w:rPr>
                <w:rFonts w:ascii="宋体" w:hAnsi="宋体" w:eastAsia="宋体" w:cs="宋体"/>
                <w:b/>
                <w:sz w:val="21"/>
                <w:szCs w:val="21"/>
                <w:lang w:eastAsia="zh-CN"/>
              </w:rPr>
            </w:pPr>
          </w:p>
        </w:tc>
        <w:tc>
          <w:tcPr>
            <w:tcW w:w="1701" w:type="dxa"/>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年产生量</w:t>
            </w:r>
          </w:p>
        </w:tc>
        <w:tc>
          <w:tcPr>
            <w:tcW w:w="1842" w:type="dxa"/>
            <w:vMerge w:val="continue"/>
            <w:vAlign w:val="center"/>
          </w:tcPr>
          <w:p>
            <w:pPr>
              <w:pStyle w:val="27"/>
              <w:spacing w:before="0" w:beforeAutospacing="0" w:after="0" w:afterAutospacing="0"/>
              <w:jc w:val="center"/>
              <w:rPr>
                <w:rFonts w:ascii="宋体" w:hAnsi="宋体" w:eastAsia="宋体" w:cs="宋体"/>
                <w:b/>
                <w:sz w:val="21"/>
                <w:szCs w:val="21"/>
                <w:lang w:eastAsia="zh-CN"/>
              </w:rPr>
            </w:pPr>
          </w:p>
        </w:tc>
        <w:tc>
          <w:tcPr>
            <w:tcW w:w="1802" w:type="dxa"/>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排放浓度mg/Nm</w:t>
            </w:r>
            <w:r>
              <w:rPr>
                <w:rFonts w:hint="eastAsia" w:ascii="宋体" w:hAnsi="宋体" w:eastAsia="宋体" w:cs="宋体"/>
                <w:b/>
                <w:sz w:val="21"/>
                <w:szCs w:val="21"/>
                <w:vertAlign w:val="superscript"/>
                <w:lang w:eastAsia="zh-CN"/>
              </w:rPr>
              <w:t>3</w:t>
            </w:r>
          </w:p>
        </w:tc>
        <w:tc>
          <w:tcPr>
            <w:tcW w:w="1742" w:type="dxa"/>
            <w:vAlign w:val="center"/>
          </w:tcPr>
          <w:p>
            <w:pPr>
              <w:pStyle w:val="27"/>
              <w:spacing w:before="0" w:beforeAutospacing="0" w:after="0" w:afterAutospacing="0"/>
              <w:jc w:val="center"/>
              <w:rPr>
                <w:rFonts w:ascii="宋体" w:hAnsi="宋体" w:eastAsia="宋体" w:cs="宋体"/>
                <w:b/>
                <w:sz w:val="21"/>
                <w:szCs w:val="21"/>
                <w:lang w:eastAsia="zh-CN"/>
              </w:rPr>
            </w:pPr>
            <w:r>
              <w:rPr>
                <w:rFonts w:hint="eastAsia" w:ascii="宋体" w:hAnsi="宋体" w:eastAsia="宋体" w:cs="宋体"/>
                <w:b/>
                <w:sz w:val="21"/>
                <w:szCs w:val="21"/>
                <w:lang w:eastAsia="zh-CN"/>
              </w:rPr>
              <w:t>排放量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restart"/>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废气</w:t>
            </w: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烟气</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740470万Nm³/a</w:t>
            </w:r>
          </w:p>
        </w:tc>
        <w:tc>
          <w:tcPr>
            <w:tcW w:w="1842" w:type="dxa"/>
            <w:vMerge w:val="restart"/>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选择性催化还原烟气脱硝（SCR）+电除尘+石灰石-石膏湿法脱硫</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740470万Nm³/a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烟尘</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217879t/a</w:t>
            </w:r>
          </w:p>
        </w:tc>
        <w:tc>
          <w:tcPr>
            <w:tcW w:w="1842"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2.53</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18.73t/a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二氧化硫</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9630t/a</w:t>
            </w:r>
          </w:p>
        </w:tc>
        <w:tc>
          <w:tcPr>
            <w:tcW w:w="1842"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16.17</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119.73t/a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氮氧化物</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5390t/a</w:t>
            </w:r>
          </w:p>
        </w:tc>
        <w:tc>
          <w:tcPr>
            <w:tcW w:w="1842"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32.14</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238.00t/a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汞及其化合物</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8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0.00014</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1.037kg/a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restart"/>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废水</w:t>
            </w: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生产废水</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67288t/a</w:t>
            </w:r>
          </w:p>
        </w:tc>
        <w:tc>
          <w:tcPr>
            <w:tcW w:w="1842" w:type="dxa"/>
            <w:vMerge w:val="restart"/>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污水处理站处理后回用</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生活废水</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912t/a</w:t>
            </w:r>
          </w:p>
        </w:tc>
        <w:tc>
          <w:tcPr>
            <w:tcW w:w="1842"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restart"/>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固废</w:t>
            </w: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灰渣</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25.5万t/a</w:t>
            </w:r>
          </w:p>
        </w:tc>
        <w:tc>
          <w:tcPr>
            <w:tcW w:w="18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全部外售</w:t>
            </w:r>
          </w:p>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综合利用</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废催化剂</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15.2t/a</w:t>
            </w:r>
          </w:p>
        </w:tc>
        <w:tc>
          <w:tcPr>
            <w:tcW w:w="18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厂家回收</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01" w:type="dxa"/>
            <w:vMerge w:val="continue"/>
            <w:vAlign w:val="center"/>
          </w:tcPr>
          <w:p>
            <w:pPr>
              <w:pStyle w:val="27"/>
              <w:spacing w:before="0" w:beforeAutospacing="0" w:after="0" w:afterAutospacing="0"/>
              <w:jc w:val="center"/>
              <w:rPr>
                <w:rFonts w:ascii="宋体" w:hAnsi="宋体" w:eastAsia="宋体" w:cs="宋体"/>
                <w:sz w:val="21"/>
                <w:szCs w:val="21"/>
                <w:lang w:eastAsia="zh-CN"/>
              </w:rPr>
            </w:pPr>
          </w:p>
        </w:tc>
        <w:tc>
          <w:tcPr>
            <w:tcW w:w="1134"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脱硫石膏</w:t>
            </w:r>
          </w:p>
        </w:tc>
        <w:tc>
          <w:tcPr>
            <w:tcW w:w="1701"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1.34万t/a</w:t>
            </w:r>
          </w:p>
        </w:tc>
        <w:tc>
          <w:tcPr>
            <w:tcW w:w="18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全部外售</w:t>
            </w:r>
          </w:p>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综合利用</w:t>
            </w:r>
          </w:p>
        </w:tc>
        <w:tc>
          <w:tcPr>
            <w:tcW w:w="180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w:t>
            </w:r>
          </w:p>
        </w:tc>
        <w:tc>
          <w:tcPr>
            <w:tcW w:w="1742" w:type="dxa"/>
            <w:vAlign w:val="center"/>
          </w:tcPr>
          <w:p>
            <w:pPr>
              <w:pStyle w:val="27"/>
              <w:spacing w:before="0" w:beforeAutospacing="0" w:after="0" w:afterAutospacing="0"/>
              <w:jc w:val="center"/>
              <w:rPr>
                <w:rFonts w:ascii="宋体" w:hAnsi="宋体" w:eastAsia="宋体" w:cs="宋体"/>
                <w:sz w:val="21"/>
                <w:szCs w:val="21"/>
                <w:lang w:eastAsia="zh-CN"/>
              </w:rPr>
            </w:pPr>
            <w:r>
              <w:rPr>
                <w:rFonts w:hint="eastAsia" w:ascii="宋体" w:hAnsi="宋体" w:eastAsia="宋体" w:cs="宋体"/>
                <w:sz w:val="21"/>
                <w:szCs w:val="21"/>
                <w:lang w:eastAsia="zh-CN"/>
              </w:rPr>
              <w:t>0</w:t>
            </w:r>
          </w:p>
        </w:tc>
      </w:tr>
    </w:tbl>
    <w:p>
      <w:pPr>
        <w:pStyle w:val="5"/>
        <w:widowControl w:val="0"/>
        <w:tabs>
          <w:tab w:val="left" w:pos="-3900"/>
          <w:tab w:val="left" w:pos="0"/>
        </w:tabs>
        <w:wordWrap w:val="0"/>
        <w:adjustRightInd w:val="0"/>
        <w:snapToGrid w:val="0"/>
        <w:spacing w:beforeLines="50" w:afterLines="50" w:line="360" w:lineRule="auto"/>
        <w:rPr>
          <w:rFonts w:eastAsia="宋体"/>
          <w:b w:val="0"/>
          <w:color w:val="000000" w:themeColor="text1"/>
          <w:sz w:val="24"/>
          <w:szCs w:val="24"/>
          <w:lang w:eastAsia="zh-CN"/>
        </w:rPr>
      </w:pPr>
      <w:bookmarkStart w:id="419" w:name="_Toc24969744"/>
      <w:r>
        <w:rPr>
          <w:rFonts w:hint="eastAsia" w:eastAsia="宋体"/>
          <w:b w:val="0"/>
          <w:color w:val="000000" w:themeColor="text1"/>
          <w:sz w:val="24"/>
          <w:szCs w:val="24"/>
          <w:lang w:eastAsia="zh-CN"/>
        </w:rPr>
        <w:t>备注：汞及其化合物数据是湖南佳蓝检测有限公司2019年9月5日检测出具。</w:t>
      </w:r>
      <w:bookmarkEnd w:id="419"/>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20" w:name="_Toc24969745"/>
      <w:r>
        <w:rPr>
          <w:rFonts w:hint="eastAsia" w:ascii="宋体" w:hAnsi="宋体" w:eastAsia="宋体"/>
          <w:color w:val="000000" w:themeColor="text1"/>
          <w:lang w:eastAsia="zh-CN"/>
        </w:rPr>
        <w:t>3.3</w:t>
      </w:r>
      <w:r>
        <w:rPr>
          <w:rFonts w:ascii="宋体" w:hAnsi="宋体" w:eastAsia="宋体"/>
          <w:color w:val="000000" w:themeColor="text1"/>
          <w:lang w:eastAsia="zh-CN"/>
        </w:rPr>
        <w:t>拟建项目基本情况</w:t>
      </w:r>
      <w:bookmarkEnd w:id="414"/>
      <w:bookmarkEnd w:id="415"/>
      <w:bookmarkEnd w:id="416"/>
      <w:bookmarkEnd w:id="417"/>
      <w:bookmarkEnd w:id="418"/>
      <w:bookmarkEnd w:id="420"/>
    </w:p>
    <w:p>
      <w:pPr>
        <w:pStyle w:val="5"/>
        <w:widowControl w:val="0"/>
        <w:tabs>
          <w:tab w:val="left" w:pos="-3900"/>
          <w:tab w:val="left" w:pos="0"/>
        </w:tabs>
        <w:adjustRightInd w:val="0"/>
        <w:snapToGrid w:val="0"/>
        <w:spacing w:before="0" w:line="360" w:lineRule="auto"/>
        <w:rPr>
          <w:rFonts w:eastAsia="宋体"/>
          <w:color w:val="000000" w:themeColor="text1"/>
          <w:lang w:eastAsia="zh-CN"/>
        </w:rPr>
      </w:pPr>
      <w:bookmarkStart w:id="421" w:name="_Toc22202330"/>
      <w:bookmarkStart w:id="422" w:name="_Toc22200325"/>
      <w:bookmarkStart w:id="423" w:name="_Toc22202742"/>
      <w:bookmarkStart w:id="424" w:name="_Toc22202038"/>
      <w:bookmarkStart w:id="425" w:name="_Toc22200992"/>
      <w:bookmarkStart w:id="426" w:name="_Toc24969746"/>
      <w:r>
        <w:rPr>
          <w:rFonts w:hint="eastAsia" w:eastAsia="宋体"/>
          <w:color w:val="000000" w:themeColor="text1"/>
          <w:lang w:eastAsia="zh-CN"/>
        </w:rPr>
        <w:t>3.</w:t>
      </w:r>
      <w:r>
        <w:rPr>
          <w:rFonts w:eastAsia="宋体"/>
          <w:color w:val="000000" w:themeColor="text1"/>
          <w:lang w:eastAsia="zh-CN"/>
        </w:rPr>
        <w:t>3.1建设项目概况</w:t>
      </w:r>
      <w:bookmarkEnd w:id="421"/>
      <w:bookmarkEnd w:id="422"/>
      <w:bookmarkEnd w:id="423"/>
      <w:bookmarkEnd w:id="424"/>
      <w:bookmarkEnd w:id="425"/>
      <w:bookmarkEnd w:id="426"/>
    </w:p>
    <w:p>
      <w:pPr>
        <w:pStyle w:val="13"/>
        <w:spacing w:after="0"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1、项目名称：西安西热锅炉环保工程有限公司燃煤电厂污泥及</w:t>
      </w:r>
      <w:r>
        <w:rPr>
          <w:rFonts w:hint="eastAsia" w:ascii="宋体" w:hAnsi="宋体" w:cs="宋体"/>
          <w:color w:val="000000" w:themeColor="text1"/>
          <w:sz w:val="24"/>
          <w:szCs w:val="24"/>
          <w:lang w:eastAsia="zh-CN"/>
        </w:rPr>
        <w:t>生物质</w:t>
      </w:r>
      <w:r>
        <w:rPr>
          <w:rFonts w:hint="eastAsia" w:ascii="宋体" w:hAnsi="宋体" w:cs="宋体"/>
          <w:sz w:val="24"/>
          <w:szCs w:val="24"/>
          <w:lang w:eastAsia="zh-CN"/>
        </w:rPr>
        <w:t>干燥炭化输送一体化处理系统关键技术研究项目</w:t>
      </w:r>
    </w:p>
    <w:p>
      <w:pPr>
        <w:pStyle w:val="13"/>
        <w:spacing w:after="0"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2、工程性质：</w:t>
      </w:r>
      <w:r>
        <w:rPr>
          <w:rFonts w:hint="eastAsia" w:ascii="宋体" w:hAnsi="宋体" w:cs="宋体"/>
          <w:color w:val="000000" w:themeColor="text1"/>
          <w:sz w:val="24"/>
          <w:szCs w:val="24"/>
          <w:lang w:eastAsia="zh-CN"/>
        </w:rPr>
        <w:t>新建</w:t>
      </w:r>
      <w:r>
        <w:rPr>
          <w:rFonts w:hint="eastAsia" w:ascii="宋体" w:hAnsi="宋体" w:cs="宋体"/>
          <w:sz w:val="24"/>
          <w:szCs w:val="24"/>
          <w:lang w:eastAsia="zh-CN"/>
        </w:rPr>
        <w:t>；</w:t>
      </w:r>
    </w:p>
    <w:p>
      <w:pPr>
        <w:pStyle w:val="13"/>
        <w:spacing w:after="0"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3、项目建设单位：西安西热锅炉环保工程有限公司；</w:t>
      </w:r>
    </w:p>
    <w:p>
      <w:pPr>
        <w:pStyle w:val="13"/>
        <w:spacing w:after="0"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4、建设地点：湖南省岳阳市华能岳阳电厂内，见附图2；</w:t>
      </w:r>
    </w:p>
    <w:p>
      <w:pPr>
        <w:spacing w:after="0" w:line="360" w:lineRule="auto"/>
        <w:ind w:right="-193" w:firstLine="480" w:firstLineChars="200"/>
        <w:rPr>
          <w:rFonts w:ascii="Times New Roman" w:cs="Times New Roman"/>
          <w:sz w:val="24"/>
          <w:szCs w:val="24"/>
          <w:lang w:eastAsia="zh-CN"/>
        </w:rPr>
      </w:pPr>
      <w:r>
        <w:rPr>
          <w:rFonts w:hint="eastAsia" w:ascii="宋体" w:hAnsi="宋体" w:cs="宋体"/>
          <w:sz w:val="24"/>
          <w:szCs w:val="24"/>
          <w:lang w:eastAsia="zh-CN"/>
        </w:rPr>
        <w:t>5、建设内容及规模：本工程在华能岳阳电厂厂区内依托三期超超临界锅炉新建一 套污泥(处理能力为100t/d)及生物质(处理能力50t/d）干燥炭化输送一体化处理系统，污泥投送系统与生物质投送系统并联到干燥炭化输送一体化处理系统（干燥炭化输送一体化处理系统可分别处理污泥或生物质）：污泥及生物质干燥炭化输送一体化处理系统同时接入三期工程的5#和6#机组，考虑到机组要进行正常的停炉检修，而三期工程的5#和6#机组一般不会同时停炉检修，为保证研究工作连续进行，焚烧系统可切换使用5#和6#机组。</w:t>
      </w:r>
      <w:r>
        <w:rPr>
          <w:rFonts w:hint="eastAsia" w:ascii="Times New Roman" w:cs="Times New Roman"/>
          <w:sz w:val="24"/>
          <w:szCs w:val="24"/>
          <w:lang w:eastAsia="zh-CN"/>
        </w:rPr>
        <w:t>本次建设内容主要包括核心设备一体化处理机1套（污泥处理能力100t/d，生物质处理能力50t/d）、污泥储仓1套（60m³）、生物质储料仓1（5m³）、储料仓2（15m³）、污泥输送柱塞泵1台、双螺旋输送机2套，炉烟管道1000m等。</w:t>
      </w:r>
      <w:r>
        <w:rPr>
          <w:rFonts w:hint="eastAsia" w:ascii="宋体" w:hAnsi="宋体" w:cs="宋体"/>
          <w:sz w:val="24"/>
          <w:szCs w:val="24"/>
          <w:lang w:eastAsia="zh-CN"/>
        </w:rPr>
        <w:t>恶臭气体收集系统收集到的恶臭气体再送入污泥及生物质干燥炭化输送一体化机，和干燥炭化好的污泥一起送入锅炉炉膛燃烧。</w:t>
      </w:r>
    </w:p>
    <w:p>
      <w:pPr>
        <w:pStyle w:val="27"/>
        <w:shd w:val="clear" w:color="auto" w:fill="FFFFFF"/>
        <w:spacing w:before="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lang w:eastAsia="zh-CN"/>
        </w:rPr>
        <w:t>6、项目总投资：290万元。</w:t>
      </w:r>
    </w:p>
    <w:p>
      <w:pPr>
        <w:pStyle w:val="27"/>
        <w:shd w:val="clear" w:color="auto" w:fill="FFFFFF"/>
        <w:spacing w:before="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lang w:eastAsia="zh-CN"/>
        </w:rPr>
        <w:t>7、项目预计工期：4个月。</w:t>
      </w:r>
    </w:p>
    <w:p>
      <w:pPr>
        <w:pStyle w:val="5"/>
        <w:widowControl w:val="0"/>
        <w:tabs>
          <w:tab w:val="left" w:pos="-3900"/>
          <w:tab w:val="left" w:pos="0"/>
        </w:tabs>
        <w:adjustRightInd w:val="0"/>
        <w:snapToGrid w:val="0"/>
        <w:spacing w:before="0" w:line="360" w:lineRule="auto"/>
        <w:rPr>
          <w:rFonts w:eastAsia="宋体"/>
          <w:color w:val="000000" w:themeColor="text1"/>
          <w:lang w:eastAsia="zh-CN"/>
        </w:rPr>
      </w:pPr>
      <w:bookmarkStart w:id="427" w:name="_Toc22200993"/>
      <w:bookmarkStart w:id="428" w:name="_Toc22202331"/>
      <w:bookmarkStart w:id="429" w:name="_Toc22202743"/>
      <w:bookmarkStart w:id="430" w:name="_Toc22202039"/>
      <w:bookmarkStart w:id="431" w:name="_Toc22200326"/>
      <w:bookmarkStart w:id="432" w:name="_Toc24969747"/>
      <w:r>
        <w:rPr>
          <w:rFonts w:hint="eastAsia" w:eastAsia="宋体"/>
          <w:color w:val="000000" w:themeColor="text1"/>
          <w:lang w:eastAsia="zh-CN"/>
        </w:rPr>
        <w:t>3.3.2建设项目主要内容</w:t>
      </w:r>
      <w:bookmarkEnd w:id="427"/>
      <w:bookmarkEnd w:id="428"/>
      <w:bookmarkEnd w:id="429"/>
      <w:bookmarkEnd w:id="430"/>
      <w:bookmarkEnd w:id="431"/>
      <w:bookmarkEnd w:id="432"/>
    </w:p>
    <w:p>
      <w:pPr>
        <w:pStyle w:val="27"/>
        <w:shd w:val="clear" w:color="auto" w:fill="FFFFFF"/>
        <w:spacing w:before="0" w:beforeAutospacing="0" w:after="0" w:afterAutospacing="0" w:line="360" w:lineRule="auto"/>
        <w:rPr>
          <w:rFonts w:eastAsia="宋体" w:asciiTheme="minorEastAsia" w:hAnsiTheme="minorEastAsia" w:cstheme="minorEastAsia"/>
          <w:b/>
          <w:lang w:eastAsia="zh-CN"/>
        </w:rPr>
      </w:pPr>
      <w:r>
        <w:rPr>
          <w:rFonts w:ascii="宋体" w:hAnsi="宋体" w:eastAsia="宋体" w:cs="宋体"/>
          <w:lang w:eastAsia="zh-CN"/>
        </w:rPr>
        <w:t>项目主要由主体工程</w:t>
      </w:r>
      <w:r>
        <w:rPr>
          <w:rFonts w:ascii="宋体" w:hAnsi="宋体" w:eastAsia="宋体" w:cs="宋体"/>
          <w:spacing w:val="-56"/>
          <w:lang w:eastAsia="zh-CN"/>
        </w:rPr>
        <w:t>、</w:t>
      </w:r>
      <w:r>
        <w:rPr>
          <w:rFonts w:ascii="宋体" w:hAnsi="宋体" w:eastAsia="宋体" w:cs="宋体"/>
          <w:lang w:eastAsia="zh-CN"/>
        </w:rPr>
        <w:t>公辅工程和环保工程等内容组</w:t>
      </w:r>
      <w:r>
        <w:rPr>
          <w:rFonts w:ascii="宋体" w:hAnsi="宋体" w:eastAsia="宋体" w:cs="宋体"/>
          <w:spacing w:val="1"/>
          <w:lang w:eastAsia="zh-CN"/>
        </w:rPr>
        <w:t>成</w:t>
      </w:r>
      <w:r>
        <w:rPr>
          <w:rFonts w:ascii="宋体" w:hAnsi="宋体" w:eastAsia="宋体" w:cs="宋体"/>
          <w:spacing w:val="-56"/>
          <w:lang w:eastAsia="zh-CN"/>
        </w:rPr>
        <w:t>，</w:t>
      </w:r>
      <w:r>
        <w:rPr>
          <w:rFonts w:ascii="宋体" w:hAnsi="宋体" w:eastAsia="宋体" w:cs="宋体"/>
          <w:lang w:eastAsia="zh-CN"/>
        </w:rPr>
        <w:t>具体建设内容见</w:t>
      </w:r>
      <w:r>
        <w:rPr>
          <w:rFonts w:ascii="宋体" w:hAnsi="宋体" w:eastAsia="宋体" w:cs="宋体"/>
          <w:b/>
          <w:lang w:eastAsia="zh-CN"/>
        </w:rPr>
        <w:t>表</w:t>
      </w:r>
      <w:r>
        <w:rPr>
          <w:rFonts w:hint="eastAsia" w:ascii="宋体" w:hAnsi="宋体" w:eastAsia="宋体" w:cs="宋体"/>
          <w:b/>
          <w:lang w:eastAsia="zh-CN"/>
        </w:rPr>
        <w:t>3.3-1。</w:t>
      </w:r>
    </w:p>
    <w:p>
      <w:pPr>
        <w:pStyle w:val="27"/>
        <w:shd w:val="clear" w:color="auto" w:fill="FFFFFF"/>
        <w:spacing w:before="0" w:beforeAutospacing="0" w:after="0" w:afterAutospacing="0" w:line="360" w:lineRule="auto"/>
        <w:jc w:val="center"/>
        <w:rPr>
          <w:rFonts w:eastAsia="宋体" w:asciiTheme="minorEastAsia" w:hAnsiTheme="minorEastAsia" w:cstheme="minorEastAsia"/>
          <w:b/>
          <w:lang w:eastAsia="zh-CN"/>
        </w:rPr>
      </w:pPr>
      <w:r>
        <w:rPr>
          <w:rFonts w:hint="eastAsia" w:eastAsia="宋体" w:asciiTheme="minorEastAsia" w:hAnsiTheme="minorEastAsia" w:cstheme="minorEastAsia"/>
          <w:b/>
          <w:lang w:eastAsia="zh-CN"/>
        </w:rPr>
        <w:t>表3.3-1工程组成</w:t>
      </w:r>
    </w:p>
    <w:tbl>
      <w:tblPr>
        <w:tblStyle w:val="30"/>
        <w:tblW w:w="918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1134"/>
        <w:gridCol w:w="6237"/>
        <w:gridCol w:w="11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Align w:val="center"/>
          </w:tcPr>
          <w:p>
            <w:pPr>
              <w:pStyle w:val="27"/>
              <w:spacing w:before="0" w:beforeAutospacing="0" w:after="0" w:afterAutospacing="0"/>
              <w:jc w:val="center"/>
              <w:rPr>
                <w:rFonts w:ascii="宋体" w:hAnsi="宋体" w:eastAsia="宋体" w:cs="宋体"/>
                <w:b/>
                <w:bCs/>
                <w:color w:val="333333"/>
                <w:sz w:val="20"/>
                <w:szCs w:val="20"/>
                <w:lang w:eastAsia="zh-CN"/>
              </w:rPr>
            </w:pPr>
            <w:r>
              <w:rPr>
                <w:rFonts w:hint="eastAsia" w:ascii="宋体" w:hAnsi="宋体" w:eastAsia="宋体" w:cs="宋体"/>
                <w:b/>
                <w:bCs/>
                <w:color w:val="333333"/>
                <w:sz w:val="20"/>
                <w:szCs w:val="20"/>
                <w:lang w:eastAsia="zh-CN"/>
              </w:rPr>
              <w:t>类别</w:t>
            </w:r>
          </w:p>
        </w:tc>
        <w:tc>
          <w:tcPr>
            <w:tcW w:w="1134" w:type="dxa"/>
            <w:vAlign w:val="center"/>
          </w:tcPr>
          <w:p>
            <w:pPr>
              <w:pStyle w:val="27"/>
              <w:spacing w:before="0" w:beforeAutospacing="0" w:after="0" w:afterAutospacing="0"/>
              <w:jc w:val="center"/>
              <w:rPr>
                <w:rFonts w:ascii="宋体" w:hAnsi="宋体" w:eastAsia="宋体" w:cs="宋体"/>
                <w:b/>
                <w:bCs/>
                <w:color w:val="333333"/>
                <w:sz w:val="20"/>
                <w:szCs w:val="20"/>
                <w:lang w:eastAsia="zh-CN"/>
              </w:rPr>
            </w:pPr>
            <w:r>
              <w:rPr>
                <w:rFonts w:hint="eastAsia" w:ascii="宋体" w:hAnsi="宋体" w:eastAsia="宋体" w:cs="宋体"/>
                <w:b/>
                <w:bCs/>
                <w:color w:val="333333"/>
                <w:sz w:val="20"/>
                <w:szCs w:val="20"/>
                <w:lang w:eastAsia="zh-CN"/>
              </w:rPr>
              <w:t>工程名称</w:t>
            </w:r>
          </w:p>
        </w:tc>
        <w:tc>
          <w:tcPr>
            <w:tcW w:w="6237" w:type="dxa"/>
            <w:vAlign w:val="center"/>
          </w:tcPr>
          <w:p>
            <w:pPr>
              <w:pStyle w:val="27"/>
              <w:spacing w:before="0" w:beforeAutospacing="0" w:after="0" w:afterAutospacing="0"/>
              <w:jc w:val="center"/>
              <w:rPr>
                <w:rFonts w:ascii="宋体" w:hAnsi="宋体" w:eastAsia="宋体" w:cs="宋体"/>
                <w:b/>
                <w:bCs/>
                <w:color w:val="333333"/>
                <w:sz w:val="20"/>
                <w:szCs w:val="20"/>
                <w:lang w:eastAsia="zh-CN"/>
              </w:rPr>
            </w:pPr>
            <w:r>
              <w:rPr>
                <w:rFonts w:hint="eastAsia" w:ascii="宋体" w:hAnsi="宋体" w:eastAsia="宋体" w:cs="宋体"/>
                <w:b/>
                <w:bCs/>
                <w:color w:val="333333"/>
                <w:sz w:val="20"/>
                <w:szCs w:val="20"/>
                <w:lang w:eastAsia="zh-CN"/>
              </w:rPr>
              <w:t>工程内容及规模</w:t>
            </w:r>
          </w:p>
        </w:tc>
        <w:tc>
          <w:tcPr>
            <w:tcW w:w="1134" w:type="dxa"/>
            <w:vAlign w:val="center"/>
          </w:tcPr>
          <w:p>
            <w:pPr>
              <w:pStyle w:val="27"/>
              <w:spacing w:before="0" w:beforeAutospacing="0" w:after="0" w:afterAutospacing="0"/>
              <w:jc w:val="center"/>
              <w:rPr>
                <w:rFonts w:ascii="宋体" w:hAnsi="宋体" w:eastAsia="宋体" w:cs="宋体"/>
                <w:b/>
                <w:bCs/>
                <w:color w:val="333333"/>
                <w:sz w:val="20"/>
                <w:szCs w:val="20"/>
                <w:lang w:eastAsia="zh-CN"/>
              </w:rPr>
            </w:pPr>
            <w:r>
              <w:rPr>
                <w:rFonts w:hint="eastAsia" w:ascii="宋体" w:hAnsi="宋体" w:eastAsia="宋体" w:cs="宋体"/>
                <w:b/>
                <w:bCs/>
                <w:color w:val="333333"/>
                <w:sz w:val="20"/>
                <w:szCs w:val="20"/>
                <w:lang w:eastAsia="zh-CN"/>
              </w:rPr>
              <w:t>依托情况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主体工程</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污泥干燥炭化输送一体化机</w:t>
            </w:r>
          </w:p>
        </w:tc>
        <w:tc>
          <w:tcPr>
            <w:tcW w:w="6237" w:type="dxa"/>
            <w:vAlign w:val="center"/>
          </w:tcPr>
          <w:p>
            <w:pPr>
              <w:pStyle w:val="27"/>
              <w:spacing w:before="0" w:beforeAutospacing="0" w:after="0" w:afterAutospacing="0"/>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本工程在华能岳阳电厂内依托三期</w:t>
            </w:r>
            <w:r>
              <w:rPr>
                <w:rFonts w:hint="eastAsia" w:ascii="宋体" w:hAnsi="宋体" w:eastAsia="宋体" w:cs="宋体"/>
                <w:color w:val="000000"/>
                <w:sz w:val="18"/>
                <w:szCs w:val="18"/>
                <w:lang w:eastAsia="zh-CN"/>
              </w:rPr>
              <w:t>超超临界</w:t>
            </w:r>
            <w:r>
              <w:rPr>
                <w:rFonts w:hint="eastAsia" w:ascii="宋体" w:hAnsi="宋体" w:eastAsia="宋体" w:cs="宋体"/>
                <w:bCs/>
                <w:color w:val="333333"/>
                <w:sz w:val="18"/>
                <w:szCs w:val="18"/>
                <w:lang w:eastAsia="zh-CN"/>
              </w:rPr>
              <w:t>锅炉建设100t/d污泥、生物质干燥炭化输送一体化设备</w:t>
            </w:r>
            <w:r>
              <w:rPr>
                <w:rFonts w:ascii="宋体" w:hAnsi="宋体" w:eastAsia="宋体" w:cs="宋体"/>
                <w:spacing w:val="12"/>
                <w:sz w:val="18"/>
                <w:szCs w:val="18"/>
                <w:lang w:eastAsia="zh-CN"/>
              </w:rPr>
              <w:t>及配套的附属设备和</w:t>
            </w:r>
            <w:r>
              <w:rPr>
                <w:rFonts w:ascii="宋体" w:hAnsi="宋体" w:eastAsia="宋体" w:cs="宋体"/>
                <w:spacing w:val="9"/>
                <w:sz w:val="18"/>
                <w:szCs w:val="18"/>
                <w:lang w:eastAsia="zh-CN"/>
              </w:rPr>
              <w:t>管</w:t>
            </w:r>
            <w:r>
              <w:rPr>
                <w:rFonts w:ascii="宋体" w:hAnsi="宋体" w:eastAsia="宋体" w:cs="宋体"/>
                <w:spacing w:val="12"/>
                <w:sz w:val="18"/>
                <w:szCs w:val="18"/>
                <w:lang w:eastAsia="zh-CN"/>
              </w:rPr>
              <w:t>道</w:t>
            </w:r>
            <w:r>
              <w:rPr>
                <w:rFonts w:hint="eastAsia" w:ascii="宋体" w:hAnsi="宋体" w:eastAsia="宋体" w:cs="宋体"/>
                <w:spacing w:val="12"/>
                <w:sz w:val="18"/>
                <w:szCs w:val="18"/>
                <w:lang w:eastAsia="zh-CN"/>
              </w:rPr>
              <w:t>将储罐中的污泥、生物质处理后送入锅炉炉膛。</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公辅工程</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供水</w:t>
            </w:r>
          </w:p>
        </w:tc>
        <w:tc>
          <w:tcPr>
            <w:tcW w:w="6237" w:type="dxa"/>
            <w:vAlign w:val="center"/>
          </w:tcPr>
          <w:p>
            <w:pPr>
              <w:pStyle w:val="27"/>
              <w:spacing w:before="0" w:beforeAutospacing="0" w:after="0" w:afterAutospacing="0"/>
              <w:rPr>
                <w:rFonts w:ascii="宋体" w:hAnsi="宋体" w:eastAsia="宋体" w:cs="宋体"/>
                <w:bCs/>
                <w:color w:val="333333"/>
                <w:sz w:val="18"/>
                <w:szCs w:val="18"/>
                <w:lang w:eastAsia="zh-CN"/>
              </w:rPr>
            </w:pPr>
            <w:r>
              <w:rPr>
                <w:rFonts w:ascii="宋体" w:hAnsi="宋体" w:eastAsia="宋体" w:cs="宋体"/>
                <w:sz w:val="18"/>
                <w:szCs w:val="18"/>
                <w:lang w:eastAsia="zh-CN"/>
              </w:rPr>
              <w:t>工业</w:t>
            </w:r>
            <w:r>
              <w:rPr>
                <w:rFonts w:ascii="宋体" w:hAnsi="宋体" w:eastAsia="宋体" w:cs="宋体"/>
                <w:spacing w:val="-3"/>
                <w:sz w:val="18"/>
                <w:szCs w:val="18"/>
                <w:lang w:eastAsia="zh-CN"/>
              </w:rPr>
              <w:t>用</w:t>
            </w:r>
            <w:r>
              <w:rPr>
                <w:rFonts w:ascii="宋体" w:hAnsi="宋体" w:eastAsia="宋体" w:cs="宋体"/>
                <w:spacing w:val="-1"/>
                <w:sz w:val="18"/>
                <w:szCs w:val="18"/>
                <w:lang w:eastAsia="zh-CN"/>
              </w:rPr>
              <w:t>水</w:t>
            </w:r>
            <w:r>
              <w:rPr>
                <w:rFonts w:ascii="宋体" w:hAnsi="宋体" w:eastAsia="宋体" w:cs="宋体"/>
                <w:spacing w:val="-3"/>
                <w:sz w:val="18"/>
                <w:szCs w:val="18"/>
                <w:lang w:eastAsia="zh-CN"/>
              </w:rPr>
              <w:t>依</w:t>
            </w:r>
            <w:r>
              <w:rPr>
                <w:rFonts w:ascii="宋体" w:hAnsi="宋体" w:eastAsia="宋体" w:cs="宋体"/>
                <w:sz w:val="18"/>
                <w:szCs w:val="18"/>
                <w:lang w:eastAsia="zh-CN"/>
              </w:rPr>
              <w:t>托</w:t>
            </w:r>
            <w:r>
              <w:rPr>
                <w:rFonts w:hint="eastAsia" w:ascii="宋体" w:hAnsi="宋体" w:eastAsia="宋体" w:cs="宋体"/>
                <w:spacing w:val="-3"/>
                <w:sz w:val="18"/>
                <w:szCs w:val="18"/>
                <w:lang w:eastAsia="zh-CN"/>
              </w:rPr>
              <w:t>华能岳阳电厂</w:t>
            </w:r>
            <w:r>
              <w:rPr>
                <w:rFonts w:ascii="宋体" w:hAnsi="宋体" w:eastAsia="宋体" w:cs="宋体"/>
                <w:sz w:val="18"/>
                <w:szCs w:val="18"/>
                <w:lang w:eastAsia="zh-CN"/>
              </w:rPr>
              <w:t>给</w:t>
            </w:r>
            <w:r>
              <w:rPr>
                <w:rFonts w:ascii="宋体" w:hAnsi="宋体" w:eastAsia="宋体" w:cs="宋体"/>
                <w:spacing w:val="-3"/>
                <w:sz w:val="18"/>
                <w:szCs w:val="18"/>
                <w:lang w:eastAsia="zh-CN"/>
              </w:rPr>
              <w:t>水</w:t>
            </w:r>
            <w:r>
              <w:rPr>
                <w:rFonts w:ascii="宋体" w:hAnsi="宋体" w:eastAsia="宋体" w:cs="宋体"/>
                <w:sz w:val="18"/>
                <w:szCs w:val="18"/>
                <w:lang w:eastAsia="zh-CN"/>
              </w:rPr>
              <w:t>管</w:t>
            </w:r>
            <w:r>
              <w:rPr>
                <w:rFonts w:ascii="宋体" w:hAnsi="宋体" w:eastAsia="宋体" w:cs="宋体"/>
                <w:spacing w:val="-3"/>
                <w:sz w:val="18"/>
                <w:szCs w:val="18"/>
                <w:lang w:eastAsia="zh-CN"/>
              </w:rPr>
              <w:t>网</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排水</w:t>
            </w:r>
          </w:p>
        </w:tc>
        <w:tc>
          <w:tcPr>
            <w:tcW w:w="6237" w:type="dxa"/>
            <w:vAlign w:val="center"/>
          </w:tcPr>
          <w:p>
            <w:pPr>
              <w:pStyle w:val="62"/>
              <w:rPr>
                <w:rFonts w:hAnsi="宋体" w:eastAsia="宋体" w:cs="宋体"/>
                <w:sz w:val="18"/>
                <w:szCs w:val="18"/>
                <w:lang w:eastAsia="zh-CN"/>
              </w:rPr>
            </w:pPr>
            <w:r>
              <w:rPr>
                <w:rFonts w:hint="eastAsia" w:hAnsi="宋体" w:eastAsia="宋体" w:cs="宋体"/>
                <w:sz w:val="18"/>
                <w:szCs w:val="18"/>
                <w:lang w:eastAsia="zh-CN"/>
              </w:rPr>
              <w:t>项目排水依托</w:t>
            </w:r>
            <w:r>
              <w:rPr>
                <w:rFonts w:hint="eastAsia" w:hAnsi="宋体" w:eastAsia="宋体" w:cs="宋体"/>
                <w:spacing w:val="-3"/>
                <w:sz w:val="18"/>
                <w:szCs w:val="18"/>
                <w:lang w:eastAsia="zh-CN"/>
              </w:rPr>
              <w:t>华能岳阳电厂</w:t>
            </w:r>
            <w:r>
              <w:rPr>
                <w:rFonts w:hint="eastAsia" w:hAnsi="宋体" w:eastAsia="宋体" w:cs="宋体"/>
                <w:sz w:val="18"/>
                <w:szCs w:val="18"/>
                <w:lang w:eastAsia="zh-CN"/>
              </w:rPr>
              <w:t>排</w:t>
            </w:r>
            <w:r>
              <w:rPr>
                <w:rFonts w:hAnsi="宋体" w:eastAsia="宋体" w:cs="宋体"/>
                <w:spacing w:val="-3"/>
                <w:sz w:val="18"/>
                <w:szCs w:val="18"/>
                <w:lang w:eastAsia="zh-CN"/>
              </w:rPr>
              <w:t>水</w:t>
            </w:r>
            <w:r>
              <w:rPr>
                <w:rFonts w:hAnsi="宋体" w:eastAsia="宋体" w:cs="宋体"/>
                <w:sz w:val="18"/>
                <w:szCs w:val="18"/>
                <w:lang w:eastAsia="zh-CN"/>
              </w:rPr>
              <w:t>管</w:t>
            </w:r>
            <w:r>
              <w:rPr>
                <w:rFonts w:hAnsi="宋体" w:eastAsia="宋体" w:cs="宋体"/>
                <w:spacing w:val="-3"/>
                <w:sz w:val="18"/>
                <w:szCs w:val="18"/>
                <w:lang w:eastAsia="zh-CN"/>
              </w:rPr>
              <w:t>网</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供电</w:t>
            </w:r>
          </w:p>
        </w:tc>
        <w:tc>
          <w:tcPr>
            <w:tcW w:w="6237" w:type="dxa"/>
            <w:vAlign w:val="center"/>
          </w:tcPr>
          <w:p>
            <w:pPr>
              <w:pStyle w:val="62"/>
              <w:rPr>
                <w:rFonts w:hAnsi="宋体" w:eastAsia="宋体" w:cs="宋体"/>
                <w:sz w:val="18"/>
                <w:szCs w:val="18"/>
                <w:lang w:eastAsia="zh-CN"/>
              </w:rPr>
            </w:pPr>
            <w:r>
              <w:rPr>
                <w:rFonts w:hAnsi="宋体" w:eastAsia="宋体" w:cs="宋体"/>
                <w:sz w:val="18"/>
                <w:szCs w:val="18"/>
                <w:lang w:eastAsia="zh-CN"/>
              </w:rPr>
              <w:t>本项</w:t>
            </w:r>
            <w:r>
              <w:rPr>
                <w:rFonts w:hAnsi="宋体" w:eastAsia="宋体" w:cs="宋体"/>
                <w:spacing w:val="-3"/>
                <w:sz w:val="18"/>
                <w:szCs w:val="18"/>
                <w:lang w:eastAsia="zh-CN"/>
              </w:rPr>
              <w:t>目</w:t>
            </w:r>
            <w:r>
              <w:rPr>
                <w:rFonts w:hAnsi="宋体" w:eastAsia="宋体" w:cs="宋体"/>
                <w:sz w:val="18"/>
                <w:szCs w:val="18"/>
                <w:lang w:eastAsia="zh-CN"/>
              </w:rPr>
              <w:t>新</w:t>
            </w:r>
            <w:r>
              <w:rPr>
                <w:rFonts w:hAnsi="宋体" w:eastAsia="宋体" w:cs="宋体"/>
                <w:spacing w:val="-3"/>
                <w:sz w:val="18"/>
                <w:szCs w:val="18"/>
                <w:lang w:eastAsia="zh-CN"/>
              </w:rPr>
              <w:t>增</w:t>
            </w:r>
            <w:r>
              <w:rPr>
                <w:rFonts w:hAnsi="宋体" w:eastAsia="宋体" w:cs="宋体"/>
                <w:sz w:val="18"/>
                <w:szCs w:val="18"/>
                <w:lang w:eastAsia="zh-CN"/>
              </w:rPr>
              <w:t>设</w:t>
            </w:r>
            <w:r>
              <w:rPr>
                <w:rFonts w:hAnsi="宋体" w:eastAsia="宋体" w:cs="宋体"/>
                <w:spacing w:val="-3"/>
                <w:sz w:val="18"/>
                <w:szCs w:val="18"/>
                <w:lang w:eastAsia="zh-CN"/>
              </w:rPr>
              <w:t>备</w:t>
            </w:r>
            <w:r>
              <w:rPr>
                <w:rFonts w:hAnsi="宋体" w:eastAsia="宋体" w:cs="宋体"/>
                <w:sz w:val="18"/>
                <w:szCs w:val="18"/>
                <w:lang w:eastAsia="zh-CN"/>
              </w:rPr>
              <w:t>电</w:t>
            </w:r>
            <w:r>
              <w:rPr>
                <w:rFonts w:hAnsi="宋体" w:eastAsia="宋体" w:cs="宋体"/>
                <w:spacing w:val="-3"/>
                <w:sz w:val="18"/>
                <w:szCs w:val="18"/>
                <w:lang w:eastAsia="zh-CN"/>
              </w:rPr>
              <w:t>源</w:t>
            </w:r>
            <w:r>
              <w:rPr>
                <w:rFonts w:hAnsi="宋体" w:eastAsia="宋体" w:cs="宋体"/>
                <w:sz w:val="18"/>
                <w:szCs w:val="18"/>
                <w:lang w:eastAsia="zh-CN"/>
              </w:rPr>
              <w:t>依</w:t>
            </w:r>
            <w:r>
              <w:rPr>
                <w:rFonts w:hAnsi="宋体" w:eastAsia="宋体" w:cs="宋体"/>
                <w:spacing w:val="-3"/>
                <w:sz w:val="18"/>
                <w:szCs w:val="18"/>
                <w:lang w:eastAsia="zh-CN"/>
              </w:rPr>
              <w:t>托</w:t>
            </w:r>
            <w:r>
              <w:rPr>
                <w:rFonts w:hAnsi="宋体" w:eastAsia="宋体" w:cs="宋体"/>
                <w:sz w:val="18"/>
                <w:szCs w:val="18"/>
                <w:lang w:eastAsia="zh-CN"/>
              </w:rPr>
              <w:t>现</w:t>
            </w:r>
            <w:r>
              <w:rPr>
                <w:rFonts w:hAnsi="宋体" w:eastAsia="宋体" w:cs="宋体"/>
                <w:spacing w:val="-3"/>
                <w:sz w:val="18"/>
                <w:szCs w:val="18"/>
                <w:lang w:eastAsia="zh-CN"/>
              </w:rPr>
              <w:t>有</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储运工程</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污泥储罐</w:t>
            </w:r>
          </w:p>
        </w:tc>
        <w:tc>
          <w:tcPr>
            <w:tcW w:w="6237" w:type="dxa"/>
            <w:vAlign w:val="center"/>
          </w:tcPr>
          <w:p>
            <w:pPr>
              <w:pStyle w:val="62"/>
              <w:rPr>
                <w:rFonts w:hAnsi="宋体" w:eastAsia="宋体" w:cs="宋体"/>
                <w:sz w:val="18"/>
                <w:szCs w:val="18"/>
                <w:lang w:eastAsia="zh-CN"/>
              </w:rPr>
            </w:pPr>
            <w:r>
              <w:rPr>
                <w:rFonts w:hAnsi="宋体" w:eastAsia="宋体" w:cs="宋体"/>
                <w:sz w:val="18"/>
                <w:szCs w:val="18"/>
                <w:lang w:eastAsia="zh-CN"/>
              </w:rPr>
              <w:t>新建</w:t>
            </w:r>
            <w:r>
              <w:rPr>
                <w:rFonts w:hAnsi="宋体" w:eastAsia="宋体" w:cs="宋体"/>
                <w:spacing w:val="-3"/>
                <w:sz w:val="18"/>
                <w:szCs w:val="18"/>
                <w:lang w:eastAsia="zh-CN"/>
              </w:rPr>
              <w:t>污泥储罐</w:t>
            </w:r>
            <w:r>
              <w:rPr>
                <w:rFonts w:hint="eastAsia" w:hAnsi="宋体" w:eastAsia="宋体" w:cs="宋体"/>
                <w:spacing w:val="-3"/>
                <w:sz w:val="18"/>
                <w:szCs w:val="18"/>
                <w:lang w:eastAsia="zh-CN"/>
              </w:rPr>
              <w:t>密闭库</w:t>
            </w:r>
            <w:r>
              <w:rPr>
                <w:rFonts w:hAnsi="宋体" w:eastAsia="宋体" w:cs="宋体"/>
                <w:spacing w:val="-17"/>
                <w:sz w:val="18"/>
                <w:szCs w:val="18"/>
                <w:lang w:eastAsia="zh-CN"/>
              </w:rPr>
              <w:t>，</w:t>
            </w:r>
            <w:r>
              <w:rPr>
                <w:rFonts w:hAnsi="宋体" w:eastAsia="宋体" w:cs="宋体"/>
                <w:sz w:val="18"/>
                <w:szCs w:val="18"/>
                <w:lang w:eastAsia="zh-CN"/>
              </w:rPr>
              <w:t>临</w:t>
            </w:r>
            <w:r>
              <w:rPr>
                <w:rFonts w:hAnsi="宋体" w:eastAsia="宋体" w:cs="宋体"/>
                <w:spacing w:val="-3"/>
                <w:sz w:val="18"/>
                <w:szCs w:val="18"/>
                <w:lang w:eastAsia="zh-CN"/>
              </w:rPr>
              <w:t>时储</w:t>
            </w:r>
            <w:r>
              <w:rPr>
                <w:rFonts w:hAnsi="宋体" w:eastAsia="宋体" w:cs="宋体"/>
                <w:sz w:val="18"/>
                <w:szCs w:val="18"/>
                <w:lang w:eastAsia="zh-CN"/>
              </w:rPr>
              <w:t>存水处</w:t>
            </w:r>
            <w:r>
              <w:rPr>
                <w:rFonts w:hAnsi="宋体" w:eastAsia="宋体" w:cs="宋体"/>
                <w:spacing w:val="-3"/>
                <w:sz w:val="18"/>
                <w:szCs w:val="18"/>
                <w:lang w:eastAsia="zh-CN"/>
              </w:rPr>
              <w:t>理</w:t>
            </w:r>
            <w:r>
              <w:rPr>
                <w:rFonts w:hAnsi="宋体" w:eastAsia="宋体" w:cs="宋体"/>
                <w:sz w:val="18"/>
                <w:szCs w:val="18"/>
                <w:lang w:eastAsia="zh-CN"/>
              </w:rPr>
              <w:t>站</w:t>
            </w:r>
            <w:r>
              <w:rPr>
                <w:rFonts w:hAnsi="宋体" w:eastAsia="宋体" w:cs="宋体"/>
                <w:spacing w:val="-3"/>
                <w:sz w:val="18"/>
                <w:szCs w:val="18"/>
                <w:lang w:eastAsia="zh-CN"/>
              </w:rPr>
              <w:t>运</w:t>
            </w:r>
            <w:r>
              <w:rPr>
                <w:rFonts w:hAnsi="宋体" w:eastAsia="宋体" w:cs="宋体"/>
                <w:sz w:val="18"/>
                <w:szCs w:val="18"/>
                <w:lang w:eastAsia="zh-CN"/>
              </w:rPr>
              <w:t>来</w:t>
            </w:r>
            <w:r>
              <w:rPr>
                <w:rFonts w:hAnsi="宋体" w:eastAsia="宋体" w:cs="宋体"/>
                <w:spacing w:val="-3"/>
                <w:sz w:val="18"/>
                <w:szCs w:val="18"/>
                <w:lang w:eastAsia="zh-CN"/>
              </w:rPr>
              <w:t>的</w:t>
            </w:r>
            <w:r>
              <w:rPr>
                <w:rFonts w:hAnsi="宋体" w:eastAsia="宋体" w:cs="宋体"/>
                <w:sz w:val="18"/>
                <w:szCs w:val="18"/>
                <w:lang w:eastAsia="zh-CN"/>
              </w:rPr>
              <w:t>污</w:t>
            </w:r>
            <w:r>
              <w:rPr>
                <w:rFonts w:hAnsi="宋体" w:eastAsia="宋体" w:cs="宋体"/>
                <w:spacing w:val="-3"/>
                <w:sz w:val="18"/>
                <w:szCs w:val="18"/>
                <w:lang w:eastAsia="zh-CN"/>
              </w:rPr>
              <w:t>泥</w:t>
            </w:r>
            <w:r>
              <w:rPr>
                <w:rFonts w:hAnsi="宋体" w:eastAsia="宋体" w:cs="宋体"/>
                <w:sz w:val="18"/>
                <w:szCs w:val="18"/>
                <w:lang w:eastAsia="zh-CN"/>
              </w:rPr>
              <w:t>（</w:t>
            </w:r>
            <w:r>
              <w:rPr>
                <w:rFonts w:hint="eastAsia" w:hAnsi="宋体" w:eastAsia="宋体" w:cs="宋体"/>
                <w:sz w:val="18"/>
                <w:szCs w:val="18"/>
                <w:lang w:eastAsia="zh-CN"/>
              </w:rPr>
              <w:t>有效容积</w:t>
            </w:r>
            <w:r>
              <w:rPr>
                <w:rFonts w:hint="eastAsia" w:hAnsi="宋体" w:eastAsia="宋体" w:cs="思源黑体 CN ExtraLight"/>
                <w:spacing w:val="-4"/>
                <w:sz w:val="18"/>
                <w:szCs w:val="18"/>
                <w:lang w:eastAsia="zh-CN"/>
              </w:rPr>
              <w:t>60m</w:t>
            </w:r>
            <w:r>
              <w:rPr>
                <w:rFonts w:hint="eastAsia" w:hAnsi="宋体" w:eastAsia="宋体" w:cs="思源黑体 CN ExtraLight"/>
                <w:spacing w:val="-4"/>
                <w:sz w:val="18"/>
                <w:szCs w:val="18"/>
                <w:vertAlign w:val="superscript"/>
                <w:lang w:eastAsia="zh-CN"/>
              </w:rPr>
              <w:t>3</w:t>
            </w:r>
            <w:r>
              <w:rPr>
                <w:rFonts w:hAnsi="宋体" w:eastAsia="宋体" w:cs="宋体"/>
                <w:spacing w:val="-3"/>
                <w:sz w:val="18"/>
                <w:szCs w:val="18"/>
                <w:lang w:eastAsia="zh-CN"/>
              </w:rPr>
              <w:t>）</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生物质储仓</w:t>
            </w:r>
          </w:p>
        </w:tc>
        <w:tc>
          <w:tcPr>
            <w:tcW w:w="6237" w:type="dxa"/>
            <w:vAlign w:val="center"/>
          </w:tcPr>
          <w:p>
            <w:pPr>
              <w:pStyle w:val="62"/>
              <w:rPr>
                <w:rFonts w:hAnsi="宋体" w:eastAsia="宋体" w:cs="宋体"/>
                <w:sz w:val="18"/>
                <w:szCs w:val="18"/>
                <w:lang w:eastAsia="zh-CN"/>
              </w:rPr>
            </w:pPr>
            <w:r>
              <w:rPr>
                <w:rFonts w:hint="eastAsia" w:hAnsi="宋体" w:eastAsia="宋体" w:cs="宋体"/>
                <w:sz w:val="18"/>
                <w:szCs w:val="18"/>
                <w:lang w:eastAsia="zh-CN"/>
              </w:rPr>
              <w:t>生物质储料仓1（5m</w:t>
            </w:r>
            <w:r>
              <w:rPr>
                <w:rFonts w:hint="eastAsia" w:hAnsi="宋体" w:eastAsia="宋体" w:cs="宋体"/>
                <w:sz w:val="18"/>
                <w:szCs w:val="18"/>
                <w:vertAlign w:val="superscript"/>
                <w:lang w:eastAsia="zh-CN"/>
              </w:rPr>
              <w:t>3</w:t>
            </w:r>
            <w:r>
              <w:rPr>
                <w:rFonts w:hint="eastAsia" w:hAnsi="宋体" w:eastAsia="宋体" w:cs="宋体"/>
                <w:sz w:val="18"/>
                <w:szCs w:val="18"/>
                <w:lang w:eastAsia="zh-CN"/>
              </w:rPr>
              <w:t>）和生物质储料仓2（15m</w:t>
            </w:r>
            <w:r>
              <w:rPr>
                <w:rFonts w:hint="eastAsia" w:hAnsi="宋体" w:eastAsia="宋体" w:cs="宋体"/>
                <w:sz w:val="18"/>
                <w:szCs w:val="18"/>
                <w:vertAlign w:val="superscript"/>
                <w:lang w:eastAsia="zh-CN"/>
              </w:rPr>
              <w:t>3</w:t>
            </w:r>
            <w:r>
              <w:rPr>
                <w:rFonts w:hint="eastAsia" w:hAnsi="宋体" w:eastAsia="宋体" w:cs="宋体"/>
                <w:sz w:val="18"/>
                <w:szCs w:val="18"/>
                <w:lang w:eastAsia="zh-CN"/>
              </w:rPr>
              <w:t>）</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灰渣库</w:t>
            </w:r>
          </w:p>
        </w:tc>
        <w:tc>
          <w:tcPr>
            <w:tcW w:w="6237" w:type="dxa"/>
            <w:vAlign w:val="center"/>
          </w:tcPr>
          <w:p>
            <w:pPr>
              <w:pStyle w:val="62"/>
              <w:rPr>
                <w:rFonts w:hAnsi="宋体" w:eastAsia="宋体" w:cs="宋体"/>
                <w:sz w:val="18"/>
                <w:szCs w:val="18"/>
                <w:lang w:eastAsia="zh-CN"/>
              </w:rPr>
            </w:pPr>
            <w:r>
              <w:rPr>
                <w:rFonts w:hint="eastAsia" w:hAnsi="宋体" w:eastAsia="宋体" w:cs="宋体"/>
                <w:sz w:val="18"/>
                <w:szCs w:val="18"/>
                <w:lang w:eastAsia="zh-CN"/>
              </w:rPr>
              <w:t>本项目产生灰渣依托三期超超临界锅炉灰渣处置系统</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restart"/>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环保工程</w:t>
            </w:r>
          </w:p>
        </w:tc>
        <w:tc>
          <w:tcPr>
            <w:tcW w:w="1134" w:type="dxa"/>
            <w:vMerge w:val="restart"/>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废气</w:t>
            </w:r>
          </w:p>
        </w:tc>
        <w:tc>
          <w:tcPr>
            <w:tcW w:w="6237" w:type="dxa"/>
            <w:vAlign w:val="center"/>
          </w:tcPr>
          <w:p>
            <w:pPr>
              <w:pStyle w:val="62"/>
              <w:rPr>
                <w:rFonts w:hAnsi="宋体" w:eastAsia="宋体" w:cs="宋体"/>
                <w:sz w:val="18"/>
                <w:szCs w:val="18"/>
                <w:lang w:eastAsia="zh-CN"/>
              </w:rPr>
            </w:pPr>
            <w:r>
              <w:rPr>
                <w:rFonts w:hAnsi="宋体" w:eastAsia="宋体" w:cs="宋体"/>
                <w:spacing w:val="-3"/>
                <w:sz w:val="18"/>
                <w:szCs w:val="18"/>
                <w:lang w:eastAsia="zh-CN"/>
              </w:rPr>
              <w:t>污泥储罐</w:t>
            </w:r>
            <w:r>
              <w:rPr>
                <w:rFonts w:hint="eastAsia" w:hAnsi="宋体" w:eastAsia="宋体" w:cs="宋体"/>
                <w:spacing w:val="-3"/>
                <w:sz w:val="18"/>
                <w:szCs w:val="18"/>
                <w:lang w:eastAsia="zh-CN"/>
              </w:rPr>
              <w:t>密闭库产生的无组织废气收集系统</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6237" w:type="dxa"/>
            <w:vAlign w:val="center"/>
          </w:tcPr>
          <w:p>
            <w:pPr>
              <w:pStyle w:val="62"/>
              <w:rPr>
                <w:rFonts w:hAnsi="宋体" w:eastAsia="宋体" w:cs="宋体"/>
                <w:sz w:val="18"/>
                <w:szCs w:val="18"/>
                <w:lang w:eastAsia="zh-CN"/>
              </w:rPr>
            </w:pPr>
            <w:r>
              <w:rPr>
                <w:rFonts w:hint="eastAsia" w:hAnsi="宋体" w:eastAsia="宋体" w:cs="宋体"/>
                <w:sz w:val="18"/>
                <w:szCs w:val="18"/>
                <w:lang w:eastAsia="zh-CN"/>
              </w:rPr>
              <w:t>依托三期超超临界锅炉处置系统</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废水</w:t>
            </w:r>
          </w:p>
        </w:tc>
        <w:tc>
          <w:tcPr>
            <w:tcW w:w="6237" w:type="dxa"/>
            <w:vAlign w:val="center"/>
          </w:tcPr>
          <w:p>
            <w:pPr>
              <w:rPr>
                <w:rFonts w:hAnsi="宋体"/>
                <w:sz w:val="18"/>
                <w:szCs w:val="18"/>
                <w:lang w:eastAsia="zh-CN"/>
              </w:rPr>
            </w:pPr>
            <w:r>
              <w:rPr>
                <w:rFonts w:hint="eastAsia" w:hAnsi="宋体"/>
                <w:sz w:val="18"/>
                <w:szCs w:val="18"/>
                <w:lang w:eastAsia="zh-CN"/>
              </w:rPr>
              <w:t>污泥储罐及污泥运输车辆冲洗产生废水进华能岳阳电厂污水处理场</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固废</w:t>
            </w:r>
          </w:p>
        </w:tc>
        <w:tc>
          <w:tcPr>
            <w:tcW w:w="6237" w:type="dxa"/>
            <w:vAlign w:val="center"/>
          </w:tcPr>
          <w:p>
            <w:pPr>
              <w:pStyle w:val="27"/>
              <w:spacing w:before="0" w:beforeAutospacing="0" w:after="0" w:afterAutospacing="0"/>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脱硝装置运行过程中产生的废催化剂由催化剂供应商回收；脱硫石膏可全部外运销售；锅炉灰渣集中收集后外售给建材公司作为生产建筑材料的原料综合利用； 生活垃圾交由市政统一处理。</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75" w:type="dxa"/>
            <w:vMerge w:val="continue"/>
            <w:vAlign w:val="center"/>
          </w:tcPr>
          <w:p>
            <w:pPr>
              <w:pStyle w:val="27"/>
              <w:spacing w:before="0" w:beforeAutospacing="0" w:after="0" w:afterAutospacing="0"/>
              <w:jc w:val="center"/>
              <w:rPr>
                <w:rFonts w:ascii="宋体" w:hAnsi="宋体" w:eastAsia="宋体" w:cs="宋体"/>
                <w:bCs/>
                <w:color w:val="333333"/>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噪声</w:t>
            </w:r>
          </w:p>
        </w:tc>
        <w:tc>
          <w:tcPr>
            <w:tcW w:w="6237" w:type="dxa"/>
            <w:vAlign w:val="center"/>
          </w:tcPr>
          <w:p>
            <w:pPr>
              <w:pStyle w:val="27"/>
              <w:spacing w:before="0" w:beforeAutospacing="0" w:after="0" w:afterAutospacing="0"/>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消声、减振、厂房隔声等措施</w:t>
            </w:r>
          </w:p>
        </w:tc>
        <w:tc>
          <w:tcPr>
            <w:tcW w:w="1134" w:type="dxa"/>
            <w:vAlign w:val="center"/>
          </w:tcPr>
          <w:p>
            <w:pPr>
              <w:pStyle w:val="27"/>
              <w:spacing w:before="0" w:beforeAutospacing="0" w:after="0" w:afterAutospacing="0"/>
              <w:jc w:val="center"/>
              <w:rPr>
                <w:rFonts w:ascii="宋体" w:hAnsi="宋体" w:eastAsia="宋体" w:cs="宋体"/>
                <w:bCs/>
                <w:color w:val="333333"/>
                <w:sz w:val="18"/>
                <w:szCs w:val="18"/>
                <w:lang w:eastAsia="zh-CN"/>
              </w:rPr>
            </w:pPr>
            <w:r>
              <w:rPr>
                <w:rFonts w:hint="eastAsia" w:ascii="宋体" w:hAnsi="宋体" w:eastAsia="宋体" w:cs="宋体"/>
                <w:bCs/>
                <w:color w:val="333333"/>
                <w:sz w:val="18"/>
                <w:szCs w:val="18"/>
                <w:lang w:eastAsia="zh-CN"/>
              </w:rPr>
              <w:t>依托现有</w:t>
            </w:r>
          </w:p>
        </w:tc>
      </w:tr>
    </w:tbl>
    <w:p>
      <w:pPr>
        <w:pStyle w:val="27"/>
        <w:shd w:val="clear" w:color="auto" w:fill="FFFFFF"/>
        <w:spacing w:before="0" w:beforeAutospacing="0" w:after="360" w:afterAutospacing="0" w:line="360" w:lineRule="auto"/>
        <w:rPr>
          <w:rFonts w:eastAsia="宋体" w:asciiTheme="minorEastAsia" w:hAnsiTheme="minorEastAsia" w:cstheme="minorEastAsia"/>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33" w:name="_Toc22200327"/>
      <w:bookmarkStart w:id="434" w:name="_Toc22202744"/>
      <w:bookmarkStart w:id="435" w:name="_Toc22200994"/>
      <w:bookmarkStart w:id="436" w:name="_Toc22202332"/>
      <w:bookmarkStart w:id="437" w:name="_Toc22202040"/>
      <w:bookmarkStart w:id="438" w:name="_Toc24969748"/>
      <w:r>
        <w:rPr>
          <w:rFonts w:ascii="宋体" w:hAnsi="宋体" w:eastAsia="宋体"/>
          <w:color w:val="000000" w:themeColor="text1"/>
          <w:lang w:eastAsia="zh-CN"/>
        </w:rPr>
        <w:t>3.</w:t>
      </w:r>
      <w:r>
        <w:rPr>
          <w:rFonts w:hint="eastAsia" w:ascii="宋体" w:hAnsi="宋体" w:eastAsia="宋体"/>
          <w:color w:val="000000" w:themeColor="text1"/>
          <w:lang w:eastAsia="zh-CN"/>
        </w:rPr>
        <w:t>4</w:t>
      </w:r>
      <w:r>
        <w:rPr>
          <w:rFonts w:ascii="宋体" w:hAnsi="宋体" w:eastAsia="宋体"/>
          <w:color w:val="000000" w:themeColor="text1"/>
          <w:lang w:eastAsia="zh-CN"/>
        </w:rPr>
        <w:t>总平面布置</w:t>
      </w:r>
      <w:bookmarkEnd w:id="433"/>
      <w:bookmarkEnd w:id="434"/>
      <w:bookmarkEnd w:id="435"/>
      <w:bookmarkEnd w:id="436"/>
      <w:bookmarkEnd w:id="437"/>
      <w:bookmarkEnd w:id="438"/>
    </w:p>
    <w:p>
      <w:pPr>
        <w:pStyle w:val="62"/>
        <w:spacing w:line="360" w:lineRule="auto"/>
        <w:ind w:firstLine="496" w:firstLineChars="200"/>
        <w:rPr>
          <w:rFonts w:ascii="宋体" w:hAnsi="宋体" w:eastAsia="宋体" w:cs="宋体"/>
          <w:sz w:val="24"/>
          <w:szCs w:val="24"/>
          <w:lang w:eastAsia="zh-CN"/>
        </w:rPr>
      </w:pPr>
      <w:r>
        <w:rPr>
          <w:rFonts w:hint="eastAsia" w:ascii="宋体" w:hAnsi="宋体" w:eastAsia="宋体" w:cs="宋体"/>
          <w:spacing w:val="4"/>
          <w:sz w:val="24"/>
          <w:szCs w:val="24"/>
          <w:lang w:eastAsia="zh-CN"/>
        </w:rPr>
        <w:t>本项目</w:t>
      </w:r>
      <w:r>
        <w:rPr>
          <w:rFonts w:ascii="宋体" w:hAnsi="宋体" w:eastAsia="宋体" w:cs="宋体"/>
          <w:spacing w:val="4"/>
          <w:sz w:val="24"/>
          <w:szCs w:val="24"/>
          <w:lang w:eastAsia="zh-CN"/>
        </w:rPr>
        <w:t>拟</w:t>
      </w:r>
      <w:r>
        <w:rPr>
          <w:rFonts w:ascii="宋体" w:hAnsi="宋体" w:eastAsia="宋体" w:cs="宋体"/>
          <w:spacing w:val="6"/>
          <w:sz w:val="24"/>
          <w:szCs w:val="24"/>
          <w:lang w:eastAsia="zh-CN"/>
        </w:rPr>
        <w:t>建</w:t>
      </w:r>
      <w:r>
        <w:rPr>
          <w:rFonts w:ascii="宋体" w:hAnsi="宋体" w:eastAsia="宋体" w:cs="宋体"/>
          <w:spacing w:val="4"/>
          <w:sz w:val="24"/>
          <w:szCs w:val="24"/>
          <w:lang w:eastAsia="zh-CN"/>
        </w:rPr>
        <w:t>场地</w:t>
      </w:r>
      <w:r>
        <w:rPr>
          <w:rFonts w:ascii="宋体" w:hAnsi="宋体" w:eastAsia="宋体" w:cs="宋体"/>
          <w:spacing w:val="6"/>
          <w:sz w:val="24"/>
          <w:szCs w:val="24"/>
          <w:lang w:eastAsia="zh-CN"/>
        </w:rPr>
        <w:t>位于</w:t>
      </w:r>
      <w:r>
        <w:rPr>
          <w:rFonts w:hint="eastAsia" w:ascii="宋体" w:hAnsi="宋体" w:eastAsia="宋体" w:cs="宋体"/>
          <w:spacing w:val="4"/>
          <w:sz w:val="24"/>
          <w:szCs w:val="24"/>
          <w:lang w:eastAsia="zh-CN"/>
        </w:rPr>
        <w:t>华能岳阳电厂</w:t>
      </w:r>
      <w:r>
        <w:rPr>
          <w:rFonts w:ascii="宋体" w:hAnsi="宋体" w:eastAsia="宋体" w:cs="宋体"/>
          <w:sz w:val="24"/>
          <w:szCs w:val="24"/>
          <w:lang w:eastAsia="zh-CN"/>
        </w:rPr>
        <w:t>厂区内</w:t>
      </w:r>
      <w:r>
        <w:rPr>
          <w:rFonts w:ascii="宋体" w:hAnsi="宋体" w:eastAsia="宋体" w:cs="宋体"/>
          <w:spacing w:val="-56"/>
          <w:sz w:val="24"/>
          <w:szCs w:val="24"/>
          <w:lang w:eastAsia="zh-CN"/>
        </w:rPr>
        <w:t>。</w:t>
      </w:r>
      <w:r>
        <w:rPr>
          <w:rFonts w:ascii="宋体" w:hAnsi="宋体" w:eastAsia="宋体" w:cs="宋体"/>
          <w:sz w:val="24"/>
          <w:szCs w:val="24"/>
          <w:lang w:eastAsia="zh-CN"/>
        </w:rPr>
        <w:t>本</w:t>
      </w:r>
      <w:r>
        <w:rPr>
          <w:rFonts w:hint="eastAsia" w:ascii="宋体" w:hAnsi="宋体" w:eastAsia="宋体" w:cs="宋体"/>
          <w:sz w:val="24"/>
          <w:szCs w:val="24"/>
          <w:lang w:eastAsia="zh-CN"/>
        </w:rPr>
        <w:t>项目</w:t>
      </w:r>
      <w:r>
        <w:rPr>
          <w:rFonts w:ascii="宋体" w:hAnsi="宋体" w:eastAsia="宋体" w:cs="宋体"/>
          <w:sz w:val="24"/>
          <w:szCs w:val="24"/>
          <w:lang w:eastAsia="zh-CN"/>
        </w:rPr>
        <w:t>总平面布置是根据生产工艺</w:t>
      </w:r>
      <w:r>
        <w:rPr>
          <w:rFonts w:ascii="宋体" w:hAnsi="宋体" w:eastAsia="宋体" w:cs="宋体"/>
          <w:spacing w:val="-56"/>
          <w:sz w:val="24"/>
          <w:szCs w:val="24"/>
          <w:lang w:eastAsia="zh-CN"/>
        </w:rPr>
        <w:t>、</w:t>
      </w:r>
      <w:r>
        <w:rPr>
          <w:rFonts w:ascii="宋体" w:hAnsi="宋体" w:eastAsia="宋体" w:cs="宋体"/>
          <w:sz w:val="24"/>
          <w:szCs w:val="24"/>
          <w:lang w:eastAsia="zh-CN"/>
        </w:rPr>
        <w:t>运输</w:t>
      </w:r>
      <w:r>
        <w:rPr>
          <w:rFonts w:ascii="宋体" w:hAnsi="宋体" w:eastAsia="宋体" w:cs="宋体"/>
          <w:spacing w:val="-56"/>
          <w:sz w:val="24"/>
          <w:szCs w:val="24"/>
          <w:lang w:eastAsia="zh-CN"/>
        </w:rPr>
        <w:t>、</w:t>
      </w:r>
      <w:r>
        <w:rPr>
          <w:rFonts w:ascii="宋体" w:hAnsi="宋体" w:eastAsia="宋体" w:cs="宋体"/>
          <w:sz w:val="24"/>
          <w:szCs w:val="24"/>
          <w:lang w:eastAsia="zh-CN"/>
        </w:rPr>
        <w:t>消防、 安全、卫生、环保等要求，结合工程用地地形、工程地质、气象等自</w:t>
      </w:r>
      <w:r>
        <w:rPr>
          <w:rFonts w:hint="eastAsia" w:ascii="宋体" w:hAnsi="宋体" w:eastAsia="宋体" w:cs="宋体"/>
          <w:sz w:val="24"/>
          <w:szCs w:val="24"/>
          <w:lang w:eastAsia="zh-CN"/>
        </w:rPr>
        <w:t>然</w:t>
      </w:r>
      <w:r>
        <w:rPr>
          <w:rFonts w:ascii="宋体" w:hAnsi="宋体" w:eastAsia="宋体" w:cs="宋体"/>
          <w:sz w:val="24"/>
          <w:szCs w:val="24"/>
          <w:lang w:eastAsia="zh-CN"/>
        </w:rPr>
        <w:t>条件，全面地、 因地制宜地对厂区建构筑物</w:t>
      </w:r>
      <w:r>
        <w:rPr>
          <w:rFonts w:ascii="宋体" w:hAnsi="宋体" w:eastAsia="宋体" w:cs="宋体"/>
          <w:spacing w:val="-56"/>
          <w:sz w:val="24"/>
          <w:szCs w:val="24"/>
          <w:lang w:eastAsia="zh-CN"/>
        </w:rPr>
        <w:t>、</w:t>
      </w:r>
      <w:r>
        <w:rPr>
          <w:rFonts w:ascii="宋体" w:hAnsi="宋体" w:eastAsia="宋体" w:cs="宋体"/>
          <w:sz w:val="24"/>
          <w:szCs w:val="24"/>
          <w:lang w:eastAsia="zh-CN"/>
        </w:rPr>
        <w:t>运输线路</w:t>
      </w:r>
      <w:r>
        <w:rPr>
          <w:rFonts w:ascii="宋体" w:hAnsi="宋体" w:eastAsia="宋体" w:cs="宋体"/>
          <w:spacing w:val="-56"/>
          <w:sz w:val="24"/>
          <w:szCs w:val="24"/>
          <w:lang w:eastAsia="zh-CN"/>
        </w:rPr>
        <w:t>、</w:t>
      </w:r>
      <w:r>
        <w:rPr>
          <w:rFonts w:ascii="宋体" w:hAnsi="宋体" w:eastAsia="宋体" w:cs="宋体"/>
          <w:sz w:val="24"/>
          <w:szCs w:val="24"/>
          <w:lang w:eastAsia="zh-CN"/>
        </w:rPr>
        <w:t>管</w:t>
      </w:r>
      <w:r>
        <w:rPr>
          <w:rFonts w:ascii="宋体" w:hAnsi="宋体" w:eastAsia="宋体" w:cs="宋体"/>
          <w:spacing w:val="-3"/>
          <w:sz w:val="24"/>
          <w:szCs w:val="24"/>
          <w:lang w:eastAsia="zh-CN"/>
        </w:rPr>
        <w:t>线</w:t>
      </w:r>
      <w:r>
        <w:rPr>
          <w:rFonts w:ascii="宋体" w:hAnsi="宋体" w:eastAsia="宋体" w:cs="宋体"/>
          <w:sz w:val="24"/>
          <w:szCs w:val="24"/>
          <w:lang w:eastAsia="zh-CN"/>
        </w:rPr>
        <w:t>等进行总体布置</w:t>
      </w:r>
      <w:r>
        <w:rPr>
          <w:rFonts w:ascii="宋体" w:hAnsi="宋体" w:eastAsia="宋体" w:cs="宋体"/>
          <w:spacing w:val="-56"/>
          <w:sz w:val="24"/>
          <w:szCs w:val="24"/>
          <w:lang w:eastAsia="zh-CN"/>
        </w:rPr>
        <w:t>，</w:t>
      </w:r>
      <w:r>
        <w:rPr>
          <w:rFonts w:ascii="宋体" w:hAnsi="宋体" w:eastAsia="宋体" w:cs="宋体"/>
          <w:sz w:val="24"/>
          <w:szCs w:val="24"/>
          <w:lang w:eastAsia="zh-CN"/>
        </w:rPr>
        <w:t>力求工艺线路紧凑合理， 节约和合理用地</w:t>
      </w:r>
      <w:r>
        <w:rPr>
          <w:rFonts w:ascii="宋体" w:hAnsi="宋体" w:eastAsia="宋体" w:cs="宋体"/>
          <w:spacing w:val="-34"/>
          <w:sz w:val="24"/>
          <w:szCs w:val="24"/>
          <w:lang w:eastAsia="zh-CN"/>
        </w:rPr>
        <w:t>，</w:t>
      </w:r>
      <w:r>
        <w:rPr>
          <w:rFonts w:ascii="宋体" w:hAnsi="宋体" w:eastAsia="宋体" w:cs="宋体"/>
          <w:sz w:val="24"/>
          <w:szCs w:val="24"/>
          <w:lang w:eastAsia="zh-CN"/>
        </w:rPr>
        <w:t>节省投资</w:t>
      </w:r>
      <w:r>
        <w:rPr>
          <w:rFonts w:ascii="宋体" w:hAnsi="宋体" w:eastAsia="宋体" w:cs="宋体"/>
          <w:spacing w:val="-34"/>
          <w:sz w:val="24"/>
          <w:szCs w:val="24"/>
          <w:lang w:eastAsia="zh-CN"/>
        </w:rPr>
        <w:t>，</w:t>
      </w:r>
      <w:r>
        <w:rPr>
          <w:rFonts w:ascii="宋体" w:hAnsi="宋体" w:eastAsia="宋体" w:cs="宋体"/>
          <w:sz w:val="24"/>
          <w:szCs w:val="24"/>
          <w:lang w:eastAsia="zh-CN"/>
        </w:rPr>
        <w:t>有</w:t>
      </w:r>
      <w:r>
        <w:rPr>
          <w:rFonts w:hint="eastAsia" w:ascii="宋体" w:hAnsi="宋体" w:eastAsia="宋体" w:cs="宋体"/>
          <w:sz w:val="24"/>
          <w:szCs w:val="24"/>
          <w:lang w:eastAsia="zh-CN"/>
        </w:rPr>
        <w:t>利</w:t>
      </w:r>
      <w:r>
        <w:rPr>
          <w:rFonts w:ascii="宋体" w:hAnsi="宋体" w:eastAsia="宋体" w:cs="宋体"/>
          <w:sz w:val="24"/>
          <w:szCs w:val="24"/>
          <w:lang w:eastAsia="zh-CN"/>
        </w:rPr>
        <w:t>生产</w:t>
      </w:r>
      <w:r>
        <w:rPr>
          <w:rFonts w:ascii="宋体" w:hAnsi="宋体" w:eastAsia="宋体" w:cs="宋体"/>
          <w:spacing w:val="-34"/>
          <w:sz w:val="24"/>
          <w:szCs w:val="24"/>
          <w:lang w:eastAsia="zh-CN"/>
        </w:rPr>
        <w:t>，</w:t>
      </w:r>
      <w:r>
        <w:rPr>
          <w:rFonts w:ascii="宋体" w:hAnsi="宋体" w:eastAsia="宋体" w:cs="宋体"/>
          <w:sz w:val="24"/>
          <w:szCs w:val="24"/>
          <w:lang w:eastAsia="zh-CN"/>
        </w:rPr>
        <w:t>方便管理</w:t>
      </w:r>
      <w:r>
        <w:rPr>
          <w:rFonts w:ascii="宋体" w:hAnsi="宋体" w:eastAsia="宋体" w:cs="宋体"/>
          <w:spacing w:val="-34"/>
          <w:sz w:val="24"/>
          <w:szCs w:val="24"/>
          <w:lang w:eastAsia="zh-CN"/>
        </w:rPr>
        <w:t>，</w:t>
      </w:r>
      <w:r>
        <w:rPr>
          <w:rFonts w:ascii="宋体" w:hAnsi="宋体" w:eastAsia="宋体" w:cs="宋体"/>
          <w:sz w:val="24"/>
          <w:szCs w:val="24"/>
          <w:lang w:eastAsia="zh-CN"/>
        </w:rPr>
        <w:t>符合总体规划</w:t>
      </w:r>
      <w:r>
        <w:rPr>
          <w:rFonts w:ascii="宋体" w:hAnsi="宋体" w:eastAsia="宋体" w:cs="宋体"/>
          <w:spacing w:val="-34"/>
          <w:sz w:val="24"/>
          <w:szCs w:val="24"/>
          <w:lang w:eastAsia="zh-CN"/>
        </w:rPr>
        <w:t>，</w:t>
      </w:r>
      <w:r>
        <w:rPr>
          <w:rFonts w:ascii="宋体" w:hAnsi="宋体" w:eastAsia="宋体" w:cs="宋体"/>
          <w:sz w:val="24"/>
          <w:szCs w:val="24"/>
          <w:lang w:eastAsia="zh-CN"/>
        </w:rPr>
        <w:t>严格执行现行标准、 规范的原则。</w:t>
      </w:r>
    </w:p>
    <w:p>
      <w:pPr>
        <w:pStyle w:val="62"/>
        <w:spacing w:line="360" w:lineRule="auto"/>
        <w:ind w:firstLine="480" w:firstLineChars="200"/>
        <w:rPr>
          <w:rFonts w:ascii="宋体" w:hAnsi="宋体" w:eastAsia="宋体" w:cs="宋体"/>
          <w:sz w:val="24"/>
          <w:szCs w:val="24"/>
          <w:lang w:eastAsia="zh-CN"/>
        </w:rPr>
      </w:pPr>
      <w:r>
        <w:rPr>
          <w:rFonts w:ascii="宋体" w:hAnsi="宋体" w:eastAsia="宋体" w:cs="宋体"/>
          <w:sz w:val="24"/>
          <w:szCs w:val="24"/>
          <w:lang w:eastAsia="zh-CN"/>
        </w:rPr>
        <w:t>本项目由污泥干燥</w:t>
      </w:r>
      <w:r>
        <w:rPr>
          <w:rFonts w:hint="eastAsia" w:ascii="宋体" w:hAnsi="宋体" w:eastAsia="宋体" w:cs="宋体"/>
          <w:spacing w:val="-12"/>
          <w:sz w:val="24"/>
          <w:szCs w:val="24"/>
          <w:lang w:eastAsia="zh-CN"/>
        </w:rPr>
        <w:t>炭化</w:t>
      </w:r>
      <w:r>
        <w:rPr>
          <w:rFonts w:ascii="宋体" w:hAnsi="宋体" w:eastAsia="宋体" w:cs="宋体"/>
          <w:sz w:val="24"/>
          <w:szCs w:val="24"/>
          <w:lang w:eastAsia="zh-CN"/>
        </w:rPr>
        <w:t>输送</w:t>
      </w:r>
      <w:r>
        <w:rPr>
          <w:rFonts w:hint="eastAsia" w:ascii="宋体" w:hAnsi="宋体" w:eastAsia="宋体" w:cs="宋体"/>
          <w:sz w:val="24"/>
          <w:szCs w:val="24"/>
          <w:lang w:eastAsia="zh-CN"/>
        </w:rPr>
        <w:t>一体化</w:t>
      </w:r>
      <w:r>
        <w:rPr>
          <w:rFonts w:ascii="宋体" w:hAnsi="宋体" w:eastAsia="宋体" w:cs="宋体"/>
          <w:sz w:val="24"/>
          <w:szCs w:val="24"/>
          <w:lang w:eastAsia="zh-CN"/>
        </w:rPr>
        <w:t>系统的设备和管道</w:t>
      </w:r>
      <w:r>
        <w:rPr>
          <w:rFonts w:ascii="宋体" w:hAnsi="宋体" w:eastAsia="宋体" w:cs="宋体"/>
          <w:spacing w:val="-12"/>
          <w:sz w:val="24"/>
          <w:szCs w:val="24"/>
          <w:lang w:eastAsia="zh-CN"/>
        </w:rPr>
        <w:t>，</w:t>
      </w:r>
      <w:r>
        <w:rPr>
          <w:rFonts w:ascii="宋体" w:hAnsi="宋体" w:eastAsia="宋体" w:cs="宋体"/>
          <w:sz w:val="24"/>
          <w:szCs w:val="24"/>
          <w:lang w:eastAsia="zh-CN"/>
        </w:rPr>
        <w:t>以及配套的土建</w:t>
      </w:r>
      <w:r>
        <w:rPr>
          <w:rFonts w:ascii="宋体" w:hAnsi="宋体" w:eastAsia="宋体" w:cs="宋体"/>
          <w:spacing w:val="-12"/>
          <w:sz w:val="24"/>
          <w:szCs w:val="24"/>
          <w:lang w:eastAsia="zh-CN"/>
        </w:rPr>
        <w:t>、</w:t>
      </w:r>
      <w:r>
        <w:rPr>
          <w:rFonts w:ascii="宋体" w:hAnsi="宋体" w:eastAsia="宋体" w:cs="宋体"/>
          <w:sz w:val="24"/>
          <w:szCs w:val="24"/>
          <w:lang w:eastAsia="zh-CN"/>
        </w:rPr>
        <w:t>电气</w:t>
      </w:r>
      <w:r>
        <w:rPr>
          <w:rFonts w:ascii="宋体" w:hAnsi="宋体" w:eastAsia="宋体" w:cs="宋体"/>
          <w:spacing w:val="-12"/>
          <w:sz w:val="24"/>
          <w:szCs w:val="24"/>
          <w:lang w:eastAsia="zh-CN"/>
        </w:rPr>
        <w:t>、</w:t>
      </w:r>
      <w:r>
        <w:rPr>
          <w:rFonts w:ascii="宋体" w:hAnsi="宋体" w:eastAsia="宋体" w:cs="宋体"/>
          <w:sz w:val="24"/>
          <w:szCs w:val="24"/>
          <w:lang w:eastAsia="zh-CN"/>
        </w:rPr>
        <w:t>热控和输灰等建、构筑物组成，项目平面布置图见</w:t>
      </w:r>
      <w:r>
        <w:rPr>
          <w:rFonts w:hint="eastAsia" w:ascii="宋体" w:hAnsi="宋体" w:eastAsia="宋体" w:cs="宋体"/>
          <w:sz w:val="24"/>
          <w:szCs w:val="24"/>
          <w:lang w:eastAsia="zh-CN"/>
        </w:rPr>
        <w:t>图</w:t>
      </w:r>
      <w:r>
        <w:rPr>
          <w:rFonts w:hint="eastAsia" w:ascii="宋体" w:hAnsi="宋体" w:eastAsia="宋体" w:cs="宋体"/>
          <w:color w:val="000000" w:themeColor="text1"/>
          <w:sz w:val="24"/>
          <w:szCs w:val="24"/>
          <w:lang w:eastAsia="zh-CN"/>
        </w:rPr>
        <w:t>3.4-1</w:t>
      </w:r>
      <w:r>
        <w:rPr>
          <w:rFonts w:ascii="宋体" w:hAnsi="宋体" w:eastAsia="宋体" w:cs="宋体"/>
          <w:sz w:val="24"/>
          <w:szCs w:val="24"/>
          <w:lang w:eastAsia="zh-CN"/>
        </w:rPr>
        <w:t>。</w:t>
      </w:r>
    </w:p>
    <w:p>
      <w:pPr>
        <w:pStyle w:val="62"/>
        <w:spacing w:before="35" w:line="317" w:lineRule="auto"/>
        <w:ind w:left="92" w:right="-29" w:firstLine="50"/>
        <w:rPr>
          <w:rFonts w:ascii="宋体" w:hAnsi="宋体" w:eastAsia="宋体" w:cs="宋体"/>
          <w:color w:val="FF0000"/>
          <w:sz w:val="24"/>
          <w:szCs w:val="24"/>
          <w:lang w:eastAsia="zh-CN"/>
        </w:rPr>
      </w:pPr>
      <w:r>
        <w:rPr>
          <w:rFonts w:hint="eastAsia" w:ascii="宋体" w:hAnsi="宋体" w:eastAsia="宋体" w:cs="宋体"/>
          <w:color w:val="FF0000"/>
          <w:sz w:val="24"/>
          <w:szCs w:val="24"/>
        </w:rPr>
        <w:drawing>
          <wp:inline distT="0" distB="0" distL="0" distR="0">
            <wp:extent cx="5791200" cy="4893945"/>
            <wp:effectExtent l="1905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noChangeArrowheads="1"/>
                    </pic:cNvPicPr>
                  </pic:nvPicPr>
                  <pic:blipFill>
                    <a:blip r:embed="rId15" cstate="print"/>
                    <a:srcRect/>
                    <a:stretch>
                      <a:fillRect/>
                    </a:stretch>
                  </pic:blipFill>
                  <pic:spPr>
                    <a:xfrm>
                      <a:off x="0" y="0"/>
                      <a:ext cx="5793720" cy="4896145"/>
                    </a:xfrm>
                    <a:prstGeom prst="rect">
                      <a:avLst/>
                    </a:prstGeom>
                    <a:noFill/>
                    <a:ln w="9525">
                      <a:noFill/>
                      <a:miter lim="800000"/>
                      <a:headEnd/>
                      <a:tailEnd/>
                    </a:ln>
                  </pic:spPr>
                </pic:pic>
              </a:graphicData>
            </a:graphic>
          </wp:inline>
        </w:drawing>
      </w:r>
    </w:p>
    <w:p>
      <w:pPr>
        <w:pStyle w:val="62"/>
        <w:spacing w:before="35" w:line="317" w:lineRule="auto"/>
        <w:ind w:right="-29"/>
        <w:jc w:val="center"/>
        <w:rPr>
          <w:rFonts w:hint="eastAsia" w:ascii="思源黑体 CN ExtraLight" w:hAnsi="思源黑体 CN ExtraLight" w:eastAsia="宋体" w:cs="思源黑体 CN ExtraLight"/>
          <w:lang w:eastAsia="zh-CN"/>
        </w:rPr>
      </w:pPr>
      <w:r>
        <w:rPr>
          <w:rFonts w:ascii="宋体" w:hAnsi="宋体" w:eastAsia="宋体" w:cs="宋体"/>
          <w:b/>
          <w:bCs/>
          <w:sz w:val="24"/>
          <w:szCs w:val="24"/>
          <w:lang w:eastAsia="zh-CN"/>
        </w:rPr>
        <w:t>图</w:t>
      </w:r>
      <w:r>
        <w:rPr>
          <w:rFonts w:hint="eastAsia" w:ascii="宋体" w:hAnsi="宋体" w:eastAsia="宋体" w:cs="宋体"/>
          <w:b/>
          <w:bCs/>
          <w:color w:val="000000" w:themeColor="text1"/>
          <w:sz w:val="24"/>
          <w:szCs w:val="24"/>
          <w:lang w:eastAsia="zh-CN"/>
        </w:rPr>
        <w:t xml:space="preserve">3.4-1 </w:t>
      </w:r>
      <w:r>
        <w:rPr>
          <w:rFonts w:ascii="宋体" w:hAnsi="宋体" w:eastAsia="宋体" w:cs="宋体"/>
          <w:b/>
          <w:bCs/>
          <w:sz w:val="24"/>
          <w:szCs w:val="24"/>
          <w:lang w:eastAsia="zh-CN"/>
        </w:rPr>
        <w:t>项目平面布置</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39" w:name="_Toc22202333"/>
      <w:bookmarkStart w:id="440" w:name="_Toc22202745"/>
      <w:bookmarkStart w:id="441" w:name="_Toc22200995"/>
      <w:bookmarkStart w:id="442" w:name="_Toc22202041"/>
      <w:bookmarkStart w:id="443" w:name="_Toc22200328"/>
      <w:bookmarkStart w:id="444" w:name="_Toc24969749"/>
      <w:r>
        <w:rPr>
          <w:rFonts w:hint="eastAsia" w:ascii="宋体" w:hAnsi="宋体" w:eastAsia="宋体"/>
          <w:color w:val="000000" w:themeColor="text1"/>
          <w:lang w:eastAsia="zh-CN"/>
        </w:rPr>
        <w:t>3.5主要生产设备清单</w:t>
      </w:r>
      <w:bookmarkEnd w:id="439"/>
      <w:bookmarkEnd w:id="440"/>
      <w:bookmarkEnd w:id="441"/>
      <w:bookmarkEnd w:id="442"/>
      <w:bookmarkEnd w:id="443"/>
      <w:bookmarkEnd w:id="444"/>
    </w:p>
    <w:p>
      <w:pPr>
        <w:pStyle w:val="27"/>
        <w:shd w:val="clear" w:color="auto" w:fill="FFFFFF"/>
        <w:spacing w:before="0" w:beforeAutospacing="0" w:after="0" w:afterAutospacing="0" w:line="360" w:lineRule="auto"/>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研发项目主要设备清单见表3.5-1。</w:t>
      </w:r>
    </w:p>
    <w:p>
      <w:pPr>
        <w:pStyle w:val="27"/>
        <w:shd w:val="clear" w:color="auto" w:fill="FFFFFF"/>
        <w:spacing w:before="0" w:beforeAutospacing="0" w:after="0" w:afterAutospacing="0" w:line="360" w:lineRule="auto"/>
        <w:jc w:val="center"/>
        <w:rPr>
          <w:rFonts w:eastAsia="宋体" w:asciiTheme="minorEastAsia" w:hAnsiTheme="minorEastAsia" w:cstheme="minorEastAsia"/>
          <w:b/>
          <w:color w:val="000000" w:themeColor="text1"/>
          <w:lang w:eastAsia="zh-CN"/>
        </w:rPr>
      </w:pPr>
      <w:r>
        <w:rPr>
          <w:rFonts w:hint="eastAsia" w:eastAsia="宋体" w:asciiTheme="minorEastAsia" w:hAnsiTheme="minorEastAsia" w:cstheme="minorEastAsia"/>
          <w:b/>
          <w:lang w:eastAsia="zh-CN"/>
        </w:rPr>
        <w:t>表3.5-1</w:t>
      </w:r>
      <w:r>
        <w:rPr>
          <w:rFonts w:hint="eastAsia" w:eastAsia="宋体" w:asciiTheme="minorEastAsia" w:hAnsiTheme="minorEastAsia" w:cstheme="minorEastAsia"/>
          <w:b/>
          <w:color w:val="000000" w:themeColor="text1"/>
          <w:lang w:eastAsia="zh-CN"/>
        </w:rPr>
        <w:t>研发项目主要设备清单</w:t>
      </w:r>
    </w:p>
    <w:tbl>
      <w:tblPr>
        <w:tblStyle w:val="30"/>
        <w:tblW w:w="879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13"/>
        <w:gridCol w:w="2879"/>
        <w:gridCol w:w="2331"/>
        <w:gridCol w:w="19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b/>
                <w:sz w:val="21"/>
                <w:szCs w:val="21"/>
                <w:lang w:eastAsia="zh-CN"/>
              </w:rPr>
            </w:pPr>
            <w:r>
              <w:rPr>
                <w:rFonts w:hint="eastAsia" w:eastAsia="宋体" w:asciiTheme="minorEastAsia" w:hAnsiTheme="minorEastAsia" w:cstheme="minorEastAsia"/>
                <w:b/>
                <w:sz w:val="21"/>
                <w:szCs w:val="21"/>
                <w:lang w:eastAsia="zh-CN"/>
              </w:rPr>
              <w:t>序号</w:t>
            </w:r>
          </w:p>
        </w:tc>
        <w:tc>
          <w:tcPr>
            <w:tcW w:w="2879" w:type="dxa"/>
            <w:vAlign w:val="center"/>
          </w:tcPr>
          <w:p>
            <w:pPr>
              <w:pStyle w:val="27"/>
              <w:spacing w:before="0" w:beforeAutospacing="0" w:after="0" w:afterAutospacing="0"/>
              <w:jc w:val="center"/>
              <w:rPr>
                <w:rFonts w:eastAsia="宋体" w:asciiTheme="minorEastAsia" w:hAnsiTheme="minorEastAsia" w:cstheme="minorEastAsia"/>
                <w:b/>
                <w:sz w:val="21"/>
                <w:szCs w:val="21"/>
                <w:lang w:eastAsia="zh-CN"/>
              </w:rPr>
            </w:pPr>
            <w:r>
              <w:rPr>
                <w:rFonts w:hint="eastAsia" w:eastAsia="宋体" w:asciiTheme="minorEastAsia" w:hAnsiTheme="minorEastAsia" w:cstheme="minorEastAsia"/>
                <w:b/>
                <w:sz w:val="21"/>
                <w:szCs w:val="21"/>
                <w:lang w:eastAsia="zh-CN"/>
              </w:rPr>
              <w:t>设备名称</w:t>
            </w:r>
          </w:p>
        </w:tc>
        <w:tc>
          <w:tcPr>
            <w:tcW w:w="2331" w:type="dxa"/>
            <w:vAlign w:val="center"/>
          </w:tcPr>
          <w:p>
            <w:pPr>
              <w:pStyle w:val="27"/>
              <w:spacing w:before="0" w:beforeAutospacing="0" w:after="0" w:afterAutospacing="0"/>
              <w:jc w:val="center"/>
              <w:rPr>
                <w:rFonts w:eastAsia="宋体" w:asciiTheme="minorEastAsia" w:hAnsiTheme="minorEastAsia" w:cstheme="minorEastAsia"/>
                <w:b/>
                <w:sz w:val="21"/>
                <w:szCs w:val="21"/>
                <w:lang w:eastAsia="zh-CN"/>
              </w:rPr>
            </w:pPr>
            <w:r>
              <w:rPr>
                <w:rFonts w:hint="eastAsia" w:eastAsia="宋体" w:asciiTheme="minorEastAsia" w:hAnsiTheme="minorEastAsia" w:cstheme="minorEastAsia"/>
                <w:b/>
                <w:sz w:val="21"/>
                <w:szCs w:val="21"/>
                <w:lang w:eastAsia="zh-CN"/>
              </w:rPr>
              <w:t>单位</w:t>
            </w:r>
          </w:p>
        </w:tc>
        <w:tc>
          <w:tcPr>
            <w:tcW w:w="1975" w:type="dxa"/>
            <w:vAlign w:val="center"/>
          </w:tcPr>
          <w:p>
            <w:pPr>
              <w:pStyle w:val="27"/>
              <w:spacing w:before="0" w:beforeAutospacing="0" w:after="0" w:afterAutospacing="0"/>
              <w:jc w:val="center"/>
              <w:rPr>
                <w:rFonts w:eastAsia="宋体" w:asciiTheme="minorEastAsia" w:hAnsiTheme="minorEastAsia" w:cstheme="minorEastAsia"/>
                <w:b/>
                <w:sz w:val="21"/>
                <w:szCs w:val="21"/>
                <w:lang w:eastAsia="zh-CN"/>
              </w:rPr>
            </w:pPr>
            <w:r>
              <w:rPr>
                <w:rFonts w:hint="eastAsia" w:eastAsia="宋体" w:asciiTheme="minorEastAsia" w:hAnsiTheme="minorEastAsia" w:cstheme="minorEastAsia"/>
                <w:b/>
                <w:sz w:val="21"/>
                <w:szCs w:val="21"/>
                <w:lang w:eastAsia="zh-CN"/>
              </w:rPr>
              <w:t>数量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污泥一体化处理机</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台</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2</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炉烟管道</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套</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3</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污泥储罐</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座</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4</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生物质储仓</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座</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5</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污泥泵</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套</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6</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双螺旋输送机</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套</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7</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炉烟管道</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米</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13"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8</w:t>
            </w:r>
          </w:p>
        </w:tc>
        <w:tc>
          <w:tcPr>
            <w:tcW w:w="2879"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PLC控制系统</w:t>
            </w:r>
          </w:p>
        </w:tc>
        <w:tc>
          <w:tcPr>
            <w:tcW w:w="2331"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套</w:t>
            </w:r>
          </w:p>
        </w:tc>
        <w:tc>
          <w:tcPr>
            <w:tcW w:w="1975" w:type="dxa"/>
            <w:vAlign w:val="center"/>
          </w:tcPr>
          <w:p>
            <w:pPr>
              <w:pStyle w:val="27"/>
              <w:spacing w:before="0" w:beforeAutospacing="0" w:after="0" w:afterAutospacing="0"/>
              <w:jc w:val="center"/>
              <w:rPr>
                <w:rFonts w:eastAsia="宋体" w:asciiTheme="minorEastAsia" w:hAnsiTheme="minorEastAsia" w:cstheme="minorEastAsia"/>
                <w:sz w:val="21"/>
                <w:szCs w:val="21"/>
                <w:lang w:eastAsia="zh-CN"/>
              </w:rPr>
            </w:pPr>
            <w:r>
              <w:rPr>
                <w:rFonts w:hint="eastAsia" w:eastAsia="宋体" w:asciiTheme="minorEastAsia" w:hAnsiTheme="minorEastAsia" w:cstheme="minorEastAsia"/>
                <w:sz w:val="21"/>
                <w:szCs w:val="21"/>
                <w:lang w:eastAsia="zh-CN"/>
              </w:rPr>
              <w:t>1</w:t>
            </w:r>
          </w:p>
        </w:tc>
      </w:tr>
    </w:tbl>
    <w:p>
      <w:pPr>
        <w:pStyle w:val="5"/>
        <w:widowControl w:val="0"/>
        <w:tabs>
          <w:tab w:val="left" w:pos="-3900"/>
          <w:tab w:val="left" w:pos="0"/>
        </w:tabs>
        <w:wordWrap w:val="0"/>
        <w:adjustRightInd w:val="0"/>
        <w:snapToGrid w:val="0"/>
        <w:spacing w:beforeLines="100" w:line="360" w:lineRule="auto"/>
        <w:rPr>
          <w:rFonts w:ascii="宋体" w:hAnsi="宋体" w:eastAsia="宋体"/>
          <w:color w:val="000000" w:themeColor="text1"/>
          <w:lang w:eastAsia="zh-CN"/>
        </w:rPr>
      </w:pPr>
      <w:bookmarkStart w:id="445" w:name="_Toc24969750"/>
      <w:r>
        <w:rPr>
          <w:rFonts w:hint="eastAsia" w:ascii="宋体" w:hAnsi="宋体" w:eastAsia="宋体"/>
          <w:color w:val="000000" w:themeColor="text1"/>
          <w:lang w:eastAsia="zh-CN"/>
        </w:rPr>
        <w:t>3.6 项目工艺流程及产污节点</w:t>
      </w:r>
      <w:bookmarkEnd w:id="445"/>
    </w:p>
    <w:p>
      <w:pPr>
        <w:pStyle w:val="5"/>
        <w:widowControl w:val="0"/>
        <w:tabs>
          <w:tab w:val="left" w:pos="-3900"/>
          <w:tab w:val="left" w:pos="0"/>
        </w:tabs>
        <w:adjustRightInd w:val="0"/>
        <w:snapToGrid w:val="0"/>
        <w:spacing w:beforeLines="50" w:line="360" w:lineRule="auto"/>
        <w:rPr>
          <w:rFonts w:eastAsia="宋体"/>
          <w:color w:val="000000" w:themeColor="text1"/>
          <w:lang w:eastAsia="zh-CN"/>
        </w:rPr>
      </w:pPr>
      <w:bookmarkStart w:id="446" w:name="_Toc24969751"/>
      <w:r>
        <w:rPr>
          <w:rFonts w:hint="eastAsia" w:ascii="Times New Roman" w:hAnsi="Times New Roman" w:eastAsia="宋体" w:cs="Times New Roman"/>
          <w:color w:val="000000" w:themeColor="text1"/>
          <w:sz w:val="24"/>
          <w:szCs w:val="24"/>
          <w:lang w:eastAsia="zh-CN"/>
        </w:rPr>
        <w:t>3.6.</w:t>
      </w:r>
      <w:r>
        <w:rPr>
          <w:rFonts w:ascii="Times New Roman" w:hAnsi="Times New Roman" w:cs="Times New Roman"/>
          <w:color w:val="000000" w:themeColor="text1"/>
          <w:sz w:val="24"/>
          <w:szCs w:val="24"/>
          <w:lang w:eastAsia="zh-CN"/>
        </w:rPr>
        <w:t xml:space="preserve"> </w:t>
      </w:r>
      <w:r>
        <w:rPr>
          <w:rFonts w:hint="eastAsia" w:ascii="Times New Roman" w:hAnsi="Times New Roman" w:eastAsia="宋体" w:cs="Times New Roman"/>
          <w:color w:val="000000" w:themeColor="text1"/>
          <w:sz w:val="24"/>
          <w:szCs w:val="24"/>
          <w:lang w:eastAsia="zh-CN"/>
        </w:rPr>
        <w:t>1</w:t>
      </w:r>
      <w:r>
        <w:rPr>
          <w:rFonts w:hint="eastAsia" w:ascii="宋体" w:hAnsi="宋体" w:eastAsia="宋体" w:cs="宋体"/>
          <w:color w:val="000000" w:themeColor="text1"/>
          <w:sz w:val="24"/>
          <w:szCs w:val="24"/>
          <w:lang w:eastAsia="zh-CN"/>
        </w:rPr>
        <w:t>处理工艺</w:t>
      </w:r>
      <w:bookmarkEnd w:id="446"/>
    </w:p>
    <w:p>
      <w:pPr>
        <w:spacing w:line="360" w:lineRule="auto"/>
        <w:rPr>
          <w:rFonts w:ascii="Times New Roman" w:hAnsi="Times New Roman" w:cs="Times New Roman"/>
          <w:sz w:val="24"/>
          <w:szCs w:val="24"/>
          <w:lang w:eastAsia="zh-CN"/>
        </w:rPr>
      </w:pPr>
      <w:r>
        <w:rPr>
          <w:rFonts w:hint="eastAsia" w:ascii="Times New Roman" w:cs="Times New Roman"/>
          <w:sz w:val="24"/>
          <w:szCs w:val="24"/>
          <w:lang w:eastAsia="zh-CN"/>
        </w:rPr>
        <w:t xml:space="preserve">    本项目利用炉烟对城市污泥及生物质进行干燥炭化处理，干燥炭化处理后的污泥及生物质产物被直接送入炉膛，与锅炉原煤在炉内掺烧。具体的工艺流程见后续介绍。</w:t>
      </w:r>
    </w:p>
    <w:p>
      <w:pPr>
        <w:spacing w:line="360" w:lineRule="auto"/>
        <w:rPr>
          <w:rFonts w:ascii="Times New Roman" w:hAnsi="Times New Roman" w:cs="Times New Roman"/>
          <w:b/>
          <w:sz w:val="24"/>
          <w:szCs w:val="24"/>
          <w:lang w:eastAsia="zh-CN"/>
        </w:rPr>
      </w:pPr>
      <w:r>
        <w:rPr>
          <w:rFonts w:hint="eastAsia" w:ascii="Times New Roman" w:hAnsi="Times New Roman" w:cs="Times New Roman"/>
          <w:b/>
          <w:sz w:val="24"/>
          <w:szCs w:val="24"/>
          <w:lang w:eastAsia="zh-CN"/>
        </w:rPr>
        <w:t>3.6.1</w:t>
      </w:r>
      <w:r>
        <w:rPr>
          <w:rFonts w:ascii="Times New Roman" w:hAnsi="Times New Roman" w:cs="Times New Roman"/>
          <w:b/>
          <w:sz w:val="24"/>
          <w:szCs w:val="24"/>
          <w:lang w:eastAsia="zh-CN"/>
        </w:rPr>
        <w:t xml:space="preserve">.1 </w:t>
      </w:r>
      <w:r>
        <w:rPr>
          <w:rFonts w:hint="eastAsia" w:ascii="Times New Roman" w:hAnsi="Times New Roman" w:cs="Times New Roman"/>
          <w:b/>
          <w:sz w:val="24"/>
          <w:szCs w:val="24"/>
          <w:lang w:eastAsia="zh-CN"/>
        </w:rPr>
        <w:t>污泥处理</w:t>
      </w:r>
      <w:r>
        <w:rPr>
          <w:rFonts w:ascii="Times New Roman" w:cs="Times New Roman"/>
          <w:b/>
          <w:sz w:val="24"/>
          <w:szCs w:val="24"/>
          <w:lang w:eastAsia="zh-CN"/>
        </w:rPr>
        <w:t>工艺流程</w:t>
      </w:r>
    </w:p>
    <w:p>
      <w:pPr>
        <w:spacing w:line="360" w:lineRule="auto"/>
        <w:rPr>
          <w:rFonts w:ascii="Times New Roman" w:hAnsi="Times New Roman" w:cs="Times New Roman"/>
          <w:b/>
          <w:sz w:val="24"/>
          <w:szCs w:val="24"/>
          <w:lang w:eastAsia="zh-CN"/>
        </w:rPr>
      </w:pPr>
      <w:r>
        <w:rPr>
          <w:rFonts w:hint="eastAsia" w:ascii="Times New Roman" w:hAnsi="Times New Roman" w:cs="Times New Roman"/>
          <w:b/>
          <w:sz w:val="24"/>
          <w:szCs w:val="24"/>
          <w:lang w:eastAsia="zh-CN"/>
        </w:rPr>
        <w:t xml:space="preserve">        </w:t>
      </w:r>
      <w:r>
        <w:rPr>
          <w:rFonts w:hint="eastAsia" w:ascii="Times New Roman" w:hAnsi="Times New Roman" w:cs="Times New Roman"/>
          <w:color w:val="000000" w:themeColor="text1"/>
          <w:sz w:val="24"/>
          <w:szCs w:val="24"/>
          <w:lang w:eastAsia="zh-CN"/>
        </w:rPr>
        <w:t>城市污水厂污泥（含水率80%）</w:t>
      </w:r>
      <w:r>
        <w:rPr>
          <w:rFonts w:hint="eastAsia" w:ascii="Times New Roman" w:hAnsi="Times New Roman" w:cs="Times New Roman"/>
          <w:sz w:val="24"/>
          <w:szCs w:val="24"/>
          <w:lang w:eastAsia="zh-CN"/>
        </w:rPr>
        <w:t>经污泥密闭运输车运至一体化处理系统污泥储罐中进行储存，污泥储罐中的污泥再通过螺杆泵送至污泥一体化处理机中进行干燥粉碎（污泥干燥粉碎所需热源由取自锅炉尾部烟道的高温烟气提供），干燥粉碎后的污泥（含水率约为15%）以及水蒸汽、废气随烟气一并直接送入锅炉炉膛进行燃烧。污泥燃烧产物通过锅炉烟气净化设备（脱硝、脱硫、除尘）处理达标后排放。另设一路冷烟气控制温度保搞设备，从空气预热器出口抽出来，分两路，一路进入风机入口，一路进入一体化设备入口。污泥一体化处理工艺流程如图3.6-1。污泥一体化处理工艺产污节点图见图3.6-2。</w:t>
      </w:r>
    </w:p>
    <w:p>
      <w:pPr>
        <w:spacing w:line="360" w:lineRule="auto"/>
        <w:jc w:val="center"/>
        <w:rPr>
          <w:rFonts w:ascii="宋体" w:hAnsi="宋体" w:cs="Times New Roman"/>
          <w:b/>
          <w:sz w:val="24"/>
          <w:szCs w:val="24"/>
          <w:lang w:eastAsia="zh-CN"/>
        </w:rPr>
      </w:pPr>
      <w:r>
        <w:rPr>
          <w:rFonts w:hint="eastAsia" w:ascii="宋体" w:hAnsi="宋体" w:cs="Times New Roman"/>
          <w:b/>
          <w:sz w:val="24"/>
          <w:szCs w:val="24"/>
          <w:lang w:eastAsia="zh-CN"/>
        </w:rPr>
        <w:t>图3.6-1</w:t>
      </w:r>
      <w:r>
        <w:rPr>
          <w:rFonts w:hint="eastAsia" w:ascii="宋体" w:hAnsi="宋体" w:cs="Times New Roman"/>
          <w:b/>
          <w:color w:val="000000" w:themeColor="text1"/>
          <w:sz w:val="24"/>
          <w:szCs w:val="24"/>
          <w:lang w:eastAsia="zh-CN"/>
        </w:rPr>
        <w:t>污泥一体化处理工艺流程图</w:t>
      </w:r>
    </w:p>
    <w:p>
      <w:pPr>
        <w:spacing w:after="0" w:line="360" w:lineRule="auto"/>
        <w:ind w:firstLine="480" w:firstLineChars="200"/>
        <w:rPr>
          <w:rFonts w:ascii="Times New Roman" w:hAnsi="Times New Roman" w:cs="Times New Roman"/>
          <w:sz w:val="24"/>
          <w:szCs w:val="24"/>
          <w:lang w:eastAsia="zh-CN"/>
        </w:rPr>
      </w:pPr>
    </w:p>
    <w:p>
      <w:pPr>
        <w:pStyle w:val="2"/>
        <w:rPr>
          <w:lang w:eastAsia="zh-CN"/>
        </w:rPr>
      </w:pPr>
      <w:r>
        <w:rPr>
          <w:rFonts w:hint="eastAsia"/>
        </w:rPr>
        <w:drawing>
          <wp:inline distT="0" distB="0" distL="0" distR="0">
            <wp:extent cx="5394960" cy="115189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6" cstate="print"/>
                    <a:srcRect l="32990" t="62661" r="40346" b="21030"/>
                    <a:stretch>
                      <a:fillRect/>
                    </a:stretch>
                  </pic:blipFill>
                  <pic:spPr>
                    <a:xfrm>
                      <a:off x="0" y="0"/>
                      <a:ext cx="5395443" cy="1152000"/>
                    </a:xfrm>
                    <a:prstGeom prst="rect">
                      <a:avLst/>
                    </a:prstGeom>
                    <a:noFill/>
                    <a:ln w="9525">
                      <a:noFill/>
                      <a:miter lim="800000"/>
                      <a:headEnd/>
                      <a:tailEnd/>
                    </a:ln>
                  </pic:spPr>
                </pic:pic>
              </a:graphicData>
            </a:graphic>
          </wp:inline>
        </w:drawing>
      </w:r>
    </w:p>
    <w:p>
      <w:pPr>
        <w:pStyle w:val="27"/>
        <w:shd w:val="clear" w:color="auto" w:fill="FFFFFF"/>
        <w:spacing w:before="0" w:beforeAutospacing="0" w:after="360" w:afterAutospacing="0" w:line="360" w:lineRule="auto"/>
        <w:rPr>
          <w:lang w:eastAsia="zh-CN"/>
        </w:rPr>
      </w:pPr>
    </w:p>
    <w:p>
      <w:pPr>
        <w:rPr>
          <w:lang w:eastAsia="zh-CN"/>
        </w:rPr>
      </w:pPr>
    </w:p>
    <w:p>
      <w:pPr>
        <w:spacing w:line="360" w:lineRule="auto"/>
        <w:rPr>
          <w:rFonts w:ascii="Times New Roman" w:hAnsi="Times New Roman" w:cs="Times New Roman"/>
          <w:b/>
          <w:sz w:val="24"/>
          <w:szCs w:val="24"/>
          <w:lang w:eastAsia="zh-CN"/>
        </w:rPr>
      </w:pPr>
      <w:r>
        <w:rPr>
          <w:rFonts w:hint="eastAsia" w:ascii="Times New Roman" w:hAnsi="Times New Roman" w:cs="Times New Roman"/>
          <w:b/>
          <w:sz w:val="24"/>
          <w:szCs w:val="24"/>
          <w:lang w:eastAsia="zh-CN"/>
        </w:rPr>
        <w:t>3.6.2.2 生物质处理流程</w:t>
      </w:r>
    </w:p>
    <w:p>
      <w:pPr>
        <w:spacing w:line="360" w:lineRule="auto"/>
        <w:ind w:firstLine="480" w:firstLineChars="200"/>
        <w:rPr>
          <w:rFonts w:ascii="Times New Roman" w:hAnsi="Times New Roman" w:cs="Times New Roman"/>
          <w:sz w:val="24"/>
          <w:szCs w:val="24"/>
          <w:lang w:eastAsia="zh-CN"/>
        </w:rPr>
      </w:pPr>
      <w:r>
        <w:rPr>
          <w:rFonts w:hint="eastAsia" w:ascii="Times New Roman" w:cs="Times New Roman"/>
          <w:sz w:val="24"/>
          <w:szCs w:val="24"/>
          <w:lang w:eastAsia="zh-CN"/>
        </w:rPr>
        <w:t>生物质</w:t>
      </w:r>
      <w:r>
        <w:rPr>
          <w:rFonts w:ascii="Times New Roman" w:cs="Times New Roman"/>
          <w:sz w:val="24"/>
          <w:szCs w:val="24"/>
          <w:lang w:eastAsia="zh-CN"/>
        </w:rPr>
        <w:t>一体化干燥炭化输送处理技术工艺流程如图</w:t>
      </w:r>
      <w:r>
        <w:rPr>
          <w:rFonts w:hint="eastAsia" w:ascii="Times New Roman" w:hAnsi="Times New Roman" w:cs="Times New Roman"/>
          <w:sz w:val="24"/>
          <w:szCs w:val="24"/>
          <w:lang w:eastAsia="zh-CN"/>
        </w:rPr>
        <w:t>2</w:t>
      </w:r>
      <w:r>
        <w:rPr>
          <w:rFonts w:ascii="Times New Roman" w:cs="Times New Roman"/>
          <w:sz w:val="24"/>
          <w:szCs w:val="24"/>
          <w:lang w:eastAsia="zh-CN"/>
        </w:rPr>
        <w:t>所示</w:t>
      </w:r>
      <w:r>
        <w:rPr>
          <w:rFonts w:hint="eastAsia" w:ascii="Times New Roman" w:cs="Times New Roman"/>
          <w:sz w:val="24"/>
          <w:szCs w:val="24"/>
          <w:lang w:eastAsia="zh-CN"/>
        </w:rPr>
        <w:t>。</w:t>
      </w:r>
      <w:r>
        <w:rPr>
          <w:rFonts w:hint="eastAsia" w:ascii="Times New Roman" w:hAnsi="Times New Roman"/>
          <w:sz w:val="24"/>
          <w:szCs w:val="24"/>
          <w:lang w:eastAsia="zh-CN"/>
        </w:rPr>
        <w:t>生物质</w:t>
      </w:r>
      <w:r>
        <w:rPr>
          <w:rFonts w:hint="eastAsia" w:ascii="Times New Roman" w:hAnsi="Times New Roman" w:cs="Times New Roman"/>
          <w:sz w:val="24"/>
          <w:szCs w:val="24"/>
          <w:lang w:eastAsia="zh-CN"/>
        </w:rPr>
        <w:t>由</w:t>
      </w:r>
      <w:r>
        <w:rPr>
          <w:rFonts w:hint="eastAsia" w:ascii="Times New Roman" w:hAnsi="Times New Roman"/>
          <w:sz w:val="24"/>
          <w:szCs w:val="24"/>
          <w:lang w:eastAsia="zh-CN"/>
        </w:rPr>
        <w:t>普通货车</w:t>
      </w:r>
      <w:r>
        <w:rPr>
          <w:rFonts w:hint="eastAsia" w:ascii="Times New Roman" w:hAnsi="Times New Roman" w:cs="Times New Roman"/>
          <w:sz w:val="24"/>
          <w:szCs w:val="24"/>
          <w:lang w:eastAsia="zh-CN"/>
        </w:rPr>
        <w:t>运输至一体化处理系统的</w:t>
      </w:r>
      <w:r>
        <w:rPr>
          <w:rFonts w:hint="eastAsia" w:ascii="Times New Roman" w:hAnsi="Times New Roman"/>
          <w:sz w:val="24"/>
          <w:szCs w:val="24"/>
          <w:lang w:eastAsia="zh-CN"/>
        </w:rPr>
        <w:t>储料仓1，然后通过双螺旋输送机送至撕碎机撕碎，撕碎后的生物质送入储料仓2，再通过双螺旋输送机送至</w:t>
      </w:r>
      <w:r>
        <w:rPr>
          <w:rFonts w:hint="eastAsia" w:ascii="Times New Roman" w:hAnsi="Times New Roman" w:cs="Times New Roman"/>
          <w:sz w:val="24"/>
          <w:szCs w:val="24"/>
          <w:lang w:eastAsia="zh-CN"/>
        </w:rPr>
        <w:t>一体化处理机中进行干燥</w:t>
      </w:r>
      <w:r>
        <w:rPr>
          <w:rFonts w:hint="eastAsia" w:ascii="Times New Roman" w:hAnsi="Times New Roman"/>
          <w:sz w:val="24"/>
          <w:szCs w:val="24"/>
          <w:lang w:eastAsia="zh-CN"/>
        </w:rPr>
        <w:t>炭化</w:t>
      </w:r>
      <w:r>
        <w:rPr>
          <w:rFonts w:hint="eastAsia" w:ascii="Times New Roman" w:hAnsi="Times New Roman" w:cs="Times New Roman"/>
          <w:sz w:val="24"/>
          <w:szCs w:val="24"/>
          <w:lang w:eastAsia="zh-CN"/>
        </w:rPr>
        <w:t>粉碎</w:t>
      </w:r>
      <w:r>
        <w:rPr>
          <w:rFonts w:hint="eastAsia" w:ascii="Times New Roman" w:hAnsi="Times New Roman"/>
          <w:sz w:val="24"/>
          <w:szCs w:val="24"/>
          <w:lang w:eastAsia="zh-CN"/>
        </w:rPr>
        <w:t>（</w:t>
      </w:r>
      <w:r>
        <w:rPr>
          <w:rFonts w:hint="eastAsia" w:ascii="Times New Roman" w:hAnsi="Times New Roman" w:cs="Times New Roman"/>
          <w:sz w:val="24"/>
          <w:szCs w:val="24"/>
          <w:lang w:eastAsia="zh-CN"/>
        </w:rPr>
        <w:t>干燥热源</w:t>
      </w:r>
      <w:r>
        <w:rPr>
          <w:rFonts w:hint="eastAsia" w:ascii="Times New Roman" w:hAnsi="Times New Roman"/>
          <w:sz w:val="24"/>
          <w:szCs w:val="24"/>
          <w:lang w:eastAsia="zh-CN"/>
        </w:rPr>
        <w:t>为</w:t>
      </w:r>
      <w:r>
        <w:rPr>
          <w:rFonts w:hint="eastAsia" w:ascii="Times New Roman" w:hAnsi="Times New Roman" w:cs="Times New Roman"/>
          <w:sz w:val="24"/>
          <w:szCs w:val="24"/>
          <w:lang w:eastAsia="zh-CN"/>
        </w:rPr>
        <w:t>来自锅炉尾部烟道</w:t>
      </w:r>
      <w:r>
        <w:rPr>
          <w:rFonts w:hint="eastAsia" w:ascii="Times New Roman" w:hAnsi="Times New Roman"/>
          <w:sz w:val="24"/>
          <w:szCs w:val="24"/>
          <w:lang w:eastAsia="zh-CN"/>
        </w:rPr>
        <w:t>500℃以上的高温炉烟，炉烟流量约为1.5万方（标态），干燥方式采用直接接触干燥，生物质处理能力为50t/d）</w:t>
      </w:r>
      <w:r>
        <w:rPr>
          <w:rFonts w:hint="eastAsia" w:ascii="Times New Roman" w:hAnsi="Times New Roman" w:cs="Times New Roman"/>
          <w:sz w:val="24"/>
          <w:szCs w:val="24"/>
          <w:lang w:eastAsia="zh-CN"/>
        </w:rPr>
        <w:t>，</w:t>
      </w:r>
      <w:r>
        <w:rPr>
          <w:rFonts w:hint="eastAsia" w:ascii="Times New Roman" w:hAnsi="Times New Roman"/>
          <w:sz w:val="24"/>
          <w:szCs w:val="24"/>
          <w:lang w:eastAsia="zh-CN"/>
        </w:rPr>
        <w:t>生物质</w:t>
      </w:r>
      <w:r>
        <w:rPr>
          <w:rFonts w:hint="eastAsia" w:ascii="Times New Roman" w:hAnsi="Times New Roman" w:cs="Times New Roman"/>
          <w:sz w:val="24"/>
          <w:szCs w:val="24"/>
          <w:lang w:eastAsia="zh-CN"/>
        </w:rPr>
        <w:t>干燥</w:t>
      </w:r>
      <w:r>
        <w:rPr>
          <w:rFonts w:hint="eastAsia" w:ascii="Times New Roman" w:hAnsi="Times New Roman"/>
          <w:sz w:val="24"/>
          <w:szCs w:val="24"/>
          <w:lang w:eastAsia="zh-CN"/>
        </w:rPr>
        <w:t>炭化</w:t>
      </w:r>
      <w:r>
        <w:rPr>
          <w:rFonts w:hint="eastAsia" w:ascii="Times New Roman" w:hAnsi="Times New Roman" w:cs="Times New Roman"/>
          <w:sz w:val="24"/>
          <w:szCs w:val="24"/>
          <w:lang w:eastAsia="zh-CN"/>
        </w:rPr>
        <w:t>粉碎后的</w:t>
      </w:r>
      <w:r>
        <w:rPr>
          <w:rFonts w:hint="eastAsia" w:ascii="Times New Roman" w:hAnsi="Times New Roman"/>
          <w:sz w:val="24"/>
          <w:szCs w:val="24"/>
          <w:lang w:eastAsia="zh-CN"/>
        </w:rPr>
        <w:t>产物随炉烟</w:t>
      </w:r>
      <w:r>
        <w:rPr>
          <w:rFonts w:hint="eastAsia" w:ascii="Times New Roman" w:hAnsi="Times New Roman" w:cs="Times New Roman"/>
          <w:sz w:val="24"/>
          <w:szCs w:val="24"/>
          <w:lang w:eastAsia="zh-CN"/>
        </w:rPr>
        <w:t>被直接送入锅炉炉膛进行</w:t>
      </w:r>
      <w:r>
        <w:rPr>
          <w:rFonts w:hint="eastAsia" w:ascii="Times New Roman" w:hAnsi="Times New Roman"/>
          <w:sz w:val="24"/>
          <w:szCs w:val="24"/>
          <w:lang w:eastAsia="zh-CN"/>
        </w:rPr>
        <w:t>焚烧，焚烧</w:t>
      </w:r>
      <w:r>
        <w:rPr>
          <w:rFonts w:hint="eastAsia" w:ascii="Times New Roman" w:hAnsi="Times New Roman" w:cs="Times New Roman"/>
          <w:sz w:val="24"/>
          <w:szCs w:val="24"/>
          <w:lang w:eastAsia="zh-CN"/>
        </w:rPr>
        <w:t>产物通过锅炉尾部烟气净化设备净化达标后排放。</w:t>
      </w:r>
    </w:p>
    <w:p>
      <w:pPr>
        <w:jc w:val="center"/>
      </w:pPr>
      <w:r>
        <w:rPr>
          <w:rFonts w:hint="eastAsia"/>
        </w:rPr>
        <w:drawing>
          <wp:inline distT="0" distB="0" distL="0" distR="0">
            <wp:extent cx="5588000" cy="93599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7" cstate="print"/>
                    <a:srcRect l="15071" t="33906" r="4901" b="27897"/>
                    <a:stretch>
                      <a:fillRect/>
                    </a:stretch>
                  </pic:blipFill>
                  <pic:spPr>
                    <a:xfrm>
                      <a:off x="0" y="0"/>
                      <a:ext cx="5588248" cy="936000"/>
                    </a:xfrm>
                    <a:prstGeom prst="rect">
                      <a:avLst/>
                    </a:prstGeom>
                    <a:noFill/>
                    <a:ln w="9525">
                      <a:noFill/>
                      <a:miter lim="800000"/>
                      <a:headEnd/>
                      <a:tailEnd/>
                    </a:ln>
                  </pic:spPr>
                </pic:pic>
              </a:graphicData>
            </a:graphic>
          </wp:inline>
        </w:drawing>
      </w:r>
    </w:p>
    <w:p>
      <w:pPr>
        <w:jc w:val="center"/>
        <w:rPr>
          <w:rFonts w:ascii="Times New Roman" w:hAnsi="Times New Roman" w:cs="Times New Roman"/>
          <w:szCs w:val="21"/>
          <w:lang w:eastAsia="zh-CN"/>
        </w:rPr>
      </w:pPr>
      <w:r>
        <w:rPr>
          <w:rFonts w:ascii="Times New Roman" w:cs="Times New Roman"/>
          <w:szCs w:val="21"/>
          <w:lang w:eastAsia="zh-CN"/>
        </w:rPr>
        <w:t>图</w:t>
      </w:r>
      <w:r>
        <w:rPr>
          <w:rFonts w:hint="eastAsia" w:ascii="Times New Roman" w:hAnsi="Times New Roman" w:cs="Times New Roman"/>
          <w:szCs w:val="21"/>
          <w:lang w:eastAsia="zh-CN"/>
        </w:rPr>
        <w:t>3.6-3</w:t>
      </w:r>
      <w:r>
        <w:rPr>
          <w:rFonts w:ascii="Times New Roman" w:hAnsi="Times New Roman" w:cs="Times New Roman"/>
          <w:szCs w:val="21"/>
          <w:lang w:eastAsia="zh-CN"/>
        </w:rPr>
        <w:t xml:space="preserve"> </w:t>
      </w:r>
      <w:r>
        <w:rPr>
          <w:rFonts w:hint="eastAsia" w:ascii="Times New Roman" w:hAnsi="Times New Roman" w:cs="Times New Roman"/>
          <w:szCs w:val="21"/>
          <w:lang w:eastAsia="zh-CN"/>
        </w:rPr>
        <w:t>生物质</w:t>
      </w:r>
      <w:r>
        <w:rPr>
          <w:rFonts w:ascii="Times New Roman" w:hAnsi="Times New Roman" w:cs="Times New Roman"/>
          <w:szCs w:val="21"/>
          <w:lang w:eastAsia="zh-CN"/>
        </w:rPr>
        <w:t>一体化干燥炭化输送处理技术工艺流程</w:t>
      </w:r>
    </w:p>
    <w:p>
      <w:pPr>
        <w:pStyle w:val="2"/>
        <w:rPr>
          <w:lang w:eastAsia="zh-CN"/>
        </w:rPr>
      </w:pPr>
      <w:r>
        <w:drawing>
          <wp:inline distT="0" distB="0" distL="0" distR="0">
            <wp:extent cx="5508625" cy="1821180"/>
            <wp:effectExtent l="0" t="0" r="15875" b="762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18" cstate="print"/>
                    <a:srcRect/>
                    <a:stretch>
                      <a:fillRect/>
                    </a:stretch>
                  </pic:blipFill>
                  <pic:spPr>
                    <a:xfrm>
                      <a:off x="0" y="0"/>
                      <a:ext cx="5508625" cy="1821180"/>
                    </a:xfrm>
                    <a:prstGeom prst="rect">
                      <a:avLst/>
                    </a:prstGeom>
                    <a:noFill/>
                    <a:ln w="9525">
                      <a:noFill/>
                      <a:miter lim="800000"/>
                      <a:headEnd/>
                      <a:tailEnd/>
                    </a:ln>
                  </pic:spPr>
                </pic:pic>
              </a:graphicData>
            </a:graphic>
          </wp:inline>
        </w:drawing>
      </w:r>
    </w:p>
    <w:p>
      <w:pPr>
        <w:spacing w:after="0" w:line="360" w:lineRule="auto"/>
        <w:jc w:val="center"/>
        <w:rPr>
          <w:rFonts w:ascii="宋体" w:hAnsi="宋体"/>
          <w:b/>
          <w:sz w:val="24"/>
          <w:szCs w:val="24"/>
          <w:lang w:eastAsia="zh-CN"/>
        </w:rPr>
      </w:pPr>
      <w:bookmarkStart w:id="447" w:name="_Toc22202042"/>
      <w:bookmarkStart w:id="448" w:name="_Toc22200996"/>
      <w:bookmarkStart w:id="449" w:name="_Toc24969752"/>
      <w:bookmarkStart w:id="450" w:name="_Toc22202746"/>
      <w:bookmarkStart w:id="451" w:name="_Toc22202334"/>
      <w:bookmarkStart w:id="452" w:name="_Toc22200329"/>
      <w:r>
        <w:rPr>
          <w:rFonts w:hint="eastAsia" w:ascii="宋体" w:hAnsi="宋体"/>
          <w:b/>
          <w:sz w:val="24"/>
          <w:szCs w:val="24"/>
          <w:lang w:eastAsia="zh-CN"/>
        </w:rPr>
        <w:t>图3.6-2</w:t>
      </w:r>
      <w:r>
        <w:rPr>
          <w:rFonts w:hint="eastAsia" w:ascii="宋体" w:hAnsi="宋体" w:cs="Times New Roman"/>
          <w:b/>
          <w:sz w:val="24"/>
          <w:szCs w:val="24"/>
          <w:lang w:eastAsia="zh-CN"/>
        </w:rPr>
        <w:t>一体化处理工艺产污节点图</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r>
        <w:rPr>
          <w:rFonts w:ascii="宋体" w:hAnsi="宋体" w:eastAsia="宋体"/>
          <w:color w:val="000000" w:themeColor="text1"/>
          <w:lang w:eastAsia="zh-CN"/>
        </w:rPr>
        <w:t>3.</w:t>
      </w:r>
      <w:r>
        <w:rPr>
          <w:rFonts w:hint="eastAsia" w:ascii="宋体" w:hAnsi="宋体" w:eastAsia="宋体"/>
          <w:color w:val="000000" w:themeColor="text1"/>
          <w:lang w:eastAsia="zh-CN"/>
        </w:rPr>
        <w:t>7</w:t>
      </w:r>
      <w:r>
        <w:rPr>
          <w:rFonts w:ascii="宋体" w:hAnsi="宋体" w:eastAsia="宋体"/>
          <w:color w:val="000000" w:themeColor="text1"/>
          <w:lang w:eastAsia="zh-CN"/>
        </w:rPr>
        <w:t>原辅材料及资源能源消耗</w:t>
      </w:r>
      <w:bookmarkEnd w:id="447"/>
      <w:bookmarkEnd w:id="448"/>
      <w:bookmarkEnd w:id="449"/>
      <w:bookmarkEnd w:id="450"/>
      <w:bookmarkEnd w:id="451"/>
      <w:bookmarkEnd w:id="452"/>
    </w:p>
    <w:p>
      <w:pPr>
        <w:rPr>
          <w:rFonts w:ascii="宋体" w:hAnsi="宋体"/>
          <w:b/>
          <w:sz w:val="24"/>
          <w:szCs w:val="24"/>
          <w:lang w:eastAsia="zh-CN"/>
        </w:rPr>
      </w:pPr>
      <w:r>
        <w:rPr>
          <w:rFonts w:hint="eastAsia" w:ascii="宋体" w:hAnsi="宋体"/>
          <w:b/>
          <w:sz w:val="24"/>
          <w:szCs w:val="24"/>
          <w:lang w:eastAsia="zh-CN"/>
        </w:rPr>
        <w:t>3.7.1.1原辅材料及燃料成分</w:t>
      </w:r>
    </w:p>
    <w:p>
      <w:pPr>
        <w:jc w:val="center"/>
        <w:rPr>
          <w:b/>
          <w:sz w:val="24"/>
          <w:szCs w:val="24"/>
          <w:lang w:eastAsia="zh-CN"/>
        </w:rPr>
      </w:pPr>
      <w:r>
        <w:rPr>
          <w:rFonts w:hint="eastAsia"/>
          <w:b/>
          <w:sz w:val="24"/>
          <w:szCs w:val="24"/>
          <w:lang w:eastAsia="zh-CN"/>
        </w:rPr>
        <w:t>3.7-1掺烧城市污泥成分</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32"/>
        <w:gridCol w:w="2332"/>
        <w:gridCol w:w="2332"/>
        <w:gridCol w:w="2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250" w:type="pct"/>
            <w:shd w:val="clear" w:color="auto" w:fill="auto"/>
            <w:noWrap/>
            <w:vAlign w:val="center"/>
          </w:tcPr>
          <w:p>
            <w:pPr>
              <w:spacing w:after="0" w:line="240" w:lineRule="auto"/>
              <w:jc w:val="center"/>
              <w:rPr>
                <w:rFonts w:ascii="宋体" w:hAnsi="宋体" w:cs="宋体"/>
                <w:b/>
                <w:color w:val="000000"/>
                <w:szCs w:val="21"/>
              </w:rPr>
            </w:pPr>
            <w:r>
              <w:rPr>
                <w:rFonts w:hint="eastAsia" w:ascii="宋体" w:hAnsi="宋体" w:cs="宋体"/>
                <w:b/>
                <w:color w:val="000000"/>
                <w:szCs w:val="21"/>
              </w:rPr>
              <w:t>序号</w:t>
            </w:r>
          </w:p>
        </w:tc>
        <w:tc>
          <w:tcPr>
            <w:tcW w:w="1250" w:type="pct"/>
            <w:shd w:val="clear" w:color="auto" w:fill="auto"/>
            <w:noWrap/>
            <w:vAlign w:val="center"/>
          </w:tcPr>
          <w:p>
            <w:pPr>
              <w:spacing w:after="0" w:line="240" w:lineRule="auto"/>
              <w:jc w:val="center"/>
              <w:rPr>
                <w:rFonts w:ascii="宋体" w:hAnsi="宋体" w:cs="宋体"/>
                <w:b/>
                <w:color w:val="000000"/>
                <w:szCs w:val="21"/>
              </w:rPr>
            </w:pPr>
            <w:r>
              <w:rPr>
                <w:rFonts w:hint="eastAsia" w:ascii="宋体" w:hAnsi="宋体" w:cs="宋体"/>
                <w:b/>
                <w:color w:val="000000"/>
                <w:szCs w:val="21"/>
              </w:rPr>
              <w:t>项目</w:t>
            </w:r>
          </w:p>
        </w:tc>
        <w:tc>
          <w:tcPr>
            <w:tcW w:w="1250" w:type="pct"/>
            <w:shd w:val="clear" w:color="auto" w:fill="auto"/>
            <w:noWrap/>
            <w:vAlign w:val="center"/>
          </w:tcPr>
          <w:p>
            <w:pPr>
              <w:spacing w:after="0" w:line="240" w:lineRule="auto"/>
              <w:jc w:val="center"/>
              <w:rPr>
                <w:rFonts w:ascii="宋体" w:hAnsi="宋体" w:cs="宋体"/>
                <w:b/>
                <w:color w:val="000000"/>
                <w:szCs w:val="21"/>
              </w:rPr>
            </w:pPr>
            <w:r>
              <w:rPr>
                <w:rFonts w:hint="eastAsia" w:ascii="宋体" w:hAnsi="宋体" w:cs="宋体"/>
                <w:b/>
                <w:color w:val="000000"/>
                <w:szCs w:val="21"/>
              </w:rPr>
              <w:t>单位</w:t>
            </w:r>
          </w:p>
        </w:tc>
        <w:tc>
          <w:tcPr>
            <w:tcW w:w="1250" w:type="pct"/>
            <w:shd w:val="clear" w:color="auto" w:fill="auto"/>
            <w:noWrap/>
            <w:vAlign w:val="center"/>
          </w:tcPr>
          <w:p>
            <w:pPr>
              <w:spacing w:after="0" w:line="240" w:lineRule="auto"/>
              <w:jc w:val="center"/>
              <w:rPr>
                <w:rFonts w:ascii="宋体" w:hAnsi="宋体" w:cs="宋体"/>
                <w:b/>
                <w:color w:val="000000"/>
                <w:szCs w:val="21"/>
              </w:rPr>
            </w:pPr>
            <w:r>
              <w:rPr>
                <w:rFonts w:hint="eastAsia" w:ascii="宋体" w:hAnsi="宋体" w:cs="宋体"/>
                <w:b/>
                <w:color w:val="000000"/>
                <w:szCs w:val="21"/>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50" w:type="pct"/>
            <w:shd w:val="clear" w:color="auto" w:fill="auto"/>
            <w:noWrap/>
            <w:vAlign w:val="center"/>
          </w:tcPr>
          <w:p>
            <w:pPr>
              <w:spacing w:after="0" w:line="240" w:lineRule="auto"/>
              <w:jc w:val="center"/>
              <w:rPr>
                <w:rFonts w:ascii="Times New Roman" w:hAnsi="Times New Roman" w:cs="Times New Roman"/>
                <w:i/>
                <w:iCs/>
                <w:color w:val="000000"/>
                <w:szCs w:val="21"/>
              </w:rPr>
            </w:pPr>
            <w:r>
              <w:rPr>
                <w:rFonts w:ascii="Times New Roman" w:hAnsi="Times New Roman" w:cs="Times New Roman"/>
                <w:i/>
                <w:iCs/>
                <w:color w:val="000000"/>
                <w:szCs w:val="21"/>
              </w:rPr>
              <w:t>M</w:t>
            </w:r>
            <w:r>
              <w:rPr>
                <w:rFonts w:ascii="Times New Roman" w:hAnsi="Times New Roman" w:cs="Times New Roman"/>
                <w:color w:val="000000"/>
                <w:szCs w:val="21"/>
                <w:vertAlign w:val="subscript"/>
              </w:rPr>
              <w:t>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250" w:type="pct"/>
            <w:shd w:val="clear" w:color="auto" w:fill="auto"/>
            <w:noWrap/>
            <w:vAlign w:val="center"/>
          </w:tcPr>
          <w:p>
            <w:pPr>
              <w:spacing w:after="0" w:line="240" w:lineRule="auto"/>
              <w:jc w:val="center"/>
              <w:rPr>
                <w:rFonts w:ascii="Times New Roman" w:hAnsi="Times New Roman" w:cs="Times New Roman"/>
                <w:i/>
                <w:iCs/>
                <w:color w:val="000000"/>
                <w:szCs w:val="21"/>
              </w:rPr>
            </w:pPr>
            <w:r>
              <w:rPr>
                <w:rFonts w:ascii="Times New Roman" w:hAnsi="Times New Roman" w:cs="Times New Roman"/>
                <w:i/>
                <w:iCs/>
                <w:color w:val="000000"/>
                <w:szCs w:val="21"/>
              </w:rPr>
              <w:t>M</w:t>
            </w:r>
            <w:r>
              <w:rPr>
                <w:rFonts w:ascii="Times New Roman" w:hAnsi="Times New Roman" w:cs="Times New Roman"/>
                <w:color w:val="000000"/>
                <w:szCs w:val="21"/>
                <w:vertAlign w:val="subscript"/>
              </w:rPr>
              <w:t>ad</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250" w:type="pct"/>
            <w:shd w:val="clear" w:color="auto" w:fill="auto"/>
            <w:noWrap/>
            <w:vAlign w:val="center"/>
          </w:tcPr>
          <w:p>
            <w:pPr>
              <w:spacing w:after="0" w:line="240" w:lineRule="auto"/>
              <w:jc w:val="center"/>
              <w:rPr>
                <w:rFonts w:ascii="Times New Roman" w:hAnsi="Times New Roman" w:cs="Times New Roman"/>
                <w:i/>
                <w:iCs/>
                <w:color w:val="000000"/>
                <w:szCs w:val="21"/>
              </w:rPr>
            </w:pPr>
            <w:r>
              <w:rPr>
                <w:rFonts w:ascii="Times New Roman" w:hAnsi="Times New Roman" w:cs="Times New Roman"/>
                <w:i/>
                <w:iCs/>
                <w:color w:val="000000"/>
                <w:szCs w:val="21"/>
              </w:rPr>
              <w:t>V</w:t>
            </w:r>
            <w:r>
              <w:rPr>
                <w:rFonts w:ascii="Times New Roman" w:hAnsi="Times New Roman" w:cs="Times New Roman"/>
                <w:color w:val="000000"/>
                <w:szCs w:val="21"/>
                <w:vertAlign w:val="subscript"/>
              </w:rPr>
              <w:t>daf</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97.04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H</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O</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N</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S</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1250" w:type="pct"/>
            <w:shd w:val="clear" w:color="auto" w:fill="auto"/>
            <w:noWrap/>
            <w:vAlign w:val="center"/>
          </w:tcPr>
          <w:p>
            <w:pPr>
              <w:spacing w:after="0" w:line="240" w:lineRule="auto"/>
              <w:jc w:val="center"/>
              <w:rPr>
                <w:rFonts w:ascii="Times New Roman" w:hAnsi="Times New Roman" w:cs="Times New Roman"/>
                <w:i/>
                <w:iCs/>
                <w:color w:val="000000"/>
                <w:szCs w:val="21"/>
              </w:rPr>
            </w:pPr>
            <w:r>
              <w:rPr>
                <w:rFonts w:ascii="Times New Roman" w:hAnsi="Times New Roman" w:cs="Times New Roman"/>
                <w:i/>
                <w:iCs/>
                <w:color w:val="000000"/>
                <w:szCs w:val="21"/>
              </w:rPr>
              <w:t>A</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10.83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1250" w:type="pct"/>
            <w:shd w:val="clear" w:color="auto" w:fill="auto"/>
            <w:noWrap/>
            <w:vAlign w:val="center"/>
          </w:tcPr>
          <w:p>
            <w:pPr>
              <w:spacing w:after="0" w:line="240" w:lineRule="auto"/>
              <w:jc w:val="center"/>
              <w:rPr>
                <w:rFonts w:ascii="Times New Roman" w:hAnsi="Times New Roman" w:cs="Times New Roman"/>
                <w:i/>
                <w:iCs/>
                <w:color w:val="000000"/>
                <w:szCs w:val="21"/>
              </w:rPr>
            </w:pPr>
            <w:r>
              <w:rPr>
                <w:rFonts w:ascii="Times New Roman" w:hAnsi="Times New Roman" w:cs="Times New Roman"/>
                <w:i/>
                <w:iCs/>
                <w:color w:val="000000"/>
                <w:szCs w:val="21"/>
              </w:rPr>
              <w:t>Q</w:t>
            </w:r>
            <w:r>
              <w:rPr>
                <w:rFonts w:ascii="Times New Roman" w:hAnsi="Times New Roman" w:cs="Times New Roman"/>
                <w:color w:val="000000"/>
                <w:szCs w:val="21"/>
                <w:vertAlign w:val="subscript"/>
              </w:rPr>
              <w:t>net</w:t>
            </w:r>
            <w:r>
              <w:rPr>
                <w:rFonts w:hint="eastAsia" w:ascii="宋体" w:hAnsi="宋体" w:cs="Times New Roman"/>
                <w:color w:val="000000"/>
                <w:szCs w:val="21"/>
                <w:vertAlign w:val="subscript"/>
              </w:rPr>
              <w:t>，</w:t>
            </w:r>
            <w:r>
              <w:rPr>
                <w:rFonts w:ascii="Times New Roman" w:hAnsi="Times New Roman" w:cs="Times New Roman"/>
                <w:color w:val="000000"/>
                <w:szCs w:val="21"/>
                <w:vertAlign w:val="subscript"/>
              </w:rPr>
              <w:t>ar</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745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镉</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铬</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铅</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汞</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15</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砷</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镍</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9.66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锌</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1250" w:type="pct"/>
            <w:shd w:val="clear" w:color="auto" w:fill="auto"/>
            <w:noWrap/>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铜</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μg/g</w:t>
            </w:r>
          </w:p>
        </w:tc>
        <w:tc>
          <w:tcPr>
            <w:tcW w:w="1250" w:type="pct"/>
            <w:shd w:val="clear" w:color="auto" w:fill="auto"/>
            <w:noWrap/>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15.69</w:t>
            </w:r>
          </w:p>
        </w:tc>
      </w:tr>
    </w:tbl>
    <w:p>
      <w:pPr>
        <w:jc w:val="center"/>
      </w:pPr>
    </w:p>
    <w:p>
      <w:pPr>
        <w:jc w:val="center"/>
        <w:rPr>
          <w:b/>
          <w:sz w:val="24"/>
          <w:szCs w:val="24"/>
          <w:lang w:eastAsia="zh-CN"/>
        </w:rPr>
      </w:pPr>
      <w:r>
        <w:rPr>
          <w:rFonts w:hint="eastAsia"/>
          <w:b/>
          <w:sz w:val="24"/>
          <w:szCs w:val="24"/>
          <w:lang w:eastAsia="zh-CN"/>
        </w:rPr>
        <w:t>3.7-2生物质特性（桉树皮）</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6"/>
        <w:gridCol w:w="3391"/>
        <w:gridCol w:w="1658"/>
        <w:gridCol w:w="1459"/>
        <w:gridCol w:w="1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2496" w:type="pct"/>
            <w:gridSpan w:val="2"/>
            <w:shd w:val="clear" w:color="auto" w:fill="auto"/>
            <w:vAlign w:val="center"/>
          </w:tcPr>
          <w:p>
            <w:pPr>
              <w:spacing w:after="0" w:line="240" w:lineRule="auto"/>
              <w:jc w:val="center"/>
              <w:rPr>
                <w:rFonts w:ascii="Times New Roman" w:hAnsi="Times New Roman" w:cs="Times New Roman"/>
                <w:b/>
                <w:color w:val="000000"/>
              </w:rPr>
            </w:pPr>
            <w:r>
              <w:rPr>
                <w:rFonts w:ascii="Times New Roman" w:hAnsi="Times New Roman" w:cs="Times New Roman"/>
                <w:b/>
                <w:color w:val="000000"/>
              </w:rPr>
              <w:t>项目</w:t>
            </w:r>
          </w:p>
        </w:tc>
        <w:tc>
          <w:tcPr>
            <w:tcW w:w="898" w:type="pct"/>
            <w:shd w:val="clear" w:color="auto" w:fill="auto"/>
            <w:vAlign w:val="center"/>
          </w:tcPr>
          <w:p>
            <w:pPr>
              <w:spacing w:after="0" w:line="240" w:lineRule="auto"/>
              <w:jc w:val="center"/>
              <w:rPr>
                <w:rFonts w:ascii="Times New Roman" w:hAnsi="Times New Roman" w:cs="Times New Roman"/>
                <w:b/>
                <w:color w:val="000000"/>
              </w:rPr>
            </w:pPr>
            <w:r>
              <w:rPr>
                <w:rFonts w:ascii="Times New Roman" w:hAnsi="Times New Roman" w:cs="Times New Roman"/>
                <w:b/>
                <w:color w:val="000000"/>
              </w:rPr>
              <w:t>符号</w:t>
            </w:r>
          </w:p>
        </w:tc>
        <w:tc>
          <w:tcPr>
            <w:tcW w:w="791" w:type="pct"/>
            <w:shd w:val="clear" w:color="auto" w:fill="auto"/>
            <w:vAlign w:val="center"/>
          </w:tcPr>
          <w:p>
            <w:pPr>
              <w:spacing w:after="0" w:line="240" w:lineRule="auto"/>
              <w:jc w:val="center"/>
              <w:rPr>
                <w:rFonts w:ascii="Times New Roman" w:hAnsi="Times New Roman" w:cs="Times New Roman"/>
                <w:b/>
                <w:color w:val="000000"/>
              </w:rPr>
            </w:pPr>
            <w:r>
              <w:rPr>
                <w:rFonts w:ascii="Times New Roman" w:hAnsi="Times New Roman" w:cs="Times New Roman"/>
                <w:b/>
                <w:color w:val="000000"/>
              </w:rPr>
              <w:t>单位</w:t>
            </w:r>
          </w:p>
        </w:tc>
        <w:tc>
          <w:tcPr>
            <w:tcW w:w="815" w:type="pct"/>
            <w:shd w:val="clear" w:color="auto" w:fill="auto"/>
            <w:vAlign w:val="center"/>
          </w:tcPr>
          <w:p>
            <w:pPr>
              <w:spacing w:after="0" w:line="240" w:lineRule="auto"/>
              <w:jc w:val="center"/>
              <w:rPr>
                <w:rFonts w:ascii="Times New Roman" w:hAnsi="Times New Roman" w:cs="Times New Roman"/>
                <w:b/>
                <w:color w:val="000000"/>
              </w:rPr>
            </w:pPr>
            <w:r>
              <w:rPr>
                <w:rFonts w:ascii="Times New Roman" w:hAnsi="Times New Roman" w:cs="Times New Roman"/>
                <w:b/>
                <w:color w:val="000000"/>
              </w:rPr>
              <w:t>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restar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工业分析</w:t>
            </w: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收到基水分</w:t>
            </w:r>
          </w:p>
        </w:tc>
        <w:tc>
          <w:tcPr>
            <w:tcW w:w="898" w:type="pct"/>
            <w:shd w:val="clear" w:color="auto" w:fill="auto"/>
            <w:vAlign w:val="center"/>
          </w:tcPr>
          <w:p>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M</w:t>
            </w:r>
            <w:r>
              <w:rPr>
                <w:rFonts w:ascii="Times New Roman" w:hAnsi="Times New Roman" w:cs="Times New Roman"/>
                <w:color w:val="000000"/>
                <w:vertAlign w:val="subscript"/>
              </w:rPr>
              <w:t>t</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空气干燥基水分</w:t>
            </w:r>
          </w:p>
        </w:tc>
        <w:tc>
          <w:tcPr>
            <w:tcW w:w="898" w:type="pct"/>
            <w:shd w:val="clear" w:color="auto" w:fill="auto"/>
            <w:vAlign w:val="center"/>
          </w:tcPr>
          <w:p>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M</w:t>
            </w:r>
            <w:r>
              <w:rPr>
                <w:rFonts w:ascii="Times New Roman" w:hAnsi="Times New Roman" w:cs="Times New Roman"/>
                <w:color w:val="000000"/>
                <w:vertAlign w:val="subscript"/>
              </w:rPr>
              <w:t>ad</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收到基基灰分</w:t>
            </w:r>
          </w:p>
        </w:tc>
        <w:tc>
          <w:tcPr>
            <w:tcW w:w="898" w:type="pct"/>
            <w:shd w:val="clear" w:color="auto" w:fill="auto"/>
            <w:vAlign w:val="center"/>
          </w:tcPr>
          <w:p>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A</w:t>
            </w:r>
            <w:r>
              <w:rPr>
                <w:rFonts w:ascii="Times New Roman" w:hAnsi="Times New Roman" w:cs="Times New Roman"/>
                <w:color w:val="000000"/>
                <w:vertAlign w:val="subscript"/>
              </w:rPr>
              <w: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干燥无灰基挥发分</w:t>
            </w:r>
          </w:p>
        </w:tc>
        <w:tc>
          <w:tcPr>
            <w:tcW w:w="898" w:type="pct"/>
            <w:shd w:val="clear" w:color="auto" w:fill="auto"/>
            <w:vAlign w:val="center"/>
          </w:tcPr>
          <w:p>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V</w:t>
            </w:r>
            <w:r>
              <w:rPr>
                <w:rFonts w:ascii="Times New Roman" w:hAnsi="Times New Roman" w:cs="Times New Roman"/>
                <w:color w:val="000000"/>
                <w:vertAlign w:val="subscript"/>
              </w:rPr>
              <w:t>daf</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76.47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收到基低位发热量</w:t>
            </w:r>
          </w:p>
        </w:tc>
        <w:tc>
          <w:tcPr>
            <w:tcW w:w="898" w:type="pct"/>
            <w:shd w:val="clear" w:color="auto" w:fill="auto"/>
            <w:vAlign w:val="center"/>
          </w:tcPr>
          <w:p>
            <w:pPr>
              <w:spacing w:after="0" w:line="240" w:lineRule="auto"/>
              <w:jc w:val="center"/>
              <w:rPr>
                <w:rFonts w:ascii="Times New Roman" w:hAnsi="Times New Roman" w:cs="Times New Roman"/>
                <w:i/>
                <w:iCs/>
                <w:color w:val="000000"/>
              </w:rPr>
            </w:pPr>
            <w:r>
              <w:rPr>
                <w:rFonts w:ascii="Times New Roman" w:hAnsi="Times New Roman" w:cs="Times New Roman"/>
                <w:i/>
                <w:iCs/>
                <w:color w:val="000000"/>
              </w:rPr>
              <w:t>Q</w:t>
            </w:r>
            <w:r>
              <w:rPr>
                <w:rFonts w:ascii="Times New Roman" w:hAnsi="Times New Roman" w:cs="Times New Roman"/>
                <w:color w:val="000000"/>
                <w:vertAlign w:val="subscript"/>
              </w:rPr>
              <w:t>net,ar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MJ/kg</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restar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元素分析</w:t>
            </w: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收到基碳</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收到基氢</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H</w:t>
            </w:r>
            <w:r>
              <w:rPr>
                <w:rFonts w:ascii="Times New Roman" w:hAnsi="Times New Roman" w:cs="Times New Roman"/>
                <w:color w:val="000000"/>
                <w:vertAlign w:val="subscript"/>
              </w:rPr>
              <w: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收到基氮</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N</w:t>
            </w:r>
            <w:r>
              <w:rPr>
                <w:rFonts w:ascii="Times New Roman" w:hAnsi="Times New Roman" w:cs="Times New Roman"/>
                <w:color w:val="000000"/>
                <w:vertAlign w:val="subscript"/>
              </w:rPr>
              <w: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收到基氧</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O</w:t>
            </w:r>
            <w:r>
              <w:rPr>
                <w:rFonts w:ascii="Times New Roman" w:hAnsi="Times New Roman" w:cs="Times New Roman"/>
                <w:color w:val="000000"/>
                <w:vertAlign w:val="subscript"/>
              </w:rPr>
              <w: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全硫</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S</w:t>
            </w:r>
            <w:r>
              <w:rPr>
                <w:rFonts w:ascii="Times New Roman" w:hAnsi="Times New Roman" w:cs="Times New Roman"/>
                <w:color w:val="000000"/>
                <w:vertAlign w:val="subscript"/>
              </w:rPr>
              <w:t>t,ar</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restar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灰成分分析</w:t>
            </w: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二氧化硅</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SiO</w:t>
            </w:r>
            <w:r>
              <w:rPr>
                <w:rFonts w:ascii="Times New Roman" w:hAnsi="Times New Roman" w:cs="Times New Roman"/>
                <w:color w:val="000000"/>
                <w:vertAlign w:val="subscript"/>
              </w:rPr>
              <w:t>2</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19.62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三氧化二铝</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Al</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三氧化二铁</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Fe</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氧化钙</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CaO</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氧化镁</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MgO</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氧化钠</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氧化钾</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K</w:t>
            </w:r>
            <w:r>
              <w:rPr>
                <w:rFonts w:ascii="Times New Roman" w:hAnsi="Times New Roman" w:cs="Times New Roman"/>
                <w:color w:val="000000"/>
                <w:vertAlign w:val="subscript"/>
              </w:rPr>
              <w:t>2</w:t>
            </w:r>
            <w:r>
              <w:rPr>
                <w:rFonts w:ascii="Times New Roman" w:hAnsi="Times New Roman" w:cs="Times New Roman"/>
                <w:color w:val="000000"/>
              </w:rPr>
              <w:t>O</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二氧化钛</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TiO</w:t>
            </w:r>
            <w:r>
              <w:rPr>
                <w:rFonts w:ascii="Times New Roman" w:hAnsi="Times New Roman" w:cs="Times New Roman"/>
                <w:color w:val="000000"/>
                <w:vertAlign w:val="subscript"/>
              </w:rPr>
              <w:t>2</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三氧化硫</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SO</w:t>
            </w:r>
            <w:r>
              <w:rPr>
                <w:rFonts w:ascii="Times New Roman" w:hAnsi="Times New Roman" w:cs="Times New Roman"/>
                <w:color w:val="000000"/>
                <w:vertAlign w:val="subscript"/>
              </w:rPr>
              <w:t>3</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二氧化锰</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MnO</w:t>
            </w:r>
            <w:r>
              <w:rPr>
                <w:rFonts w:ascii="Times New Roman" w:hAnsi="Times New Roman" w:cs="Times New Roman"/>
                <w:color w:val="000000"/>
                <w:vertAlign w:val="subscript"/>
              </w:rPr>
              <w:t>2</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9" w:type="pct"/>
            <w:vMerge w:val="continue"/>
            <w:vAlign w:val="center"/>
          </w:tcPr>
          <w:p>
            <w:pPr>
              <w:spacing w:after="0" w:line="240" w:lineRule="auto"/>
              <w:jc w:val="center"/>
              <w:rPr>
                <w:rFonts w:ascii="Times New Roman" w:hAnsi="Times New Roman" w:cs="Times New Roman"/>
                <w:color w:val="000000"/>
              </w:rPr>
            </w:pPr>
          </w:p>
        </w:tc>
        <w:tc>
          <w:tcPr>
            <w:tcW w:w="1826"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五氧化二磷</w:t>
            </w:r>
          </w:p>
        </w:tc>
        <w:tc>
          <w:tcPr>
            <w:tcW w:w="898"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P</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p>
        </w:tc>
        <w:tc>
          <w:tcPr>
            <w:tcW w:w="791"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c>
          <w:tcPr>
            <w:tcW w:w="815" w:type="pct"/>
            <w:shd w:val="clear" w:color="auto" w:fill="auto"/>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28.892</w:t>
            </w:r>
          </w:p>
        </w:tc>
      </w:tr>
    </w:tbl>
    <w:p/>
    <w:p>
      <w:pPr>
        <w:jc w:val="center"/>
        <w:rPr>
          <w:b/>
          <w:sz w:val="24"/>
          <w:szCs w:val="24"/>
          <w:lang w:eastAsia="zh-CN"/>
        </w:rPr>
      </w:pPr>
      <w:r>
        <w:rPr>
          <w:rFonts w:hint="eastAsia"/>
          <w:b/>
          <w:sz w:val="24"/>
          <w:szCs w:val="24"/>
          <w:lang w:eastAsia="zh-CN"/>
        </w:rPr>
        <w:t>3.7-3华能岳阳电厂三期锅炉实际入炉煤煤质情况</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965"/>
        <w:gridCol w:w="2829"/>
        <w:gridCol w:w="33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trPr>
        <w:tc>
          <w:tcPr>
            <w:tcW w:w="1622" w:type="pct"/>
            <w:vMerge w:val="restart"/>
            <w:noWrap/>
            <w:vAlign w:val="center"/>
          </w:tcPr>
          <w:p>
            <w:pPr>
              <w:topLinePunct/>
              <w:spacing w:after="0" w:line="240" w:lineRule="auto"/>
              <w:jc w:val="center"/>
              <w:rPr>
                <w:rFonts w:ascii="Times New Roman" w:hAnsi="Times New Roman" w:cs="Times New Roman"/>
                <w:b/>
                <w:bCs/>
                <w:lang w:eastAsia="zh-CN"/>
              </w:rPr>
            </w:pPr>
          </w:p>
        </w:tc>
        <w:tc>
          <w:tcPr>
            <w:tcW w:w="1547" w:type="pct"/>
            <w:vMerge w:val="restart"/>
            <w:noWrap/>
            <w:vAlign w:val="center"/>
          </w:tcPr>
          <w:p>
            <w:pPr>
              <w:topLinePunct/>
              <w:spacing w:after="0" w:line="240" w:lineRule="auto"/>
              <w:jc w:val="center"/>
              <w:rPr>
                <w:rFonts w:ascii="Times New Roman" w:hAnsi="Times New Roman" w:cs="Times New Roman"/>
                <w:b/>
                <w:bCs/>
              </w:rPr>
            </w:pPr>
            <w:r>
              <w:rPr>
                <w:rFonts w:ascii="Times New Roman" w:hAnsi="Times New Roman" w:cs="Times New Roman"/>
                <w:b/>
                <w:bCs/>
              </w:rPr>
              <w:t>单位</w:t>
            </w:r>
          </w:p>
        </w:tc>
        <w:tc>
          <w:tcPr>
            <w:tcW w:w="1832" w:type="pct"/>
            <w:vMerge w:val="restart"/>
            <w:vAlign w:val="center"/>
          </w:tcPr>
          <w:p>
            <w:pPr>
              <w:snapToGrid w:val="0"/>
              <w:spacing w:after="0" w:line="240" w:lineRule="auto"/>
              <w:jc w:val="center"/>
              <w:rPr>
                <w:rFonts w:ascii="Times New Roman" w:hAnsi="Times New Roman" w:cs="Times New Roman"/>
                <w:b/>
                <w:szCs w:val="21"/>
              </w:rPr>
            </w:pPr>
            <w:r>
              <w:rPr>
                <w:rFonts w:ascii="Times New Roman" w:hAnsi="Arial" w:cs="Times New Roman"/>
                <w:b/>
                <w:szCs w:val="21"/>
              </w:rPr>
              <w:t>当前燃煤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blHeader/>
        </w:trPr>
        <w:tc>
          <w:tcPr>
            <w:tcW w:w="1622" w:type="pct"/>
            <w:vMerge w:val="continue"/>
            <w:noWrap/>
            <w:vAlign w:val="center"/>
          </w:tcPr>
          <w:p>
            <w:pPr>
              <w:topLinePunct/>
              <w:spacing w:after="0" w:line="240" w:lineRule="auto"/>
              <w:jc w:val="center"/>
              <w:rPr>
                <w:rFonts w:ascii="Times New Roman" w:hAnsi="Times New Roman" w:cs="Times New Roman"/>
                <w:bCs/>
              </w:rPr>
            </w:pPr>
          </w:p>
        </w:tc>
        <w:tc>
          <w:tcPr>
            <w:tcW w:w="1547" w:type="pct"/>
            <w:vMerge w:val="continue"/>
            <w:noWrap/>
            <w:vAlign w:val="center"/>
          </w:tcPr>
          <w:p>
            <w:pPr>
              <w:topLinePunct/>
              <w:spacing w:after="0" w:line="240" w:lineRule="auto"/>
              <w:jc w:val="center"/>
              <w:rPr>
                <w:rFonts w:ascii="Times New Roman" w:hAnsi="Times New Roman" w:cs="Times New Roman"/>
                <w:bCs/>
              </w:rPr>
            </w:pPr>
          </w:p>
        </w:tc>
        <w:tc>
          <w:tcPr>
            <w:tcW w:w="1832" w:type="pct"/>
            <w:vMerge w:val="continue"/>
            <w:vAlign w:val="center"/>
          </w:tcPr>
          <w:p>
            <w:pPr>
              <w:spacing w:after="0" w:line="240" w:lineRule="auto"/>
              <w:jc w:val="center"/>
              <w:rPr>
                <w:rFonts w:ascii="Times New Roman" w:hAnsi="Times New Roman"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58.74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O</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5.90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N</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0.96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0.77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vertAlign w:val="subscript"/>
              </w:rPr>
              <w: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19.61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bscript"/>
              </w:rPr>
              <w:t>t</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bscript"/>
              </w:rPr>
              <w:t>ad</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V</w:t>
            </w:r>
            <w:r>
              <w:rPr>
                <w:rFonts w:ascii="Times New Roman" w:hAnsi="Times New Roman" w:cs="Times New Roman"/>
                <w:szCs w:val="21"/>
                <w:vertAlign w:val="subscript"/>
              </w:rPr>
              <w:t>daf</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31.55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622"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Q</w:t>
            </w:r>
            <w:r>
              <w:rPr>
                <w:rFonts w:ascii="Times New Roman" w:hAnsi="Times New Roman" w:cs="Times New Roman"/>
                <w:szCs w:val="21"/>
                <w:vertAlign w:val="subscript"/>
              </w:rPr>
              <w:t>net,ar</w:t>
            </w:r>
          </w:p>
        </w:tc>
        <w:tc>
          <w:tcPr>
            <w:tcW w:w="1547" w:type="pct"/>
            <w:noWrap/>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kJ/kg</w:t>
            </w:r>
          </w:p>
        </w:tc>
        <w:tc>
          <w:tcPr>
            <w:tcW w:w="1832" w:type="pct"/>
            <w:vAlign w:val="center"/>
          </w:tcPr>
          <w:p>
            <w:pPr>
              <w:spacing w:after="0" w:line="240" w:lineRule="auto"/>
              <w:jc w:val="center"/>
              <w:rPr>
                <w:rFonts w:ascii="Times New Roman" w:hAnsi="Times New Roman" w:cs="Times New Roman"/>
                <w:szCs w:val="21"/>
              </w:rPr>
            </w:pPr>
            <w:r>
              <w:rPr>
                <w:rFonts w:ascii="Times New Roman" w:hAnsi="Times New Roman" w:cs="Times New Roman"/>
                <w:szCs w:val="21"/>
              </w:rPr>
              <w:t>21900</w:t>
            </w:r>
          </w:p>
        </w:tc>
      </w:tr>
    </w:tbl>
    <w:p>
      <w:pPr>
        <w:pStyle w:val="2"/>
        <w:ind w:left="0" w:firstLine="0"/>
        <w:rPr>
          <w:lang w:eastAsia="zh-CN"/>
        </w:rPr>
      </w:pPr>
    </w:p>
    <w:p>
      <w:pPr>
        <w:pStyle w:val="2"/>
        <w:ind w:left="0" w:firstLine="0"/>
        <w:rPr>
          <w:b/>
          <w:sz w:val="24"/>
          <w:szCs w:val="24"/>
          <w:lang w:eastAsia="zh-CN"/>
        </w:rPr>
      </w:pPr>
      <w:r>
        <w:rPr>
          <w:rFonts w:hint="eastAsia"/>
          <w:b/>
          <w:sz w:val="24"/>
          <w:szCs w:val="24"/>
          <w:lang w:eastAsia="zh-CN"/>
        </w:rPr>
        <w:t>3.7.1.2原辅材料及燃料消耗情况</w:t>
      </w:r>
    </w:p>
    <w:p>
      <w:pPr>
        <w:rPr>
          <w:rFonts w:ascii="宋体" w:hAnsi="宋体"/>
          <w:sz w:val="24"/>
          <w:szCs w:val="24"/>
          <w:lang w:eastAsia="zh-CN"/>
        </w:rPr>
      </w:pPr>
      <w:r>
        <w:rPr>
          <w:rFonts w:hint="eastAsia" w:ascii="宋体" w:hAnsi="宋体"/>
          <w:sz w:val="24"/>
          <w:szCs w:val="24"/>
          <w:lang w:eastAsia="zh-CN"/>
        </w:rPr>
        <w:t xml:space="preserve">    燃煤锅炉污泥及生物质干燥炭化输送一体化处理系统研发装置计划日处理污泥100吨或生物质50吨，6#锅炉日投煤5496吨（5#备用锅炉与6#锅炉相同）。</w:t>
      </w:r>
    </w:p>
    <w:p>
      <w:pPr>
        <w:pStyle w:val="27"/>
        <w:shd w:val="clear" w:color="auto" w:fill="FFFFFF"/>
        <w:spacing w:before="0" w:beforeAutospacing="0" w:after="0" w:afterAutospacing="0" w:line="360" w:lineRule="auto"/>
        <w:rPr>
          <w:rFonts w:eastAsiaTheme="minorEastAsia"/>
          <w:b/>
          <w:bCs/>
          <w:lang w:eastAsia="zh-CN"/>
        </w:rPr>
      </w:pPr>
    </w:p>
    <w:p>
      <w:pPr>
        <w:pStyle w:val="27"/>
        <w:shd w:val="clear" w:color="auto" w:fill="FFFFFF"/>
        <w:spacing w:before="0" w:beforeAutospacing="0" w:after="0" w:afterAutospacing="0" w:line="360" w:lineRule="auto"/>
        <w:rPr>
          <w:rFonts w:eastAsiaTheme="minorEastAsia"/>
          <w:b/>
          <w:bCs/>
          <w:lang w:eastAsia="zh-CN"/>
        </w:rPr>
      </w:pPr>
    </w:p>
    <w:p>
      <w:pPr>
        <w:pStyle w:val="27"/>
        <w:shd w:val="clear" w:color="auto" w:fill="FFFFFF"/>
        <w:spacing w:before="0" w:beforeAutospacing="0" w:after="0" w:afterAutospacing="0" w:line="360" w:lineRule="auto"/>
        <w:rPr>
          <w:rFonts w:ascii="宋体" w:hAnsi="宋体" w:eastAsia="宋体" w:cs="宋体"/>
          <w:b/>
          <w:spacing w:val="2"/>
          <w:lang w:eastAsia="zh-CN"/>
        </w:rPr>
      </w:pPr>
      <w:r>
        <w:rPr>
          <w:rFonts w:ascii="宋体" w:hAnsi="宋体" w:eastAsia="宋体" w:cs="宋体"/>
          <w:b/>
          <w:spacing w:val="2"/>
          <w:lang w:eastAsia="zh-CN"/>
        </w:rPr>
        <w:t>3.</w:t>
      </w:r>
      <w:r>
        <w:rPr>
          <w:rFonts w:hint="eastAsia" w:ascii="宋体" w:hAnsi="宋体" w:eastAsia="宋体" w:cs="宋体"/>
          <w:b/>
          <w:spacing w:val="2"/>
          <w:lang w:eastAsia="zh-CN"/>
        </w:rPr>
        <w:t>7</w:t>
      </w:r>
      <w:r>
        <w:rPr>
          <w:rFonts w:ascii="宋体" w:hAnsi="宋体" w:eastAsia="宋体" w:cs="宋体"/>
          <w:b/>
          <w:spacing w:val="2"/>
          <w:lang w:eastAsia="zh-CN"/>
        </w:rPr>
        <w:t>.</w:t>
      </w:r>
      <w:r>
        <w:rPr>
          <w:rFonts w:hint="eastAsia" w:ascii="宋体" w:hAnsi="宋体" w:eastAsia="宋体" w:cs="宋体"/>
          <w:b/>
          <w:spacing w:val="2"/>
          <w:lang w:eastAsia="zh-CN"/>
        </w:rPr>
        <w:t>2</w:t>
      </w:r>
      <w:r>
        <w:rPr>
          <w:rFonts w:ascii="宋体" w:hAnsi="宋体" w:eastAsia="宋体" w:cs="宋体"/>
          <w:b/>
          <w:spacing w:val="2"/>
          <w:lang w:eastAsia="zh-CN"/>
        </w:rPr>
        <w:tab/>
      </w:r>
      <w:r>
        <w:rPr>
          <w:rFonts w:hint="eastAsia" w:ascii="宋体" w:hAnsi="宋体" w:eastAsia="宋体" w:cs="宋体"/>
          <w:b/>
          <w:spacing w:val="2"/>
          <w:lang w:eastAsia="zh-CN"/>
        </w:rPr>
        <w:t>掺烧污泥及生物质对机组的影响</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spacing w:val="2"/>
          <w:lang w:eastAsia="zh-CN"/>
        </w:rPr>
        <w:t>3.7.2.1掺烧污泥对机组的影响</w:t>
      </w:r>
    </w:p>
    <w:p>
      <w:pPr>
        <w:spacing w:line="360" w:lineRule="auto"/>
        <w:ind w:firstLine="440" w:firstLineChars="200"/>
        <w:rPr>
          <w:rFonts w:ascii="Times New Roman" w:cs="Times New Roman"/>
          <w:sz w:val="24"/>
          <w:szCs w:val="24"/>
          <w:lang w:eastAsia="zh-CN"/>
        </w:rPr>
      </w:pPr>
      <w:r>
        <w:rPr>
          <w:rFonts w:hint="eastAsia" w:ascii="宋体" w:hAnsi="宋体" w:cs="宋体"/>
          <w:lang w:eastAsia="zh-CN"/>
        </w:rPr>
        <w:t>华能岳阳电厂三期工程两台锅炉耗煤均为229t/h。</w:t>
      </w:r>
      <w:r>
        <w:rPr>
          <w:rFonts w:hint="eastAsia" w:ascii="Times New Roman" w:cs="Times New Roman"/>
          <w:sz w:val="24"/>
          <w:szCs w:val="24"/>
          <w:lang w:eastAsia="zh-CN"/>
        </w:rPr>
        <w:t>本项目研究掺烧100t/d含水率为80%的污泥，污泥掺烧对机组锅炉的影响结果见表3.7-4。</w:t>
      </w:r>
    </w:p>
    <w:p>
      <w:pPr>
        <w:jc w:val="center"/>
        <w:rPr>
          <w:b/>
          <w:sz w:val="24"/>
          <w:szCs w:val="24"/>
          <w:lang w:eastAsia="zh-CN"/>
        </w:rPr>
      </w:pPr>
      <w:r>
        <w:rPr>
          <w:b/>
          <w:sz w:val="24"/>
          <w:szCs w:val="24"/>
          <w:lang w:eastAsia="zh-CN"/>
        </w:rPr>
        <w:t>表3</w:t>
      </w:r>
      <w:r>
        <w:rPr>
          <w:rFonts w:hint="eastAsia"/>
          <w:b/>
          <w:sz w:val="24"/>
          <w:szCs w:val="24"/>
          <w:lang w:eastAsia="zh-CN"/>
        </w:rPr>
        <w:t>.7</w:t>
      </w:r>
      <w:r>
        <w:rPr>
          <w:b/>
          <w:sz w:val="24"/>
          <w:szCs w:val="24"/>
          <w:lang w:eastAsia="zh-CN"/>
        </w:rPr>
        <w:t>-</w:t>
      </w:r>
      <w:r>
        <w:rPr>
          <w:rFonts w:hint="eastAsia"/>
          <w:b/>
          <w:sz w:val="24"/>
          <w:szCs w:val="24"/>
          <w:lang w:eastAsia="zh-CN"/>
        </w:rPr>
        <w:t>4</w:t>
      </w:r>
      <w:r>
        <w:rPr>
          <w:b/>
          <w:sz w:val="24"/>
          <w:szCs w:val="24"/>
          <w:lang w:eastAsia="zh-CN"/>
        </w:rPr>
        <w:t xml:space="preserve"> 污泥掺烧对</w:t>
      </w:r>
      <w:r>
        <w:rPr>
          <w:rFonts w:hint="eastAsia"/>
          <w:b/>
          <w:sz w:val="24"/>
          <w:szCs w:val="24"/>
          <w:lang w:eastAsia="zh-CN"/>
        </w:rPr>
        <w:t>锅炉</w:t>
      </w:r>
      <w:r>
        <w:rPr>
          <w:b/>
          <w:sz w:val="24"/>
          <w:szCs w:val="24"/>
          <w:lang w:eastAsia="zh-CN"/>
        </w:rPr>
        <w:t>的影响</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3892"/>
        <w:gridCol w:w="778"/>
        <w:gridCol w:w="1539"/>
        <w:gridCol w:w="2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b/>
                <w:color w:val="000000"/>
                <w:szCs w:val="21"/>
              </w:rPr>
            </w:pPr>
            <w:bookmarkStart w:id="453" w:name="RANGE!A1"/>
            <w:r>
              <w:rPr>
                <w:rFonts w:ascii="Times New Roman" w:cs="Times New Roman" w:hAnsiTheme="minorEastAsia"/>
                <w:b/>
                <w:color w:val="000000"/>
                <w:szCs w:val="21"/>
              </w:rPr>
              <w:t>序号</w:t>
            </w:r>
            <w:bookmarkEnd w:id="453"/>
          </w:p>
        </w:tc>
        <w:tc>
          <w:tcPr>
            <w:tcW w:w="2086" w:type="pct"/>
            <w:shd w:val="clear" w:color="auto" w:fill="auto"/>
            <w:vAlign w:val="center"/>
          </w:tcPr>
          <w:p>
            <w:pPr>
              <w:spacing w:after="0" w:line="240" w:lineRule="auto"/>
              <w:jc w:val="center"/>
              <w:rPr>
                <w:rFonts w:ascii="Times New Roman" w:hAnsi="Times New Roman" w:cs="Times New Roman"/>
                <w:b/>
                <w:color w:val="000000"/>
                <w:szCs w:val="21"/>
              </w:rPr>
            </w:pPr>
            <w:r>
              <w:rPr>
                <w:rFonts w:ascii="Times New Roman" w:cs="Times New Roman" w:hAnsiTheme="minorEastAsia"/>
                <w:b/>
                <w:color w:val="000000"/>
                <w:szCs w:val="21"/>
              </w:rPr>
              <w:t>项目</w:t>
            </w:r>
          </w:p>
        </w:tc>
        <w:tc>
          <w:tcPr>
            <w:tcW w:w="417" w:type="pct"/>
            <w:shd w:val="clear" w:color="auto" w:fill="auto"/>
            <w:vAlign w:val="center"/>
          </w:tcPr>
          <w:p>
            <w:pPr>
              <w:spacing w:after="0" w:line="240" w:lineRule="auto"/>
              <w:jc w:val="center"/>
              <w:rPr>
                <w:rFonts w:ascii="Times New Roman" w:hAnsi="Times New Roman" w:cs="Times New Roman"/>
                <w:b/>
                <w:color w:val="000000"/>
                <w:szCs w:val="21"/>
              </w:rPr>
            </w:pPr>
            <w:r>
              <w:rPr>
                <w:rFonts w:ascii="Times New Roman" w:cs="Times New Roman" w:hAnsiTheme="minorEastAsia"/>
                <w:b/>
                <w:color w:val="000000"/>
                <w:szCs w:val="21"/>
              </w:rPr>
              <w:t>单位</w:t>
            </w:r>
          </w:p>
        </w:tc>
        <w:tc>
          <w:tcPr>
            <w:tcW w:w="825" w:type="pct"/>
            <w:shd w:val="clear" w:color="auto" w:fill="auto"/>
            <w:vAlign w:val="center"/>
          </w:tcPr>
          <w:p>
            <w:pPr>
              <w:spacing w:after="0" w:line="240" w:lineRule="auto"/>
              <w:jc w:val="center"/>
              <w:rPr>
                <w:rFonts w:ascii="Times New Roman" w:hAnsi="Times New Roman" w:cs="Times New Roman"/>
                <w:b/>
                <w:color w:val="000000"/>
                <w:szCs w:val="21"/>
              </w:rPr>
            </w:pPr>
            <w:r>
              <w:rPr>
                <w:rFonts w:ascii="Times New Roman" w:cs="Times New Roman" w:hAnsiTheme="minorEastAsia"/>
                <w:b/>
                <w:color w:val="000000"/>
                <w:szCs w:val="21"/>
              </w:rPr>
              <w:t>数值</w:t>
            </w:r>
          </w:p>
        </w:tc>
        <w:tc>
          <w:tcPr>
            <w:tcW w:w="1234" w:type="pct"/>
            <w:shd w:val="clear" w:color="auto" w:fill="auto"/>
            <w:vAlign w:val="center"/>
          </w:tcPr>
          <w:p>
            <w:pPr>
              <w:spacing w:after="0" w:line="240" w:lineRule="auto"/>
              <w:jc w:val="center"/>
              <w:rPr>
                <w:rFonts w:ascii="Times New Roman" w:hAnsi="Times New Roman" w:cs="Times New Roman"/>
                <w:b/>
                <w:color w:val="000000"/>
                <w:szCs w:val="21"/>
              </w:rPr>
            </w:pPr>
            <w:r>
              <w:rPr>
                <w:rFonts w:ascii="Times New Roman" w:cs="Times New Roman" w:hAnsiTheme="minorEastAsia"/>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机组负荷</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MW</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600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入炉煤低位发热量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21900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入炉煤耗量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229.0 </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污泥处理量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4.2</w:t>
            </w:r>
          </w:p>
        </w:tc>
        <w:tc>
          <w:tcPr>
            <w:tcW w:w="123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处理能力</w:t>
            </w:r>
            <w:r>
              <w:rPr>
                <w:rFonts w:ascii="Times New Roman" w:hAnsi="Times New Roman" w:cs="Times New Roman"/>
                <w:color w:val="000000"/>
                <w:szCs w:val="21"/>
              </w:rPr>
              <w:t>100t/d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污泥含水率</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污泥初始温度</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Cambria Math" w:hAnsi="Cambria Math" w:cs="Cambria Math"/>
                <w:color w:val="000000"/>
                <w:szCs w:val="21"/>
              </w:rPr>
              <w:t>℃</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排烟温度</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Cambria Math" w:hAnsi="Cambria Math" w:cs="Cambria Math"/>
                <w:color w:val="000000"/>
                <w:szCs w:val="21"/>
              </w:rPr>
              <w:t>℃</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污泥掺烧占燃煤比例</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1.83 </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208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cs="Times New Roman" w:hAnsiTheme="minorEastAsia"/>
                <w:color w:val="000000"/>
                <w:szCs w:val="21"/>
                <w:lang w:eastAsia="zh-CN"/>
              </w:rPr>
              <w:t>污泥带入锅炉系统热量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745</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208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cs="Times New Roman" w:hAnsiTheme="minorEastAsia"/>
                <w:color w:val="000000"/>
                <w:szCs w:val="21"/>
                <w:lang w:eastAsia="zh-CN"/>
              </w:rPr>
              <w:t>污泥</w:t>
            </w:r>
            <w:r>
              <w:rPr>
                <w:rFonts w:hint="eastAsia" w:ascii="Times New Roman" w:cs="Times New Roman" w:hAnsiTheme="minorEastAsia"/>
                <w:color w:val="000000"/>
                <w:szCs w:val="21"/>
                <w:lang w:eastAsia="zh-CN"/>
              </w:rPr>
              <w:t>干燥</w:t>
            </w:r>
            <w:r>
              <w:rPr>
                <w:rFonts w:ascii="Times New Roman" w:cs="Times New Roman" w:hAnsiTheme="minorEastAsia"/>
                <w:color w:val="000000"/>
                <w:szCs w:val="21"/>
                <w:lang w:eastAsia="zh-CN"/>
              </w:rPr>
              <w:t>部分引起的排烟热量损失</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305.7</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按</w:t>
            </w:r>
            <w:r>
              <w:rPr>
                <w:rFonts w:ascii="Times New Roman" w:hAnsi="Times New Roman" w:cs="Times New Roman"/>
                <w:color w:val="000000"/>
              </w:rPr>
              <w:t>5%</w:t>
            </w:r>
            <w:r>
              <w:rPr>
                <w:rFonts w:ascii="Times New Roman" w:cs="Times New Roman" w:hAnsiTheme="minorEastAsia"/>
                <w:color w:val="000000"/>
              </w:rPr>
              <w:t>排烟氧量考虑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锅炉燃料效率变化量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0.037 </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燃料为原煤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208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锅炉原煤减少使用量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0.08 </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2086" w:type="pct"/>
            <w:shd w:val="clear" w:color="auto" w:fill="auto"/>
            <w:noWrap/>
            <w:vAlign w:val="center"/>
          </w:tcPr>
          <w:p>
            <w:pPr>
              <w:spacing w:after="0" w:line="240" w:lineRule="auto"/>
              <w:jc w:val="center"/>
              <w:rPr>
                <w:rFonts w:ascii="Times New Roman" w:hAnsi="Times New Roman" w:cs="Times New Roman"/>
                <w:color w:val="000000"/>
                <w:lang w:eastAsia="zh-CN"/>
              </w:rPr>
            </w:pPr>
            <w:r>
              <w:rPr>
                <w:rFonts w:ascii="Times New Roman" w:cs="Times New Roman" w:hAnsiTheme="minorEastAsia"/>
                <w:color w:val="000000"/>
                <w:lang w:eastAsia="zh-CN"/>
              </w:rPr>
              <w:t>原煤燃烧掺烧的干烟气量减少量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82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646</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208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cs="Times New Roman" w:hAnsiTheme="minorEastAsia"/>
                <w:color w:val="000000"/>
                <w:szCs w:val="21"/>
                <w:lang w:eastAsia="zh-CN"/>
              </w:rPr>
              <w:t>污泥焚烧增加的干烟气量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82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3827</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15</w:t>
            </w:r>
          </w:p>
        </w:tc>
        <w:tc>
          <w:tcPr>
            <w:tcW w:w="2086" w:type="pct"/>
            <w:shd w:val="clear" w:color="auto" w:fill="auto"/>
            <w:noWrap/>
            <w:vAlign w:val="center"/>
          </w:tcPr>
          <w:p>
            <w:pPr>
              <w:spacing w:after="0" w:line="240" w:lineRule="auto"/>
              <w:jc w:val="center"/>
              <w:rPr>
                <w:rFonts w:ascii="Times New Roman" w:hAnsi="Times New Roman" w:cs="Times New Roman"/>
                <w:color w:val="000000"/>
                <w:lang w:eastAsia="zh-CN"/>
              </w:rPr>
            </w:pPr>
            <w:r>
              <w:rPr>
                <w:rFonts w:ascii="Times New Roman" w:cs="Times New Roman" w:hAnsiTheme="minorEastAsia"/>
                <w:color w:val="000000"/>
                <w:lang w:eastAsia="zh-CN"/>
              </w:rPr>
              <w:t>污泥掺烧</w:t>
            </w:r>
            <w:r>
              <w:rPr>
                <w:rFonts w:hint="eastAsia" w:ascii="Times New Roman" w:cs="Times New Roman" w:hAnsiTheme="minorEastAsia"/>
                <w:color w:val="000000"/>
                <w:lang w:eastAsia="zh-CN"/>
              </w:rPr>
              <w:t>锅炉系统整体</w:t>
            </w:r>
            <w:r>
              <w:rPr>
                <w:rFonts w:ascii="Times New Roman" w:cs="Times New Roman" w:hAnsiTheme="minorEastAsia"/>
                <w:color w:val="000000"/>
                <w:lang w:eastAsia="zh-CN"/>
              </w:rPr>
              <w:t>烟气量增加量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82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3181</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208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年利用小时数</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h</w:t>
            </w:r>
          </w:p>
        </w:tc>
        <w:tc>
          <w:tcPr>
            <w:tcW w:w="82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8160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340</w:t>
            </w:r>
            <w:r>
              <w:rPr>
                <w:rFonts w:ascii="Times New Roman" w:cs="Times New Roman" w:hAnsiTheme="minorEastAsia"/>
                <w:color w:val="000000"/>
              </w:rPr>
              <w:t>天运行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208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年增加烟气排放量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m³/a</w:t>
            </w:r>
          </w:p>
        </w:tc>
        <w:tc>
          <w:tcPr>
            <w:tcW w:w="82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25956960</w:t>
            </w:r>
          </w:p>
        </w:tc>
        <w:tc>
          <w:tcPr>
            <w:tcW w:w="1234"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年</w:t>
            </w:r>
            <w:r>
              <w:rPr>
                <w:rFonts w:ascii="Times New Roman" w:hAnsi="Times New Roman" w:cs="Times New Roman"/>
                <w:color w:val="000000"/>
                <w:szCs w:val="21"/>
              </w:rPr>
              <w:t>NOx</w:t>
            </w:r>
            <w:r>
              <w:rPr>
                <w:rFonts w:ascii="Times New Roman" w:cs="Times New Roman" w:hAnsiTheme="minorEastAsia"/>
                <w:color w:val="000000"/>
                <w:szCs w:val="21"/>
              </w:rPr>
              <w:t>增排量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lang w:eastAsia="zh-CN"/>
              </w:rPr>
              <w:t>2.5</w:t>
            </w:r>
            <w:r>
              <w:rPr>
                <w:rFonts w:ascii="Times New Roman" w:hAnsi="Times New Roman" w:cs="Times New Roman"/>
                <w:color w:val="000000"/>
                <w:szCs w:val="21"/>
              </w:rPr>
              <w:t xml:space="preserve"> </w:t>
            </w:r>
          </w:p>
        </w:tc>
        <w:tc>
          <w:tcPr>
            <w:tcW w:w="123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按</w:t>
            </w:r>
            <w:r>
              <w:rPr>
                <w:rFonts w:hint="eastAsia" w:ascii="Times New Roman" w:hAnsi="Times New Roman" w:cs="Times New Roman"/>
                <w:color w:val="000000"/>
                <w:szCs w:val="21"/>
                <w:lang w:eastAsia="zh-CN"/>
              </w:rPr>
              <w:t>脱硝效率不变</w:t>
            </w:r>
            <w:r>
              <w:rPr>
                <w:rFonts w:ascii="Times New Roman" w:hAnsi="Times New Roman" w:cs="Times New Roman"/>
                <w:color w:val="000000"/>
                <w:szCs w:val="21"/>
              </w:rPr>
              <w:t>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19</w:t>
            </w:r>
          </w:p>
        </w:tc>
        <w:tc>
          <w:tcPr>
            <w:tcW w:w="208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cs="Times New Roman" w:hAnsiTheme="minorEastAsia"/>
                <w:color w:val="000000"/>
                <w:szCs w:val="21"/>
              </w:rPr>
              <w:t>年</w:t>
            </w:r>
            <w:r>
              <w:rPr>
                <w:rFonts w:ascii="Times New Roman" w:hAnsi="Times New Roman" w:cs="Times New Roman"/>
                <w:color w:val="000000"/>
                <w:szCs w:val="21"/>
              </w:rPr>
              <w:t>SO</w:t>
            </w:r>
            <w:r>
              <w:rPr>
                <w:rFonts w:ascii="Times New Roman" w:hAnsi="Times New Roman" w:cs="Times New Roman"/>
                <w:color w:val="000000"/>
                <w:szCs w:val="21"/>
                <w:vertAlign w:val="subscript"/>
              </w:rPr>
              <w:t>2</w:t>
            </w:r>
            <w:r>
              <w:rPr>
                <w:rFonts w:ascii="Times New Roman" w:cs="Times New Roman" w:hAnsiTheme="minorEastAsia"/>
                <w:color w:val="000000"/>
                <w:szCs w:val="21"/>
              </w:rPr>
              <w:t>增排量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lang w:eastAsia="zh-CN"/>
              </w:rPr>
              <w:t>0.5</w:t>
            </w:r>
            <w:r>
              <w:rPr>
                <w:rFonts w:ascii="Times New Roman" w:hAnsi="Times New Roman" w:cs="Times New Roman"/>
                <w:color w:val="000000"/>
                <w:szCs w:val="21"/>
              </w:rPr>
              <w:t xml:space="preserve"> </w:t>
            </w:r>
          </w:p>
        </w:tc>
        <w:tc>
          <w:tcPr>
            <w:tcW w:w="1234"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按</w:t>
            </w:r>
            <w:r>
              <w:rPr>
                <w:rFonts w:hint="eastAsia" w:ascii="Times New Roman" w:hAnsi="Times New Roman" w:cs="Times New Roman"/>
                <w:color w:val="000000"/>
                <w:szCs w:val="21"/>
                <w:lang w:eastAsia="zh-CN"/>
              </w:rPr>
              <w:t>脱硫效率不变</w:t>
            </w:r>
            <w:r>
              <w:rPr>
                <w:rFonts w:hint="eastAsia" w:ascii="宋体" w:hAnsi="宋体" w:cs="Times New Roman"/>
                <w:color w:val="000000"/>
                <w:szCs w:val="21"/>
              </w:rPr>
              <w:t>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38"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208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cs="Times New Roman" w:hAnsiTheme="minorEastAsia"/>
                <w:color w:val="000000"/>
                <w:szCs w:val="21"/>
              </w:rPr>
              <w:t>年</w:t>
            </w:r>
            <w:r>
              <w:rPr>
                <w:rFonts w:ascii="Times New Roman" w:cs="Times New Roman" w:hAnsiTheme="minorEastAsia"/>
                <w:color w:val="000000"/>
              </w:rPr>
              <w:t>粉尘增排量</w:t>
            </w:r>
          </w:p>
        </w:tc>
        <w:tc>
          <w:tcPr>
            <w:tcW w:w="417"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82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lang w:eastAsia="zh-CN"/>
              </w:rPr>
              <w:t>0.4</w:t>
            </w:r>
            <w:r>
              <w:rPr>
                <w:rFonts w:ascii="Times New Roman" w:hAnsi="Times New Roman" w:cs="Times New Roman"/>
                <w:color w:val="000000"/>
                <w:szCs w:val="21"/>
              </w:rPr>
              <w:t xml:space="preserve"> </w:t>
            </w:r>
          </w:p>
        </w:tc>
        <w:tc>
          <w:tcPr>
            <w:tcW w:w="1234"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按</w:t>
            </w:r>
            <w:r>
              <w:rPr>
                <w:rFonts w:hint="eastAsia" w:ascii="宋体" w:hAnsi="宋体" w:cs="Times New Roman"/>
                <w:color w:val="000000"/>
                <w:szCs w:val="21"/>
                <w:lang w:eastAsia="zh-CN"/>
              </w:rPr>
              <w:t>除尘效率不变</w:t>
            </w:r>
            <w:r>
              <w:rPr>
                <w:rFonts w:hint="eastAsia" w:ascii="宋体" w:hAnsi="宋体" w:cs="Times New Roman"/>
                <w:color w:val="000000"/>
                <w:szCs w:val="21"/>
              </w:rPr>
              <w:t>考虑</w:t>
            </w:r>
          </w:p>
        </w:tc>
      </w:tr>
    </w:tbl>
    <w:p>
      <w:pPr>
        <w:pStyle w:val="27"/>
        <w:shd w:val="clear" w:color="auto" w:fill="FFFFFF"/>
        <w:spacing w:before="0" w:beforeAutospacing="0" w:after="0" w:afterAutospacing="0" w:line="360" w:lineRule="auto"/>
        <w:rPr>
          <w:rFonts w:ascii="宋体" w:hAnsi="宋体" w:eastAsia="宋体" w:cs="宋体"/>
          <w:b/>
          <w:spacing w:val="2"/>
          <w:lang w:eastAsia="zh-CN"/>
        </w:rPr>
      </w:pP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spacing w:val="2"/>
          <w:lang w:eastAsia="zh-CN"/>
        </w:rPr>
        <w:t>3.7.2.2掺烧生物质对机组的影响</w:t>
      </w:r>
    </w:p>
    <w:p>
      <w:pPr>
        <w:spacing w:beforeLines="50" w:line="360" w:lineRule="auto"/>
        <w:ind w:firstLine="480" w:firstLineChars="200"/>
        <w:rPr>
          <w:rFonts w:ascii="Times New Roman" w:cs="Times New Roman"/>
          <w:lang w:eastAsia="zh-CN"/>
        </w:rPr>
      </w:pPr>
      <w:r>
        <w:rPr>
          <w:rFonts w:hint="eastAsia" w:ascii="Times New Roman" w:cs="Times New Roman"/>
          <w:sz w:val="24"/>
          <w:szCs w:val="24"/>
          <w:lang w:eastAsia="zh-CN"/>
        </w:rPr>
        <w:t>本项目研究生物质掺烧量为50t/d，生物质掺烧对锅炉机组的影响结果见表3.7-5。</w:t>
      </w:r>
    </w:p>
    <w:p>
      <w:pPr>
        <w:jc w:val="center"/>
        <w:rPr>
          <w:b/>
          <w:sz w:val="24"/>
          <w:szCs w:val="24"/>
          <w:lang w:eastAsia="zh-CN"/>
        </w:rPr>
      </w:pPr>
      <w:r>
        <w:rPr>
          <w:b/>
          <w:sz w:val="24"/>
          <w:szCs w:val="24"/>
          <w:lang w:eastAsia="zh-CN"/>
        </w:rPr>
        <w:t>表3</w:t>
      </w:r>
      <w:r>
        <w:rPr>
          <w:rFonts w:hint="eastAsia"/>
          <w:b/>
          <w:sz w:val="24"/>
          <w:szCs w:val="24"/>
          <w:lang w:eastAsia="zh-CN"/>
        </w:rPr>
        <w:t>.7-5</w:t>
      </w:r>
      <w:r>
        <w:rPr>
          <w:b/>
          <w:sz w:val="24"/>
          <w:szCs w:val="24"/>
          <w:lang w:eastAsia="zh-CN"/>
        </w:rPr>
        <w:t xml:space="preserve"> </w:t>
      </w:r>
      <w:r>
        <w:rPr>
          <w:rFonts w:hint="eastAsia"/>
          <w:b/>
          <w:sz w:val="24"/>
          <w:szCs w:val="24"/>
          <w:lang w:eastAsia="zh-CN"/>
        </w:rPr>
        <w:t>生物质</w:t>
      </w:r>
      <w:r>
        <w:rPr>
          <w:b/>
          <w:sz w:val="24"/>
          <w:szCs w:val="24"/>
          <w:lang w:eastAsia="zh-CN"/>
        </w:rPr>
        <w:t>掺烧对</w:t>
      </w:r>
      <w:r>
        <w:rPr>
          <w:rFonts w:hint="eastAsia"/>
          <w:b/>
          <w:sz w:val="24"/>
          <w:szCs w:val="24"/>
          <w:lang w:eastAsia="zh-CN"/>
        </w:rPr>
        <w:t>锅炉</w:t>
      </w:r>
      <w:r>
        <w:rPr>
          <w:b/>
          <w:sz w:val="24"/>
          <w:szCs w:val="24"/>
          <w:lang w:eastAsia="zh-CN"/>
        </w:rPr>
        <w:t>的影响</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4222"/>
        <w:gridCol w:w="735"/>
        <w:gridCol w:w="1392"/>
        <w:gridCol w:w="23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b/>
                <w:color w:val="000000"/>
                <w:szCs w:val="21"/>
              </w:rPr>
            </w:pPr>
            <w:r>
              <w:rPr>
                <w:rFonts w:hint="eastAsia" w:ascii="宋体" w:hAnsi="宋体" w:cs="Times New Roman"/>
                <w:b/>
                <w:color w:val="000000"/>
                <w:szCs w:val="21"/>
              </w:rPr>
              <w:t>序号</w:t>
            </w:r>
          </w:p>
        </w:tc>
        <w:tc>
          <w:tcPr>
            <w:tcW w:w="2263" w:type="pct"/>
            <w:shd w:val="clear" w:color="auto" w:fill="auto"/>
            <w:vAlign w:val="center"/>
          </w:tcPr>
          <w:p>
            <w:pPr>
              <w:spacing w:after="0" w:line="240" w:lineRule="auto"/>
              <w:jc w:val="center"/>
              <w:rPr>
                <w:rFonts w:ascii="Times New Roman" w:hAnsi="Times New Roman" w:cs="Times New Roman"/>
                <w:b/>
                <w:color w:val="000000"/>
                <w:szCs w:val="21"/>
              </w:rPr>
            </w:pPr>
            <w:r>
              <w:rPr>
                <w:rFonts w:hint="eastAsia" w:ascii="宋体" w:hAnsi="宋体" w:cs="Times New Roman"/>
                <w:b/>
                <w:color w:val="000000"/>
                <w:szCs w:val="21"/>
              </w:rPr>
              <w:t>项目</w:t>
            </w:r>
          </w:p>
        </w:tc>
        <w:tc>
          <w:tcPr>
            <w:tcW w:w="394" w:type="pct"/>
            <w:shd w:val="clear" w:color="auto" w:fill="auto"/>
            <w:vAlign w:val="center"/>
          </w:tcPr>
          <w:p>
            <w:pPr>
              <w:spacing w:after="0" w:line="240" w:lineRule="auto"/>
              <w:jc w:val="center"/>
              <w:rPr>
                <w:rFonts w:ascii="Times New Roman" w:hAnsi="Times New Roman" w:cs="Times New Roman"/>
                <w:b/>
                <w:color w:val="000000"/>
                <w:szCs w:val="21"/>
              </w:rPr>
            </w:pPr>
            <w:r>
              <w:rPr>
                <w:rFonts w:hint="eastAsia" w:ascii="宋体" w:hAnsi="宋体" w:cs="Times New Roman"/>
                <w:b/>
                <w:color w:val="000000"/>
                <w:szCs w:val="21"/>
              </w:rPr>
              <w:t>单位</w:t>
            </w:r>
          </w:p>
        </w:tc>
        <w:tc>
          <w:tcPr>
            <w:tcW w:w="746" w:type="pct"/>
            <w:shd w:val="clear" w:color="auto" w:fill="auto"/>
            <w:vAlign w:val="center"/>
          </w:tcPr>
          <w:p>
            <w:pPr>
              <w:spacing w:after="0" w:line="240" w:lineRule="auto"/>
              <w:jc w:val="center"/>
              <w:rPr>
                <w:rFonts w:ascii="Times New Roman" w:hAnsi="Times New Roman" w:cs="Times New Roman"/>
                <w:b/>
                <w:color w:val="000000"/>
                <w:szCs w:val="21"/>
              </w:rPr>
            </w:pPr>
            <w:r>
              <w:rPr>
                <w:rFonts w:hint="eastAsia" w:ascii="宋体" w:hAnsi="宋体" w:cs="Times New Roman"/>
                <w:b/>
                <w:color w:val="000000"/>
                <w:szCs w:val="21"/>
              </w:rPr>
              <w:t>数值</w:t>
            </w:r>
          </w:p>
        </w:tc>
        <w:tc>
          <w:tcPr>
            <w:tcW w:w="1235" w:type="pct"/>
            <w:shd w:val="clear" w:color="auto" w:fill="auto"/>
            <w:vAlign w:val="center"/>
          </w:tcPr>
          <w:p>
            <w:pPr>
              <w:spacing w:after="0" w:line="240" w:lineRule="auto"/>
              <w:jc w:val="center"/>
              <w:rPr>
                <w:rFonts w:ascii="Times New Roman" w:hAnsi="Times New Roman" w:cs="Times New Roman"/>
                <w:b/>
                <w:color w:val="000000"/>
                <w:szCs w:val="21"/>
              </w:rPr>
            </w:pPr>
            <w:r>
              <w:rPr>
                <w:rFonts w:hint="eastAsia" w:ascii="宋体" w:hAnsi="宋体" w:cs="Times New Roman"/>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机组负荷</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MW</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600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入炉煤低位发热量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21900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入炉煤耗量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229.0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2263" w:type="pct"/>
            <w:shd w:val="clear" w:color="auto" w:fill="auto"/>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生物质处理量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2.1</w:t>
            </w:r>
          </w:p>
        </w:tc>
        <w:tc>
          <w:tcPr>
            <w:tcW w:w="123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处理能力</w:t>
            </w:r>
            <w:r>
              <w:rPr>
                <w:rFonts w:ascii="Times New Roman" w:hAnsi="Times New Roman" w:cs="Times New Roman"/>
                <w:color w:val="000000"/>
                <w:szCs w:val="21"/>
              </w:rPr>
              <w:t>50t/d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2263" w:type="pct"/>
            <w:shd w:val="clear" w:color="auto" w:fill="auto"/>
            <w:vAlign w:val="center"/>
          </w:tcPr>
          <w:p>
            <w:pPr>
              <w:spacing w:after="0" w:line="240" w:lineRule="auto"/>
              <w:jc w:val="center"/>
              <w:rPr>
                <w:rFonts w:ascii="宋体" w:hAnsi="宋体" w:cs="宋体"/>
                <w:color w:val="000000"/>
                <w:szCs w:val="21"/>
              </w:rPr>
            </w:pPr>
            <w:r>
              <w:rPr>
                <w:rFonts w:hint="eastAsia" w:ascii="宋体" w:hAnsi="宋体" w:cs="宋体"/>
                <w:color w:val="000000"/>
                <w:szCs w:val="21"/>
              </w:rPr>
              <w:t>生物质初始温度</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20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排烟温度</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2263" w:type="pct"/>
            <w:shd w:val="clear" w:color="auto" w:fill="auto"/>
            <w:vAlign w:val="center"/>
          </w:tcPr>
          <w:p>
            <w:pPr>
              <w:spacing w:after="0" w:line="240" w:lineRule="auto"/>
              <w:jc w:val="center"/>
              <w:rPr>
                <w:rFonts w:ascii="宋体" w:hAnsi="宋体" w:cs="宋体"/>
                <w:color w:val="000000"/>
                <w:szCs w:val="21"/>
                <w:lang w:eastAsia="zh-CN"/>
              </w:rPr>
            </w:pPr>
            <w:r>
              <w:rPr>
                <w:rFonts w:hint="eastAsia" w:ascii="宋体" w:hAnsi="宋体" w:cs="宋体"/>
                <w:color w:val="000000"/>
                <w:szCs w:val="21"/>
                <w:lang w:eastAsia="zh-CN"/>
              </w:rPr>
              <w:t>生物质掺烧占燃煤比例</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0.92</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2263" w:type="pct"/>
            <w:shd w:val="clear" w:color="auto" w:fill="auto"/>
            <w:vAlign w:val="center"/>
          </w:tcPr>
          <w:p>
            <w:pPr>
              <w:spacing w:after="0" w:line="240" w:lineRule="auto"/>
              <w:jc w:val="center"/>
              <w:rPr>
                <w:rFonts w:ascii="宋体" w:hAnsi="宋体" w:cs="宋体"/>
                <w:color w:val="000000"/>
                <w:szCs w:val="21"/>
                <w:lang w:eastAsia="zh-CN"/>
              </w:rPr>
            </w:pPr>
            <w:r>
              <w:rPr>
                <w:rFonts w:hint="eastAsia" w:ascii="宋体" w:hAnsi="宋体" w:cs="宋体"/>
                <w:color w:val="000000"/>
                <w:szCs w:val="21"/>
                <w:lang w:eastAsia="zh-CN"/>
              </w:rPr>
              <w:t>生物质带入锅炉系统热量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5750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2263" w:type="pct"/>
            <w:shd w:val="clear" w:color="auto" w:fill="auto"/>
            <w:vAlign w:val="center"/>
          </w:tcPr>
          <w:p>
            <w:pPr>
              <w:spacing w:after="0" w:line="240" w:lineRule="auto"/>
              <w:jc w:val="center"/>
              <w:rPr>
                <w:rFonts w:ascii="宋体" w:hAnsi="宋体" w:cs="宋体"/>
                <w:color w:val="000000"/>
                <w:szCs w:val="21"/>
                <w:lang w:eastAsia="zh-CN"/>
              </w:rPr>
            </w:pPr>
            <w:r>
              <w:rPr>
                <w:rFonts w:hint="eastAsia" w:ascii="宋体" w:hAnsi="宋体" w:cs="宋体"/>
                <w:color w:val="000000"/>
                <w:szCs w:val="21"/>
                <w:lang w:eastAsia="zh-CN"/>
              </w:rPr>
              <w:t>生物质焚烧部分引起的排烟热量损失</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kJ/kg</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537</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hint="eastAsia" w:ascii="宋体" w:hAnsi="宋体" w:cs="Times New Roman"/>
                <w:color w:val="000000"/>
              </w:rPr>
              <w:t>按</w:t>
            </w:r>
            <w:r>
              <w:rPr>
                <w:rFonts w:ascii="Times New Roman" w:hAnsi="Times New Roman" w:cs="Times New Roman"/>
                <w:color w:val="000000"/>
              </w:rPr>
              <w:t>5%</w:t>
            </w:r>
            <w:r>
              <w:rPr>
                <w:rFonts w:hint="eastAsia" w:ascii="宋体" w:hAnsi="宋体" w:cs="Times New Roman"/>
                <w:color w:val="000000"/>
              </w:rPr>
              <w:t>排烟氧量考虑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锅炉燃料效率变化量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0.218</w:t>
            </w:r>
          </w:p>
        </w:tc>
        <w:tc>
          <w:tcPr>
            <w:tcW w:w="1235" w:type="pct"/>
            <w:shd w:val="clear" w:color="auto" w:fill="auto"/>
            <w:noWrap/>
            <w:vAlign w:val="center"/>
          </w:tcPr>
          <w:p>
            <w:pPr>
              <w:spacing w:after="0" w:line="240" w:lineRule="auto"/>
              <w:jc w:val="center"/>
              <w:rPr>
                <w:rFonts w:ascii="宋体" w:hAnsi="宋体" w:cs="宋体"/>
                <w:color w:val="000000"/>
              </w:rPr>
            </w:pPr>
            <w:r>
              <w:rPr>
                <w:rFonts w:hint="eastAsia" w:ascii="宋体" w:hAnsi="宋体" w:cs="宋体"/>
                <w:color w:val="000000"/>
              </w:rPr>
              <w:t>燃料为原煤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2263" w:type="pct"/>
            <w:shd w:val="clear" w:color="auto" w:fill="auto"/>
            <w:noWrap/>
            <w:vAlign w:val="center"/>
          </w:tcPr>
          <w:p>
            <w:pPr>
              <w:spacing w:after="0" w:line="240" w:lineRule="auto"/>
              <w:jc w:val="center"/>
              <w:rPr>
                <w:rFonts w:ascii="宋体" w:hAnsi="宋体" w:cs="宋体"/>
                <w:color w:val="000000"/>
              </w:rPr>
            </w:pPr>
            <w:r>
              <w:rPr>
                <w:rFonts w:hint="eastAsia" w:ascii="宋体" w:hAnsi="宋体" w:cs="宋体"/>
                <w:color w:val="000000"/>
              </w:rPr>
              <w:t>锅炉原煤减少使用量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t/h</w:t>
            </w:r>
          </w:p>
        </w:tc>
        <w:tc>
          <w:tcPr>
            <w:tcW w:w="746"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0.500</w:t>
            </w:r>
          </w:p>
        </w:tc>
        <w:tc>
          <w:tcPr>
            <w:tcW w:w="1235" w:type="pct"/>
            <w:shd w:val="clear" w:color="auto" w:fill="auto"/>
            <w:noWrap/>
            <w:vAlign w:val="center"/>
          </w:tcPr>
          <w:p>
            <w:pPr>
              <w:spacing w:after="0" w:line="240" w:lineRule="auto"/>
              <w:jc w:val="center"/>
              <w:rPr>
                <w:rFonts w:ascii="宋体" w:hAnsi="宋体" w:cs="宋体"/>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2263" w:type="pct"/>
            <w:shd w:val="clear" w:color="auto" w:fill="auto"/>
            <w:noWrap/>
            <w:vAlign w:val="center"/>
          </w:tcPr>
          <w:p>
            <w:pPr>
              <w:spacing w:after="0" w:line="240" w:lineRule="auto"/>
              <w:jc w:val="center"/>
              <w:rPr>
                <w:rFonts w:ascii="宋体" w:hAnsi="宋体" w:cs="宋体"/>
                <w:color w:val="000000"/>
                <w:lang w:eastAsia="zh-CN"/>
              </w:rPr>
            </w:pPr>
            <w:r>
              <w:rPr>
                <w:rFonts w:hint="eastAsia" w:ascii="宋体" w:hAnsi="宋体" w:cs="宋体"/>
                <w:color w:val="000000"/>
                <w:lang w:eastAsia="zh-CN"/>
              </w:rPr>
              <w:t>原煤燃烧掺烧的干烟气量减少量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74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4036</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hint="eastAsia" w:ascii="宋体" w:hAnsi="宋体" w:cs="Times New Roman"/>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13</w:t>
            </w:r>
          </w:p>
        </w:tc>
        <w:tc>
          <w:tcPr>
            <w:tcW w:w="2263" w:type="pct"/>
            <w:shd w:val="clear" w:color="auto" w:fill="auto"/>
            <w:vAlign w:val="center"/>
          </w:tcPr>
          <w:p>
            <w:pPr>
              <w:spacing w:after="0" w:line="240" w:lineRule="auto"/>
              <w:jc w:val="center"/>
              <w:rPr>
                <w:rFonts w:ascii="宋体" w:hAnsi="宋体" w:cs="宋体"/>
                <w:color w:val="000000"/>
                <w:szCs w:val="21"/>
                <w:lang w:eastAsia="zh-CN"/>
              </w:rPr>
            </w:pPr>
            <w:r>
              <w:rPr>
                <w:rFonts w:hint="eastAsia" w:ascii="宋体" w:hAnsi="宋体" w:cs="宋体"/>
                <w:color w:val="000000"/>
                <w:szCs w:val="21"/>
                <w:lang w:eastAsia="zh-CN"/>
              </w:rPr>
              <w:t>生物质焚烧增加的干烟气量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74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5314</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hint="eastAsia" w:ascii="宋体" w:hAnsi="宋体" w:cs="Times New Roman"/>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14</w:t>
            </w:r>
          </w:p>
        </w:tc>
        <w:tc>
          <w:tcPr>
            <w:tcW w:w="2263" w:type="pct"/>
            <w:shd w:val="clear" w:color="auto" w:fill="auto"/>
            <w:noWrap/>
            <w:vAlign w:val="center"/>
          </w:tcPr>
          <w:p>
            <w:pPr>
              <w:spacing w:after="0" w:line="240" w:lineRule="auto"/>
              <w:jc w:val="center"/>
              <w:rPr>
                <w:rFonts w:ascii="宋体" w:hAnsi="宋体" w:cs="宋体"/>
                <w:color w:val="000000"/>
                <w:lang w:eastAsia="zh-CN"/>
              </w:rPr>
            </w:pPr>
            <w:r>
              <w:rPr>
                <w:rFonts w:hint="eastAsia" w:ascii="宋体" w:hAnsi="宋体" w:cs="宋体"/>
                <w:color w:val="000000"/>
                <w:lang w:eastAsia="zh-CN"/>
              </w:rPr>
              <w:t>生物质掺烧锅炉系统整体烟气量增加量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m³/h</w:t>
            </w:r>
          </w:p>
        </w:tc>
        <w:tc>
          <w:tcPr>
            <w:tcW w:w="74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1278</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hint="eastAsia" w:ascii="宋体" w:hAnsi="宋体" w:cs="Times New Roman"/>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15</w:t>
            </w:r>
          </w:p>
        </w:tc>
        <w:tc>
          <w:tcPr>
            <w:tcW w:w="2263" w:type="pct"/>
            <w:shd w:val="clear" w:color="auto" w:fill="auto"/>
            <w:noWrap/>
            <w:vAlign w:val="center"/>
          </w:tcPr>
          <w:p>
            <w:pPr>
              <w:spacing w:after="0" w:line="240" w:lineRule="auto"/>
              <w:jc w:val="center"/>
              <w:rPr>
                <w:rFonts w:ascii="宋体" w:hAnsi="宋体" w:cs="宋体"/>
                <w:color w:val="000000"/>
              </w:rPr>
            </w:pPr>
            <w:r>
              <w:rPr>
                <w:rFonts w:hint="eastAsia" w:ascii="宋体" w:hAnsi="宋体" w:cs="宋体"/>
                <w:color w:val="000000"/>
              </w:rPr>
              <w:t>年利用小时数</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h</w:t>
            </w:r>
          </w:p>
        </w:tc>
        <w:tc>
          <w:tcPr>
            <w:tcW w:w="74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8160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340天运行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16</w:t>
            </w:r>
          </w:p>
        </w:tc>
        <w:tc>
          <w:tcPr>
            <w:tcW w:w="2263" w:type="pct"/>
            <w:shd w:val="clear" w:color="auto" w:fill="auto"/>
            <w:noWrap/>
            <w:vAlign w:val="center"/>
          </w:tcPr>
          <w:p>
            <w:pPr>
              <w:spacing w:after="0" w:line="240" w:lineRule="auto"/>
              <w:jc w:val="center"/>
              <w:rPr>
                <w:rFonts w:ascii="宋体" w:hAnsi="宋体" w:cs="宋体"/>
                <w:color w:val="000000"/>
              </w:rPr>
            </w:pPr>
            <w:r>
              <w:rPr>
                <w:rFonts w:hint="eastAsia" w:ascii="宋体" w:hAnsi="宋体" w:cs="宋体"/>
                <w:color w:val="000000"/>
              </w:rPr>
              <w:t>年增加烟气排放量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m³/a</w:t>
            </w:r>
          </w:p>
        </w:tc>
        <w:tc>
          <w:tcPr>
            <w:tcW w:w="746" w:type="pct"/>
            <w:shd w:val="clear" w:color="auto" w:fill="auto"/>
            <w:noWrap/>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10428480</w:t>
            </w:r>
          </w:p>
        </w:tc>
        <w:tc>
          <w:tcPr>
            <w:tcW w:w="1235" w:type="pct"/>
            <w:shd w:val="clear" w:color="auto" w:fill="auto"/>
            <w:noWrap/>
            <w:vAlign w:val="center"/>
          </w:tcPr>
          <w:p>
            <w:pPr>
              <w:spacing w:after="0" w:line="240" w:lineRule="auto"/>
              <w:jc w:val="center"/>
              <w:rPr>
                <w:rFonts w:ascii="Times New Roman" w:hAnsi="Times New Roman" w:cs="Times New Roman"/>
                <w:color w:val="000000"/>
              </w:rPr>
            </w:pPr>
            <w:r>
              <w:rPr>
                <w:rFonts w:hint="eastAsia" w:ascii="宋体" w:hAnsi="宋体" w:cs="Times New Roman"/>
                <w:color w:val="000000"/>
              </w:rPr>
              <w:t>标态、</w:t>
            </w:r>
            <w:r>
              <w:rPr>
                <w:rFonts w:ascii="Times New Roman" w:hAnsi="Times New Roman" w:cs="Times New Roman"/>
                <w:color w:val="000000"/>
              </w:rPr>
              <w:t>6%O</w:t>
            </w:r>
            <w:r>
              <w:rPr>
                <w:rFonts w:ascii="Times New Roman" w:hAnsi="Times New Roman" w:cs="Times New Roman"/>
                <w:color w:val="00000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17</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NOx增排量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74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hAnsi="Times New Roman" w:cs="Times New Roman"/>
                <w:color w:val="000000"/>
                <w:szCs w:val="21"/>
              </w:rPr>
              <w:t>0.</w:t>
            </w:r>
            <w:r>
              <w:rPr>
                <w:rFonts w:hint="eastAsia" w:ascii="Times New Roman" w:hAnsi="Times New Roman" w:cs="Times New Roman"/>
                <w:color w:val="000000"/>
                <w:szCs w:val="21"/>
                <w:lang w:eastAsia="zh-CN"/>
              </w:rPr>
              <w:t>3</w:t>
            </w:r>
          </w:p>
        </w:tc>
        <w:tc>
          <w:tcPr>
            <w:tcW w:w="1235"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按</w:t>
            </w:r>
            <w:r>
              <w:rPr>
                <w:rFonts w:hint="eastAsia" w:ascii="Times New Roman" w:hAnsi="Times New Roman" w:cs="Times New Roman"/>
                <w:color w:val="000000"/>
                <w:szCs w:val="21"/>
                <w:lang w:eastAsia="zh-CN"/>
              </w:rPr>
              <w:t>脱硝效率不变</w:t>
            </w:r>
            <w:r>
              <w:rPr>
                <w:rFonts w:ascii="Times New Roman" w:hAnsi="Times New Roman" w:cs="Times New Roman"/>
                <w:color w:val="000000"/>
                <w:szCs w:val="21"/>
              </w:rPr>
              <w:t>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2263"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SO2</w:t>
            </w:r>
            <w:r>
              <w:rPr>
                <w:rFonts w:hint="eastAsia" w:ascii="宋体" w:hAnsi="宋体" w:cs="Times New Roman"/>
                <w:color w:val="000000"/>
                <w:szCs w:val="21"/>
              </w:rPr>
              <w:t>增排量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74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hAnsi="Times New Roman" w:cs="Times New Roman"/>
                <w:color w:val="000000"/>
                <w:szCs w:val="21"/>
              </w:rPr>
              <w:t>0.</w:t>
            </w:r>
            <w:r>
              <w:rPr>
                <w:rFonts w:hint="eastAsia" w:ascii="Times New Roman" w:hAnsi="Times New Roman" w:cs="Times New Roman"/>
                <w:color w:val="000000"/>
                <w:szCs w:val="21"/>
                <w:lang w:eastAsia="zh-CN"/>
              </w:rPr>
              <w:t>1</w:t>
            </w:r>
          </w:p>
        </w:tc>
        <w:tc>
          <w:tcPr>
            <w:tcW w:w="123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按</w:t>
            </w:r>
            <w:r>
              <w:rPr>
                <w:rFonts w:hint="eastAsia" w:ascii="Times New Roman" w:hAnsi="Times New Roman" w:cs="Times New Roman"/>
                <w:color w:val="000000"/>
                <w:szCs w:val="21"/>
                <w:lang w:eastAsia="zh-CN"/>
              </w:rPr>
              <w:t>脱硫效率不变</w:t>
            </w:r>
            <w:r>
              <w:rPr>
                <w:rFonts w:hint="eastAsia" w:ascii="宋体" w:hAnsi="宋体" w:cs="Times New Roman"/>
                <w:color w:val="000000"/>
                <w:szCs w:val="21"/>
              </w:rPr>
              <w:t>考虑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2"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19</w:t>
            </w:r>
          </w:p>
        </w:tc>
        <w:tc>
          <w:tcPr>
            <w:tcW w:w="2263" w:type="pct"/>
            <w:shd w:val="clear" w:color="auto" w:fill="auto"/>
            <w:noWrap/>
            <w:vAlign w:val="center"/>
          </w:tcPr>
          <w:p>
            <w:pPr>
              <w:spacing w:after="0" w:line="240" w:lineRule="auto"/>
              <w:jc w:val="center"/>
              <w:rPr>
                <w:rFonts w:ascii="宋体" w:hAnsi="宋体" w:cs="宋体"/>
                <w:color w:val="000000"/>
              </w:rPr>
            </w:pPr>
            <w:r>
              <w:rPr>
                <w:rFonts w:hint="eastAsia" w:ascii="宋体" w:hAnsi="宋体" w:cs="宋体"/>
                <w:color w:val="000000"/>
              </w:rPr>
              <w:t>粉尘增排量</w:t>
            </w:r>
          </w:p>
        </w:tc>
        <w:tc>
          <w:tcPr>
            <w:tcW w:w="394" w:type="pct"/>
            <w:shd w:val="clear" w:color="auto" w:fill="auto"/>
            <w:vAlign w:val="center"/>
          </w:tcPr>
          <w:p>
            <w:pPr>
              <w:spacing w:after="0" w:line="240" w:lineRule="auto"/>
              <w:jc w:val="center"/>
              <w:rPr>
                <w:rFonts w:ascii="Times New Roman" w:hAnsi="Times New Roman" w:cs="Times New Roman"/>
                <w:color w:val="000000"/>
                <w:szCs w:val="21"/>
              </w:rPr>
            </w:pPr>
            <w:r>
              <w:rPr>
                <w:rFonts w:ascii="Times New Roman" w:hAnsi="Times New Roman" w:cs="Times New Roman"/>
                <w:color w:val="000000"/>
                <w:szCs w:val="21"/>
              </w:rPr>
              <w:t>t/a</w:t>
            </w:r>
          </w:p>
        </w:tc>
        <w:tc>
          <w:tcPr>
            <w:tcW w:w="746" w:type="pct"/>
            <w:shd w:val="clear" w:color="auto" w:fill="auto"/>
            <w:vAlign w:val="center"/>
          </w:tcPr>
          <w:p>
            <w:pPr>
              <w:spacing w:after="0" w:line="240" w:lineRule="auto"/>
              <w:jc w:val="center"/>
              <w:rPr>
                <w:rFonts w:ascii="Times New Roman" w:hAnsi="Times New Roman" w:cs="Times New Roman"/>
                <w:color w:val="000000"/>
                <w:szCs w:val="21"/>
                <w:lang w:eastAsia="zh-CN"/>
              </w:rPr>
            </w:pPr>
            <w:r>
              <w:rPr>
                <w:rFonts w:ascii="Times New Roman" w:hAnsi="Times New Roman" w:cs="Times New Roman"/>
                <w:color w:val="000000"/>
                <w:szCs w:val="21"/>
              </w:rPr>
              <w:t>0.</w:t>
            </w:r>
            <w:r>
              <w:rPr>
                <w:rFonts w:hint="eastAsia" w:ascii="Times New Roman" w:hAnsi="Times New Roman" w:cs="Times New Roman"/>
                <w:color w:val="000000"/>
                <w:szCs w:val="21"/>
                <w:lang w:eastAsia="zh-CN"/>
              </w:rPr>
              <w:t>3</w:t>
            </w:r>
          </w:p>
        </w:tc>
        <w:tc>
          <w:tcPr>
            <w:tcW w:w="1235" w:type="pct"/>
            <w:shd w:val="clear" w:color="auto" w:fill="auto"/>
            <w:vAlign w:val="center"/>
          </w:tcPr>
          <w:p>
            <w:pPr>
              <w:spacing w:after="0" w:line="240" w:lineRule="auto"/>
              <w:jc w:val="center"/>
              <w:rPr>
                <w:rFonts w:ascii="Times New Roman" w:hAnsi="Times New Roman" w:cs="Times New Roman"/>
                <w:color w:val="000000"/>
                <w:szCs w:val="21"/>
              </w:rPr>
            </w:pPr>
            <w:r>
              <w:rPr>
                <w:rFonts w:hint="eastAsia" w:ascii="宋体" w:hAnsi="宋体" w:cs="Times New Roman"/>
                <w:color w:val="000000"/>
                <w:szCs w:val="21"/>
              </w:rPr>
              <w:t>按</w:t>
            </w:r>
            <w:r>
              <w:rPr>
                <w:rFonts w:hint="eastAsia" w:ascii="宋体" w:hAnsi="宋体" w:cs="Times New Roman"/>
                <w:color w:val="000000"/>
                <w:szCs w:val="21"/>
                <w:lang w:eastAsia="zh-CN"/>
              </w:rPr>
              <w:t>除尘效率不变</w:t>
            </w:r>
            <w:r>
              <w:rPr>
                <w:rFonts w:hint="eastAsia" w:ascii="宋体" w:hAnsi="宋体" w:cs="Times New Roman"/>
                <w:color w:val="000000"/>
                <w:szCs w:val="21"/>
              </w:rPr>
              <w:t>考虑</w:t>
            </w:r>
          </w:p>
        </w:tc>
      </w:tr>
    </w:tbl>
    <w:p/>
    <w:p>
      <w:pPr>
        <w:pStyle w:val="27"/>
        <w:shd w:val="clear" w:color="auto" w:fill="FFFFFF"/>
        <w:spacing w:before="0" w:beforeAutospacing="0" w:after="0" w:afterAutospacing="0" w:line="360" w:lineRule="auto"/>
        <w:rPr>
          <w:rFonts w:ascii="宋体" w:hAnsi="宋体" w:eastAsia="宋体" w:cs="宋体"/>
          <w:b/>
          <w:lang w:eastAsia="zh-CN"/>
        </w:rPr>
      </w:pP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3.7.3.1污泥及生物质的干化脱水</w:t>
      </w:r>
    </w:p>
    <w:p>
      <w:pPr>
        <w:pStyle w:val="27"/>
        <w:shd w:val="clear" w:color="auto" w:fill="FFFFFF"/>
        <w:spacing w:before="0" w:beforeAutospacing="0" w:after="0" w:afterAutospacing="0" w:line="360" w:lineRule="auto"/>
        <w:ind w:firstLine="465"/>
        <w:rPr>
          <w:rFonts w:ascii="宋体" w:hAnsi="宋体" w:eastAsia="宋体" w:cs="宋体"/>
          <w:lang w:eastAsia="zh-CN"/>
        </w:rPr>
      </w:pPr>
      <w:r>
        <w:rPr>
          <w:rFonts w:hint="eastAsia" w:ascii="宋体" w:hAnsi="宋体" w:eastAsia="宋体" w:cs="宋体"/>
          <w:lang w:eastAsia="zh-CN"/>
        </w:rPr>
        <w:t>本项目污泥及生物质的干化是通过炉烟管道将锅炉尾部未经净化处理的高温烟气引入污泥及生物质干燥炭化一体化设备，用炉烟的高温加热干燥污泥，气化水分与干化后的污泥及生物质一起进入锅炉炉膛进行高温焚烧，焚烧产物随烟气一起经锅炉先进的尾气净化工艺设备净化处理后达标排放。</w:t>
      </w:r>
    </w:p>
    <w:p>
      <w:pPr>
        <w:pStyle w:val="27"/>
        <w:shd w:val="clear" w:color="auto" w:fill="FFFFFF"/>
        <w:spacing w:before="0" w:beforeAutospacing="0" w:after="0" w:afterAutospacing="0" w:line="360" w:lineRule="auto"/>
        <w:ind w:firstLine="465"/>
        <w:rPr>
          <w:rFonts w:ascii="宋体" w:hAnsi="宋体" w:eastAsia="宋体" w:cs="宋体"/>
          <w:lang w:eastAsia="zh-CN"/>
        </w:rPr>
      </w:pPr>
      <w:r>
        <w:rPr>
          <w:rFonts w:hint="eastAsia" w:ascii="宋体" w:hAnsi="宋体" w:eastAsia="宋体" w:cs="宋体"/>
          <w:lang w:eastAsia="zh-CN"/>
        </w:rPr>
        <w:t>为防止高温烟气带入过量的热量而使污泥或生物质在干燥炭化一体化设备燃烧，另接入一路经脱硝除尘净化处理后的低温烟气进入干燥炭化一体化设备调控温度。</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3.7.3.2污泥及生物质的运输传送</w:t>
      </w:r>
    </w:p>
    <w:p>
      <w:pPr>
        <w:pStyle w:val="27"/>
        <w:shd w:val="clear" w:color="auto" w:fill="FFFFFF"/>
        <w:spacing w:before="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color w:val="000000" w:themeColor="text1"/>
          <w:lang w:eastAsia="zh-CN"/>
        </w:rPr>
        <w:t>城镇污水处理场污泥</w:t>
      </w:r>
      <w:r>
        <w:rPr>
          <w:rFonts w:hint="eastAsia" w:ascii="宋体" w:hAnsi="宋体" w:eastAsia="宋体" w:cs="宋体"/>
          <w:lang w:eastAsia="zh-CN"/>
        </w:rPr>
        <w:t>用带密封盖的槽车运送至华能岳阳电厂后，卸入污泥储罐，装卸污泥在密闭的储罐库房内进行，库房顶部设恶臭气体收集系统，恶臭气体收集系统将收集的恶臭气体送入干燥炭化一体化系统，经锅炉炉膛高温焚烧后和烟气一道经锅炉先进的尾气净化工艺设备净化处理后达标排放。安装在污泥储罐底部螺旋泵将湿污泥连续定量地送入干燥炭化一体化设备。</w:t>
      </w:r>
    </w:p>
    <w:p>
      <w:pPr>
        <w:spacing w:line="360" w:lineRule="auto"/>
        <w:ind w:firstLine="480" w:firstLineChars="200"/>
        <w:rPr>
          <w:rFonts w:ascii="Times New Roman" w:hAnsi="Times New Roman" w:cs="Times New Roman"/>
          <w:sz w:val="24"/>
          <w:szCs w:val="24"/>
          <w:lang w:eastAsia="zh-CN"/>
        </w:rPr>
      </w:pPr>
      <w:r>
        <w:rPr>
          <w:rFonts w:hint="eastAsia" w:ascii="Times New Roman" w:hAnsi="Times New Roman"/>
          <w:sz w:val="24"/>
          <w:szCs w:val="24"/>
          <w:lang w:eastAsia="zh-CN"/>
        </w:rPr>
        <w:t>生物质</w:t>
      </w:r>
      <w:r>
        <w:rPr>
          <w:rFonts w:hint="eastAsia" w:ascii="Times New Roman" w:hAnsi="Times New Roman" w:cs="Times New Roman"/>
          <w:sz w:val="24"/>
          <w:szCs w:val="24"/>
          <w:lang w:eastAsia="zh-CN"/>
        </w:rPr>
        <w:t>由</w:t>
      </w:r>
      <w:r>
        <w:rPr>
          <w:rFonts w:hint="eastAsia" w:ascii="Times New Roman" w:hAnsi="Times New Roman"/>
          <w:sz w:val="24"/>
          <w:szCs w:val="24"/>
          <w:lang w:eastAsia="zh-CN"/>
        </w:rPr>
        <w:t>普通货车</w:t>
      </w:r>
      <w:r>
        <w:rPr>
          <w:rFonts w:hint="eastAsia" w:ascii="Times New Roman" w:hAnsi="Times New Roman" w:cs="Times New Roman"/>
          <w:sz w:val="24"/>
          <w:szCs w:val="24"/>
          <w:lang w:eastAsia="zh-CN"/>
        </w:rPr>
        <w:t>运输至一体化处理系统的</w:t>
      </w:r>
      <w:r>
        <w:rPr>
          <w:rFonts w:hint="eastAsia" w:ascii="Times New Roman" w:hAnsi="Times New Roman"/>
          <w:sz w:val="24"/>
          <w:szCs w:val="24"/>
          <w:lang w:eastAsia="zh-CN"/>
        </w:rPr>
        <w:t>储料仓1，然后通过双螺旋输送机送至撕碎机撕碎，撕碎后的生物质送入储料仓2，再通过双螺旋输送机送至</w:t>
      </w:r>
      <w:r>
        <w:rPr>
          <w:rFonts w:hint="eastAsia" w:ascii="Times New Roman" w:hAnsi="Times New Roman" w:cs="Times New Roman"/>
          <w:sz w:val="24"/>
          <w:szCs w:val="24"/>
          <w:lang w:eastAsia="zh-CN"/>
        </w:rPr>
        <w:t>一体化处理机中进行干燥</w:t>
      </w:r>
      <w:r>
        <w:rPr>
          <w:rFonts w:hint="eastAsia" w:ascii="Times New Roman" w:hAnsi="Times New Roman"/>
          <w:sz w:val="24"/>
          <w:szCs w:val="24"/>
          <w:lang w:eastAsia="zh-CN"/>
        </w:rPr>
        <w:t>炭化</w:t>
      </w:r>
      <w:r>
        <w:rPr>
          <w:rFonts w:hint="eastAsia" w:ascii="Times New Roman" w:hAnsi="Times New Roman" w:cs="Times New Roman"/>
          <w:sz w:val="24"/>
          <w:szCs w:val="24"/>
          <w:lang w:eastAsia="zh-CN"/>
        </w:rPr>
        <w:t>粉碎</w:t>
      </w:r>
      <w:r>
        <w:rPr>
          <w:rFonts w:hint="eastAsia" w:ascii="Times New Roman" w:hAnsi="Times New Roman"/>
          <w:sz w:val="24"/>
          <w:szCs w:val="24"/>
          <w:lang w:eastAsia="zh-CN"/>
        </w:rPr>
        <w:t>（</w:t>
      </w:r>
      <w:r>
        <w:rPr>
          <w:rFonts w:hint="eastAsia" w:ascii="Times New Roman" w:hAnsi="Times New Roman" w:cs="Times New Roman"/>
          <w:sz w:val="24"/>
          <w:szCs w:val="24"/>
          <w:lang w:eastAsia="zh-CN"/>
        </w:rPr>
        <w:t>干燥热源</w:t>
      </w:r>
      <w:r>
        <w:rPr>
          <w:rFonts w:hint="eastAsia" w:ascii="Times New Roman" w:hAnsi="Times New Roman"/>
          <w:sz w:val="24"/>
          <w:szCs w:val="24"/>
          <w:lang w:eastAsia="zh-CN"/>
        </w:rPr>
        <w:t>为</w:t>
      </w:r>
      <w:r>
        <w:rPr>
          <w:rFonts w:hint="eastAsia" w:ascii="Times New Roman" w:hAnsi="Times New Roman" w:cs="Times New Roman"/>
          <w:sz w:val="24"/>
          <w:szCs w:val="24"/>
          <w:lang w:eastAsia="zh-CN"/>
        </w:rPr>
        <w:t>来自锅炉尾部烟道</w:t>
      </w:r>
      <w:r>
        <w:rPr>
          <w:rFonts w:hint="eastAsia" w:ascii="Times New Roman" w:hAnsi="Times New Roman"/>
          <w:sz w:val="24"/>
          <w:szCs w:val="24"/>
          <w:lang w:eastAsia="zh-CN"/>
        </w:rPr>
        <w:t>500℃以上的高温炉烟，炉烟流量约为1.5万方（标态），干燥方式采用直接接触干燥，生物质处理能力为50t/d）</w:t>
      </w:r>
      <w:r>
        <w:rPr>
          <w:rFonts w:hint="eastAsia" w:ascii="Times New Roman" w:hAnsi="Times New Roman" w:cs="Times New Roman"/>
          <w:sz w:val="24"/>
          <w:szCs w:val="24"/>
          <w:lang w:eastAsia="zh-CN"/>
        </w:rPr>
        <w:t>，</w:t>
      </w:r>
      <w:r>
        <w:rPr>
          <w:rFonts w:hint="eastAsia" w:ascii="Times New Roman" w:hAnsi="Times New Roman"/>
          <w:sz w:val="24"/>
          <w:szCs w:val="24"/>
          <w:lang w:eastAsia="zh-CN"/>
        </w:rPr>
        <w:t>生物质</w:t>
      </w:r>
      <w:r>
        <w:rPr>
          <w:rFonts w:hint="eastAsia" w:ascii="Times New Roman" w:hAnsi="Times New Roman" w:cs="Times New Roman"/>
          <w:sz w:val="24"/>
          <w:szCs w:val="24"/>
          <w:lang w:eastAsia="zh-CN"/>
        </w:rPr>
        <w:t>干燥</w:t>
      </w:r>
      <w:r>
        <w:rPr>
          <w:rFonts w:hint="eastAsia" w:ascii="Times New Roman" w:hAnsi="Times New Roman"/>
          <w:sz w:val="24"/>
          <w:szCs w:val="24"/>
          <w:lang w:eastAsia="zh-CN"/>
        </w:rPr>
        <w:t>炭化</w:t>
      </w:r>
      <w:r>
        <w:rPr>
          <w:rFonts w:hint="eastAsia" w:ascii="Times New Roman" w:hAnsi="Times New Roman" w:cs="Times New Roman"/>
          <w:sz w:val="24"/>
          <w:szCs w:val="24"/>
          <w:lang w:eastAsia="zh-CN"/>
        </w:rPr>
        <w:t>粉碎后的</w:t>
      </w:r>
      <w:r>
        <w:rPr>
          <w:rFonts w:hint="eastAsia" w:ascii="Times New Roman" w:hAnsi="Times New Roman"/>
          <w:sz w:val="24"/>
          <w:szCs w:val="24"/>
          <w:lang w:eastAsia="zh-CN"/>
        </w:rPr>
        <w:t>产物随炉烟</w:t>
      </w:r>
      <w:r>
        <w:rPr>
          <w:rFonts w:hint="eastAsia" w:ascii="Times New Roman" w:hAnsi="Times New Roman" w:cs="Times New Roman"/>
          <w:sz w:val="24"/>
          <w:szCs w:val="24"/>
          <w:lang w:eastAsia="zh-CN"/>
        </w:rPr>
        <w:t>被直接送入锅炉炉膛进行</w:t>
      </w:r>
      <w:r>
        <w:rPr>
          <w:rFonts w:hint="eastAsia" w:ascii="Times New Roman" w:hAnsi="Times New Roman"/>
          <w:sz w:val="24"/>
          <w:szCs w:val="24"/>
          <w:lang w:eastAsia="zh-CN"/>
        </w:rPr>
        <w:t>焚烧，焚烧</w:t>
      </w:r>
      <w:r>
        <w:rPr>
          <w:rFonts w:hint="eastAsia" w:ascii="Times New Roman" w:hAnsi="Times New Roman" w:cs="Times New Roman"/>
          <w:sz w:val="24"/>
          <w:szCs w:val="24"/>
          <w:lang w:eastAsia="zh-CN"/>
        </w:rPr>
        <w:t>产物通过锅炉尾部烟气净化设备净化达标后排放。</w:t>
      </w:r>
    </w:p>
    <w:p>
      <w:pPr>
        <w:pStyle w:val="27"/>
        <w:shd w:val="clear" w:color="auto" w:fill="FFFFFF"/>
        <w:spacing w:before="0" w:beforeAutospacing="0" w:after="0" w:afterAutospacing="0" w:line="360" w:lineRule="auto"/>
        <w:ind w:right="-53" w:firstLine="480" w:firstLineChars="200"/>
        <w:rPr>
          <w:rFonts w:ascii="宋体" w:hAnsi="宋体" w:eastAsia="宋体" w:cs="宋体"/>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54" w:name="_Toc24969753"/>
      <w:r>
        <w:rPr>
          <w:rFonts w:hint="eastAsia" w:ascii="宋体" w:hAnsi="宋体" w:eastAsia="宋体"/>
          <w:color w:val="000000" w:themeColor="text1"/>
          <w:lang w:eastAsia="zh-CN"/>
        </w:rPr>
        <w:t>3.8本项目依托华能岳阳电厂三期超超临界锅炉用于处置污泥方案的合理性</w:t>
      </w:r>
      <w:bookmarkEnd w:id="454"/>
    </w:p>
    <w:p>
      <w:pPr>
        <w:pStyle w:val="63"/>
        <w:ind w:firstLine="0" w:firstLineChars="0"/>
        <w:rPr>
          <w:b/>
        </w:rPr>
      </w:pPr>
      <w:r>
        <w:rPr>
          <w:rFonts w:hint="eastAsia"/>
          <w:b/>
        </w:rPr>
        <w:t>3.8.1 对锅炉燃烧的影响</w:t>
      </w:r>
      <w:r>
        <w:rPr>
          <w:b/>
        </w:rPr>
        <w:cr/>
      </w:r>
      <w:r>
        <w:rPr>
          <w:rFonts w:hint="eastAsia" w:cs="宋体"/>
        </w:rPr>
        <w:t>根据住房和城乡建设部、国家发展和改革委员会于 2011 年 3 月联合发布的《城镇污水处理厂污泥处理处置技术指南》（试行）中第 52 页明确提出：</w:t>
      </w:r>
    </w:p>
    <w:p>
      <w:pPr>
        <w:pStyle w:val="27"/>
        <w:shd w:val="clear" w:color="auto" w:fill="FFFFFF"/>
        <w:spacing w:before="0" w:beforeAutospacing="0" w:after="0" w:afterAutospacing="0" w:line="360" w:lineRule="auto"/>
        <w:rPr>
          <w:rFonts w:ascii="宋体" w:hAnsi="宋体" w:eastAsia="宋体"/>
          <w:b/>
          <w:kern w:val="28"/>
          <w:szCs w:val="20"/>
          <w:lang w:eastAsia="zh-CN"/>
        </w:rPr>
      </w:pPr>
    </w:p>
    <w:p>
      <w:pPr>
        <w:pStyle w:val="27"/>
        <w:shd w:val="clear" w:color="auto" w:fill="FFFFFF"/>
        <w:spacing w:before="0" w:beforeAutospacing="0" w:after="0" w:afterAutospacing="0" w:line="360" w:lineRule="auto"/>
        <w:rPr>
          <w:rFonts w:ascii="宋体" w:hAnsi="宋体" w:eastAsia="宋体"/>
          <w:b/>
          <w:kern w:val="28"/>
          <w:szCs w:val="20"/>
          <w:lang w:eastAsia="zh-CN"/>
        </w:rPr>
      </w:pPr>
    </w:p>
    <w:p>
      <w:pPr>
        <w:pStyle w:val="27"/>
        <w:shd w:val="clear" w:color="auto" w:fill="FFFFFF"/>
        <w:spacing w:before="0" w:beforeAutospacing="0" w:after="0" w:afterAutospacing="0" w:line="360" w:lineRule="auto"/>
        <w:rPr>
          <w:rFonts w:ascii="宋体" w:hAnsi="宋体" w:eastAsia="宋体"/>
          <w:b/>
          <w:kern w:val="28"/>
          <w:szCs w:val="20"/>
          <w:lang w:eastAsia="zh-CN"/>
        </w:rPr>
      </w:pPr>
      <w:r>
        <w:rPr>
          <w:rFonts w:hint="eastAsia" w:ascii="宋体" w:hAnsi="宋体" w:eastAsia="宋体"/>
          <w:b/>
          <w:kern w:val="28"/>
          <w:szCs w:val="20"/>
          <w:lang w:eastAsia="zh-CN"/>
        </w:rPr>
        <w:t xml:space="preserve">3.8.2 应用原则 </w:t>
      </w:r>
    </w:p>
    <w:p>
      <w:pPr>
        <w:pStyle w:val="27"/>
        <w:shd w:val="clear" w:color="auto" w:fill="FFFFFF"/>
        <w:spacing w:before="0" w:beforeAutospacing="0" w:after="0" w:afterAutospacing="0" w:line="360" w:lineRule="auto"/>
        <w:rPr>
          <w:rFonts w:ascii="宋体" w:hAnsi="宋体" w:eastAsia="宋体"/>
          <w:b/>
          <w:kern w:val="28"/>
          <w:szCs w:val="20"/>
          <w:lang w:eastAsia="zh-CN"/>
        </w:rPr>
      </w:pPr>
      <w:r>
        <w:rPr>
          <w:rFonts w:hint="eastAsia" w:ascii="宋体" w:hAnsi="宋体" w:eastAsia="宋体" w:cs="宋体"/>
          <w:lang w:eastAsia="zh-CN"/>
        </w:rPr>
        <w:t xml:space="preserve">    在具备条件的地区，鼓励污泥在热力发电厂锅炉中与煤混合焚烧；</w:t>
      </w:r>
      <w:r>
        <w:rPr>
          <w:rFonts w:hint="eastAsia" w:ascii="宋体" w:hAnsi="宋体" w:eastAsia="宋体" w:cs="宋体"/>
          <w:color w:val="000000" w:themeColor="text1"/>
          <w:lang w:eastAsia="zh-CN"/>
        </w:rPr>
        <w:t>热电厂协同处置应不对原有电厂的正常生产产生影响；混烧污泥宜在 35 t/h 以上的热电厂（含热电厂和火电厂）燃煤锅炉上进行。在现有热电厂协同处置污泥时，入炉污泥的掺入量不宜超过燃煤量的 8%；对于考虑污泥掺烧的新建锅炉，污泥掺烧量可不受上述限制</w:t>
      </w:r>
      <w:r>
        <w:rPr>
          <w:rFonts w:hint="eastAsia" w:ascii="宋体" w:hAnsi="宋体" w:eastAsia="宋体" w:cs="宋体"/>
          <w:lang w:eastAsia="zh-CN"/>
        </w:rPr>
        <w:t>。</w:t>
      </w:r>
    </w:p>
    <w:p>
      <w:pPr>
        <w:pStyle w:val="27"/>
        <w:shd w:val="clear" w:color="auto" w:fill="FFFFFF"/>
        <w:spacing w:before="0" w:beforeAutospacing="0" w:after="0" w:afterAutospacing="0" w:line="360" w:lineRule="auto"/>
        <w:rPr>
          <w:rFonts w:ascii="宋体" w:hAnsi="宋体" w:eastAsia="宋体"/>
          <w:b/>
          <w:kern w:val="28"/>
          <w:szCs w:val="20"/>
          <w:lang w:eastAsia="zh-CN"/>
        </w:rPr>
      </w:pPr>
      <w:r>
        <w:rPr>
          <w:rFonts w:hint="eastAsia" w:ascii="宋体" w:hAnsi="宋体" w:eastAsia="宋体"/>
          <w:b/>
          <w:kern w:val="28"/>
          <w:szCs w:val="20"/>
          <w:lang w:eastAsia="zh-CN"/>
        </w:rPr>
        <w:t xml:space="preserve">3.8.3 热电厂协同处置的主要方式 </w:t>
      </w:r>
    </w:p>
    <w:p>
      <w:pPr>
        <w:pStyle w:val="27"/>
        <w:shd w:val="clear" w:color="auto" w:fill="FFFFFF"/>
        <w:spacing w:before="0" w:beforeAutospacing="0" w:after="0" w:afterAutospacing="0" w:line="360" w:lineRule="auto"/>
        <w:ind w:firstLine="480"/>
        <w:rPr>
          <w:rFonts w:ascii="宋体" w:hAnsi="宋体" w:eastAsia="宋体" w:cs="宋体"/>
          <w:color w:val="FF0000"/>
          <w:lang w:eastAsia="zh-CN"/>
        </w:rPr>
      </w:pPr>
      <w:r>
        <w:rPr>
          <w:rFonts w:hint="eastAsia" w:ascii="宋体" w:hAnsi="宋体" w:eastAsia="宋体" w:cs="宋体"/>
          <w:lang w:eastAsia="zh-CN"/>
        </w:rPr>
        <w:t>热电厂协同处置的主要方式有：湿污泥（含水率 80%）直接加入锅炉掺烧，和干化或半干化（含水率 40%以下）后的污泥进入循环流化床锅炉或煤粉炉焚烧。根据芮新红（南京工程学院）、周强泰 （东南大学）、魏昆生（仪征化纤股份公司）等联合发表的文献《煤粉锅炉掺污泥燃烧的计算和分析》，燃煤中掺入少量污泥（比例不大于 6%），对燃料燃烧的稳定、锅炉参数和受热面工作的安全性不会产生不良影响。</w:t>
      </w:r>
      <w:r>
        <w:rPr>
          <w:rFonts w:hint="eastAsia" w:ascii="宋体" w:hAnsi="宋体" w:eastAsia="宋体" w:cs="宋体"/>
          <w:color w:val="000000" w:themeColor="text1"/>
          <w:lang w:eastAsia="zh-CN"/>
        </w:rPr>
        <w:t>为了避免锅炉本身热值损失并保证良好的掺烧效果，本项目正常工况下煤粉炉掺烧干燥污泥，按照锅炉实际煤投加量计算最大掺烧比例为 0.2%，远低于6%的建议最高掺烧量，可将对原有电厂正常生产的影响降到最低。</w:t>
      </w:r>
    </w:p>
    <w:p>
      <w:pPr>
        <w:pStyle w:val="27"/>
        <w:shd w:val="clear" w:color="auto" w:fill="FFFFFF"/>
        <w:spacing w:before="0" w:beforeAutospacing="0" w:after="0" w:afterAutospacing="0" w:line="360" w:lineRule="auto"/>
        <w:ind w:right="89" w:firstLine="480" w:firstLineChars="200"/>
        <w:rPr>
          <w:rFonts w:ascii="宋体" w:hAnsi="宋体" w:eastAsia="宋体" w:cs="宋体"/>
          <w:lang w:eastAsia="zh-CN"/>
        </w:rPr>
      </w:pPr>
      <w:r>
        <w:rPr>
          <w:rFonts w:hint="eastAsia" w:ascii="宋体" w:hAnsi="宋体" w:eastAsia="宋体" w:cs="宋体"/>
          <w:lang w:eastAsia="zh-CN"/>
        </w:rPr>
        <w:t>华能岳阳电厂三期超超临界锅炉5#和6#机组负荷相同，耗煤量为</w:t>
      </w:r>
      <w:r>
        <w:rPr>
          <w:rFonts w:hint="eastAsia" w:eastAsia="宋体"/>
          <w:sz w:val="21"/>
          <w:lang w:eastAsia="zh-CN"/>
        </w:rPr>
        <w:t>229</w:t>
      </w:r>
      <w:r>
        <w:rPr>
          <w:rFonts w:hint="eastAsia" w:eastAsiaTheme="minorEastAsia"/>
          <w:sz w:val="21"/>
          <w:lang w:eastAsia="zh-CN"/>
        </w:rPr>
        <w:t>t</w:t>
      </w:r>
      <w:r>
        <w:rPr>
          <w:sz w:val="21"/>
          <w:lang w:eastAsia="zh-CN"/>
        </w:rPr>
        <w:t>/h</w:t>
      </w:r>
      <w:r>
        <w:rPr>
          <w:rFonts w:hint="eastAsia" w:ascii="宋体" w:hAnsi="宋体" w:eastAsia="宋体" w:cs="宋体"/>
          <w:lang w:eastAsia="zh-CN"/>
        </w:rPr>
        <w:t>，</w:t>
      </w:r>
      <w:r>
        <w:rPr>
          <w:rFonts w:hint="eastAsia" w:ascii="宋体" w:hAnsi="宋体" w:eastAsia="宋体" w:cs="宋体"/>
          <w:color w:val="000000" w:themeColor="text1"/>
          <w:lang w:eastAsia="zh-CN"/>
        </w:rPr>
        <w:t>本项目100t/d的污泥掺烧量，每小时约4.2t/h，对于锅炉来说很小，约为1.83%，烘干污泥，</w:t>
      </w:r>
      <w:r>
        <w:rPr>
          <w:rFonts w:hint="eastAsia" w:ascii="宋体" w:hAnsi="宋体" w:eastAsia="宋体" w:cs="宋体"/>
          <w:lang w:eastAsia="zh-CN"/>
        </w:rPr>
        <w:t>气化污泥含水所需要增加的燃煤与干化污泥燃烧产生的热量折合的燃煤相抵后，锅炉的燃煤投入量减少约0.08t，污泥燃烧产物随烟气一同进入锅炉先进的尾气净化系统净化处理，也完全不会影响烟气的达标排放。</w:t>
      </w:r>
    </w:p>
    <w:p>
      <w:pPr>
        <w:pStyle w:val="27"/>
        <w:shd w:val="clear" w:color="auto" w:fill="FFFFFF"/>
        <w:spacing w:before="0" w:beforeAutospacing="0" w:after="0" w:afterAutospacing="0" w:line="360" w:lineRule="auto"/>
        <w:ind w:firstLine="405"/>
        <w:rPr>
          <w:rFonts w:ascii="宋体" w:hAnsi="宋体" w:eastAsia="宋体" w:cs="宋体"/>
          <w:lang w:eastAsia="zh-CN"/>
        </w:rPr>
      </w:pPr>
      <w:r>
        <w:rPr>
          <w:rFonts w:hint="eastAsia" w:ascii="宋体" w:hAnsi="宋体" w:eastAsia="宋体" w:cs="宋体"/>
          <w:lang w:eastAsia="zh-CN"/>
        </w:rPr>
        <w:t>农业生物质干化后进入锅炉掺烧所产生的CO</w:t>
      </w:r>
      <w:r>
        <w:rPr>
          <w:rFonts w:hint="eastAsia" w:ascii="宋体" w:hAnsi="宋体" w:eastAsia="宋体" w:cs="宋体"/>
          <w:vertAlign w:val="subscript"/>
          <w:lang w:eastAsia="zh-CN"/>
        </w:rPr>
        <w:t>2</w:t>
      </w:r>
      <w:r>
        <w:rPr>
          <w:rFonts w:hint="eastAsia" w:ascii="宋体" w:hAnsi="宋体" w:eastAsia="宋体" w:cs="宋体"/>
          <w:lang w:eastAsia="zh-CN"/>
        </w:rPr>
        <w:t>、粉尘、二氧化硫及氮氧化物的浓度较污泥干化掺烧时更低，也不会影响烟气的达标排放。</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3.8.4 对锅炉安全运行的影响</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为了确保锅炉系统的安全运行，设计中选择污泥、生物质干燥系统并联在锅炉高温空气预热器入口与脱硝进口的一侧抽烟气来运行，其隔断和干燥系统进出口的 2 只挡板门均由锅炉 DCS 来控制；而干燥烟气增压风机采用低压变频调节，可由锅炉 DCS 来控制，在节电的同时便于调节锅炉负荷变化时的炉膛负压，保障安全与经济运行。当干燥系统出现负荷量突降或小故障时，其系统阻力会降低而对炉膛负压有一定影响，此时可通过调节干燥烟气增压风机转速来保障运行。当污泥、生物质干燥系统出现故障或无污泥、生物质时，在迅速调低干燥烟气增压风机转速、稳定炉膛负压的前提下，随后可将干燥系统与锅炉和电除尘出口烟道相连的电动挡板门关闭，待系统内污泥、生物质处理完毕后，再停运干燥烟气增压风机及干燥送烧系统。这样，干燥系统隔断，使锅炉烟气系统恢复到原状态运行。为防止高温烟气造成污泥及生物质在一体化系统内部因高温发生燃烧，同时接入低温烟气来调节一体化系统内的温度，确保系统安全平稳运行。由于此系统只是抽取锅炉尾部少量烟气的并联系统，对主系统锅炉的安全操作控制无冲击，对锅炉安全运行不会产生影响。</w:t>
      </w:r>
    </w:p>
    <w:p>
      <w:pPr>
        <w:pStyle w:val="27"/>
        <w:shd w:val="clear" w:color="auto" w:fill="FFFFFF"/>
        <w:spacing w:before="0" w:beforeAutospacing="0" w:after="0" w:afterAutospacing="0" w:line="360" w:lineRule="auto"/>
        <w:rPr>
          <w:rFonts w:ascii="宋体" w:hAnsi="宋体" w:eastAsia="宋体" w:cs="宋体"/>
          <w:b/>
          <w:lang w:eastAsia="zh-CN"/>
        </w:rPr>
      </w:pP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 xml:space="preserve">3.8.5污泥异味的影响 </w:t>
      </w:r>
    </w:p>
    <w:p>
      <w:pPr>
        <w:pStyle w:val="27"/>
        <w:shd w:val="clear" w:color="auto" w:fill="FFFFFF"/>
        <w:spacing w:before="0" w:beforeAutospacing="0" w:after="0" w:afterAutospacing="0" w:line="360" w:lineRule="auto"/>
        <w:ind w:right="-194" w:firstLine="480" w:firstLineChars="200"/>
        <w:rPr>
          <w:rFonts w:ascii="宋体" w:hAnsi="宋体" w:eastAsia="宋体" w:cs="宋体"/>
          <w:lang w:eastAsia="zh-CN"/>
        </w:rPr>
      </w:pPr>
      <w:r>
        <w:rPr>
          <w:rFonts w:hint="eastAsia" w:ascii="宋体" w:hAnsi="宋体" w:eastAsia="宋体" w:cs="宋体"/>
          <w:lang w:eastAsia="zh-CN"/>
        </w:rPr>
        <w:t>污泥储罐建设在密闭的库房内，装卸污泥在密闭的储罐库房内进行，库房顶部设恶臭气体收集系统，恶臭气体收集系统将收集的恶臭气体送入干燥炭化一体化系统，经锅炉炉膛高温焚烧后和烟气一道经锅炉先进的尾气净化工艺设备净化处理后达标排放。就污泥干燥系统而言，其处于全密闭状态，污泥干燥尾气送入锅炉烟气处理系统处理。干燥污泥进入炉膛，在高于 1100℃的温度下停留3s，高温焚烧能彻底消除污泥异味</w:t>
      </w:r>
      <w:r>
        <w:rPr>
          <w:rFonts w:hint="eastAsia" w:ascii="宋体" w:hAnsi="宋体" w:eastAsia="宋体" w:cs="宋体"/>
          <w:color w:val="000000" w:themeColor="text1"/>
          <w:lang w:eastAsia="zh-CN"/>
        </w:rPr>
        <w:t>。</w:t>
      </w:r>
      <w:r>
        <w:rPr>
          <w:rFonts w:ascii="宋体" w:hAnsi="宋体" w:eastAsia="宋体" w:cs="宋体"/>
          <w:color w:val="000000" w:themeColor="text1"/>
          <w:lang w:eastAsia="zh-CN"/>
        </w:rPr>
        <w:t>湿污泥</w:t>
      </w:r>
      <w:r>
        <w:rPr>
          <w:rFonts w:ascii="宋体" w:hAnsi="宋体" w:eastAsia="宋体" w:cs="宋体"/>
          <w:lang w:eastAsia="zh-CN"/>
        </w:rPr>
        <w:t>储</w:t>
      </w:r>
      <w:r>
        <w:rPr>
          <w:rFonts w:hint="eastAsia" w:ascii="宋体" w:hAnsi="宋体" w:eastAsia="宋体" w:cs="宋体"/>
          <w:lang w:eastAsia="zh-CN"/>
        </w:rPr>
        <w:t>罐密闭房</w:t>
      </w:r>
      <w:r>
        <w:rPr>
          <w:rFonts w:ascii="宋体" w:hAnsi="宋体" w:eastAsia="宋体" w:cs="宋体"/>
          <w:lang w:eastAsia="zh-CN"/>
        </w:rPr>
        <w:t>配备的抽风集气系统未收集到的污泥臭气，</w:t>
      </w:r>
      <w:r>
        <w:rPr>
          <w:rFonts w:hint="eastAsia" w:ascii="宋体" w:hAnsi="宋体" w:eastAsia="宋体" w:cs="宋体"/>
          <w:lang w:eastAsia="zh-CN"/>
        </w:rPr>
        <w:t>污泥装卸时按每小时产生10000m</w:t>
      </w:r>
      <w:r>
        <w:rPr>
          <w:rFonts w:hint="eastAsia" w:ascii="宋体" w:hAnsi="宋体" w:eastAsia="宋体" w:cs="宋体"/>
          <w:vertAlign w:val="superscript"/>
          <w:lang w:eastAsia="zh-CN"/>
        </w:rPr>
        <w:t>3</w:t>
      </w:r>
      <w:r>
        <w:rPr>
          <w:rFonts w:hint="eastAsia" w:ascii="宋体" w:hAnsi="宋体" w:eastAsia="宋体" w:cs="宋体"/>
          <w:lang w:eastAsia="zh-CN"/>
        </w:rPr>
        <w:t>恶臭气体，</w:t>
      </w:r>
      <w:r>
        <w:rPr>
          <w:rFonts w:ascii="宋体" w:hAnsi="宋体" w:eastAsia="宋体" w:cs="宋体"/>
          <w:lang w:eastAsia="zh-CN"/>
        </w:rPr>
        <w:t>抽风集气系统效率以9</w:t>
      </w:r>
      <w:r>
        <w:rPr>
          <w:rFonts w:hint="eastAsia" w:ascii="宋体" w:hAnsi="宋体" w:eastAsia="宋体" w:cs="宋体"/>
          <w:lang w:eastAsia="zh-CN"/>
        </w:rPr>
        <w:t>9</w:t>
      </w:r>
      <w:r>
        <w:rPr>
          <w:rFonts w:ascii="宋体" w:hAnsi="宋体" w:eastAsia="宋体" w:cs="宋体"/>
          <w:lang w:eastAsia="zh-CN"/>
        </w:rPr>
        <w:t>%计。</w:t>
      </w:r>
      <w:r>
        <w:rPr>
          <w:rFonts w:hint="eastAsia" w:ascii="宋体" w:hAnsi="宋体" w:eastAsia="宋体" w:cs="宋体"/>
          <w:lang w:eastAsia="zh-CN"/>
        </w:rPr>
        <w:t>根据</w:t>
      </w:r>
      <w:r>
        <w:rPr>
          <w:rFonts w:ascii="宋体" w:hAnsi="宋体" w:eastAsia="宋体" w:cs="宋体"/>
          <w:lang w:eastAsia="zh-CN"/>
        </w:rPr>
        <w:t>生活垃圾填埋场恶臭污染物产生量的测算方法估算本工程污泥产生的</w:t>
      </w:r>
      <w:r>
        <w:rPr>
          <w:rFonts w:hint="eastAsia" w:ascii="宋体" w:hAnsi="宋体" w:eastAsia="宋体" w:cs="宋体"/>
          <w:lang w:eastAsia="zh-CN"/>
        </w:rPr>
        <w:t>无组织</w:t>
      </w:r>
      <w:r>
        <w:rPr>
          <w:rFonts w:ascii="宋体" w:hAnsi="宋体" w:eastAsia="宋体" w:cs="宋体"/>
          <w:lang w:eastAsia="zh-CN"/>
        </w:rPr>
        <w:t>恶臭气体，参照</w:t>
      </w:r>
      <w:r>
        <w:rPr>
          <w:rFonts w:hint="eastAsia" w:ascii="宋体" w:hAnsi="宋体" w:eastAsia="宋体" w:cs="宋体"/>
          <w:lang w:eastAsia="zh-CN"/>
        </w:rPr>
        <w:t>文献《城市卫生垃圾填埋场废气产生量及污染因子的确定》（闵一珏 朱韶峰），</w:t>
      </w:r>
      <w:r>
        <w:rPr>
          <w:rFonts w:ascii="宋体" w:hAnsi="宋体" w:eastAsia="宋体" w:cs="宋体"/>
          <w:lang w:eastAsia="zh-CN"/>
        </w:rPr>
        <w:t>恶臭气体</w:t>
      </w:r>
      <w:r>
        <w:rPr>
          <w:rFonts w:hint="eastAsia" w:ascii="宋体" w:hAnsi="宋体" w:eastAsia="宋体" w:cs="宋体"/>
          <w:lang w:eastAsia="zh-CN"/>
        </w:rPr>
        <w:t>无组织</w:t>
      </w:r>
      <w:r>
        <w:rPr>
          <w:rFonts w:ascii="宋体" w:hAnsi="宋体" w:eastAsia="宋体" w:cs="宋体"/>
          <w:lang w:eastAsia="zh-CN"/>
        </w:rPr>
        <w:t>排放源强见表</w:t>
      </w:r>
      <w:r>
        <w:rPr>
          <w:rFonts w:hint="eastAsia" w:ascii="宋体" w:hAnsi="宋体" w:eastAsia="宋体" w:cs="宋体"/>
          <w:lang w:eastAsia="zh-CN"/>
        </w:rPr>
        <w:t>3.8-3</w:t>
      </w:r>
      <w:r>
        <w:rPr>
          <w:rFonts w:ascii="宋体" w:hAnsi="宋体" w:eastAsia="宋体" w:cs="宋体"/>
          <w:lang w:eastAsia="zh-CN"/>
        </w:rPr>
        <w:t>。</w:t>
      </w:r>
    </w:p>
    <w:p>
      <w:pPr>
        <w:pStyle w:val="13"/>
        <w:spacing w:line="370" w:lineRule="exact"/>
        <w:ind w:left="-284"/>
        <w:jc w:val="center"/>
        <w:rPr>
          <w:rFonts w:ascii="宋体" w:hAnsi="宋体" w:cs="宋体"/>
          <w:b/>
          <w:sz w:val="24"/>
          <w:szCs w:val="24"/>
          <w:lang w:eastAsia="zh-CN"/>
        </w:rPr>
      </w:pPr>
      <w:r>
        <w:rPr>
          <w:rFonts w:ascii="宋体" w:hAnsi="宋体" w:cs="宋体"/>
          <w:b/>
          <w:sz w:val="24"/>
          <w:szCs w:val="24"/>
          <w:lang w:eastAsia="zh-CN"/>
        </w:rPr>
        <w:t>表</w:t>
      </w:r>
      <w:r>
        <w:rPr>
          <w:rFonts w:hint="eastAsia" w:ascii="宋体" w:hAnsi="宋体" w:cs="宋体"/>
          <w:b/>
          <w:sz w:val="24"/>
          <w:szCs w:val="24"/>
          <w:lang w:eastAsia="zh-CN"/>
        </w:rPr>
        <w:t>3.8-1</w:t>
      </w:r>
      <w:r>
        <w:rPr>
          <w:rFonts w:ascii="宋体" w:hAnsi="宋体" w:cs="宋体"/>
          <w:b/>
          <w:sz w:val="24"/>
          <w:szCs w:val="24"/>
          <w:lang w:eastAsia="zh-CN"/>
        </w:rPr>
        <w:t xml:space="preserve"> 本项目污泥储存废气污染物产生系数</w:t>
      </w:r>
    </w:p>
    <w:tbl>
      <w:tblPr>
        <w:tblStyle w:val="30"/>
        <w:tblW w:w="0" w:type="auto"/>
        <w:tblInd w:w="10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65"/>
        <w:gridCol w:w="2694"/>
        <w:gridCol w:w="2694"/>
        <w:gridCol w:w="25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365" w:type="dxa"/>
            <w:vAlign w:val="center"/>
          </w:tcPr>
          <w:p>
            <w:pPr>
              <w:pStyle w:val="62"/>
              <w:jc w:val="center"/>
              <w:rPr>
                <w:rFonts w:ascii="宋体" w:hAnsi="宋体" w:eastAsia="宋体" w:cs="宋体"/>
                <w:b/>
                <w:sz w:val="20"/>
                <w:szCs w:val="20"/>
                <w:lang w:eastAsia="zh-CN"/>
              </w:rPr>
            </w:pPr>
            <w:r>
              <w:rPr>
                <w:rFonts w:ascii="宋体" w:hAnsi="宋体" w:eastAsia="宋体" w:cs="宋体"/>
                <w:b/>
                <w:sz w:val="20"/>
                <w:szCs w:val="20"/>
                <w:lang w:eastAsia="zh-CN"/>
              </w:rPr>
              <w:t>污染源</w:t>
            </w:r>
          </w:p>
        </w:tc>
        <w:tc>
          <w:tcPr>
            <w:tcW w:w="2694" w:type="dxa"/>
            <w:vAlign w:val="center"/>
          </w:tcPr>
          <w:p>
            <w:pPr>
              <w:pStyle w:val="62"/>
              <w:jc w:val="center"/>
              <w:rPr>
                <w:rFonts w:ascii="宋体" w:hAnsi="宋体" w:eastAsia="宋体" w:cs="宋体"/>
                <w:b/>
                <w:sz w:val="20"/>
                <w:szCs w:val="20"/>
                <w:lang w:eastAsia="zh-CN"/>
              </w:rPr>
            </w:pPr>
            <w:r>
              <w:rPr>
                <w:rFonts w:hint="eastAsia" w:ascii="宋体" w:hAnsi="宋体" w:eastAsia="宋体" w:cs="宋体"/>
                <w:b/>
                <w:sz w:val="20"/>
                <w:szCs w:val="20"/>
                <w:lang w:eastAsia="zh-CN"/>
              </w:rPr>
              <w:t>温度</w:t>
            </w:r>
          </w:p>
        </w:tc>
        <w:tc>
          <w:tcPr>
            <w:tcW w:w="2694" w:type="dxa"/>
            <w:vAlign w:val="center"/>
          </w:tcPr>
          <w:p>
            <w:pPr>
              <w:pStyle w:val="62"/>
              <w:jc w:val="center"/>
              <w:rPr>
                <w:rFonts w:ascii="宋体" w:hAnsi="宋体" w:eastAsia="宋体" w:cs="宋体"/>
                <w:b/>
                <w:sz w:val="20"/>
                <w:szCs w:val="20"/>
                <w:lang w:eastAsia="zh-CN"/>
              </w:rPr>
            </w:pPr>
            <w:r>
              <w:rPr>
                <w:rFonts w:ascii="宋体" w:hAnsi="宋体" w:eastAsia="宋体" w:cs="宋体"/>
                <w:b/>
                <w:sz w:val="20"/>
                <w:szCs w:val="20"/>
                <w:lang w:eastAsia="zh-CN"/>
              </w:rPr>
              <w:t>NH3（g/t 垃圾·a）</w:t>
            </w:r>
          </w:p>
        </w:tc>
        <w:tc>
          <w:tcPr>
            <w:tcW w:w="2557" w:type="dxa"/>
            <w:vAlign w:val="center"/>
          </w:tcPr>
          <w:p>
            <w:pPr>
              <w:pStyle w:val="62"/>
              <w:jc w:val="center"/>
              <w:rPr>
                <w:rFonts w:ascii="宋体" w:hAnsi="宋体" w:eastAsia="宋体" w:cs="宋体"/>
                <w:b/>
                <w:sz w:val="20"/>
                <w:szCs w:val="20"/>
                <w:lang w:eastAsia="zh-CN"/>
              </w:rPr>
            </w:pPr>
            <w:r>
              <w:rPr>
                <w:rFonts w:ascii="宋体" w:hAnsi="宋体" w:eastAsia="宋体" w:cs="宋体"/>
                <w:b/>
                <w:sz w:val="20"/>
                <w:szCs w:val="20"/>
                <w:lang w:eastAsia="zh-CN"/>
              </w:rPr>
              <w:t>H2S（g/t 垃圾·a）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365" w:type="dxa"/>
            <w:vMerge w:val="restart"/>
            <w:vAlign w:val="center"/>
          </w:tcPr>
          <w:p>
            <w:pPr>
              <w:pStyle w:val="62"/>
              <w:jc w:val="center"/>
              <w:rPr>
                <w:rFonts w:ascii="宋体" w:hAnsi="宋体" w:eastAsia="宋体" w:cs="宋体"/>
                <w:sz w:val="20"/>
                <w:szCs w:val="20"/>
                <w:lang w:eastAsia="zh-CN"/>
              </w:rPr>
            </w:pPr>
          </w:p>
          <w:p>
            <w:pPr>
              <w:pStyle w:val="62"/>
              <w:jc w:val="center"/>
              <w:rPr>
                <w:rFonts w:ascii="宋体" w:hAnsi="宋体" w:eastAsia="宋体" w:cs="宋体"/>
                <w:sz w:val="20"/>
                <w:szCs w:val="20"/>
                <w:lang w:eastAsia="zh-CN"/>
              </w:rPr>
            </w:pPr>
            <w:r>
              <w:rPr>
                <w:rFonts w:ascii="宋体" w:hAnsi="宋体" w:eastAsia="宋体" w:cs="宋体"/>
                <w:sz w:val="20"/>
                <w:szCs w:val="20"/>
                <w:lang w:eastAsia="zh-CN"/>
              </w:rPr>
              <w:t>污泥储料仓</w:t>
            </w:r>
          </w:p>
        </w:tc>
        <w:tc>
          <w:tcPr>
            <w:tcW w:w="2694" w:type="dxa"/>
            <w:vAlign w:val="center"/>
          </w:tcPr>
          <w:p>
            <w:pPr>
              <w:pStyle w:val="62"/>
              <w:tabs>
                <w:tab w:val="left" w:pos="1230"/>
              </w:tabs>
              <w:jc w:val="center"/>
              <w:rPr>
                <w:rFonts w:ascii="宋体" w:hAnsi="宋体" w:eastAsia="宋体" w:cs="宋体"/>
                <w:sz w:val="20"/>
                <w:szCs w:val="20"/>
                <w:lang w:eastAsia="zh-CN"/>
              </w:rPr>
            </w:pPr>
            <w:r>
              <w:rPr>
                <w:rFonts w:hint="eastAsia" w:ascii="宋体" w:hAnsi="宋体" w:eastAsia="宋体" w:cs="宋体"/>
                <w:sz w:val="20"/>
                <w:szCs w:val="20"/>
                <w:lang w:eastAsia="zh-CN"/>
              </w:rPr>
              <w:t>10</w:t>
            </w:r>
          </w:p>
        </w:tc>
        <w:tc>
          <w:tcPr>
            <w:tcW w:w="2694" w:type="dxa"/>
            <w:vAlign w:val="center"/>
          </w:tcPr>
          <w:p>
            <w:pPr>
              <w:pStyle w:val="62"/>
              <w:jc w:val="center"/>
              <w:rPr>
                <w:rFonts w:ascii="宋体" w:hAnsi="宋体" w:eastAsia="宋体" w:cs="宋体"/>
                <w:sz w:val="20"/>
                <w:szCs w:val="20"/>
                <w:lang w:eastAsia="zh-CN"/>
              </w:rPr>
            </w:pPr>
            <w:r>
              <w:rPr>
                <w:rFonts w:ascii="宋体" w:hAnsi="宋体" w:eastAsia="宋体" w:cs="宋体"/>
                <w:sz w:val="20"/>
                <w:szCs w:val="20"/>
                <w:lang w:eastAsia="zh-CN"/>
              </w:rPr>
              <w:t>60.59</w:t>
            </w:r>
          </w:p>
        </w:tc>
        <w:tc>
          <w:tcPr>
            <w:tcW w:w="2557" w:type="dxa"/>
            <w:vAlign w:val="center"/>
          </w:tcPr>
          <w:p>
            <w:pPr>
              <w:pStyle w:val="62"/>
              <w:jc w:val="center"/>
              <w:rPr>
                <w:rFonts w:ascii="宋体" w:hAnsi="宋体" w:eastAsia="宋体" w:cs="宋体"/>
                <w:sz w:val="20"/>
                <w:szCs w:val="20"/>
                <w:lang w:eastAsia="zh-CN"/>
              </w:rPr>
            </w:pPr>
            <w:r>
              <w:rPr>
                <w:rFonts w:ascii="宋体" w:hAnsi="宋体" w:eastAsia="宋体" w:cs="宋体"/>
                <w:sz w:val="20"/>
                <w:szCs w:val="20"/>
                <w:lang w:eastAsia="zh-CN"/>
              </w:rPr>
              <w:t>6.20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1365" w:type="dxa"/>
            <w:vMerge w:val="continue"/>
            <w:vAlign w:val="center"/>
          </w:tcPr>
          <w:p>
            <w:pPr>
              <w:spacing w:after="0" w:line="240" w:lineRule="auto"/>
              <w:jc w:val="center"/>
              <w:rPr>
                <w:rFonts w:ascii="宋体" w:hAnsi="宋体" w:cs="宋体"/>
                <w:sz w:val="20"/>
                <w:szCs w:val="20"/>
                <w:lang w:eastAsia="zh-CN"/>
              </w:rPr>
            </w:pPr>
          </w:p>
        </w:tc>
        <w:tc>
          <w:tcPr>
            <w:tcW w:w="2694" w:type="dxa"/>
            <w:vAlign w:val="center"/>
          </w:tcPr>
          <w:p>
            <w:pPr>
              <w:pStyle w:val="62"/>
              <w:jc w:val="center"/>
              <w:rPr>
                <w:rFonts w:ascii="宋体" w:hAnsi="宋体" w:eastAsia="宋体" w:cs="宋体"/>
                <w:sz w:val="20"/>
                <w:szCs w:val="20"/>
                <w:lang w:eastAsia="zh-CN"/>
              </w:rPr>
            </w:pPr>
            <w:r>
              <w:rPr>
                <w:rFonts w:hint="eastAsia" w:ascii="宋体" w:hAnsi="宋体" w:eastAsia="宋体" w:cs="宋体"/>
                <w:sz w:val="20"/>
                <w:szCs w:val="20"/>
                <w:lang w:eastAsia="zh-CN"/>
              </w:rPr>
              <w:t>30</w:t>
            </w:r>
          </w:p>
          <w:p>
            <w:pPr>
              <w:pStyle w:val="62"/>
              <w:jc w:val="center"/>
              <w:rPr>
                <w:rFonts w:ascii="宋体" w:hAnsi="宋体" w:eastAsia="宋体" w:cs="宋体"/>
                <w:sz w:val="20"/>
                <w:szCs w:val="20"/>
                <w:lang w:eastAsia="zh-CN"/>
              </w:rPr>
            </w:pPr>
          </w:p>
        </w:tc>
        <w:tc>
          <w:tcPr>
            <w:tcW w:w="2694" w:type="dxa"/>
            <w:vAlign w:val="center"/>
          </w:tcPr>
          <w:p>
            <w:pPr>
              <w:pStyle w:val="62"/>
              <w:jc w:val="center"/>
              <w:rPr>
                <w:rFonts w:ascii="宋体" w:hAnsi="宋体" w:eastAsia="宋体" w:cs="宋体"/>
                <w:sz w:val="20"/>
                <w:szCs w:val="20"/>
                <w:lang w:eastAsia="zh-CN"/>
              </w:rPr>
            </w:pPr>
            <w:r>
              <w:rPr>
                <w:rFonts w:ascii="宋体" w:hAnsi="宋体" w:eastAsia="宋体" w:cs="宋体"/>
                <w:sz w:val="20"/>
                <w:szCs w:val="20"/>
                <w:lang w:eastAsia="zh-CN"/>
              </w:rPr>
              <w:t>86.69</w:t>
            </w:r>
          </w:p>
        </w:tc>
        <w:tc>
          <w:tcPr>
            <w:tcW w:w="2557" w:type="dxa"/>
            <w:vAlign w:val="center"/>
          </w:tcPr>
          <w:p>
            <w:pPr>
              <w:pStyle w:val="62"/>
              <w:jc w:val="center"/>
              <w:rPr>
                <w:rFonts w:ascii="宋体" w:hAnsi="宋体" w:eastAsia="宋体" w:cs="宋体"/>
                <w:sz w:val="20"/>
                <w:szCs w:val="20"/>
                <w:lang w:eastAsia="zh-CN"/>
              </w:rPr>
            </w:pPr>
            <w:r>
              <w:rPr>
                <w:rFonts w:ascii="宋体" w:hAnsi="宋体" w:eastAsia="宋体" w:cs="宋体"/>
                <w:sz w:val="20"/>
                <w:szCs w:val="20"/>
                <w:lang w:eastAsia="zh-CN"/>
              </w:rPr>
              <w:t>8.87</w:t>
            </w:r>
          </w:p>
        </w:tc>
      </w:tr>
    </w:tbl>
    <w:p>
      <w:pPr>
        <w:pStyle w:val="13"/>
        <w:spacing w:line="389" w:lineRule="exact"/>
        <w:rPr>
          <w:rFonts w:ascii="宋体" w:hAnsi="宋体" w:cs="宋体"/>
          <w:sz w:val="24"/>
          <w:szCs w:val="24"/>
          <w:lang w:eastAsia="zh-CN"/>
        </w:rPr>
      </w:pPr>
      <w:r>
        <w:rPr>
          <w:rFonts w:hint="eastAsia" w:ascii="宋体" w:hAnsi="宋体" w:cs="宋体"/>
          <w:sz w:val="24"/>
          <w:szCs w:val="24"/>
          <w:lang w:eastAsia="zh-CN"/>
        </w:rPr>
        <w:t xml:space="preserve">    </w:t>
      </w:r>
      <w:r>
        <w:rPr>
          <w:rFonts w:ascii="宋体" w:hAnsi="宋体" w:cs="宋体"/>
          <w:sz w:val="24"/>
          <w:szCs w:val="24"/>
          <w:lang w:eastAsia="zh-CN"/>
        </w:rPr>
        <w:t>本项目污泥</w:t>
      </w:r>
      <w:r>
        <w:rPr>
          <w:rFonts w:hint="eastAsia" w:ascii="宋体" w:hAnsi="宋体" w:cs="宋体"/>
          <w:sz w:val="24"/>
          <w:szCs w:val="24"/>
          <w:lang w:eastAsia="zh-CN"/>
        </w:rPr>
        <w:t>罐体积为60m</w:t>
      </w:r>
      <w:r>
        <w:rPr>
          <w:rFonts w:hint="eastAsia" w:ascii="宋体" w:hAnsi="宋体" w:cs="宋体"/>
          <w:sz w:val="24"/>
          <w:szCs w:val="24"/>
          <w:vertAlign w:val="superscript"/>
          <w:lang w:eastAsia="zh-CN"/>
        </w:rPr>
        <w:t>3</w:t>
      </w:r>
      <w:r>
        <w:rPr>
          <w:rFonts w:ascii="宋体" w:hAnsi="宋体" w:cs="宋体"/>
          <w:sz w:val="24"/>
          <w:szCs w:val="24"/>
          <w:lang w:eastAsia="zh-CN"/>
        </w:rPr>
        <w:t>，</w:t>
      </w:r>
      <w:r>
        <w:rPr>
          <w:rFonts w:hint="eastAsia" w:ascii="宋体" w:hAnsi="宋体" w:cs="宋体"/>
          <w:sz w:val="24"/>
          <w:szCs w:val="24"/>
          <w:lang w:eastAsia="zh-CN"/>
        </w:rPr>
        <w:t>污泥储存温度为20 ℃</w:t>
      </w:r>
      <w:r>
        <w:rPr>
          <w:rFonts w:ascii="宋体" w:hAnsi="宋体" w:cs="宋体"/>
          <w:sz w:val="24"/>
          <w:szCs w:val="24"/>
          <w:lang w:eastAsia="zh-CN"/>
        </w:rPr>
        <w:t>恶臭气体产生系数按照</w:t>
      </w:r>
      <w:r>
        <w:rPr>
          <w:rFonts w:hint="eastAsia" w:ascii="宋体" w:hAnsi="宋体" w:cs="宋体"/>
          <w:sz w:val="24"/>
          <w:szCs w:val="24"/>
          <w:lang w:eastAsia="zh-CN"/>
        </w:rPr>
        <w:t>NH</w:t>
      </w:r>
      <w:r>
        <w:rPr>
          <w:rFonts w:hint="eastAsia" w:ascii="宋体" w:hAnsi="宋体" w:cs="宋体"/>
          <w:sz w:val="36"/>
          <w:szCs w:val="36"/>
          <w:vertAlign w:val="subscript"/>
          <w:lang w:eastAsia="zh-CN"/>
        </w:rPr>
        <w:t xml:space="preserve">3 </w:t>
      </w:r>
      <w:r>
        <w:rPr>
          <w:rFonts w:hint="eastAsia" w:ascii="宋体" w:hAnsi="宋体" w:cs="宋体"/>
          <w:sz w:val="24"/>
          <w:szCs w:val="24"/>
          <w:lang w:eastAsia="zh-CN"/>
        </w:rPr>
        <w:t>70g/t污泥.a,H</w:t>
      </w:r>
      <w:r>
        <w:rPr>
          <w:rFonts w:hint="eastAsia" w:ascii="宋体" w:hAnsi="宋体" w:cs="宋体"/>
          <w:sz w:val="36"/>
          <w:szCs w:val="36"/>
          <w:vertAlign w:val="subscript"/>
          <w:lang w:eastAsia="zh-CN"/>
        </w:rPr>
        <w:t>2</w:t>
      </w:r>
      <w:r>
        <w:rPr>
          <w:rFonts w:hint="eastAsia" w:ascii="宋体" w:hAnsi="宋体" w:cs="宋体"/>
          <w:sz w:val="24"/>
          <w:szCs w:val="24"/>
          <w:lang w:eastAsia="zh-CN"/>
        </w:rPr>
        <w:t>S 7g/t污泥.a</w:t>
      </w:r>
      <w:r>
        <w:rPr>
          <w:rFonts w:ascii="宋体" w:hAnsi="宋体" w:cs="宋体"/>
          <w:sz w:val="24"/>
          <w:szCs w:val="24"/>
          <w:lang w:eastAsia="zh-CN"/>
        </w:rPr>
        <w:t>考虑，抽风集气系统效率以 9</w:t>
      </w:r>
      <w:r>
        <w:rPr>
          <w:rFonts w:hint="eastAsia" w:ascii="宋体" w:hAnsi="宋体" w:cs="宋体"/>
          <w:sz w:val="24"/>
          <w:szCs w:val="24"/>
          <w:lang w:eastAsia="zh-CN"/>
        </w:rPr>
        <w:t>9</w:t>
      </w:r>
      <w:r>
        <w:rPr>
          <w:rFonts w:ascii="宋体" w:hAnsi="宋体" w:cs="宋体"/>
          <w:sz w:val="24"/>
          <w:szCs w:val="24"/>
          <w:lang w:eastAsia="zh-CN"/>
        </w:rPr>
        <w:t>%计，本项目污泥储存废气污染物有组织排 放源强参数见表</w:t>
      </w:r>
      <w:r>
        <w:rPr>
          <w:rFonts w:hint="eastAsia" w:ascii="宋体" w:hAnsi="宋体" w:cs="宋体"/>
          <w:sz w:val="24"/>
          <w:szCs w:val="24"/>
          <w:lang w:eastAsia="zh-CN"/>
        </w:rPr>
        <w:t>3.8-2</w:t>
      </w:r>
      <w:r>
        <w:rPr>
          <w:rFonts w:ascii="宋体" w:hAnsi="宋体" w:cs="宋体"/>
          <w:sz w:val="24"/>
          <w:szCs w:val="24"/>
          <w:lang w:eastAsia="zh-CN"/>
        </w:rPr>
        <w:t>。</w:t>
      </w:r>
    </w:p>
    <w:p>
      <w:pPr>
        <w:pStyle w:val="13"/>
        <w:spacing w:line="370" w:lineRule="exact"/>
        <w:ind w:left="-284"/>
        <w:jc w:val="center"/>
        <w:rPr>
          <w:rFonts w:ascii="宋体" w:hAnsi="宋体" w:cs="宋体"/>
          <w:b/>
          <w:sz w:val="24"/>
          <w:szCs w:val="24"/>
          <w:lang w:eastAsia="zh-CN"/>
        </w:rPr>
      </w:pPr>
    </w:p>
    <w:p>
      <w:pPr>
        <w:pStyle w:val="13"/>
        <w:spacing w:line="370" w:lineRule="exact"/>
        <w:ind w:left="-284"/>
        <w:jc w:val="center"/>
        <w:rPr>
          <w:rFonts w:ascii="宋体" w:hAnsi="宋体" w:cs="宋体"/>
          <w:b/>
          <w:sz w:val="24"/>
          <w:szCs w:val="24"/>
          <w:lang w:eastAsia="zh-CN"/>
        </w:rPr>
      </w:pPr>
      <w:r>
        <w:rPr>
          <w:rFonts w:ascii="宋体" w:hAnsi="宋体" w:cs="宋体"/>
          <w:b/>
          <w:sz w:val="24"/>
          <w:szCs w:val="24"/>
          <w:lang w:eastAsia="zh-CN"/>
        </w:rPr>
        <w:t>表</w:t>
      </w:r>
      <w:r>
        <w:rPr>
          <w:rFonts w:hint="eastAsia" w:ascii="宋体" w:hAnsi="宋体" w:cs="宋体"/>
          <w:b/>
          <w:sz w:val="24"/>
          <w:szCs w:val="24"/>
          <w:lang w:eastAsia="zh-CN"/>
        </w:rPr>
        <w:t>3.8-2</w:t>
      </w:r>
      <w:r>
        <w:rPr>
          <w:rFonts w:ascii="宋体" w:hAnsi="宋体" w:cs="宋体"/>
          <w:b/>
          <w:sz w:val="24"/>
          <w:szCs w:val="24"/>
          <w:lang w:eastAsia="zh-CN"/>
        </w:rPr>
        <w:t xml:space="preserve"> 本项目污泥储存废气污染物有组织排放源强表</w:t>
      </w:r>
    </w:p>
    <w:tbl>
      <w:tblPr>
        <w:tblStyle w:val="30"/>
        <w:tblW w:w="0" w:type="auto"/>
        <w:tblInd w:w="10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816"/>
        <w:gridCol w:w="1976"/>
        <w:gridCol w:w="2249"/>
        <w:gridCol w:w="224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4" w:hRule="exact"/>
        </w:trPr>
        <w:tc>
          <w:tcPr>
            <w:tcW w:w="2816" w:type="dxa"/>
            <w:vAlign w:val="center"/>
          </w:tcPr>
          <w:p>
            <w:pPr>
              <w:pStyle w:val="62"/>
              <w:jc w:val="center"/>
              <w:rPr>
                <w:rFonts w:ascii="宋体" w:hAnsi="宋体" w:eastAsia="宋体" w:cs="宋体"/>
                <w:b/>
                <w:sz w:val="21"/>
                <w:szCs w:val="21"/>
              </w:rPr>
            </w:pPr>
            <w:r>
              <w:rPr>
                <w:rFonts w:ascii="宋体" w:hAnsi="宋体" w:eastAsia="宋体" w:cs="宋体"/>
                <w:b/>
                <w:sz w:val="21"/>
                <w:szCs w:val="21"/>
              </w:rPr>
              <w:t>污染源</w:t>
            </w:r>
          </w:p>
        </w:tc>
        <w:tc>
          <w:tcPr>
            <w:tcW w:w="1976" w:type="dxa"/>
            <w:vAlign w:val="center"/>
          </w:tcPr>
          <w:p>
            <w:pPr>
              <w:pStyle w:val="62"/>
              <w:jc w:val="center"/>
              <w:rPr>
                <w:rFonts w:ascii="宋体" w:hAnsi="宋体" w:eastAsia="宋体" w:cs="宋体"/>
                <w:b/>
                <w:sz w:val="21"/>
                <w:szCs w:val="21"/>
              </w:rPr>
            </w:pPr>
            <w:r>
              <w:rPr>
                <w:rFonts w:ascii="宋体" w:hAnsi="宋体" w:eastAsia="宋体" w:cs="宋体"/>
                <w:b/>
                <w:sz w:val="21"/>
                <w:szCs w:val="21"/>
              </w:rPr>
              <w:t>废气</w:t>
            </w:r>
            <w:r>
              <w:rPr>
                <w:rFonts w:hint="eastAsia" w:ascii="宋体" w:hAnsi="宋体" w:eastAsia="宋体" w:cs="宋体"/>
                <w:b/>
                <w:sz w:val="21"/>
                <w:szCs w:val="21"/>
              </w:rPr>
              <w:t>量</w:t>
            </w:r>
          </w:p>
          <w:p>
            <w:pPr>
              <w:pStyle w:val="62"/>
              <w:jc w:val="center"/>
              <w:rPr>
                <w:rFonts w:ascii="宋体" w:hAnsi="宋体" w:eastAsia="宋体" w:cs="宋体"/>
                <w:b/>
                <w:sz w:val="21"/>
                <w:szCs w:val="21"/>
              </w:rPr>
            </w:pPr>
            <w:r>
              <w:rPr>
                <w:rFonts w:ascii="宋体" w:hAnsi="宋体" w:eastAsia="宋体" w:cs="宋体"/>
                <w:b/>
                <w:sz w:val="21"/>
                <w:szCs w:val="21"/>
              </w:rPr>
              <w:t>（m</w:t>
            </w:r>
            <w:r>
              <w:rPr>
                <w:rFonts w:ascii="宋体" w:hAnsi="宋体" w:eastAsia="宋体" w:cs="宋体"/>
                <w:b/>
                <w:sz w:val="21"/>
                <w:szCs w:val="21"/>
                <w:vertAlign w:val="superscript"/>
              </w:rPr>
              <w:t>3</w:t>
            </w:r>
            <w:r>
              <w:rPr>
                <w:rFonts w:ascii="宋体" w:hAnsi="宋体" w:eastAsia="宋体" w:cs="宋体"/>
                <w:b/>
                <w:sz w:val="21"/>
                <w:szCs w:val="21"/>
              </w:rPr>
              <w:t>/h）</w:t>
            </w:r>
          </w:p>
        </w:tc>
        <w:tc>
          <w:tcPr>
            <w:tcW w:w="2249" w:type="dxa"/>
            <w:vAlign w:val="center"/>
          </w:tcPr>
          <w:p>
            <w:pPr>
              <w:pStyle w:val="62"/>
              <w:jc w:val="center"/>
              <w:rPr>
                <w:rFonts w:ascii="宋体" w:hAnsi="宋体" w:eastAsia="宋体" w:cs="宋体"/>
                <w:b/>
                <w:sz w:val="21"/>
                <w:szCs w:val="21"/>
              </w:rPr>
            </w:pPr>
            <w:r>
              <w:rPr>
                <w:rFonts w:ascii="宋体" w:hAnsi="宋体" w:eastAsia="宋体" w:cs="宋体"/>
                <w:b/>
                <w:sz w:val="21"/>
                <w:szCs w:val="21"/>
              </w:rPr>
              <w:t>H</w:t>
            </w:r>
            <w:r>
              <w:rPr>
                <w:rFonts w:ascii="宋体" w:hAnsi="宋体" w:eastAsia="宋体" w:cs="宋体"/>
                <w:b/>
                <w:sz w:val="21"/>
                <w:szCs w:val="21"/>
                <w:vertAlign w:val="subscript"/>
              </w:rPr>
              <w:t>2</w:t>
            </w:r>
            <w:r>
              <w:rPr>
                <w:rFonts w:ascii="宋体" w:hAnsi="宋体" w:eastAsia="宋体" w:cs="宋体"/>
                <w:b/>
                <w:sz w:val="21"/>
                <w:szCs w:val="21"/>
              </w:rPr>
              <w:t>S 产生量</w:t>
            </w:r>
          </w:p>
          <w:p>
            <w:pPr>
              <w:pStyle w:val="62"/>
              <w:jc w:val="center"/>
              <w:rPr>
                <w:rFonts w:ascii="宋体" w:hAnsi="宋体" w:eastAsia="宋体" w:cs="宋体"/>
                <w:b/>
                <w:sz w:val="21"/>
                <w:szCs w:val="21"/>
              </w:rPr>
            </w:pPr>
            <w:r>
              <w:rPr>
                <w:rFonts w:ascii="宋体" w:hAnsi="宋体" w:eastAsia="宋体" w:cs="宋体"/>
                <w:b/>
                <w:sz w:val="21"/>
                <w:szCs w:val="21"/>
              </w:rPr>
              <w:t>（kg/h）</w:t>
            </w:r>
          </w:p>
        </w:tc>
        <w:tc>
          <w:tcPr>
            <w:tcW w:w="2247" w:type="dxa"/>
            <w:vAlign w:val="center"/>
          </w:tcPr>
          <w:p>
            <w:pPr>
              <w:pStyle w:val="62"/>
              <w:jc w:val="center"/>
              <w:rPr>
                <w:rFonts w:ascii="宋体" w:hAnsi="宋体" w:eastAsia="宋体" w:cs="宋体"/>
                <w:b/>
                <w:sz w:val="21"/>
                <w:szCs w:val="21"/>
              </w:rPr>
            </w:pPr>
            <w:r>
              <w:rPr>
                <w:rFonts w:ascii="宋体" w:hAnsi="宋体" w:eastAsia="宋体" w:cs="宋体"/>
                <w:b/>
                <w:sz w:val="21"/>
                <w:szCs w:val="21"/>
              </w:rPr>
              <w:t>NH</w:t>
            </w:r>
            <w:r>
              <w:rPr>
                <w:rFonts w:ascii="宋体" w:hAnsi="宋体" w:eastAsia="宋体" w:cs="宋体"/>
                <w:b/>
                <w:sz w:val="21"/>
                <w:szCs w:val="21"/>
                <w:vertAlign w:val="subscript"/>
              </w:rPr>
              <w:t>3</w:t>
            </w:r>
            <w:r>
              <w:rPr>
                <w:rFonts w:ascii="宋体" w:hAnsi="宋体" w:eastAsia="宋体" w:cs="宋体"/>
                <w:b/>
                <w:sz w:val="21"/>
                <w:szCs w:val="21"/>
              </w:rPr>
              <w:t xml:space="preserve"> 产生量</w:t>
            </w:r>
          </w:p>
          <w:p>
            <w:pPr>
              <w:pStyle w:val="62"/>
              <w:jc w:val="center"/>
              <w:rPr>
                <w:rFonts w:ascii="宋体" w:hAnsi="宋体" w:eastAsia="宋体" w:cs="宋体"/>
                <w:b/>
                <w:sz w:val="21"/>
                <w:szCs w:val="21"/>
              </w:rPr>
            </w:pPr>
            <w:r>
              <w:rPr>
                <w:rFonts w:ascii="宋体" w:hAnsi="宋体" w:eastAsia="宋体" w:cs="宋体"/>
                <w:b/>
                <w:sz w:val="21"/>
                <w:szCs w:val="21"/>
              </w:rPr>
              <w:t>（kg/h）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6" w:hRule="exact"/>
        </w:trPr>
        <w:tc>
          <w:tcPr>
            <w:tcW w:w="2816" w:type="dxa"/>
            <w:vAlign w:val="center"/>
          </w:tcPr>
          <w:p>
            <w:pPr>
              <w:pStyle w:val="62"/>
              <w:jc w:val="center"/>
              <w:rPr>
                <w:rFonts w:ascii="宋体" w:hAnsi="宋体" w:eastAsia="宋体" w:cs="宋体"/>
                <w:sz w:val="21"/>
                <w:szCs w:val="21"/>
              </w:rPr>
            </w:pPr>
            <w:r>
              <w:rPr>
                <w:rFonts w:ascii="宋体" w:hAnsi="宋体" w:eastAsia="宋体" w:cs="宋体"/>
                <w:sz w:val="21"/>
                <w:szCs w:val="21"/>
              </w:rPr>
              <w:t>污泥</w:t>
            </w:r>
            <w:r>
              <w:rPr>
                <w:rFonts w:ascii="宋体" w:hAnsi="宋体" w:eastAsia="宋体" w:cs="宋体"/>
                <w:spacing w:val="-3"/>
                <w:sz w:val="21"/>
                <w:szCs w:val="21"/>
              </w:rPr>
              <w:t>储</w:t>
            </w:r>
            <w:r>
              <w:rPr>
                <w:rFonts w:ascii="宋体" w:hAnsi="宋体" w:eastAsia="宋体" w:cs="宋体"/>
                <w:sz w:val="21"/>
                <w:szCs w:val="21"/>
              </w:rPr>
              <w:t>料仓</w:t>
            </w:r>
          </w:p>
        </w:tc>
        <w:tc>
          <w:tcPr>
            <w:tcW w:w="1976" w:type="dxa"/>
            <w:vAlign w:val="center"/>
          </w:tcPr>
          <w:p>
            <w:pPr>
              <w:pStyle w:val="62"/>
              <w:jc w:val="center"/>
              <w:rPr>
                <w:rFonts w:ascii="思源黑体 CN ExtraLight" w:hAnsi="思源黑体 CN ExtraLight" w:eastAsia="思源黑体 CN ExtraLight" w:cs="思源黑体 CN ExtraLight"/>
                <w:sz w:val="21"/>
                <w:szCs w:val="21"/>
              </w:rPr>
            </w:pPr>
            <w:r>
              <w:rPr>
                <w:rFonts w:ascii="思源黑体 CN ExtraLight" w:hAnsi="思源黑体 CN ExtraLight" w:eastAsia="思源黑体 CN ExtraLight" w:cs="思源黑体 CN ExtraLight"/>
                <w:w w:val="95"/>
                <w:sz w:val="21"/>
                <w:szCs w:val="21"/>
              </w:rPr>
              <w:t>10000</w:t>
            </w:r>
          </w:p>
        </w:tc>
        <w:tc>
          <w:tcPr>
            <w:tcW w:w="2249" w:type="dxa"/>
            <w:vAlign w:val="center"/>
          </w:tcPr>
          <w:p>
            <w:pPr>
              <w:pStyle w:val="62"/>
              <w:jc w:val="center"/>
              <w:rPr>
                <w:rFonts w:ascii="思源黑体 CN ExtraLight" w:hAnsi="思源黑体 CN ExtraLight" w:eastAsia="思源黑体 CN ExtraLight" w:cs="思源黑体 CN ExtraLight"/>
                <w:sz w:val="21"/>
                <w:szCs w:val="21"/>
              </w:rPr>
            </w:pPr>
            <w:r>
              <w:rPr>
                <w:rFonts w:hint="eastAsia" w:ascii="思源黑体 CN ExtraLight" w:hAnsi="思源黑体 CN ExtraLight" w:eastAsia="宋体" w:cs="思源黑体 CN ExtraLight"/>
                <w:w w:val="95"/>
                <w:sz w:val="21"/>
                <w:szCs w:val="21"/>
              </w:rPr>
              <w:t>0.42</w:t>
            </w:r>
            <w:r>
              <w:rPr>
                <w:rFonts w:ascii="思源黑体 CN ExtraLight" w:hAnsi="思源黑体 CN ExtraLight" w:eastAsia="思源黑体 CN ExtraLight" w:cs="思源黑体 CN ExtraLight"/>
                <w:spacing w:val="-8"/>
                <w:w w:val="95"/>
                <w:sz w:val="21"/>
                <w:szCs w:val="21"/>
              </w:rPr>
              <w:t xml:space="preserve"> </w:t>
            </w:r>
            <w:r>
              <w:rPr>
                <w:rFonts w:ascii="思源黑体 CN ExtraLight" w:hAnsi="思源黑体 CN ExtraLight" w:eastAsia="思源黑体 CN ExtraLight" w:cs="思源黑体 CN ExtraLight"/>
                <w:w w:val="95"/>
                <w:sz w:val="21"/>
                <w:szCs w:val="21"/>
              </w:rPr>
              <w:t>kg</w:t>
            </w:r>
            <w:r>
              <w:rPr>
                <w:rFonts w:ascii="思源黑体 CN ExtraLight" w:hAnsi="思源黑体 CN ExtraLight" w:eastAsia="思源黑体 CN ExtraLight" w:cs="思源黑体 CN ExtraLight"/>
                <w:spacing w:val="-3"/>
                <w:w w:val="95"/>
                <w:sz w:val="21"/>
                <w:szCs w:val="21"/>
              </w:rPr>
              <w:t>/</w:t>
            </w:r>
            <w:r>
              <w:rPr>
                <w:rFonts w:ascii="思源黑体 CN ExtraLight" w:hAnsi="思源黑体 CN ExtraLight" w:eastAsia="思源黑体 CN ExtraLight" w:cs="思源黑体 CN ExtraLight"/>
                <w:w w:val="95"/>
                <w:sz w:val="21"/>
                <w:szCs w:val="21"/>
              </w:rPr>
              <w:t>a</w:t>
            </w:r>
          </w:p>
        </w:tc>
        <w:tc>
          <w:tcPr>
            <w:tcW w:w="2247" w:type="dxa"/>
            <w:vAlign w:val="center"/>
          </w:tcPr>
          <w:p>
            <w:pPr>
              <w:pStyle w:val="62"/>
              <w:jc w:val="center"/>
              <w:rPr>
                <w:rFonts w:ascii="思源黑体 CN ExtraLight" w:hAnsi="思源黑体 CN ExtraLight" w:eastAsia="思源黑体 CN ExtraLight" w:cs="思源黑体 CN ExtraLight"/>
                <w:sz w:val="21"/>
                <w:szCs w:val="21"/>
              </w:rPr>
            </w:pPr>
            <w:r>
              <w:rPr>
                <w:rFonts w:hint="eastAsia" w:ascii="思源黑体 CN ExtraLight" w:hAnsi="思源黑体 CN ExtraLight" w:eastAsia="宋体" w:cs="思源黑体 CN ExtraLight"/>
                <w:w w:val="95"/>
                <w:sz w:val="21"/>
                <w:szCs w:val="21"/>
              </w:rPr>
              <w:t>4.2</w:t>
            </w:r>
            <w:r>
              <w:rPr>
                <w:rFonts w:ascii="思源黑体 CN ExtraLight" w:hAnsi="思源黑体 CN ExtraLight" w:eastAsia="思源黑体 CN ExtraLight" w:cs="思源黑体 CN ExtraLight"/>
                <w:spacing w:val="-8"/>
                <w:w w:val="95"/>
                <w:sz w:val="21"/>
                <w:szCs w:val="21"/>
              </w:rPr>
              <w:t xml:space="preserve"> </w:t>
            </w:r>
            <w:r>
              <w:rPr>
                <w:rFonts w:ascii="思源黑体 CN ExtraLight" w:hAnsi="思源黑体 CN ExtraLight" w:eastAsia="思源黑体 CN ExtraLight" w:cs="思源黑体 CN ExtraLight"/>
                <w:w w:val="95"/>
                <w:sz w:val="21"/>
                <w:szCs w:val="21"/>
              </w:rPr>
              <w:t>kg</w:t>
            </w:r>
            <w:r>
              <w:rPr>
                <w:rFonts w:ascii="思源黑体 CN ExtraLight" w:hAnsi="思源黑体 CN ExtraLight" w:eastAsia="思源黑体 CN ExtraLight" w:cs="思源黑体 CN ExtraLight"/>
                <w:spacing w:val="-3"/>
                <w:w w:val="95"/>
                <w:sz w:val="21"/>
                <w:szCs w:val="21"/>
              </w:rPr>
              <w:t>/</w:t>
            </w:r>
            <w:r>
              <w:rPr>
                <w:rFonts w:ascii="思源黑体 CN ExtraLight" w:hAnsi="思源黑体 CN ExtraLight" w:eastAsia="思源黑体 CN ExtraLight" w:cs="思源黑体 CN ExtraLight"/>
                <w:w w:val="95"/>
                <w:sz w:val="21"/>
                <w:szCs w:val="21"/>
              </w:rPr>
              <w:t>a</w:t>
            </w:r>
          </w:p>
        </w:tc>
      </w:tr>
    </w:tbl>
    <w:p>
      <w:pPr>
        <w:pStyle w:val="27"/>
        <w:shd w:val="clear" w:color="auto" w:fill="FFFFFF"/>
        <w:spacing w:before="0" w:beforeAutospacing="0" w:after="0" w:afterAutospacing="0" w:line="360" w:lineRule="auto"/>
        <w:ind w:right="-194" w:firstLine="480" w:firstLineChars="200"/>
        <w:rPr>
          <w:rFonts w:ascii="宋体" w:hAnsi="宋体" w:eastAsia="宋体" w:cs="宋体"/>
          <w:lang w:eastAsia="zh-CN"/>
        </w:rPr>
      </w:pPr>
    </w:p>
    <w:p>
      <w:pPr>
        <w:pStyle w:val="13"/>
        <w:spacing w:line="370" w:lineRule="exact"/>
        <w:ind w:left="-284"/>
        <w:jc w:val="center"/>
        <w:rPr>
          <w:rFonts w:ascii="宋体" w:hAnsi="宋体" w:cs="宋体"/>
          <w:b/>
          <w:sz w:val="24"/>
          <w:szCs w:val="24"/>
          <w:lang w:eastAsia="zh-CN"/>
        </w:rPr>
      </w:pPr>
      <w:r>
        <w:rPr>
          <w:rFonts w:ascii="宋体" w:hAnsi="宋体" w:cs="宋体"/>
          <w:b/>
          <w:sz w:val="24"/>
          <w:szCs w:val="24"/>
          <w:lang w:eastAsia="zh-CN"/>
        </w:rPr>
        <w:t>表</w:t>
      </w:r>
      <w:r>
        <w:rPr>
          <w:rFonts w:hint="eastAsia" w:ascii="宋体" w:hAnsi="宋体" w:cs="宋体"/>
          <w:b/>
          <w:sz w:val="24"/>
          <w:szCs w:val="24"/>
          <w:lang w:eastAsia="zh-CN"/>
        </w:rPr>
        <w:t>3.8-3</w:t>
      </w:r>
      <w:r>
        <w:rPr>
          <w:rFonts w:ascii="宋体" w:hAnsi="宋体" w:cs="宋体"/>
          <w:b/>
          <w:sz w:val="24"/>
          <w:szCs w:val="24"/>
          <w:lang w:eastAsia="zh-CN"/>
        </w:rPr>
        <w:t>本项目恶臭气体无组织排放源参数</w:t>
      </w:r>
    </w:p>
    <w:tbl>
      <w:tblPr>
        <w:tblStyle w:val="30"/>
        <w:tblW w:w="90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507"/>
        <w:gridCol w:w="1502"/>
        <w:gridCol w:w="1526"/>
        <w:gridCol w:w="1522"/>
        <w:gridCol w:w="1507"/>
        <w:gridCol w:w="15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507"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污染源</w:t>
            </w:r>
          </w:p>
        </w:tc>
        <w:tc>
          <w:tcPr>
            <w:tcW w:w="1502"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污染物</w:t>
            </w:r>
          </w:p>
        </w:tc>
        <w:tc>
          <w:tcPr>
            <w:tcW w:w="1526"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排放源强</w:t>
            </w:r>
            <w:r>
              <w:rPr>
                <w:rFonts w:hint="eastAsia" w:ascii="宋体" w:hAnsi="宋体" w:eastAsia="宋体" w:cs="宋体"/>
                <w:b/>
                <w:color w:val="000000"/>
                <w:sz w:val="21"/>
                <w:szCs w:val="21"/>
                <w:lang w:val="en-US" w:eastAsia="en-US" w:bidi="en-US"/>
              </w:rPr>
              <w:t>(kg/h)</w:t>
            </w:r>
          </w:p>
        </w:tc>
        <w:tc>
          <w:tcPr>
            <w:tcW w:w="1522"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排放量</w:t>
            </w:r>
            <w:r>
              <w:rPr>
                <w:rFonts w:hint="eastAsia" w:ascii="宋体" w:hAnsi="宋体" w:eastAsia="宋体" w:cs="宋体"/>
                <w:b/>
                <w:color w:val="000000"/>
                <w:sz w:val="21"/>
                <w:szCs w:val="21"/>
                <w:lang w:val="en-US" w:eastAsia="en-US" w:bidi="en-US"/>
              </w:rPr>
              <w:t>(t/a)</w:t>
            </w:r>
          </w:p>
        </w:tc>
        <w:tc>
          <w:tcPr>
            <w:tcW w:w="1507"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面源面积</w:t>
            </w:r>
            <w:r>
              <w:rPr>
                <w:rFonts w:hint="eastAsia" w:ascii="宋体" w:hAnsi="宋体" w:eastAsia="宋体" w:cs="宋体"/>
                <w:b/>
                <w:color w:val="000000"/>
                <w:sz w:val="21"/>
                <w:szCs w:val="21"/>
                <w:lang w:val="en-US" w:eastAsia="en-US" w:bidi="en-US"/>
              </w:rPr>
              <w:t>(m</w:t>
            </w:r>
            <w:r>
              <w:rPr>
                <w:rFonts w:hint="eastAsia" w:ascii="宋体" w:hAnsi="宋体" w:eastAsia="宋体" w:cs="宋体"/>
                <w:b/>
                <w:color w:val="000000"/>
                <w:sz w:val="21"/>
                <w:szCs w:val="21"/>
                <w:vertAlign w:val="superscript"/>
                <w:lang w:val="en-US" w:eastAsia="en-US" w:bidi="en-US"/>
              </w:rPr>
              <w:t>2</w:t>
            </w:r>
            <w:r>
              <w:rPr>
                <w:rFonts w:hint="eastAsia" w:ascii="宋体" w:hAnsi="宋体" w:eastAsia="宋体" w:cs="宋体"/>
                <w:b/>
                <w:color w:val="000000"/>
                <w:sz w:val="21"/>
                <w:szCs w:val="21"/>
                <w:lang w:val="en-US" w:eastAsia="en-US" w:bidi="en-US"/>
              </w:rPr>
              <w:t>)</w:t>
            </w:r>
          </w:p>
        </w:tc>
        <w:tc>
          <w:tcPr>
            <w:tcW w:w="1512" w:type="dxa"/>
            <w:shd w:val="clear" w:color="auto" w:fill="FFFFFF"/>
            <w:vAlign w:val="center"/>
          </w:tcPr>
          <w:p>
            <w:pPr>
              <w:pStyle w:val="80"/>
              <w:spacing w:after="0" w:line="240" w:lineRule="auto"/>
              <w:jc w:val="center"/>
              <w:rPr>
                <w:rFonts w:ascii="宋体" w:hAnsi="宋体" w:eastAsia="宋体" w:cs="宋体"/>
                <w:b/>
                <w:sz w:val="21"/>
                <w:szCs w:val="21"/>
              </w:rPr>
            </w:pPr>
            <w:r>
              <w:rPr>
                <w:rFonts w:hint="eastAsia" w:ascii="宋体" w:hAnsi="宋体" w:eastAsia="宋体" w:cs="宋体"/>
                <w:b/>
                <w:color w:val="000000"/>
                <w:sz w:val="21"/>
                <w:szCs w:val="21"/>
              </w:rPr>
              <w:t>面源高度</w:t>
            </w:r>
            <w:r>
              <w:rPr>
                <w:rFonts w:hint="eastAsia" w:ascii="宋体" w:hAnsi="宋体" w:eastAsia="宋体" w:cs="宋体"/>
                <w:b/>
                <w:color w:val="000000"/>
                <w:sz w:val="21"/>
                <w:szCs w:val="21"/>
                <w:lang w:val="en-US" w:eastAsia="en-US" w:bidi="en-US"/>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507" w:type="dxa"/>
            <w:vMerge w:val="restart"/>
            <w:shd w:val="clear" w:color="auto" w:fill="FFFFFF"/>
            <w:vAlign w:val="center"/>
          </w:tcPr>
          <w:p>
            <w:pPr>
              <w:pStyle w:val="80"/>
              <w:spacing w:after="0" w:line="240" w:lineRule="auto"/>
              <w:jc w:val="center"/>
              <w:rPr>
                <w:rFonts w:ascii="宋体" w:hAnsi="宋体" w:eastAsia="宋体" w:cs="宋体"/>
                <w:sz w:val="21"/>
                <w:szCs w:val="21"/>
                <w:lang w:eastAsia="zh-CN"/>
              </w:rPr>
            </w:pPr>
            <w:r>
              <w:rPr>
                <w:rFonts w:hint="eastAsia" w:ascii="宋体" w:hAnsi="宋体" w:eastAsia="宋体" w:cs="宋体"/>
                <w:color w:val="000000"/>
                <w:sz w:val="21"/>
                <w:szCs w:val="21"/>
              </w:rPr>
              <w:t>湿污泥储</w:t>
            </w:r>
            <w:r>
              <w:rPr>
                <w:rFonts w:hint="eastAsia" w:ascii="宋体" w:hAnsi="宋体" w:eastAsia="宋体" w:cs="宋体"/>
                <w:color w:val="000000"/>
                <w:sz w:val="21"/>
                <w:szCs w:val="21"/>
                <w:lang w:eastAsia="zh-CN"/>
              </w:rPr>
              <w:t>罐库房</w:t>
            </w:r>
          </w:p>
        </w:tc>
        <w:tc>
          <w:tcPr>
            <w:tcW w:w="1502" w:type="dxa"/>
            <w:shd w:val="clear" w:color="auto" w:fill="FFFFFF"/>
            <w:vAlign w:val="center"/>
          </w:tcPr>
          <w:p>
            <w:pPr>
              <w:pStyle w:val="80"/>
              <w:spacing w:after="0" w:line="240" w:lineRule="auto"/>
              <w:jc w:val="center"/>
              <w:rPr>
                <w:rFonts w:ascii="宋体" w:hAnsi="宋体" w:eastAsia="宋体" w:cs="宋体"/>
                <w:sz w:val="21"/>
                <w:szCs w:val="21"/>
              </w:rPr>
            </w:pPr>
            <w:r>
              <w:rPr>
                <w:rFonts w:hint="eastAsia" w:ascii="宋体" w:hAnsi="宋体" w:eastAsia="宋体" w:cs="宋体"/>
                <w:color w:val="000000"/>
                <w:sz w:val="21"/>
                <w:szCs w:val="21"/>
                <w:lang w:val="en-US" w:eastAsia="en-US" w:bidi="en-US"/>
              </w:rPr>
              <w:t>NH3</w:t>
            </w:r>
          </w:p>
        </w:tc>
        <w:tc>
          <w:tcPr>
            <w:tcW w:w="1526" w:type="dxa"/>
            <w:shd w:val="clear" w:color="auto" w:fill="FFFFFF"/>
            <w:vAlign w:val="center"/>
          </w:tcPr>
          <w:p>
            <w:pPr>
              <w:pStyle w:val="80"/>
              <w:spacing w:after="0" w:line="240" w:lineRule="auto"/>
              <w:jc w:val="center"/>
              <w:rPr>
                <w:rFonts w:ascii="宋体" w:hAnsi="宋体" w:eastAsia="宋体" w:cs="宋体"/>
                <w:sz w:val="21"/>
                <w:szCs w:val="21"/>
                <w:lang w:val="en-US" w:eastAsia="zh-CN"/>
              </w:rPr>
            </w:pPr>
            <w:r>
              <w:rPr>
                <w:rFonts w:hint="eastAsia" w:ascii="宋体" w:hAnsi="宋体" w:eastAsia="宋体" w:cs="宋体"/>
                <w:color w:val="000000"/>
                <w:sz w:val="21"/>
                <w:szCs w:val="21"/>
                <w:lang w:val="en-US" w:eastAsia="en-US" w:bidi="en-US"/>
              </w:rPr>
              <w:t>0.000</w:t>
            </w:r>
            <w:r>
              <w:rPr>
                <w:rFonts w:hint="eastAsia" w:ascii="宋体" w:hAnsi="宋体" w:eastAsia="宋体" w:cs="宋体"/>
                <w:color w:val="000000"/>
                <w:sz w:val="21"/>
                <w:szCs w:val="21"/>
                <w:lang w:val="en-US" w:eastAsia="zh-CN" w:bidi="en-US"/>
              </w:rPr>
              <w:t>0048</w:t>
            </w:r>
          </w:p>
        </w:tc>
        <w:tc>
          <w:tcPr>
            <w:tcW w:w="1522" w:type="dxa"/>
            <w:shd w:val="clear" w:color="auto" w:fill="FFFFFF"/>
            <w:vAlign w:val="center"/>
          </w:tcPr>
          <w:p>
            <w:pPr>
              <w:pStyle w:val="80"/>
              <w:spacing w:after="0" w:line="240" w:lineRule="auto"/>
              <w:jc w:val="center"/>
              <w:rPr>
                <w:rFonts w:ascii="宋体" w:hAnsi="宋体" w:eastAsia="宋体" w:cs="宋体"/>
                <w:sz w:val="21"/>
                <w:szCs w:val="21"/>
                <w:lang w:val="en-US" w:eastAsia="zh-CN"/>
              </w:rPr>
            </w:pPr>
            <w:r>
              <w:rPr>
                <w:rFonts w:hint="eastAsia" w:ascii="宋体" w:hAnsi="宋体" w:eastAsia="宋体" w:cs="宋体"/>
                <w:color w:val="000000"/>
                <w:sz w:val="21"/>
                <w:szCs w:val="21"/>
                <w:lang w:val="en-US" w:eastAsia="en-US" w:bidi="en-US"/>
              </w:rPr>
              <w:t>0.00</w:t>
            </w:r>
            <w:r>
              <w:rPr>
                <w:rFonts w:hint="eastAsia" w:ascii="宋体" w:hAnsi="宋体" w:eastAsia="宋体" w:cs="宋体"/>
                <w:color w:val="000000"/>
                <w:sz w:val="21"/>
                <w:szCs w:val="21"/>
                <w:lang w:val="en-US" w:eastAsia="zh-CN" w:bidi="en-US"/>
              </w:rPr>
              <w:t>0042</w:t>
            </w:r>
          </w:p>
        </w:tc>
        <w:tc>
          <w:tcPr>
            <w:tcW w:w="1507" w:type="dxa"/>
            <w:vMerge w:val="restart"/>
            <w:shd w:val="clear" w:color="auto" w:fill="FFFFFF"/>
            <w:vAlign w:val="center"/>
          </w:tcPr>
          <w:p>
            <w:pPr>
              <w:pStyle w:val="80"/>
              <w:spacing w:after="0" w:line="240" w:lineRule="auto"/>
              <w:jc w:val="center"/>
              <w:rPr>
                <w:rFonts w:ascii="宋体" w:hAnsi="宋体" w:eastAsia="宋体" w:cs="宋体"/>
                <w:sz w:val="21"/>
                <w:szCs w:val="21"/>
              </w:rPr>
            </w:pPr>
            <w:r>
              <w:rPr>
                <w:rFonts w:hint="eastAsia" w:ascii="宋体" w:hAnsi="宋体" w:eastAsia="宋体" w:cs="宋体"/>
                <w:color w:val="000000"/>
                <w:sz w:val="21"/>
                <w:szCs w:val="21"/>
              </w:rPr>
              <w:t>20</w:t>
            </w:r>
          </w:p>
        </w:tc>
        <w:tc>
          <w:tcPr>
            <w:tcW w:w="1512" w:type="dxa"/>
            <w:vMerge w:val="restart"/>
            <w:shd w:val="clear" w:color="auto" w:fill="FFFFFF"/>
            <w:vAlign w:val="center"/>
          </w:tcPr>
          <w:p>
            <w:pPr>
              <w:pStyle w:val="80"/>
              <w:spacing w:after="0" w:line="240" w:lineRule="auto"/>
              <w:jc w:val="center"/>
              <w:rPr>
                <w:rFonts w:ascii="宋体" w:hAnsi="宋体" w:eastAsia="宋体" w:cs="宋体"/>
                <w:sz w:val="21"/>
                <w:szCs w:val="21"/>
              </w:rPr>
            </w:pPr>
            <w:r>
              <w:rPr>
                <w:rFonts w:hint="eastAsia" w:ascii="宋体" w:hAnsi="宋体" w:eastAsia="宋体" w:cs="宋体"/>
                <w:color w:val="00000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507" w:type="dxa"/>
            <w:vMerge w:val="continue"/>
            <w:shd w:val="clear" w:color="auto" w:fill="FFFFFF"/>
            <w:vAlign w:val="center"/>
          </w:tcPr>
          <w:p>
            <w:pPr>
              <w:spacing w:after="0" w:line="240" w:lineRule="auto"/>
              <w:jc w:val="center"/>
              <w:rPr>
                <w:rFonts w:ascii="宋体" w:hAnsi="宋体" w:cs="宋体"/>
                <w:sz w:val="21"/>
                <w:szCs w:val="21"/>
              </w:rPr>
            </w:pPr>
          </w:p>
        </w:tc>
        <w:tc>
          <w:tcPr>
            <w:tcW w:w="1502" w:type="dxa"/>
            <w:shd w:val="clear" w:color="auto" w:fill="FFFFFF"/>
            <w:vAlign w:val="center"/>
          </w:tcPr>
          <w:p>
            <w:pPr>
              <w:pStyle w:val="80"/>
              <w:spacing w:after="0" w:line="240" w:lineRule="auto"/>
              <w:jc w:val="center"/>
              <w:rPr>
                <w:rFonts w:ascii="宋体" w:hAnsi="宋体" w:eastAsia="宋体" w:cs="宋体"/>
                <w:sz w:val="21"/>
                <w:szCs w:val="21"/>
              </w:rPr>
            </w:pPr>
            <w:r>
              <w:rPr>
                <w:rFonts w:hint="eastAsia" w:ascii="宋体" w:hAnsi="宋体" w:eastAsia="宋体" w:cs="宋体"/>
                <w:color w:val="000000"/>
                <w:sz w:val="21"/>
                <w:szCs w:val="21"/>
                <w:lang w:val="en-US" w:eastAsia="en-US" w:bidi="en-US"/>
              </w:rPr>
              <w:t>H2S</w:t>
            </w:r>
          </w:p>
        </w:tc>
        <w:tc>
          <w:tcPr>
            <w:tcW w:w="1526" w:type="dxa"/>
            <w:shd w:val="clear" w:color="auto" w:fill="FFFFFF"/>
            <w:vAlign w:val="center"/>
          </w:tcPr>
          <w:p>
            <w:pPr>
              <w:pStyle w:val="80"/>
              <w:spacing w:after="0" w:line="240" w:lineRule="auto"/>
              <w:jc w:val="center"/>
              <w:rPr>
                <w:rFonts w:ascii="宋体" w:hAnsi="宋体" w:eastAsia="宋体" w:cs="宋体"/>
                <w:sz w:val="21"/>
                <w:szCs w:val="21"/>
                <w:lang w:val="en-US" w:eastAsia="zh-CN"/>
              </w:rPr>
            </w:pPr>
            <w:r>
              <w:rPr>
                <w:rFonts w:hint="eastAsia" w:ascii="宋体" w:hAnsi="宋体" w:eastAsia="宋体" w:cs="宋体"/>
                <w:color w:val="000000"/>
                <w:sz w:val="21"/>
                <w:szCs w:val="21"/>
                <w:lang w:val="en-US" w:eastAsia="en-US" w:bidi="en-US"/>
              </w:rPr>
              <w:t>0.00</w:t>
            </w:r>
            <w:r>
              <w:rPr>
                <w:rFonts w:hint="eastAsia" w:ascii="宋体" w:hAnsi="宋体" w:eastAsia="宋体" w:cs="宋体"/>
                <w:color w:val="000000"/>
                <w:sz w:val="21"/>
                <w:szCs w:val="21"/>
                <w:lang w:val="en-US" w:eastAsia="zh-CN" w:bidi="en-US"/>
              </w:rPr>
              <w:t>000048</w:t>
            </w:r>
          </w:p>
        </w:tc>
        <w:tc>
          <w:tcPr>
            <w:tcW w:w="1522" w:type="dxa"/>
            <w:shd w:val="clear" w:color="auto" w:fill="FFFFFF"/>
            <w:vAlign w:val="center"/>
          </w:tcPr>
          <w:p>
            <w:pPr>
              <w:pStyle w:val="80"/>
              <w:spacing w:after="0" w:line="240" w:lineRule="auto"/>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0.0000042</w:t>
            </w:r>
          </w:p>
        </w:tc>
        <w:tc>
          <w:tcPr>
            <w:tcW w:w="1507" w:type="dxa"/>
            <w:vMerge w:val="continue"/>
            <w:shd w:val="clear" w:color="auto" w:fill="FFFFFF"/>
            <w:vAlign w:val="center"/>
          </w:tcPr>
          <w:p>
            <w:pPr>
              <w:spacing w:after="0" w:line="240" w:lineRule="auto"/>
              <w:jc w:val="center"/>
              <w:rPr>
                <w:rFonts w:ascii="宋体" w:hAnsi="宋体" w:cs="宋体"/>
                <w:sz w:val="21"/>
                <w:szCs w:val="21"/>
              </w:rPr>
            </w:pPr>
          </w:p>
        </w:tc>
        <w:tc>
          <w:tcPr>
            <w:tcW w:w="1512" w:type="dxa"/>
            <w:vMerge w:val="continue"/>
            <w:shd w:val="clear" w:color="auto" w:fill="FFFFFF"/>
            <w:vAlign w:val="center"/>
          </w:tcPr>
          <w:p>
            <w:pPr>
              <w:spacing w:after="0" w:line="240" w:lineRule="auto"/>
              <w:jc w:val="center"/>
              <w:rPr>
                <w:rFonts w:ascii="宋体" w:hAnsi="宋体" w:cs="宋体"/>
                <w:sz w:val="21"/>
                <w:szCs w:val="21"/>
              </w:rPr>
            </w:pPr>
          </w:p>
        </w:tc>
      </w:tr>
    </w:tbl>
    <w:p>
      <w:pPr>
        <w:pStyle w:val="27"/>
        <w:shd w:val="clear" w:color="auto" w:fill="FFFFFF"/>
        <w:spacing w:beforeLines="100" w:beforeAutospacing="0" w:after="0" w:afterAutospacing="0" w:line="360" w:lineRule="auto"/>
        <w:rPr>
          <w:rFonts w:ascii="宋体" w:hAnsi="宋体" w:eastAsia="宋体" w:cs="宋体"/>
          <w:lang w:eastAsia="zh-CN"/>
        </w:rPr>
      </w:pPr>
      <w:r>
        <w:rPr>
          <w:rFonts w:hint="eastAsia" w:ascii="宋体" w:hAnsi="宋体" w:eastAsia="宋体" w:cs="宋体"/>
          <w:b/>
          <w:lang w:eastAsia="zh-CN"/>
        </w:rPr>
        <w:t>3.8.6 依托工程环保措施处理污泥干燥废气及焚烧烟气的可行性分析</w:t>
      </w:r>
    </w:p>
    <w:p>
      <w:pPr>
        <w:pStyle w:val="27"/>
        <w:shd w:val="clear" w:color="auto" w:fill="FFFFFF"/>
        <w:spacing w:before="0" w:beforeAutospacing="0" w:after="0" w:afterAutospacing="0" w:line="360" w:lineRule="auto"/>
        <w:ind w:right="-243"/>
        <w:rPr>
          <w:rFonts w:ascii="宋体" w:hAnsi="宋体" w:eastAsia="宋体" w:cs="宋体"/>
          <w:lang w:eastAsia="zh-CN"/>
        </w:rPr>
      </w:pPr>
      <w:r>
        <w:rPr>
          <w:rFonts w:hint="eastAsia" w:ascii="宋体" w:hAnsi="宋体" w:eastAsia="宋体" w:cs="宋体"/>
          <w:lang w:eastAsia="zh-CN"/>
        </w:rPr>
        <w:t xml:space="preserve">     华能岳阳电厂三期超超临界煤粉锅炉配备四场电除尘器（共用），1 套脱硝还原剂制备系统，1套选择性催化还原（SCR）脱硝反应系统、1 套石灰石-石膏湿法烟气脱硫系统（两台机组公用）等，最后通过 240米高烟囱排放到大气中。锅炉烟气处理设施余量较大。</w:t>
      </w:r>
    </w:p>
    <w:p>
      <w:pPr>
        <w:pStyle w:val="27"/>
        <w:shd w:val="clear" w:color="auto" w:fill="FFFFFF"/>
        <w:spacing w:before="0" w:beforeAutospacing="0" w:after="0" w:afterAutospacing="0" w:line="360" w:lineRule="auto"/>
        <w:ind w:right="-243"/>
        <w:rPr>
          <w:rFonts w:ascii="宋体" w:hAnsi="宋体" w:eastAsia="宋体" w:cs="宋体"/>
          <w:lang w:eastAsia="zh-CN"/>
        </w:rPr>
      </w:pPr>
      <w:r>
        <w:rPr>
          <w:rFonts w:hint="eastAsia" w:ascii="宋体" w:hAnsi="宋体" w:eastAsia="宋体" w:cs="宋体"/>
          <w:lang w:eastAsia="zh-CN"/>
        </w:rPr>
        <w:t xml:space="preserve">   （1）干燥烟气。干燥干燥系统的热烟气是从锅炉尾部烟气脱硝进口处烟道抽出，干燥后的烟气与污泥、废气一起回到锅炉炉膛焚烧后，经过脱硝除尘脱硫处理达标后排放。</w:t>
      </w:r>
    </w:p>
    <w:p>
      <w:pPr>
        <w:pStyle w:val="27"/>
        <w:shd w:val="clear" w:color="auto" w:fill="FFFFFF"/>
        <w:spacing w:after="0" w:line="360" w:lineRule="auto"/>
        <w:ind w:right="-243"/>
        <w:rPr>
          <w:rFonts w:ascii="宋体" w:hAnsi="宋体" w:eastAsia="宋体" w:cs="宋体"/>
          <w:color w:val="000000" w:themeColor="text1"/>
          <w:lang w:eastAsia="zh-CN"/>
        </w:rPr>
      </w:pPr>
      <w:r>
        <w:rPr>
          <w:rFonts w:hint="eastAsia" w:ascii="宋体" w:hAnsi="宋体" w:eastAsia="宋体" w:cs="宋体"/>
          <w:lang w:eastAsia="zh-CN"/>
        </w:rPr>
        <w:t xml:space="preserve">   （2）掺烧后烟气的产生量情况。项目设计工艺为三期超超临界煤粉炉掺烧干燥污泥、生物质。三期超超临界煤粉炉燃煤耗量为每小时458吨，供5、6号机组两台超超临界煤粉炉使用，两台机组负荷相同，</w:t>
      </w:r>
      <w:r>
        <w:rPr>
          <w:rFonts w:hint="eastAsia" w:ascii="宋体" w:hAnsi="宋体" w:eastAsia="宋体" w:cs="宋体"/>
          <w:u w:val="wave"/>
          <w:lang w:eastAsia="zh-CN"/>
        </w:rPr>
        <w:t>故其中5、6号机组煤粉炉燃煤耗量均为每小时229吨左右，在发生本项目掺烧污泥量为每小时4.2吨，按照掺烧质量分数计算，掺烧比例约为 1.83%（本项目同一时间只掺烧于一台锅炉）；掺烧生物质量为每小时2.1吨，按照掺烧质量分数计算，掺烧比例约为 0.91%。</w:t>
      </w:r>
      <w:r>
        <w:rPr>
          <w:rFonts w:hint="eastAsia" w:ascii="宋体" w:hAnsi="宋体" w:eastAsia="宋体" w:cs="宋体"/>
          <w:color w:val="000000" w:themeColor="text1"/>
          <w:lang w:eastAsia="zh-CN"/>
        </w:rPr>
        <w:t>掺烧污泥所产生的烟气量（含干化废气）相对燃煤增加0.35%，掺烧生物质所产生的烟气量（含干化废气）相对燃煤增加0.14%。</w:t>
      </w:r>
    </w:p>
    <w:p>
      <w:pPr>
        <w:pStyle w:val="27"/>
        <w:shd w:val="clear" w:color="auto" w:fill="FFFFFF"/>
        <w:spacing w:after="0" w:line="360" w:lineRule="auto"/>
        <w:rPr>
          <w:rFonts w:ascii="宋体" w:hAnsi="宋体" w:eastAsia="宋体" w:cs="宋体"/>
          <w:lang w:eastAsia="zh-CN"/>
        </w:rPr>
      </w:pPr>
      <w:r>
        <w:rPr>
          <w:rFonts w:hint="eastAsia" w:ascii="宋体" w:hAnsi="宋体" w:eastAsia="宋体" w:cs="宋体"/>
          <w:color w:val="000000" w:themeColor="text1"/>
          <w:lang w:eastAsia="zh-CN"/>
        </w:rPr>
        <w:t xml:space="preserve">  （3）</w:t>
      </w:r>
      <w:r>
        <w:rPr>
          <w:rFonts w:hint="eastAsia" w:ascii="宋体" w:hAnsi="宋体" w:eastAsia="宋体" w:cs="宋体"/>
          <w:lang w:eastAsia="zh-CN"/>
        </w:rPr>
        <w:t>掺烧污泥时主要污染物源强计算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①烟尘产生量的计算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根据全国污染源普查《工业源产排污系数手册（2010 修订下册）》的产排污系数，煤粉锅炉烟尘产生量按下式进行计算：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QA = B×（9.33Aar +7.77）</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式中：QA—烟尘产生量，kg/t 原料；</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B—燃料消耗量；本项目污泥掺烧量为 3.4 万 t/a。</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Aar —燃料灰分含量，%；本项目污泥灰分为 10.83%。</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经计算，改造后新增烟尘产生量为3700 t/a，现有工程烟尘产生量为 217879t/a，改造后锅炉烟气中烟尘产生总量为221579 t/a，烟尘产生浓度为 29820mg/m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r>
        <w:rPr>
          <w:rFonts w:ascii="宋体" w:hAnsi="宋体" w:eastAsia="宋体" w:cs="宋体"/>
          <w:color w:val="000000" w:themeColor="text1"/>
          <w:lang w:eastAsia="zh-CN"/>
        </w:rPr>
        <w:cr/>
      </w:r>
      <w:r>
        <w:rPr>
          <w:rFonts w:hint="eastAsia" w:ascii="宋体" w:hAnsi="宋体" w:eastAsia="宋体" w:cs="宋体"/>
          <w:color w:val="000000" w:themeColor="text1"/>
          <w:lang w:eastAsia="zh-CN"/>
        </w:rPr>
        <w:t xml:space="preserve">    ②二氧化硫产生量的计算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污泥焚烧烟气中的 SO2主要来源于污泥中的含硫物质。本项目掺烧污泥污泥含硫量为 0.08%。根据全国污染源普查《工业源产排污系数手册（2010 修订下册）》的相关产排污系数，煤粉锅炉烟气中 SO2 产生量按下式进行计算：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ascii="宋体" w:hAnsi="宋体" w:eastAsia="宋体" w:cs="宋体"/>
          <w:color w:val="000000" w:themeColor="text1"/>
          <w:lang w:eastAsia="zh-CN"/>
        </w:rPr>
        <w:t>QS = B×16.98 Sar</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B—燃料消耗量；本项目污泥掺烧量为 3.4 万 t/a。</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Sar —燃料含硫量，%；本项目污泥含硫量为 0.08%。</w:t>
      </w:r>
    </w:p>
    <w:p>
      <w:pPr>
        <w:pStyle w:val="27"/>
        <w:shd w:val="clear" w:color="auto" w:fill="FFFFFF"/>
        <w:spacing w:after="0" w:line="360" w:lineRule="auto"/>
        <w:ind w:right="-194"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经计算，改造后新增 SO2 产生量为 46.2 t/a，现有工程 SO2 产生量为9630 t/a，改造后锅炉烟气中 SO2 产生总量为 9676.2 t/a，SO2产生浓度为1302mg/ 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p>
    <w:p>
      <w:pPr>
        <w:pStyle w:val="27"/>
        <w:numPr>
          <w:ilvl w:val="0"/>
          <w:numId w:val="7"/>
        </w:numPr>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氮氧化物产生量的计算</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污泥焚烧烟气中的 NOx 主要来自污泥中含氮化合物的热分解和氧化燃烧，本项目掺烧污泥含氮量约为 0.43%，含氮量较低。根据全国污染源普查《工业源产排污系数手册（2010 修订下册）》NOx 的产排污系数为3.94 千克/吨-原料，改造后新增 NOx 产生量为 57.6t/a，现有工程 NOx 产生量为 5390 t/a，改造后锅炉烟气中 NOx 产生总量为544706 t/a，NOx 产生浓度为 733mg/ 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（4）掺烧生物质时主要污染物源强计算</w:t>
      </w:r>
    </w:p>
    <w:p>
      <w:pPr>
        <w:pStyle w:val="27"/>
        <w:numPr>
          <w:ilvl w:val="0"/>
          <w:numId w:val="10"/>
        </w:numPr>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烟尘产生量的计算</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根据全国污染源普查《工业源产排污系数手册（2010 修订下册）》的产排污系数，煤粉锅炉掺烧生物质烟尘产生量按下式进行计算：</w:t>
      </w:r>
    </w:p>
    <w:p>
      <w:pPr>
        <w:pStyle w:val="27"/>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QA = B37.6Aar</w:t>
      </w:r>
    </w:p>
    <w:p>
      <w:pPr>
        <w:pStyle w:val="27"/>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式中：QA—烟尘产生量，kg/t 原料；</w:t>
      </w:r>
    </w:p>
    <w:p>
      <w:pPr>
        <w:pStyle w:val="27"/>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B—燃料消耗量；本项目污泥掺烧量为1.7 万 t/a。</w:t>
      </w:r>
    </w:p>
    <w:p>
      <w:pPr>
        <w:pStyle w:val="27"/>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Aar —燃料灰分含量，%；本项目污泥灰分为 5.31%。</w:t>
      </w:r>
    </w:p>
    <w:p>
      <w:pPr>
        <w:pStyle w:val="27"/>
        <w:shd w:val="clear" w:color="auto" w:fill="FFFFFF"/>
        <w:spacing w:after="0" w:line="360" w:lineRule="auto"/>
        <w:ind w:left="-142" w:firstLine="465"/>
        <w:rPr>
          <w:rFonts w:ascii="宋体" w:hAnsi="宋体" w:eastAsia="宋体" w:cs="宋体"/>
          <w:color w:val="000000" w:themeColor="text1"/>
          <w:lang w:eastAsia="zh-CN"/>
        </w:rPr>
      </w:pPr>
      <w:r>
        <w:rPr>
          <w:rFonts w:hint="eastAsia" w:ascii="宋体" w:hAnsi="宋体" w:eastAsia="宋体" w:cs="宋体"/>
          <w:color w:val="000000" w:themeColor="text1"/>
          <w:lang w:eastAsia="zh-CN"/>
        </w:rPr>
        <w:t>经计算，改造后新增烟尘产生量为3394 t/a，现有工程烟尘产生217879t/a，改造后锅炉烟气中烟尘产生总量为221273 t/a，烟尘产生浓29841mg/m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p>
    <w:p>
      <w:pPr>
        <w:pStyle w:val="27"/>
        <w:numPr>
          <w:ilvl w:val="0"/>
          <w:numId w:val="10"/>
        </w:numPr>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二氧化硫产生量的计算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污泥焚烧烟气中的 SO2主要来源于污泥中的含硫物质。本项目掺烧生物质含硫量为 0.02%。根据全国污染源普查《工业源产排污系数手册（2010 修订下册）》的相关产排污系数，煤粉锅炉烟气中 SO2 产生量按下式进行计算：</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ascii="宋体" w:hAnsi="宋体" w:eastAsia="宋体" w:cs="宋体"/>
          <w:color w:val="000000" w:themeColor="text1"/>
          <w:lang w:eastAsia="zh-CN"/>
        </w:rPr>
        <w:t>QS = B×</w:t>
      </w:r>
      <w:r>
        <w:rPr>
          <w:rFonts w:hint="eastAsia" w:ascii="宋体" w:hAnsi="宋体" w:eastAsia="宋体" w:cs="宋体"/>
          <w:color w:val="000000" w:themeColor="text1"/>
          <w:lang w:eastAsia="zh-CN"/>
        </w:rPr>
        <w:t>17</w:t>
      </w:r>
      <w:r>
        <w:rPr>
          <w:rFonts w:ascii="宋体" w:hAnsi="宋体" w:eastAsia="宋体" w:cs="宋体"/>
          <w:color w:val="000000" w:themeColor="text1"/>
          <w:lang w:eastAsia="zh-CN"/>
        </w:rPr>
        <w:t xml:space="preserve"> Sar</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B—燃料消耗量；本项目污泥掺烧量为 1.7 万 t/a。</w:t>
      </w:r>
    </w:p>
    <w:p>
      <w:pPr>
        <w:pStyle w:val="27"/>
        <w:shd w:val="clear" w:color="auto" w:fill="FFFFFF"/>
        <w:spacing w:after="0" w:line="360" w:lineRule="auto"/>
        <w:ind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Sar —燃料含硫量，%；本项目污泥含硫量为 0.02%。</w:t>
      </w:r>
    </w:p>
    <w:p>
      <w:pPr>
        <w:pStyle w:val="27"/>
        <w:shd w:val="clear" w:color="auto" w:fill="FFFFFF"/>
        <w:spacing w:after="0" w:line="360" w:lineRule="auto"/>
        <w:ind w:right="-194" w:firstLine="424" w:firstLineChars="177"/>
        <w:rPr>
          <w:rFonts w:ascii="宋体" w:hAnsi="宋体" w:eastAsia="宋体" w:cs="宋体"/>
          <w:color w:val="000000" w:themeColor="text1"/>
          <w:lang w:eastAsia="zh-CN"/>
        </w:rPr>
      </w:pPr>
      <w:r>
        <w:rPr>
          <w:rFonts w:hint="eastAsia" w:ascii="宋体" w:hAnsi="宋体" w:eastAsia="宋体" w:cs="宋体"/>
          <w:color w:val="000000" w:themeColor="text1"/>
          <w:lang w:eastAsia="zh-CN"/>
        </w:rPr>
        <w:t>经计算，改造后新增 SO2 产生量为 5.8 t/a，现有工程 SO2 产生量为9630 t/a，改造后锅炉烟气中 SO2 产生总量为 9635.8 t/a，SO2产生浓度为 1299mg/ 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p>
    <w:p>
      <w:pPr>
        <w:pStyle w:val="27"/>
        <w:numPr>
          <w:ilvl w:val="0"/>
          <w:numId w:val="10"/>
        </w:numPr>
        <w:shd w:val="clear" w:color="auto" w:fill="FFFFFF"/>
        <w:spacing w:after="0" w:line="360" w:lineRule="auto"/>
        <w:rPr>
          <w:rFonts w:ascii="宋体" w:hAnsi="宋体" w:eastAsia="宋体" w:cs="宋体"/>
          <w:color w:val="000000" w:themeColor="text1"/>
          <w:lang w:eastAsia="zh-CN"/>
        </w:rPr>
      </w:pPr>
      <w:r>
        <w:rPr>
          <w:rFonts w:hint="eastAsia" w:ascii="宋体" w:hAnsi="宋体" w:eastAsia="宋体" w:cs="宋体"/>
          <w:color w:val="000000" w:themeColor="text1"/>
          <w:lang w:eastAsia="zh-CN"/>
        </w:rPr>
        <w:t>氮氧化物产生量的计算</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污泥焚烧烟气中的 NOx 主要来自污泥中含氮化合物的热分解和氧化燃烧，本项目掺烧生物质含氮量约为 0.14%，含氮量较低。根据全国污染源普查《工业源产排污系数手册（2010 修订下册）》NOx 的产排污系数为3.94 千克/吨-原料，改造后新增 NOx 产生量为 9.4t/a，现有工程 NOx 产生量为5390 t/a，改造后锅炉烟气中 NOx 产生总量为 5399.4 t/a，NOx 产生浓度为 728mg/ 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(5)汞及其化合物产生量的计算</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本项目掺烧污泥100t/d，计划掺烧340d/年，根据污泥成分，汞含量为0.38mg/kg，经过烟气净化系统处理后，汞及其化合物去除率以50%计，年产生汞及其化合物增加6.46kg，掺烧污泥年产生废气量743066万Nm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，汞及其化合物浓度增加8.7×10</w:t>
      </w:r>
      <w:r>
        <w:rPr>
          <w:rFonts w:hint="eastAsia" w:ascii="宋体" w:hAnsi="宋体" w:eastAsia="宋体" w:cs="宋体"/>
          <w:color w:val="000000" w:themeColor="text1"/>
          <w:sz w:val="32"/>
          <w:szCs w:val="32"/>
          <w:vertAlign w:val="superscript"/>
          <w:lang w:eastAsia="zh-CN"/>
        </w:rPr>
        <w:t>-4</w:t>
      </w:r>
      <w:r>
        <w:rPr>
          <w:rFonts w:hint="eastAsia" w:ascii="宋体" w:hAnsi="宋体" w:eastAsia="宋体" w:cs="宋体"/>
          <w:color w:val="000000" w:themeColor="text1"/>
          <w:lang w:eastAsia="zh-CN"/>
        </w:rPr>
        <w:t>mg/Nm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。6#锅炉现状排放浓度为1.4×10</w:t>
      </w:r>
      <w:r>
        <w:rPr>
          <w:rFonts w:hint="eastAsia" w:ascii="宋体" w:hAnsi="宋体" w:eastAsia="宋体" w:cs="宋体"/>
          <w:color w:val="000000" w:themeColor="text1"/>
          <w:sz w:val="32"/>
          <w:szCs w:val="32"/>
          <w:vertAlign w:val="superscript"/>
          <w:lang w:eastAsia="zh-CN"/>
        </w:rPr>
        <w:t>-4</w:t>
      </w:r>
      <w:r>
        <w:rPr>
          <w:rFonts w:hint="eastAsia" w:ascii="宋体" w:hAnsi="宋体" w:eastAsia="宋体" w:cs="宋体"/>
          <w:color w:val="000000" w:themeColor="text1"/>
          <w:lang w:eastAsia="zh-CN"/>
        </w:rPr>
        <w:t>mg/Nm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，项目运营后汞及其化合物排放浓度为</w:t>
      </w:r>
      <w:r>
        <w:rPr>
          <w:rFonts w:hint="eastAsia" w:ascii="宋体" w:hAnsi="宋体" w:eastAsia="宋体" w:cs="宋体"/>
          <w:lang w:eastAsia="zh-CN"/>
        </w:rPr>
        <w:t>1.01×10</w:t>
      </w:r>
      <w:r>
        <w:rPr>
          <w:rFonts w:hint="eastAsia" w:ascii="宋体" w:hAnsi="宋体" w:eastAsia="宋体" w:cs="宋体"/>
          <w:sz w:val="32"/>
          <w:szCs w:val="32"/>
          <w:vertAlign w:val="superscript"/>
          <w:lang w:eastAsia="zh-CN"/>
        </w:rPr>
        <w:t>3</w:t>
      </w:r>
      <w:r>
        <w:rPr>
          <w:rFonts w:hint="eastAsia" w:ascii="宋体" w:hAnsi="宋体" w:eastAsia="宋体" w:cs="宋体"/>
          <w:lang w:eastAsia="zh-CN"/>
        </w:rPr>
        <w:t>mg/Nm</w:t>
      </w:r>
      <w:r>
        <w:rPr>
          <w:rFonts w:hint="eastAsia" w:ascii="宋体" w:hAnsi="宋体" w:eastAsia="宋体" w:cs="宋体"/>
          <w:sz w:val="32"/>
          <w:szCs w:val="32"/>
          <w:vertAlign w:val="superscript"/>
          <w:lang w:eastAsia="zh-CN"/>
        </w:rPr>
        <w:t>3</w:t>
      </w:r>
      <w:r>
        <w:rPr>
          <w:rFonts w:hint="eastAsia" w:ascii="宋体" w:hAnsi="宋体" w:eastAsia="宋体" w:cs="宋体"/>
          <w:sz w:val="32"/>
          <w:szCs w:val="32"/>
          <w:lang w:eastAsia="zh-CN"/>
        </w:rPr>
        <w:t>。</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（6）二噁英类物质</w:t>
      </w:r>
    </w:p>
    <w:p>
      <w:pPr>
        <w:pStyle w:val="13"/>
        <w:spacing w:before="50" w:line="284" w:lineRule="auto"/>
        <w:ind w:left="698" w:right="170"/>
        <w:rPr>
          <w:rFonts w:ascii="宋体" w:hAnsi="宋体" w:cs="宋体"/>
          <w:color w:val="000000" w:themeColor="text1"/>
          <w:sz w:val="24"/>
          <w:szCs w:val="24"/>
          <w:lang w:eastAsia="zh-CN"/>
        </w:rPr>
      </w:pPr>
      <w:r>
        <w:rPr>
          <w:spacing w:val="4"/>
          <w:lang w:eastAsia="zh-CN"/>
        </w:rPr>
        <w:t>二</w:t>
      </w:r>
      <w:r>
        <w:rPr>
          <w:rFonts w:ascii="宋体" w:hAnsi="宋体" w:cs="宋体"/>
          <w:color w:val="000000" w:themeColor="text1"/>
          <w:sz w:val="24"/>
          <w:szCs w:val="24"/>
          <w:lang w:eastAsia="zh-CN"/>
        </w:rPr>
        <w:t>噁英指的是结构和性质都很相似的包含众多同类物或异构体的两大类有机合</w:t>
      </w:r>
    </w:p>
    <w:p>
      <w:pPr>
        <w:pStyle w:val="13"/>
        <w:spacing w:before="42" w:line="284" w:lineRule="auto"/>
        <w:ind w:left="218" w:right="132"/>
        <w:rPr>
          <w:rFonts w:ascii="宋体" w:hAnsi="宋体" w:cs="宋体"/>
          <w:color w:val="000000" w:themeColor="text1"/>
          <w:sz w:val="24"/>
          <w:szCs w:val="24"/>
          <w:lang w:eastAsia="zh-CN"/>
        </w:rPr>
      </w:pPr>
      <w:r>
        <w:rPr>
          <w:rFonts w:ascii="宋体" w:hAnsi="宋体" w:cs="宋体"/>
          <w:color w:val="000000" w:themeColor="text1"/>
          <w:sz w:val="24"/>
          <w:szCs w:val="24"/>
          <w:lang w:eastAsia="zh-CN"/>
        </w:rPr>
        <w:t>物，全称分别叫多氯二苯并-对-二噁英（简称 PCDDs）和多氯二苯并呋喃（简称 PCDFs）。 其结构式如下：</w:t>
      </w:r>
    </w:p>
    <w:p>
      <w:pPr>
        <w:pStyle w:val="27"/>
        <w:shd w:val="clear" w:color="auto" w:fill="FFFFFF"/>
        <w:spacing w:after="0" w:line="360" w:lineRule="auto"/>
        <w:ind w:left="-142"/>
        <w:rPr>
          <w:rFonts w:ascii="宋体" w:hAnsi="宋体" w:eastAsia="宋体" w:cs="宋体"/>
          <w:color w:val="000000" w:themeColor="text1"/>
          <w:lang w:eastAsia="zh-CN"/>
        </w:rPr>
      </w:pPr>
      <w:r>
        <w:drawing>
          <wp:inline distT="0" distB="0" distL="0" distR="0">
            <wp:extent cx="4895850" cy="2162175"/>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19" cstate="print"/>
                    <a:srcRect/>
                    <a:stretch>
                      <a:fillRect/>
                    </a:stretch>
                  </pic:blipFill>
                  <pic:spPr>
                    <a:xfrm>
                      <a:off x="0" y="0"/>
                      <a:ext cx="4895850" cy="2162175"/>
                    </a:xfrm>
                    <a:prstGeom prst="rect">
                      <a:avLst/>
                    </a:prstGeom>
                    <a:noFill/>
                    <a:ln w="9525">
                      <a:noFill/>
                      <a:miter lim="800000"/>
                      <a:headEnd/>
                      <a:tailEnd/>
                    </a:ln>
                  </pic:spPr>
                </pic:pic>
              </a:graphicData>
            </a:graphic>
          </wp:inline>
        </w:drawing>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w:t>
      </w:r>
      <w:r>
        <w:rPr>
          <w:rFonts w:ascii="宋体" w:hAnsi="宋体" w:eastAsia="宋体" w:cs="宋体"/>
          <w:color w:val="000000" w:themeColor="text1"/>
          <w:lang w:eastAsia="zh-CN"/>
        </w:rPr>
        <w:t>根据（环发[2008]82）《关于进一步加强生物质发电项目环境影响评价管理工作的通知》要求，对二噁英排放浓度应参照执行欧盟标准（0.1TEQng/m</w:t>
      </w:r>
      <w:r>
        <w:rPr>
          <w:rFonts w:ascii="宋体" w:hAnsi="宋体" w:eastAsia="宋体" w:cs="宋体"/>
          <w:color w:val="000000" w:themeColor="text1"/>
          <w:vertAlign w:val="superscript"/>
          <w:lang w:eastAsia="zh-CN"/>
        </w:rPr>
        <w:t>3</w:t>
      </w:r>
      <w:r>
        <w:rPr>
          <w:rFonts w:ascii="宋体" w:hAnsi="宋体" w:eastAsia="宋体" w:cs="宋体"/>
          <w:color w:val="000000" w:themeColor="text1"/>
          <w:lang w:eastAsia="zh-CN"/>
        </w:rPr>
        <w:t>）。 研究表明二噁英是由含氯有机物不完全燃烧通过复杂热反应形成的，当燃烧温度高于 800℃、停留时间超过 2S 时不会形成二噁英。本</w:t>
      </w:r>
      <w:r>
        <w:rPr>
          <w:rFonts w:hint="eastAsia" w:ascii="宋体" w:hAnsi="宋体" w:eastAsia="宋体" w:cs="宋体"/>
          <w:color w:val="000000" w:themeColor="text1"/>
          <w:lang w:eastAsia="zh-CN"/>
        </w:rPr>
        <w:t>项目燃烧温度高于1100、停留时间超过3s，因此应该不会产生大量二噁英。我们在现状调查中检测出锅炉烟气中二噁英含量为0.006ngTEQ/m</w:t>
      </w:r>
      <w:r>
        <w:rPr>
          <w:rFonts w:hint="eastAsia" w:ascii="宋体" w:hAnsi="宋体" w:eastAsia="宋体" w:cs="宋体"/>
          <w:color w:val="000000" w:themeColor="text1"/>
          <w:vertAlign w:val="superscript"/>
          <w:lang w:eastAsia="zh-CN"/>
        </w:rPr>
        <w:t>3</w:t>
      </w:r>
      <w:r>
        <w:rPr>
          <w:rFonts w:hint="eastAsia" w:ascii="宋体" w:hAnsi="宋体" w:eastAsia="宋体" w:cs="宋体"/>
          <w:color w:val="000000" w:themeColor="text1"/>
          <w:lang w:eastAsia="zh-CN"/>
        </w:rPr>
        <w:t>，项目运营后继续加强对二噁英产生情况的跟踪检测。</w:t>
      </w:r>
    </w:p>
    <w:p>
      <w:pPr>
        <w:pStyle w:val="27"/>
        <w:shd w:val="clear" w:color="auto" w:fill="FFFFFF"/>
        <w:spacing w:after="0" w:line="360" w:lineRule="auto"/>
        <w:ind w:left="-142"/>
        <w:rPr>
          <w:rFonts w:ascii="宋体" w:hAnsi="宋体" w:eastAsia="宋体" w:cs="宋体"/>
          <w:color w:val="000000" w:themeColor="text1"/>
          <w:lang w:eastAsia="zh-CN"/>
        </w:rPr>
      </w:pPr>
      <w:r>
        <w:rPr>
          <w:rFonts w:hint="eastAsia" w:ascii="宋体" w:hAnsi="宋体" w:eastAsia="宋体" w:cs="宋体"/>
          <w:color w:val="000000" w:themeColor="text1"/>
          <w:lang w:eastAsia="zh-CN"/>
        </w:rPr>
        <w:t xml:space="preserve">    主要污染物烟尘、二氧化硫、氮氧化物排放量增加的</w:t>
      </w:r>
      <w:r>
        <w:rPr>
          <w:rFonts w:hint="eastAsia" w:ascii="宋体" w:hAnsi="宋体" w:eastAsia="宋体" w:cs="宋体"/>
          <w:lang w:eastAsia="zh-CN"/>
        </w:rPr>
        <w:t>比例分别约为1.70%，0.48%，1.07%。汞及其化合物的排放浓度1.01×10</w:t>
      </w:r>
      <w:r>
        <w:rPr>
          <w:rFonts w:hint="eastAsia" w:ascii="宋体" w:hAnsi="宋体" w:eastAsia="宋体" w:cs="宋体"/>
          <w:sz w:val="32"/>
          <w:szCs w:val="32"/>
          <w:vertAlign w:val="superscript"/>
          <w:lang w:eastAsia="zh-CN"/>
        </w:rPr>
        <w:t>3</w:t>
      </w:r>
      <w:r>
        <w:rPr>
          <w:rFonts w:hint="eastAsia" w:ascii="宋体" w:hAnsi="宋体" w:eastAsia="宋体" w:cs="宋体"/>
          <w:lang w:eastAsia="zh-CN"/>
        </w:rPr>
        <w:t>mg/Nm</w:t>
      </w:r>
      <w:r>
        <w:rPr>
          <w:rFonts w:hint="eastAsia" w:ascii="宋体" w:hAnsi="宋体" w:eastAsia="宋体" w:cs="宋体"/>
          <w:sz w:val="32"/>
          <w:szCs w:val="32"/>
          <w:vertAlign w:val="superscript"/>
          <w:lang w:eastAsia="zh-CN"/>
        </w:rPr>
        <w:t>3</w:t>
      </w:r>
      <w:r>
        <w:rPr>
          <w:rFonts w:hint="eastAsia" w:ascii="宋体" w:hAnsi="宋体" w:eastAsia="宋体" w:cs="宋体"/>
          <w:lang w:eastAsia="zh-CN"/>
        </w:rPr>
        <w:t>，但排放浓度仍远低于《火电厂大气污染物排放标准》（GB13223-2011）要求0.03 mg/Nm</w:t>
      </w:r>
      <w:r>
        <w:rPr>
          <w:rFonts w:hint="eastAsia" w:ascii="宋体" w:hAnsi="宋体" w:eastAsia="宋体" w:cs="宋体"/>
          <w:sz w:val="32"/>
          <w:szCs w:val="32"/>
          <w:vertAlign w:val="superscript"/>
          <w:lang w:eastAsia="zh-CN"/>
        </w:rPr>
        <w:t>3</w:t>
      </w:r>
      <w:r>
        <w:rPr>
          <w:rFonts w:hint="eastAsia" w:ascii="宋体" w:hAnsi="宋体" w:eastAsia="宋体" w:cs="宋体"/>
          <w:lang w:eastAsia="zh-CN"/>
        </w:rPr>
        <w:t>。研究表明二噁英是由含氯有机物不完全燃烧通过复杂热反应形成的，当燃烧温度高于 800℃、停留时间超过 2S 时不会形成二噁英，</w:t>
      </w:r>
      <w:r>
        <w:rPr>
          <w:rFonts w:hint="eastAsia" w:eastAsia="宋体" w:asciiTheme="minorEastAsia" w:hAnsiTheme="minorEastAsia" w:cstheme="minorEastAsia"/>
          <w:lang w:eastAsia="zh-CN"/>
        </w:rPr>
        <w:t>燃煤电厂锅炉炉膛燃烧温度高（高达1200℃以上），停留时间大于3</w:t>
      </w:r>
      <w:r>
        <w:rPr>
          <w:rFonts w:hint="eastAsia" w:ascii="宋体" w:hAnsi="宋体" w:eastAsia="宋体" w:cstheme="minorEastAsia"/>
          <w:lang w:eastAsia="zh-CN"/>
        </w:rPr>
        <w:t>s</w:t>
      </w:r>
      <w:r>
        <w:rPr>
          <w:rFonts w:hint="eastAsia" w:eastAsia="宋体" w:asciiTheme="minorEastAsia" w:hAnsiTheme="minorEastAsia" w:cstheme="minorEastAsia"/>
          <w:lang w:eastAsia="zh-CN"/>
        </w:rPr>
        <w:t>的特点，能够有效处理污泥中携带细菌、微生物等有害物质，同时可以防止二噁英等有害物质的生成，在项目运营期间应该加强对二噁英含量的跟踪监测，密切关注二噁英的产生情况</w:t>
      </w:r>
      <w:r>
        <w:rPr>
          <w:rFonts w:hint="eastAsia" w:ascii="宋体" w:hAnsi="宋体" w:eastAsia="宋体" w:cs="宋体"/>
          <w:lang w:eastAsia="zh-CN"/>
        </w:rPr>
        <w:t>。</w:t>
      </w:r>
      <w:r>
        <w:rPr>
          <w:rFonts w:hint="eastAsia" w:ascii="宋体" w:hAnsi="宋体" w:eastAsia="宋体" w:cs="宋体"/>
          <w:color w:val="000000" w:themeColor="text1"/>
          <w:lang w:eastAsia="zh-CN"/>
        </w:rPr>
        <w:t>掺烧生物质所产生的烟气量（含干化废气）相对燃煤减少0.28%，主要污染物烟尘、二氧化硫、氮氧化物排放量</w:t>
      </w:r>
      <w:r>
        <w:rPr>
          <w:rFonts w:hint="eastAsia" w:ascii="宋体" w:hAnsi="宋体" w:eastAsia="宋体" w:cs="宋体"/>
          <w:lang w:eastAsia="zh-CN"/>
        </w:rPr>
        <w:t>增加的比例分别约为1.56%，0.06%，0.17%。本项目掺烧污泥或生物质时的烟气量及污染物排放情况见表</w:t>
      </w:r>
      <w:r>
        <w:rPr>
          <w:rFonts w:hint="eastAsia" w:ascii="宋体" w:hAnsi="宋体" w:eastAsia="宋体" w:cs="宋体"/>
          <w:b/>
          <w:lang w:eastAsia="zh-CN"/>
        </w:rPr>
        <w:t>3.8-2</w:t>
      </w:r>
      <w:r>
        <w:rPr>
          <w:rFonts w:hint="eastAsia" w:ascii="宋体" w:hAnsi="宋体" w:eastAsia="宋体" w:cs="宋体"/>
          <w:lang w:eastAsia="zh-CN"/>
        </w:rPr>
        <w:t>（以6#机组为例）。</w:t>
      </w:r>
    </w:p>
    <w:p>
      <w:pPr>
        <w:pStyle w:val="27"/>
        <w:shd w:val="clear" w:color="auto" w:fill="FFFFFF"/>
        <w:spacing w:before="0" w:beforeAutospacing="0" w:after="0" w:afterAutospacing="0" w:line="360" w:lineRule="auto"/>
        <w:rPr>
          <w:rFonts w:ascii="宋体" w:hAnsi="宋体" w:eastAsia="宋体" w:cs="宋体"/>
          <w:b/>
          <w:lang w:eastAsia="zh-CN"/>
        </w:rPr>
      </w:pPr>
    </w:p>
    <w:p>
      <w:pPr>
        <w:pStyle w:val="27"/>
        <w:shd w:val="clear" w:color="auto" w:fill="FFFFFF"/>
        <w:spacing w:before="0" w:beforeAutospacing="0" w:after="0" w:afterAutospacing="0" w:line="360" w:lineRule="auto"/>
        <w:jc w:val="center"/>
        <w:rPr>
          <w:rFonts w:ascii="宋体" w:hAnsi="宋体" w:eastAsia="宋体" w:cs="宋体"/>
          <w:b/>
          <w:lang w:eastAsia="zh-CN"/>
        </w:rPr>
      </w:pPr>
      <w:r>
        <w:rPr>
          <w:rFonts w:hint="eastAsia" w:ascii="宋体" w:hAnsi="宋体" w:eastAsia="宋体" w:cs="宋体"/>
          <w:b/>
          <w:lang w:eastAsia="zh-CN"/>
        </w:rPr>
        <w:t>表3.8-4掺烧污泥或生物质时的烟气量及污染物排放浓度</w:t>
      </w:r>
    </w:p>
    <w:tbl>
      <w:tblPr>
        <w:tblStyle w:val="30"/>
        <w:tblW w:w="1066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92"/>
        <w:gridCol w:w="850"/>
        <w:gridCol w:w="992"/>
        <w:gridCol w:w="752"/>
        <w:gridCol w:w="992"/>
        <w:gridCol w:w="992"/>
        <w:gridCol w:w="851"/>
        <w:gridCol w:w="1134"/>
        <w:gridCol w:w="1134"/>
        <w:gridCol w:w="850"/>
        <w:gridCol w:w="851"/>
        <w:gridCol w:w="7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污染物</w:t>
            </w:r>
          </w:p>
        </w:tc>
        <w:tc>
          <w:tcPr>
            <w:tcW w:w="850"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掺烧前污染物产生</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浓度mg/Nm</w:t>
            </w:r>
            <w:r>
              <w:rPr>
                <w:rFonts w:hint="eastAsia" w:ascii="宋体" w:hAnsi="宋体" w:eastAsia="宋体" w:cs="宋体"/>
                <w:b/>
                <w:bCs/>
                <w:color w:val="000000" w:themeColor="text1"/>
                <w:sz w:val="18"/>
                <w:szCs w:val="18"/>
                <w:vertAlign w:val="superscript"/>
                <w:lang w:eastAsia="zh-CN"/>
              </w:rPr>
              <w:t>3</w:t>
            </w:r>
          </w:p>
        </w:tc>
        <w:tc>
          <w:tcPr>
            <w:tcW w:w="992"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掺烧前污染物排放</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浓度mg/Nm</w:t>
            </w:r>
            <w:r>
              <w:rPr>
                <w:rFonts w:hint="eastAsia" w:ascii="宋体" w:hAnsi="宋体" w:eastAsia="宋体" w:cs="宋体"/>
                <w:b/>
                <w:bCs/>
                <w:color w:val="000000" w:themeColor="text1"/>
                <w:sz w:val="18"/>
                <w:szCs w:val="18"/>
                <w:vertAlign w:val="superscript"/>
                <w:lang w:eastAsia="zh-CN"/>
              </w:rPr>
              <w:t>3</w:t>
            </w:r>
          </w:p>
        </w:tc>
        <w:tc>
          <w:tcPr>
            <w:tcW w:w="752"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掺烧前排放量</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t/a</w:t>
            </w:r>
          </w:p>
        </w:tc>
        <w:tc>
          <w:tcPr>
            <w:tcW w:w="992"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掺烧污泥时污染物产生浓度mg/Nm</w:t>
            </w:r>
            <w:r>
              <w:rPr>
                <w:rFonts w:hint="eastAsia" w:ascii="宋体" w:hAnsi="宋体" w:eastAsia="宋体" w:cs="宋体"/>
                <w:b/>
                <w:bCs/>
                <w:color w:val="000000" w:themeColor="text1"/>
                <w:sz w:val="18"/>
                <w:szCs w:val="18"/>
                <w:vertAlign w:val="superscript"/>
                <w:lang w:eastAsia="zh-CN"/>
              </w:rPr>
              <w:t>3</w:t>
            </w:r>
          </w:p>
        </w:tc>
        <w:tc>
          <w:tcPr>
            <w:tcW w:w="992"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掺烧污泥时污染物排放浓度mg/Nm</w:t>
            </w:r>
            <w:r>
              <w:rPr>
                <w:rFonts w:hint="eastAsia" w:ascii="宋体" w:hAnsi="宋体" w:eastAsia="宋体" w:cs="宋体"/>
                <w:b/>
                <w:bCs/>
                <w:color w:val="000000" w:themeColor="text1"/>
                <w:sz w:val="18"/>
                <w:szCs w:val="18"/>
                <w:vertAlign w:val="superscript"/>
                <w:lang w:eastAsia="zh-CN"/>
              </w:rPr>
              <w:t>3</w:t>
            </w:r>
          </w:p>
        </w:tc>
        <w:tc>
          <w:tcPr>
            <w:tcW w:w="851" w:type="dxa"/>
            <w:vAlign w:val="center"/>
          </w:tcPr>
          <w:p>
            <w:pPr>
              <w:pStyle w:val="27"/>
              <w:shd w:val="clear" w:color="auto" w:fill="FFFFFF"/>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掺烧污泥时排放量</w:t>
            </w:r>
          </w:p>
          <w:p>
            <w:pPr>
              <w:pStyle w:val="27"/>
              <w:shd w:val="clear" w:color="auto" w:fill="FFFFFF"/>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t/a</w:t>
            </w:r>
          </w:p>
        </w:tc>
        <w:tc>
          <w:tcPr>
            <w:tcW w:w="1134" w:type="dxa"/>
            <w:vAlign w:val="center"/>
          </w:tcPr>
          <w:p>
            <w:pPr>
              <w:pStyle w:val="27"/>
              <w:shd w:val="clear" w:color="auto" w:fill="FFFFFF"/>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掺烧生物质时污染物产生浓度mg/Nm</w:t>
            </w:r>
            <w:r>
              <w:rPr>
                <w:rFonts w:hint="eastAsia" w:ascii="宋体" w:hAnsi="宋体" w:eastAsia="宋体" w:cs="宋体"/>
                <w:b/>
                <w:bCs/>
                <w:color w:val="000000" w:themeColor="text1"/>
                <w:sz w:val="18"/>
                <w:szCs w:val="18"/>
                <w:vertAlign w:val="superscript"/>
                <w:lang w:eastAsia="zh-CN"/>
              </w:rPr>
              <w:t>3</w:t>
            </w:r>
          </w:p>
        </w:tc>
        <w:tc>
          <w:tcPr>
            <w:tcW w:w="1134"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掺烧生物质时污染物排放浓度mg/Nm</w:t>
            </w:r>
            <w:r>
              <w:rPr>
                <w:rFonts w:hint="eastAsia" w:ascii="宋体" w:hAnsi="宋体" w:eastAsia="宋体" w:cs="宋体"/>
                <w:b/>
                <w:bCs/>
                <w:color w:val="000000" w:themeColor="text1"/>
                <w:sz w:val="18"/>
                <w:szCs w:val="18"/>
                <w:vertAlign w:val="superscript"/>
                <w:lang w:eastAsia="zh-CN"/>
              </w:rPr>
              <w:t>3</w:t>
            </w:r>
          </w:p>
        </w:tc>
        <w:tc>
          <w:tcPr>
            <w:tcW w:w="850"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掺烧生物质时排放量</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t/a</w:t>
            </w:r>
          </w:p>
        </w:tc>
        <w:tc>
          <w:tcPr>
            <w:tcW w:w="851"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排放</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标准mg/Nm</w:t>
            </w:r>
            <w:r>
              <w:rPr>
                <w:rFonts w:hint="eastAsia" w:ascii="宋体" w:hAnsi="宋体" w:eastAsia="宋体" w:cs="宋体"/>
                <w:b/>
                <w:bCs/>
                <w:color w:val="000000" w:themeColor="text1"/>
                <w:sz w:val="18"/>
                <w:szCs w:val="18"/>
                <w:vertAlign w:val="superscript"/>
                <w:lang w:eastAsia="zh-CN"/>
              </w:rPr>
              <w:t>3</w:t>
            </w:r>
          </w:p>
        </w:tc>
        <w:tc>
          <w:tcPr>
            <w:tcW w:w="776" w:type="dxa"/>
            <w:vAlign w:val="center"/>
          </w:tcPr>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处理工艺及</w:t>
            </w:r>
          </w:p>
          <w:p>
            <w:pPr>
              <w:pStyle w:val="27"/>
              <w:spacing w:before="0" w:beforeAutospacing="0" w:after="0" w:afterAutospacing="0"/>
              <w:jc w:val="center"/>
              <w:rPr>
                <w:rFonts w:ascii="宋体" w:hAnsi="宋体" w:eastAsia="宋体" w:cs="宋体"/>
                <w:b/>
                <w:bCs/>
                <w:color w:val="000000" w:themeColor="text1"/>
                <w:sz w:val="18"/>
                <w:szCs w:val="18"/>
                <w:lang w:eastAsia="zh-CN"/>
              </w:rPr>
            </w:pPr>
            <w:r>
              <w:rPr>
                <w:rFonts w:hint="eastAsia" w:ascii="宋体" w:hAnsi="宋体" w:eastAsia="宋体" w:cs="宋体"/>
                <w:b/>
                <w:bCs/>
                <w:color w:val="000000" w:themeColor="text1"/>
                <w:sz w:val="18"/>
                <w:szCs w:val="18"/>
                <w:lang w:eastAsia="zh-CN"/>
              </w:rPr>
              <w:t>去除率%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烟气量</w:t>
            </w:r>
          </w:p>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万 N m</w:t>
            </w:r>
            <w:r>
              <w:rPr>
                <w:rFonts w:hint="eastAsia" w:ascii="宋体" w:hAnsi="宋体" w:eastAsia="宋体" w:cs="宋体"/>
                <w:bCs/>
                <w:color w:val="000000" w:themeColor="text1"/>
                <w:sz w:val="18"/>
                <w:szCs w:val="18"/>
                <w:vertAlign w:val="superscript"/>
                <w:lang w:eastAsia="zh-CN"/>
              </w:rPr>
              <w:t>3</w:t>
            </w:r>
            <w:r>
              <w:rPr>
                <w:rFonts w:ascii="宋体" w:hAnsi="宋体" w:eastAsia="宋体" w:cs="宋体"/>
                <w:bCs/>
                <w:color w:val="000000" w:themeColor="text1"/>
                <w:sz w:val="18"/>
                <w:szCs w:val="18"/>
                <w:lang w:eastAsia="zh-CN"/>
              </w:rPr>
              <w:t>/a</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740470</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740470</w:t>
            </w:r>
          </w:p>
        </w:tc>
        <w:tc>
          <w:tcPr>
            <w:tcW w:w="75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743066</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743066</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741513</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741513</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776"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二氧化硫</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1301</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color w:val="000000" w:themeColor="text1"/>
                <w:sz w:val="18"/>
                <w:szCs w:val="18"/>
                <w:lang w:eastAsia="zh-CN"/>
              </w:rPr>
              <w:t>16.17</w:t>
            </w:r>
          </w:p>
        </w:tc>
        <w:tc>
          <w:tcPr>
            <w:tcW w:w="752" w:type="dxa"/>
            <w:vAlign w:val="center"/>
          </w:tcPr>
          <w:p>
            <w:pPr>
              <w:pStyle w:val="27"/>
              <w:spacing w:before="0" w:beforeAutospacing="0" w:after="0" w:afterAutospacing="0"/>
              <w:jc w:val="center"/>
              <w:rPr>
                <w:rFonts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119.7</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1302</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16.18</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120.2</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1299</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16.15</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119.8</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35</w:t>
            </w:r>
          </w:p>
        </w:tc>
        <w:tc>
          <w:tcPr>
            <w:tcW w:w="776"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石灰石-石膏湿法烟气脱硫/98.76%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氮氧化物</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728</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color w:val="000000" w:themeColor="text1"/>
                <w:sz w:val="18"/>
                <w:szCs w:val="18"/>
                <w:lang w:eastAsia="zh-CN"/>
              </w:rPr>
              <w:t>32.13</w:t>
            </w:r>
          </w:p>
        </w:tc>
        <w:tc>
          <w:tcPr>
            <w:tcW w:w="752" w:type="dxa"/>
            <w:vAlign w:val="center"/>
          </w:tcPr>
          <w:p>
            <w:pPr>
              <w:pStyle w:val="27"/>
              <w:spacing w:before="0" w:beforeAutospacing="0" w:after="0" w:afterAutospacing="0"/>
              <w:jc w:val="center"/>
              <w:rPr>
                <w:rFonts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237.9</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733</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32.35</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240.4</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728</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32.13</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238.2</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50</w:t>
            </w:r>
          </w:p>
        </w:tc>
        <w:tc>
          <w:tcPr>
            <w:tcW w:w="776"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SCR 脱硝系统95.59%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颗粒物</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29424</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color w:val="000000" w:themeColor="text1"/>
                <w:sz w:val="18"/>
                <w:szCs w:val="18"/>
                <w:lang w:eastAsia="zh-CN"/>
              </w:rPr>
              <w:t>2.53</w:t>
            </w:r>
          </w:p>
        </w:tc>
        <w:tc>
          <w:tcPr>
            <w:tcW w:w="752" w:type="dxa"/>
            <w:vAlign w:val="center"/>
          </w:tcPr>
          <w:p>
            <w:pPr>
              <w:pStyle w:val="27"/>
              <w:spacing w:before="0" w:beforeAutospacing="0" w:after="0" w:afterAutospacing="0"/>
              <w:jc w:val="center"/>
              <w:rPr>
                <w:rFonts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18.7</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29820</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2.56</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19.1</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29841</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2.57</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19.0</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10</w:t>
            </w:r>
          </w:p>
        </w:tc>
        <w:tc>
          <w:tcPr>
            <w:tcW w:w="776"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电除尘/99.9914%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汞及其化合物</w:t>
            </w: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992" w:type="dxa"/>
            <w:vAlign w:val="center"/>
          </w:tcPr>
          <w:p>
            <w:pPr>
              <w:pStyle w:val="27"/>
              <w:spacing w:before="0" w:beforeAutospacing="0" w:after="0" w:afterAutospacing="0"/>
              <w:jc w:val="center"/>
              <w:rPr>
                <w:rFonts w:ascii="宋体" w:hAnsi="宋体" w:eastAsia="宋体" w:cs="宋体"/>
                <w:color w:val="000000" w:themeColor="text1"/>
                <w:sz w:val="18"/>
                <w:szCs w:val="18"/>
                <w:lang w:eastAsia="zh-CN"/>
              </w:rPr>
            </w:pPr>
            <w:r>
              <w:rPr>
                <w:rFonts w:hint="eastAsia" w:ascii="宋体" w:hAnsi="宋体" w:eastAsia="宋体" w:cs="宋体"/>
                <w:bCs/>
                <w:color w:val="000000" w:themeColor="text1"/>
                <w:sz w:val="18"/>
                <w:szCs w:val="18"/>
                <w:lang w:eastAsia="zh-CN"/>
              </w:rPr>
              <w:t>0.00014</w:t>
            </w:r>
          </w:p>
        </w:tc>
        <w:tc>
          <w:tcPr>
            <w:tcW w:w="75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1.037kg</w:t>
            </w: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992"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0.00101</w:t>
            </w: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7.505kg</w:t>
            </w: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1134"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850"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p>
        </w:tc>
        <w:tc>
          <w:tcPr>
            <w:tcW w:w="851"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0.03</w:t>
            </w:r>
          </w:p>
        </w:tc>
        <w:tc>
          <w:tcPr>
            <w:tcW w:w="776" w:type="dxa"/>
            <w:vAlign w:val="center"/>
          </w:tcPr>
          <w:p>
            <w:pPr>
              <w:pStyle w:val="27"/>
              <w:spacing w:before="0" w:beforeAutospacing="0" w:after="0" w:afterAutospacing="0"/>
              <w:jc w:val="center"/>
              <w:rPr>
                <w:rFonts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w:t>
            </w:r>
          </w:p>
        </w:tc>
      </w:tr>
    </w:tbl>
    <w:p>
      <w:pPr>
        <w:pStyle w:val="27"/>
        <w:shd w:val="clear" w:color="auto" w:fill="FFFFFF"/>
        <w:spacing w:beforeLines="5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lang w:eastAsia="zh-CN"/>
        </w:rPr>
        <w:t>从以上分析可知，掺烧污泥及生物质时烟气污染物产生浓度变化不大，利用现有环保设施处理污泥掺烧烟气中污染物后，排放浓度近似，能够达标排放。掺烧污泥时年新增烟气量2596万 N m</w:t>
      </w:r>
      <w:r>
        <w:rPr>
          <w:rFonts w:hint="eastAsia" w:ascii="宋体" w:hAnsi="宋体" w:eastAsia="宋体" w:cs="宋体"/>
          <w:vertAlign w:val="superscript"/>
          <w:lang w:eastAsia="zh-CN"/>
        </w:rPr>
        <w:t>3</w:t>
      </w:r>
      <w:r>
        <w:rPr>
          <w:rFonts w:hint="eastAsia" w:ascii="宋体" w:hAnsi="宋体" w:eastAsia="宋体" w:cs="宋体"/>
          <w:lang w:eastAsia="zh-CN"/>
        </w:rPr>
        <w:t>，年新增二氧化硫、氮氧化物、颗粒物排放量分别为：0.5吨、2.5吨、0.4吨。掺烧生物质时年新增烟气量1043万 N m</w:t>
      </w:r>
      <w:r>
        <w:rPr>
          <w:rFonts w:hint="eastAsia" w:ascii="宋体" w:hAnsi="宋体" w:eastAsia="宋体" w:cs="宋体"/>
          <w:vertAlign w:val="superscript"/>
          <w:lang w:eastAsia="zh-CN"/>
        </w:rPr>
        <w:t>3</w:t>
      </w:r>
      <w:r>
        <w:rPr>
          <w:rFonts w:hint="eastAsia" w:ascii="宋体" w:hAnsi="宋体" w:eastAsia="宋体" w:cs="宋体"/>
          <w:lang w:eastAsia="zh-CN"/>
        </w:rPr>
        <w:t>；年新增二氧化硫、氮氧化物、颗粒物排放量分别为：0.1吨、0.3吨、0.3吨。</w:t>
      </w:r>
    </w:p>
    <w:p>
      <w:pPr>
        <w:pStyle w:val="27"/>
        <w:shd w:val="clear" w:color="auto" w:fill="FFFFFF"/>
        <w:spacing w:beforeLines="50" w:beforeAutospacing="0" w:after="0" w:afterAutospacing="0" w:line="360" w:lineRule="auto"/>
        <w:ind w:firstLine="480" w:firstLineChars="200"/>
        <w:rPr>
          <w:rFonts w:ascii="宋体" w:hAnsi="宋体" w:eastAsia="宋体" w:cs="宋体"/>
          <w:lang w:eastAsia="zh-CN"/>
        </w:rPr>
      </w:pPr>
      <w:r>
        <w:rPr>
          <w:rFonts w:hint="eastAsia" w:ascii="宋体" w:hAnsi="宋体" w:eastAsia="宋体" w:cs="宋体"/>
          <w:lang w:eastAsia="zh-CN"/>
        </w:rPr>
        <w:t>综上所述，本项目依托华能电厂锅炉及烟气处理等设施是可行的。</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55" w:name="_Toc22202747"/>
      <w:bookmarkStart w:id="456" w:name="_Toc22202335"/>
      <w:bookmarkStart w:id="457" w:name="_Toc24969754"/>
      <w:r>
        <w:rPr>
          <w:rFonts w:hint="eastAsia" w:ascii="宋体" w:hAnsi="宋体" w:eastAsia="宋体"/>
          <w:color w:val="000000" w:themeColor="text1"/>
          <w:lang w:eastAsia="zh-CN"/>
        </w:rPr>
        <w:t>3.9本项目公用工程</w:t>
      </w:r>
      <w:bookmarkEnd w:id="455"/>
      <w:bookmarkEnd w:id="456"/>
      <w:r>
        <w:rPr>
          <w:rFonts w:hint="eastAsia" w:ascii="宋体" w:hAnsi="宋体" w:eastAsia="宋体"/>
          <w:color w:val="000000" w:themeColor="text1"/>
          <w:lang w:eastAsia="zh-CN"/>
        </w:rPr>
        <w:t>依托情况</w:t>
      </w:r>
      <w:bookmarkEnd w:id="457"/>
    </w:p>
    <w:p>
      <w:pPr>
        <w:pStyle w:val="29"/>
        <w:spacing w:after="0"/>
        <w:ind w:firstLine="480"/>
      </w:pPr>
      <w:r>
        <w:t>本项目主要设备位于</w:t>
      </w:r>
      <w:r>
        <w:rPr>
          <w:rFonts w:hint="eastAsia"/>
        </w:rPr>
        <w:t>华能岳阳电厂</w:t>
      </w:r>
      <w:r>
        <w:rPr>
          <w:rFonts w:hint="eastAsia" w:ascii="宋体" w:hAnsi="宋体" w:cs="宋体"/>
        </w:rPr>
        <w:t>三期超超临界煤粉炉东边</w:t>
      </w:r>
      <w:r>
        <w:t>，本项目供电、供风等公用工程均依托</w:t>
      </w:r>
      <w:r>
        <w:rPr>
          <w:rFonts w:hint="eastAsia"/>
        </w:rPr>
        <w:t>华能岳阳电厂</w:t>
      </w:r>
      <w:r>
        <w:t>现有公</w:t>
      </w:r>
      <w:r>
        <w:rPr>
          <w:rFonts w:hint="eastAsia"/>
        </w:rPr>
        <w:t>用</w:t>
      </w:r>
      <w:r>
        <w:t>工程设施。</w:t>
      </w:r>
    </w:p>
    <w:p>
      <w:pPr>
        <w:pStyle w:val="27"/>
        <w:shd w:val="clear" w:color="auto" w:fill="FFFFFF"/>
        <w:spacing w:before="0" w:beforeAutospacing="0" w:after="0" w:afterAutospacing="0" w:line="360" w:lineRule="auto"/>
        <w:ind w:firstLine="240" w:firstLineChars="100"/>
        <w:rPr>
          <w:rFonts w:ascii="宋体" w:hAnsi="宋体" w:eastAsia="宋体" w:cs="宋体"/>
          <w:lang w:eastAsia="zh-CN"/>
        </w:rPr>
      </w:pPr>
      <w:r>
        <w:rPr>
          <w:rFonts w:hint="eastAsia" w:ascii="宋体" w:hAnsi="宋体" w:eastAsia="宋体" w:cs="宋体"/>
          <w:lang w:eastAsia="zh-CN"/>
        </w:rPr>
        <w:t>（1）给排水工程</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本项目新增用水较少，污泥泵不需水冷，厂区现有供水系统可满足项目地面冲洗用水需求。本项目排水采用雨、污分流的排水系统。项目排水管网及排污口依托现有。</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（2）供电工程</w:t>
      </w:r>
    </w:p>
    <w:p>
      <w:pPr>
        <w:pStyle w:val="27"/>
        <w:shd w:val="clear" w:color="auto" w:fill="FFFFFF"/>
        <w:spacing w:before="0" w:beforeAutospacing="0" w:after="0" w:afterAutospacing="0" w:line="360" w:lineRule="auto"/>
        <w:ind w:firstLine="480"/>
        <w:rPr>
          <w:rFonts w:ascii="宋体" w:hAnsi="宋体" w:eastAsia="宋体" w:cs="宋体"/>
          <w:lang w:eastAsia="zh-CN"/>
        </w:rPr>
      </w:pPr>
      <w:r>
        <w:rPr>
          <w:rFonts w:hint="eastAsia" w:ascii="宋体" w:hAnsi="宋体" w:eastAsia="宋体" w:cs="宋体"/>
          <w:lang w:eastAsia="zh-CN"/>
        </w:rPr>
        <w:t>本项目用电由华能岳阳电厂现有电网供电。</w:t>
      </w:r>
    </w:p>
    <w:p>
      <w:pPr>
        <w:pStyle w:val="27"/>
        <w:numPr>
          <w:ilvl w:val="0"/>
          <w:numId w:val="11"/>
        </w:numPr>
        <w:shd w:val="clear" w:color="auto" w:fill="FFFFFF"/>
        <w:spacing w:before="0" w:beforeAutospacing="0" w:after="0" w:afterAutospacing="0" w:line="360" w:lineRule="auto"/>
        <w:ind w:firstLine="284"/>
        <w:rPr>
          <w:rFonts w:ascii="宋体" w:hAnsi="宋体" w:eastAsia="宋体" w:cs="宋体"/>
          <w:lang w:eastAsia="zh-CN"/>
        </w:rPr>
      </w:pPr>
      <w:r>
        <w:rPr>
          <w:rFonts w:hint="eastAsia" w:ascii="宋体" w:hAnsi="宋体" w:eastAsia="宋体" w:cs="宋体"/>
          <w:lang w:eastAsia="zh-CN"/>
        </w:rPr>
        <w:t>供风工程</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本项目供风由华能岳阳电厂现有供风系统供给。</w:t>
      </w:r>
    </w:p>
    <w:p>
      <w:pPr>
        <w:pStyle w:val="29"/>
        <w:spacing w:after="0"/>
        <w:ind w:firstLine="199" w:firstLineChars="83"/>
      </w:pPr>
      <w:r>
        <w:rPr>
          <w:rFonts w:hint="eastAsia"/>
        </w:rPr>
        <w:t xml:space="preserve"> （4）消防水及事故废水收集</w:t>
      </w:r>
    </w:p>
    <w:p>
      <w:pPr>
        <w:pStyle w:val="29"/>
        <w:spacing w:after="0"/>
        <w:ind w:firstLine="480"/>
      </w:pPr>
      <w:r>
        <w:rPr>
          <w:rFonts w:hint="eastAsia"/>
        </w:rPr>
        <w:t>本项目位于华能岳阳电厂</w:t>
      </w:r>
      <w:r>
        <w:rPr>
          <w:rFonts w:hint="eastAsia" w:ascii="宋体" w:hAnsi="宋体" w:cs="宋体"/>
        </w:rPr>
        <w:t>三期超超临界煤粉炉装置区域，装置已有</w:t>
      </w:r>
      <w:r>
        <w:rPr>
          <w:rFonts w:hint="eastAsia"/>
        </w:rPr>
        <w:t>消防水系统可为本项目使用，事故水可通过雨排系统排华能岳阳电厂事故水池收集处理。</w:t>
      </w: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458" w:name="_Toc22202338"/>
      <w:bookmarkStart w:id="459" w:name="_Toc22202043"/>
      <w:bookmarkStart w:id="460" w:name="_Toc22202750"/>
      <w:bookmarkStart w:id="461" w:name="_Toc22200997"/>
      <w:bookmarkStart w:id="462" w:name="_Toc22200330"/>
      <w:bookmarkStart w:id="463" w:name="_Toc22199686"/>
      <w:bookmarkStart w:id="464" w:name="_Toc24969755"/>
      <w:bookmarkStart w:id="465" w:name="_Toc22199196"/>
      <w:r>
        <w:rPr>
          <w:rFonts w:hint="eastAsia" w:ascii="宋体" w:hAnsi="宋体" w:eastAsia="宋体"/>
          <w:sz w:val="44"/>
          <w:szCs w:val="44"/>
          <w:lang w:eastAsia="zh-CN"/>
        </w:rPr>
        <w:t>4.环境现状调查与评价</w:t>
      </w:r>
      <w:bookmarkEnd w:id="458"/>
      <w:bookmarkEnd w:id="459"/>
      <w:bookmarkEnd w:id="460"/>
      <w:bookmarkEnd w:id="461"/>
      <w:bookmarkEnd w:id="462"/>
      <w:bookmarkEnd w:id="463"/>
      <w:bookmarkEnd w:id="464"/>
      <w:bookmarkEnd w:id="465"/>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66" w:name="_Toc22202751"/>
      <w:bookmarkStart w:id="467" w:name="_Toc22202339"/>
      <w:bookmarkStart w:id="468" w:name="_Toc24969756"/>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r>
        <w:rPr>
          <w:rFonts w:hint="eastAsia" w:ascii="宋体" w:hAnsi="宋体" w:eastAsia="宋体"/>
          <w:color w:val="000000" w:themeColor="text1"/>
          <w:lang w:eastAsia="zh-CN"/>
        </w:rPr>
        <w:t>4.1 自然环境现状调查</w:t>
      </w:r>
      <w:bookmarkEnd w:id="466"/>
      <w:bookmarkEnd w:id="467"/>
      <w:bookmarkEnd w:id="468"/>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4.1.1地理位置</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华能岳阳电厂位于岳阳市临港新区，厂址南距长沙市140km，西距常德 140 km。岳阳是湖南唯一的临江城市。地处一湖（洞庭湖）两原（江汉平原、洞庭湖平原）三省（湘、鄂、赣）四线（京广铁路、京珠高速公路、107国道、长江）的多元交汇点上，特别是杭瑞洞庭湖大桥的通车，构成了“承东联西”“南北贯通”的便捷交通网。厂区地震基本烈度为 7 度。</w:t>
      </w:r>
    </w:p>
    <w:p>
      <w:pPr>
        <w:pStyle w:val="27"/>
        <w:shd w:val="clear" w:color="auto" w:fill="FFFFFF"/>
        <w:spacing w:before="0" w:beforeAutospacing="0" w:after="0" w:afterAutospacing="0" w:line="360" w:lineRule="auto"/>
        <w:jc w:val="center"/>
        <w:rPr>
          <w:rFonts w:ascii="宋体" w:hAnsi="宋体" w:eastAsia="宋体" w:cs="宋体"/>
          <w:b/>
          <w:lang w:eastAsia="zh-CN"/>
        </w:rPr>
      </w:pPr>
      <w:r>
        <w:rPr>
          <w:rFonts w:hint="eastAsia" w:ascii="宋体" w:hAnsi="宋体" w:eastAsia="宋体" w:cs="宋体"/>
          <w:b/>
          <w:lang w:eastAsia="zh-CN"/>
        </w:rPr>
        <w:t>图4.1-1项目地理位置图</w:t>
      </w:r>
    </w:p>
    <w:p>
      <w:pPr>
        <w:pStyle w:val="27"/>
        <w:shd w:val="clear" w:color="auto" w:fill="FFFFFF"/>
        <w:spacing w:after="360" w:line="360" w:lineRule="auto"/>
        <w:jc w:val="center"/>
        <w:rPr>
          <w:rFonts w:ascii="宋体" w:hAnsi="宋体" w:eastAsia="宋体" w:cs="宋体"/>
          <w:lang w:eastAsia="zh-CN"/>
        </w:rPr>
      </w:pPr>
      <w:r>
        <w:rPr>
          <w:rFonts w:ascii="宋体" w:hAnsi="宋体" w:eastAsia="宋体" w:cs="宋体"/>
        </w:rPr>
        <w:drawing>
          <wp:inline distT="0" distB="0" distL="0" distR="0">
            <wp:extent cx="4603750" cy="4142105"/>
            <wp:effectExtent l="19050" t="0" r="5944" b="0"/>
            <wp:docPr id="21" name="图片 9" descr="c:\users\zq\desktop\地理位置图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zq\desktop\地理位置图_副本.png"/>
                    <pic:cNvPicPr>
                      <a:picLocks noChangeAspect="1" noChangeArrowheads="1"/>
                    </pic:cNvPicPr>
                  </pic:nvPicPr>
                  <pic:blipFill>
                    <a:blip r:embed="rId20" cstate="print"/>
                    <a:srcRect/>
                    <a:stretch>
                      <a:fillRect/>
                    </a:stretch>
                  </pic:blipFill>
                  <pic:spPr>
                    <a:xfrm>
                      <a:off x="0" y="0"/>
                      <a:ext cx="4611435" cy="4149158"/>
                    </a:xfrm>
                    <a:prstGeom prst="rect">
                      <a:avLst/>
                    </a:prstGeom>
                    <a:noFill/>
                    <a:ln w="9525">
                      <a:noFill/>
                      <a:miter lim="800000"/>
                      <a:headEnd/>
                      <a:tailEnd/>
                    </a:ln>
                  </pic:spPr>
                </pic:pic>
              </a:graphicData>
            </a:graphic>
          </wp:inline>
        </w:drawing>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4.1.2 厂区地形特征</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岳阳市境内地势东高西低，东有幕阜山脉等蜿蜓其间，自东南向西北雁行排列，脊岭海拔约 800 米（吴淞高程），幕阜山、药姑山主峰海拔分别为 1595.6 米、1261.1 米，南为连云山所环绕，脊岭海拔约1000 米左右，主峰海拔 1600 米；西南为玉池山脉所盘踞，主峰海拔748.2 米。全市两面环山，自东南向西北倾斜，东南为山丘区，西北为洞庭湖平原，中部为过渡性的环湖浅丘地带。岳阳市土地总面积 15020平方公里，占全省总面积的 7.05%。全市山地占 14.59%，丘陵丘 23.51%，岗地占 17.7%，平原占 27.04%，水面占 17.16%。 厂址区域地形平坦，自然标高在 27m—30m 之间。</w:t>
      </w:r>
    </w:p>
    <w:p>
      <w:pPr>
        <w:pStyle w:val="27"/>
        <w:shd w:val="clear" w:color="auto" w:fill="FFFFFF"/>
        <w:spacing w:before="0" w:beforeAutospacing="0" w:after="0" w:afterAutospacing="0" w:line="360" w:lineRule="auto"/>
        <w:ind w:firstLine="465"/>
        <w:rPr>
          <w:rFonts w:ascii="宋体" w:hAnsi="宋体" w:eastAsia="宋体" w:cs="宋体"/>
          <w:lang w:eastAsia="zh-CN"/>
        </w:rPr>
      </w:pPr>
      <w:r>
        <w:rPr>
          <w:rFonts w:hint="eastAsia" w:ascii="宋体" w:hAnsi="宋体" w:eastAsia="宋体" w:cs="宋体"/>
          <w:lang w:eastAsia="zh-CN"/>
        </w:rPr>
        <w:t>厂址在大地构造上属新华夏系第 2 沉降带，北北东向的新华夏系构造及东西向构造带组成了本区的主要构造骨架，次为北西向弧形构造。场地地貌为长江一级阶地，场地地基土层自上而下有人工填土，第 4 系全新统湖积冲积层，第 4 系上更新统冲积层，第 4 系残积层及元古界冷家溪群板岩。厂区地震基本烈度为 7 度。无压矿,不属于文物保护区。厂址所在地区地震烈度为 6 度。电厂三期评价范围内有洞庭湖平原、浅丘、洞庭湖、城市。</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4.1.3水文一般状况</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华能岳阳电厂位于荆江与洞庭湖出口的汇流河段一城陵矶至螺山河段的南岸，河段以西属下荆江蜿蜓性河段，以南为洞庭湖区。长江流域雨量充沛，水资源丰富。每平方公里水资源量约为 53×104</w:t>
      </w:r>
      <w:r>
        <w:rPr>
          <w:rFonts w:ascii="宋体" w:hAnsi="宋体" w:eastAsia="宋体" w:cs="宋体"/>
          <w:lang w:eastAsia="zh-CN"/>
        </w:rPr>
        <w:t>m</w:t>
      </w:r>
      <w:r>
        <w:rPr>
          <w:rFonts w:ascii="宋体" w:hAnsi="宋体" w:eastAsia="宋体" w:cs="宋体"/>
          <w:vertAlign w:val="superscript"/>
          <w:lang w:eastAsia="zh-CN"/>
        </w:rPr>
        <w:t>3</w:t>
      </w:r>
      <w:r>
        <w:rPr>
          <w:rFonts w:hint="eastAsia" w:ascii="宋体" w:hAnsi="宋体" w:eastAsia="宋体" w:cs="宋体"/>
          <w:lang w:eastAsia="zh-CN"/>
        </w:rPr>
        <w:t>，流域水资源主要为河川径流，上游控制站宜昌站多年平均年径流量为</w:t>
      </w:r>
      <w:r>
        <w:rPr>
          <w:rFonts w:ascii="宋体" w:hAnsi="宋体" w:eastAsia="宋体" w:cs="宋体"/>
          <w:lang w:eastAsia="zh-CN"/>
        </w:rPr>
        <w:t>4480m</w:t>
      </w:r>
      <w:r>
        <w:rPr>
          <w:rFonts w:ascii="宋体" w:hAnsi="宋体" w:eastAsia="宋体" w:cs="宋体"/>
          <w:vertAlign w:val="superscript"/>
          <w:lang w:eastAsia="zh-CN"/>
        </w:rPr>
        <w:t>3</w:t>
      </w:r>
      <w:r>
        <w:rPr>
          <w:rFonts w:hint="eastAsia" w:ascii="宋体" w:hAnsi="宋体" w:eastAsia="宋体" w:cs="宋体"/>
          <w:lang w:eastAsia="zh-CN"/>
        </w:rPr>
        <w:t>。电厂下游 28km的螺山水文站，自 1952 年以来，实测最小流量为 4060m</w:t>
      </w:r>
      <w:r>
        <w:rPr>
          <w:rFonts w:hint="eastAsia" w:ascii="宋体" w:hAnsi="宋体" w:eastAsia="宋体" w:cs="宋体"/>
          <w:vertAlign w:val="superscript"/>
          <w:lang w:eastAsia="zh-CN"/>
        </w:rPr>
        <w:t>3</w:t>
      </w:r>
      <w:r>
        <w:rPr>
          <w:rFonts w:hint="eastAsia" w:ascii="宋体" w:hAnsi="宋体" w:eastAsia="宋体" w:cs="宋体"/>
          <w:lang w:eastAsia="zh-CN"/>
        </w:rPr>
        <w:t>/s(1963 年 2 月 5 日)，电厂上游 1.4km的莲花塘站实测最小流量为 5000m</w:t>
      </w:r>
      <w:r>
        <w:rPr>
          <w:rFonts w:hint="eastAsia" w:ascii="宋体" w:hAnsi="宋体" w:eastAsia="宋体" w:cs="宋体"/>
          <w:vertAlign w:val="superscript"/>
          <w:lang w:eastAsia="zh-CN"/>
        </w:rPr>
        <w:t>3</w:t>
      </w:r>
      <w:r>
        <w:rPr>
          <w:rFonts w:hint="eastAsia" w:ascii="宋体" w:hAnsi="宋体" w:eastAsia="宋体" w:cs="宋体"/>
          <w:lang w:eastAsia="zh-CN"/>
        </w:rPr>
        <w:t>/s。主要水系情况见图 4-2。</w:t>
      </w:r>
    </w:p>
    <w:p>
      <w:pPr>
        <w:pStyle w:val="27"/>
        <w:shd w:val="clear" w:color="auto" w:fill="FFFFFF"/>
        <w:spacing w:before="0" w:beforeAutospacing="0" w:after="0" w:afterAutospacing="0" w:line="360" w:lineRule="auto"/>
        <w:ind w:firstLine="465"/>
        <w:rPr>
          <w:rFonts w:ascii="宋体" w:hAnsi="宋体" w:eastAsia="宋体" w:cs="宋体"/>
          <w:lang w:eastAsia="zh-CN"/>
        </w:rPr>
      </w:pPr>
      <w:r>
        <w:rPr>
          <w:rFonts w:hint="eastAsia" w:ascii="宋体" w:hAnsi="宋体" w:eastAsia="宋体" w:cs="宋体"/>
          <w:lang w:eastAsia="zh-CN"/>
        </w:rPr>
        <w:t>根据湖南省水文地质研究所提供的资料，岳阳市每年降水对地下水补给 17.94 亿立方米，枯季地下径流 4.39 亿立方米，降水补给量减去枯季地下径流量，地下水补给量为 13.55 亿立方米,加上地表水资源，水资源总量为 86.33 亿立方米。地下水资源占水资源总量的 15.69％，其主要分布于洞庭湖区冲积平原及山丘岗地的溪谷河畔。由于地层发育，地质构造复杂，形成了不同的地下水类型。洞庭湖冲击平原分布的砂卵石层中蕴藏着孔隙水，富水程度中等，平均单井涌水量 300-3000吨/日，埋藏浅，一般 0-5 米；丘陵山地分布砂岩、页岩、花岗岩、硅质岩等，也蕴藏着孔隙水，水量微弱，埋深不定，一般 0-30 米。地下水随季节性变化很小。</w:t>
      </w:r>
    </w:p>
    <w:p>
      <w:pPr>
        <w:spacing w:after="0" w:line="360" w:lineRule="auto"/>
        <w:ind w:firstLine="480"/>
        <w:rPr>
          <w:color w:val="000000"/>
          <w:sz w:val="24"/>
          <w:szCs w:val="24"/>
          <w:lang w:eastAsia="zh-CN"/>
        </w:rPr>
      </w:pPr>
      <w:r>
        <w:rPr>
          <w:color w:val="000000"/>
          <w:sz w:val="24"/>
          <w:szCs w:val="24"/>
          <w:lang w:eastAsia="zh-CN"/>
        </w:rPr>
        <w:t>岳阳市湖泊众多，河网密布，水系发达，素有“洞庭水乡”之称。境内以洞庭湖水系为主，其流域面积占全市地表水总面积的90.93%，其次是滨江水系和鄱阳湖水系。除长江、湘江、资水外，长度5公里以上的河流有232条，其中10公里以上的</w:t>
      </w:r>
      <w:r>
        <w:rPr>
          <w:rFonts w:hint="eastAsia"/>
          <w:color w:val="000000"/>
          <w:sz w:val="24"/>
          <w:szCs w:val="24"/>
          <w:lang w:eastAsia="zh-CN"/>
        </w:rPr>
        <w:t>有</w:t>
      </w:r>
      <w:r>
        <w:rPr>
          <w:color w:val="000000"/>
          <w:sz w:val="24"/>
          <w:szCs w:val="24"/>
          <w:lang w:eastAsia="zh-CN"/>
        </w:rPr>
        <w:t>110条，50公里以上的有6条。洞庭湖水系可分为环湖水系与纯湖区水系。</w:t>
      </w:r>
    </w:p>
    <w:p>
      <w:pPr>
        <w:spacing w:after="0" w:line="360" w:lineRule="auto"/>
        <w:ind w:firstLine="480"/>
        <w:rPr>
          <w:color w:val="000000"/>
          <w:sz w:val="24"/>
          <w:szCs w:val="24"/>
          <w:lang w:eastAsia="zh-CN"/>
        </w:rPr>
      </w:pPr>
      <w:r>
        <w:rPr>
          <w:color w:val="000000"/>
          <w:sz w:val="24"/>
          <w:szCs w:val="24"/>
          <w:lang w:eastAsia="zh-CN"/>
        </w:rPr>
        <w:t>环湖水系包括汨罗江水系、新墙河水系、湘江水系：</w:t>
      </w:r>
    </w:p>
    <w:p>
      <w:pPr>
        <w:spacing w:after="0" w:line="360" w:lineRule="auto"/>
        <w:ind w:firstLine="480"/>
        <w:rPr>
          <w:color w:val="000000"/>
          <w:sz w:val="24"/>
          <w:szCs w:val="24"/>
          <w:lang w:eastAsia="zh-CN"/>
        </w:rPr>
      </w:pPr>
      <w:r>
        <w:rPr>
          <w:rFonts w:hint="eastAsia" w:ascii="宋体" w:hAnsi="宋体" w:cs="宋体"/>
          <w:color w:val="000000"/>
          <w:sz w:val="24"/>
          <w:szCs w:val="24"/>
          <w:lang w:eastAsia="zh-CN"/>
        </w:rPr>
        <w:t>①</w:t>
      </w:r>
      <w:r>
        <w:rPr>
          <w:color w:val="000000"/>
          <w:sz w:val="24"/>
          <w:szCs w:val="24"/>
          <w:lang w:eastAsia="zh-CN"/>
        </w:rPr>
        <w:t>湘江水系：境内流域面积230.90平方公里，占全市总面积的2.11%。包括捞刀河、霞凝河、樟树港等一级支流和发源于玉池山的沙河、白沙河等二级支流。</w:t>
      </w:r>
    </w:p>
    <w:p>
      <w:pPr>
        <w:spacing w:after="0" w:line="360" w:lineRule="auto"/>
        <w:ind w:firstLine="480"/>
        <w:rPr>
          <w:color w:val="000000"/>
          <w:sz w:val="24"/>
          <w:szCs w:val="24"/>
          <w:lang w:eastAsia="zh-CN"/>
        </w:rPr>
      </w:pPr>
      <w:r>
        <w:rPr>
          <w:rFonts w:hint="eastAsia" w:ascii="宋体" w:hAnsi="宋体" w:cs="宋体"/>
          <w:color w:val="000000"/>
          <w:sz w:val="24"/>
          <w:szCs w:val="24"/>
          <w:lang w:eastAsia="zh-CN"/>
        </w:rPr>
        <w:t>②</w:t>
      </w:r>
      <w:r>
        <w:rPr>
          <w:color w:val="000000"/>
          <w:sz w:val="24"/>
          <w:szCs w:val="24"/>
          <w:lang w:eastAsia="zh-CN"/>
        </w:rPr>
        <w:t>汨罗江水系：汨罗江是岳阳市最大的河流，全流域5618.87平方公里，境内流域5148.32平方公里，占全市总面积的47.11%。汨罗江发源于江西省修水县黄龙山，经平江县龙门入境，流经长寿、加义、平江城关、青冲口、新市、汨罗城关，于汨罗市磊石山注入洞庭湖，全长253.2公里。</w:t>
      </w:r>
    </w:p>
    <w:p>
      <w:pPr>
        <w:spacing w:after="0" w:line="360" w:lineRule="auto"/>
        <w:ind w:firstLine="480"/>
        <w:rPr>
          <w:color w:val="000000"/>
          <w:sz w:val="24"/>
          <w:szCs w:val="24"/>
          <w:lang w:eastAsia="zh-CN"/>
        </w:rPr>
      </w:pPr>
      <w:r>
        <w:rPr>
          <w:rFonts w:hint="eastAsia" w:ascii="宋体" w:hAnsi="宋体" w:cs="宋体"/>
          <w:color w:val="000000"/>
          <w:sz w:val="24"/>
          <w:szCs w:val="24"/>
          <w:lang w:eastAsia="zh-CN"/>
        </w:rPr>
        <w:t>③</w:t>
      </w:r>
      <w:r>
        <w:rPr>
          <w:color w:val="000000"/>
          <w:sz w:val="24"/>
          <w:szCs w:val="24"/>
          <w:lang w:eastAsia="zh-CN"/>
        </w:rPr>
        <w:t>新墙河水系：新墙河是岳阳市第二大河流，全流域2370平方公里，境内流域810.13平方公里，占岳阳市总面积的7.41%。该河分南</w:t>
      </w:r>
      <w:r>
        <w:rPr>
          <w:rFonts w:hint="eastAsia"/>
          <w:color w:val="000000"/>
          <w:sz w:val="24"/>
          <w:szCs w:val="24"/>
          <w:lang w:eastAsia="zh-CN"/>
        </w:rPr>
        <w:t>北</w:t>
      </w:r>
      <w:r>
        <w:rPr>
          <w:color w:val="000000"/>
          <w:sz w:val="24"/>
          <w:szCs w:val="24"/>
          <w:lang w:eastAsia="zh-CN"/>
        </w:rPr>
        <w:t>二源，南源沙港为正源，发源于平江县板江乡宝贝岭，流域963平方公里。北源油港河发源于临湘市龙源乡麻颈，流域973平方公里，经龙源水库、渔潭、桃林于临湘市长塘乡进入岳阳县。南北二源在三港咀汇合，经新墙、荣家湾入洞庭湖。上游系山区性河道，水量丰富，现以建成铁山水库，是岳阳市集中式城市生活饮用水水源地、跨流域引水和解决滨江环湖浅丘区干旱的一个主要水源。</w:t>
      </w:r>
    </w:p>
    <w:p>
      <w:pPr>
        <w:spacing w:after="0" w:line="360" w:lineRule="auto"/>
        <w:ind w:firstLine="480"/>
        <w:rPr>
          <w:rFonts w:ascii="宋体" w:hAnsi="宋体" w:cs="宋体"/>
          <w:lang w:eastAsia="zh-CN"/>
        </w:rPr>
      </w:pPr>
      <w:r>
        <w:rPr>
          <w:color w:val="000000"/>
          <w:sz w:val="24"/>
          <w:szCs w:val="24"/>
          <w:lang w:eastAsia="zh-CN"/>
        </w:rPr>
        <w:t>洞庭湖纯湖区水系：长江过境流程75公里；资水从湘阴县毛角口入境，于临淄口与湘江西支并流入洞庭湖；湘江从湘阴县铁角咀入境，于濠河口分东西两支注入洞庭湖；此外，洞庭湖纯湖区还有16条流域5平方公里以上的平原性河道，总流域3749.10平方公里，占岳阳市总面积的34.30%。藕池河、华容河系四口入湖河道，藕池河多年平均流量793立方米/秒，境内流程110公里。华容河已于1958年建闸堵坝，堵坝前多年平均流量335立方米/秒，境内流</w:t>
      </w:r>
      <w:r>
        <w:rPr>
          <w:rFonts w:hint="eastAsia"/>
          <w:color w:val="000000"/>
          <w:sz w:val="24"/>
          <w:szCs w:val="24"/>
          <w:lang w:eastAsia="zh-CN"/>
        </w:rPr>
        <w:t>程</w:t>
      </w:r>
      <w:r>
        <w:rPr>
          <w:color w:val="000000"/>
          <w:sz w:val="24"/>
          <w:szCs w:val="24"/>
          <w:lang w:eastAsia="zh-CN"/>
        </w:rPr>
        <w:t>35公里。</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4.1.4气象气候</w:t>
      </w:r>
    </w:p>
    <w:p>
      <w:pPr>
        <w:pStyle w:val="27"/>
        <w:shd w:val="clear" w:color="auto" w:fill="FFFFFF"/>
        <w:spacing w:before="0" w:beforeAutospacing="0" w:after="0" w:afterAutospacing="0" w:line="360" w:lineRule="auto"/>
        <w:ind w:firstLine="480"/>
        <w:rPr>
          <w:rFonts w:ascii="宋体" w:hAnsi="宋体" w:eastAsia="宋体" w:cs="宋体"/>
          <w:lang w:eastAsia="zh-CN"/>
        </w:rPr>
      </w:pPr>
      <w:r>
        <w:rPr>
          <w:rFonts w:hint="eastAsia" w:ascii="宋体" w:hAnsi="宋体" w:eastAsia="宋体" w:cs="宋体"/>
          <w:lang w:eastAsia="zh-CN"/>
        </w:rPr>
        <w:t>岳阳市气象观测站站址位于岳阳市洞庭北路滨湖，北纬 29゜23′，东经 113゜05′，观测场海拔高度 53.0m，风速感应器距地（平台）高度 7.4m。岳阳市气象站地处拟建华能岳阳电厂三期工程西南面约 8km处，两地地形和海拔高度基本一致，地面气象历史资料的收集主要来自于岳阳市气象站。</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4.1.4.1气候特征</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华能岳阳电厂所在区域地属东洞庭湖区，属北亚热带湿润季风气候，具有气候温和，四季分明，热量充足，雨水集中，春秋气温多变，春夏多涝，夏秋多旱，严寒期短暑热期长的特点。近五年年平均气温17.8℃，极端最高气温 37.1℃，极端最低气温-3.1℃；年平均相对湿度 77%，年降水量 1446.3mm；年蒸发量 899.2 mm；年平均风速 2.6m/s。全年主导风为 NE 风，出现频率 17.8%。年静风频率 11.7%。</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4.1.4.2 地面风向、风速</w:t>
      </w:r>
    </w:p>
    <w:p>
      <w:pPr>
        <w:pStyle w:val="27"/>
        <w:shd w:val="clear" w:color="auto" w:fill="FFFFFF"/>
        <w:spacing w:before="0" w:beforeAutospacing="0" w:after="0" w:afterAutospacing="0" w:line="360" w:lineRule="auto"/>
        <w:rPr>
          <w:rFonts w:ascii="宋体" w:hAnsi="宋体" w:eastAsia="宋体" w:cs="宋体"/>
          <w:lang w:eastAsia="zh-CN"/>
        </w:rPr>
      </w:pPr>
      <w:r>
        <w:rPr>
          <w:rFonts w:hint="eastAsia" w:ascii="宋体" w:hAnsi="宋体" w:eastAsia="宋体" w:cs="宋体"/>
          <w:lang w:eastAsia="zh-CN"/>
        </w:rPr>
        <w:t xml:space="preserve">   （1）风向：风对大气污染物的扩散和迁移方向起着决定性的作用。图 4-4 为风向频率玫瑰图。岳阳市常年主导风为 NE 风，年出现频率为 17.8%。冬季(1 月)以 NE 风为主，出现频率 22.4%；春季(4月)以 NE 风为主，出现频率 14.6%；夏季(7 月)以 S 风为主，出现频率15.0%；秋季(10 月)以 NE 风为主，出现频率均为 18.4%。全年静风频率 11.7%，夏季静风频率较低为 7.0%。秋季 17.4%、冬季节性 13.4%、春季 10.8%。</w:t>
      </w:r>
    </w:p>
    <w:p>
      <w:pPr>
        <w:pStyle w:val="27"/>
        <w:shd w:val="clear" w:color="auto" w:fill="FFFFFF"/>
        <w:spacing w:after="360" w:line="360" w:lineRule="auto"/>
        <w:jc w:val="center"/>
        <w:rPr>
          <w:rFonts w:ascii="宋体" w:hAnsi="宋体" w:eastAsia="宋体" w:cs="宋体"/>
          <w:lang w:eastAsia="zh-CN"/>
        </w:rPr>
      </w:pPr>
      <w:r>
        <w:rPr>
          <w:rFonts w:hint="eastAsia" w:ascii="宋体" w:hAnsi="宋体" w:eastAsia="宋体" w:cs="宋体"/>
        </w:rPr>
        <w:drawing>
          <wp:inline distT="0" distB="0" distL="0" distR="0">
            <wp:extent cx="4991735" cy="6553835"/>
            <wp:effectExtent l="1905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21" cstate="print"/>
                    <a:srcRect/>
                    <a:stretch>
                      <a:fillRect/>
                    </a:stretch>
                  </pic:blipFill>
                  <pic:spPr>
                    <a:xfrm>
                      <a:off x="0" y="0"/>
                      <a:ext cx="4991722" cy="6554235"/>
                    </a:xfrm>
                    <a:prstGeom prst="rect">
                      <a:avLst/>
                    </a:prstGeom>
                    <a:noFill/>
                    <a:ln w="9525">
                      <a:noFill/>
                      <a:miter lim="800000"/>
                      <a:headEnd/>
                      <a:tailEnd/>
                    </a:ln>
                  </pic:spPr>
                </pic:pic>
              </a:graphicData>
            </a:graphic>
          </wp:inline>
        </w:drawing>
      </w:r>
    </w:p>
    <w:p>
      <w:pPr>
        <w:pStyle w:val="27"/>
        <w:shd w:val="clear" w:color="auto" w:fill="FFFFFF"/>
        <w:spacing w:before="0" w:beforeAutospacing="0" w:after="360" w:afterAutospacing="0" w:line="360" w:lineRule="auto"/>
        <w:jc w:val="center"/>
        <w:rPr>
          <w:rFonts w:eastAsia="宋体" w:asciiTheme="minorEastAsia" w:hAnsiTheme="minorEastAsia" w:cstheme="minorEastAsia"/>
          <w:b/>
          <w:lang w:eastAsia="zh-CN"/>
        </w:rPr>
      </w:pPr>
      <w:r>
        <w:rPr>
          <w:rFonts w:hint="eastAsia" w:eastAsia="宋体" w:asciiTheme="minorEastAsia" w:hAnsiTheme="minorEastAsia" w:cstheme="minorEastAsia"/>
          <w:b/>
          <w:lang w:eastAsia="zh-CN"/>
        </w:rPr>
        <w:t>图4.1-1岳阳市气象站风向频率玫瑰图</w:t>
      </w:r>
    </w:p>
    <w:p>
      <w:pPr>
        <w:pStyle w:val="27"/>
        <w:shd w:val="clear" w:color="auto" w:fill="FFFFFF"/>
        <w:spacing w:after="360" w:line="360" w:lineRule="auto"/>
        <w:rPr>
          <w:rFonts w:ascii="宋体" w:hAnsi="宋体" w:eastAsia="宋体" w:cs="宋体"/>
          <w:b/>
          <w:lang w:eastAsia="zh-CN"/>
        </w:rPr>
      </w:pP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4.1.5自然资源</w:t>
      </w:r>
    </w:p>
    <w:p>
      <w:pPr>
        <w:snapToGrid w:val="0"/>
        <w:spacing w:after="0" w:line="360" w:lineRule="auto"/>
        <w:ind w:firstLine="480"/>
        <w:rPr>
          <w:color w:val="000000"/>
          <w:sz w:val="24"/>
          <w:szCs w:val="24"/>
          <w:lang w:eastAsia="zh-CN"/>
        </w:rPr>
      </w:pPr>
      <w:r>
        <w:rPr>
          <w:color w:val="000000"/>
          <w:sz w:val="24"/>
          <w:szCs w:val="24"/>
          <w:lang w:eastAsia="zh-CN"/>
        </w:rPr>
        <w:t>岳阳市土地富饶，拥有丰富的自然资源。岳阳是国家重要的粮、棉、猪、鱼等优质农产品基地，有四个县(市)进入全国粮、棉、猪百强县行列，有机茶、无公害蔬菜、优质水果、长江蟹、洞庭青虾等农副产品市场十分畅销。</w:t>
      </w:r>
    </w:p>
    <w:p>
      <w:pPr>
        <w:snapToGrid w:val="0"/>
        <w:spacing w:after="0" w:line="360" w:lineRule="auto"/>
        <w:ind w:firstLine="480"/>
        <w:rPr>
          <w:color w:val="000000"/>
          <w:sz w:val="24"/>
          <w:szCs w:val="24"/>
          <w:lang w:eastAsia="zh-CN"/>
        </w:rPr>
      </w:pPr>
      <w:r>
        <w:rPr>
          <w:color w:val="000000"/>
          <w:sz w:val="24"/>
          <w:szCs w:val="24"/>
          <w:lang w:eastAsia="zh-CN"/>
        </w:rPr>
        <w:t>岳阳水资源充沛，淡水面积达31万公顷，在全国独一无二，有利于种植业、淡水鱼业和水运业的发展，还为大耗水、大运量的造纸等现代工业提供了良好的基础条件。</w:t>
      </w:r>
    </w:p>
    <w:p>
      <w:pPr>
        <w:pStyle w:val="63"/>
        <w:ind w:firstLine="477" w:firstLineChars="199"/>
        <w:rPr>
          <w:rFonts w:ascii="Times New Roman" w:hAnsi="Times New Roman"/>
          <w:color w:val="000000"/>
          <w:szCs w:val="24"/>
        </w:rPr>
      </w:pPr>
      <w:r>
        <w:rPr>
          <w:rFonts w:ascii="Times New Roman" w:hAnsi="Times New Roman"/>
          <w:color w:val="000000"/>
          <w:szCs w:val="24"/>
        </w:rPr>
        <w:t>岳阳矿产资源多样，境内蕴藏矿种60余种，已探明大型矿床27处、中型28处、小型45处，可供开采矿点200多处，主要矿种有金、银、铅等金属矿产10余种，有白云石、花岗岩、高岭土等非金属矿产20余种，此外，还有铌、钽、铍等稀有及稀土金属矿产和地下矿泉水等资源。</w:t>
      </w:r>
    </w:p>
    <w:p>
      <w:pPr>
        <w:spacing w:after="0" w:line="360" w:lineRule="auto"/>
        <w:ind w:firstLine="480"/>
        <w:rPr>
          <w:color w:val="000000"/>
          <w:sz w:val="24"/>
          <w:szCs w:val="24"/>
          <w:lang w:eastAsia="zh-CN"/>
        </w:rPr>
      </w:pPr>
      <w:r>
        <w:rPr>
          <w:color w:val="000000"/>
          <w:sz w:val="24"/>
          <w:szCs w:val="24"/>
          <w:lang w:eastAsia="zh-CN"/>
        </w:rPr>
        <w:t>评价区内无珍稀古树名木和保护植物。</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69" w:name="_Toc22202340"/>
      <w:bookmarkStart w:id="470" w:name="_Toc24969757"/>
      <w:bookmarkStart w:id="471" w:name="_Toc22202752"/>
      <w:r>
        <w:rPr>
          <w:rFonts w:hint="eastAsia" w:ascii="宋体" w:hAnsi="宋体" w:eastAsia="宋体"/>
          <w:color w:val="000000" w:themeColor="text1"/>
          <w:lang w:eastAsia="zh-CN"/>
        </w:rPr>
        <w:t>4.2</w:t>
      </w:r>
      <w:r>
        <w:rPr>
          <w:rFonts w:ascii="宋体" w:hAnsi="宋体" w:eastAsia="宋体"/>
          <w:color w:val="000000" w:themeColor="text1"/>
          <w:lang w:eastAsia="zh-CN"/>
        </w:rPr>
        <w:t>社会环境</w:t>
      </w:r>
      <w:bookmarkEnd w:id="469"/>
      <w:bookmarkEnd w:id="470"/>
      <w:bookmarkEnd w:id="471"/>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4.2.</w:t>
      </w:r>
      <w:r>
        <w:rPr>
          <w:rFonts w:ascii="宋体" w:hAnsi="宋体" w:eastAsia="宋体" w:cs="宋体"/>
          <w:b/>
          <w:lang w:eastAsia="zh-CN"/>
        </w:rPr>
        <w:t>1行政区划及保护区内人口分布</w:t>
      </w:r>
    </w:p>
    <w:p>
      <w:pPr>
        <w:spacing w:after="0" w:line="360" w:lineRule="auto"/>
        <w:ind w:firstLine="480"/>
        <w:rPr>
          <w:rFonts w:ascii="宋体" w:hAnsi="宋体"/>
          <w:color w:val="000000"/>
          <w:sz w:val="24"/>
          <w:szCs w:val="24"/>
          <w:lang w:eastAsia="zh-CN"/>
        </w:rPr>
      </w:pPr>
      <w:r>
        <w:rPr>
          <w:rFonts w:ascii="宋体" w:hAnsi="宋体"/>
          <w:color w:val="000000"/>
          <w:sz w:val="24"/>
          <w:szCs w:val="24"/>
          <w:lang w:eastAsia="zh-CN"/>
        </w:rPr>
        <w:t>岳阳位于湖南省的北部，为省辖市，是湘北政治、经济、文化、交通中心。现辖汨罗、临湘二市，平江、岳阳、华容、湘阴四县及岳阳楼区、云溪区、君山区、屈原行政区四区。国土总面积15019.2km</w:t>
      </w:r>
      <w:r>
        <w:rPr>
          <w:rFonts w:ascii="宋体" w:hAnsi="宋体"/>
          <w:color w:val="000000"/>
          <w:sz w:val="24"/>
          <w:szCs w:val="24"/>
          <w:vertAlign w:val="superscript"/>
          <w:lang w:eastAsia="zh-CN"/>
        </w:rPr>
        <w:t>2</w:t>
      </w:r>
      <w:r>
        <w:rPr>
          <w:rFonts w:ascii="宋体" w:hAnsi="宋体"/>
          <w:color w:val="000000"/>
          <w:sz w:val="24"/>
          <w:szCs w:val="24"/>
          <w:lang w:eastAsia="zh-CN"/>
        </w:rPr>
        <w:t>，总人口528万，是一个多民族居住的地方。</w:t>
      </w:r>
    </w:p>
    <w:p>
      <w:pPr>
        <w:pStyle w:val="27"/>
        <w:shd w:val="clear" w:color="auto" w:fill="FFFFFF"/>
        <w:spacing w:before="0" w:beforeAutospacing="0" w:after="0" w:afterAutospacing="0" w:line="360" w:lineRule="auto"/>
        <w:rPr>
          <w:rFonts w:ascii="宋体" w:hAnsi="宋体" w:eastAsia="宋体" w:cs="宋体"/>
          <w:b/>
          <w:lang w:eastAsia="zh-CN"/>
        </w:rPr>
      </w:pPr>
      <w:bookmarkStart w:id="472" w:name="_Toc22151171"/>
      <w:bookmarkStart w:id="473" w:name="_Toc22198210"/>
      <w:bookmarkStart w:id="474" w:name="_Toc22150994"/>
      <w:bookmarkStart w:id="475" w:name="_Toc21815017"/>
      <w:bookmarkStart w:id="476" w:name="_Toc21814409"/>
      <w:bookmarkStart w:id="477" w:name="_Toc21814230"/>
      <w:bookmarkStart w:id="478" w:name="_Toc21814362"/>
      <w:bookmarkStart w:id="479" w:name="_Toc22198328"/>
      <w:bookmarkStart w:id="480" w:name="_Toc22198434"/>
      <w:bookmarkStart w:id="481" w:name="_Toc22198537"/>
      <w:bookmarkStart w:id="482" w:name="_Toc22198833"/>
      <w:bookmarkStart w:id="483" w:name="_Toc22199197"/>
      <w:bookmarkStart w:id="484" w:name="_Toc22199687"/>
      <w:bookmarkStart w:id="485" w:name="_Toc22200331"/>
      <w:r>
        <w:rPr>
          <w:rFonts w:hint="eastAsia" w:ascii="宋体" w:hAnsi="宋体" w:eastAsia="宋体" w:cs="宋体"/>
          <w:b/>
          <w:lang w:eastAsia="zh-CN"/>
        </w:rPr>
        <w:t>4.2.</w:t>
      </w:r>
      <w:r>
        <w:rPr>
          <w:rFonts w:ascii="宋体" w:hAnsi="宋体" w:eastAsia="宋体" w:cs="宋体"/>
          <w:b/>
          <w:lang w:eastAsia="zh-CN"/>
        </w:rPr>
        <w:t>2</w:t>
      </w:r>
      <w:r>
        <w:rPr>
          <w:rFonts w:hint="eastAsia" w:ascii="宋体" w:hAnsi="宋体" w:eastAsia="宋体" w:cs="宋体"/>
          <w:b/>
          <w:lang w:eastAsia="zh-CN"/>
        </w:rPr>
        <w:t>社会经济</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spacing w:after="0" w:line="360" w:lineRule="auto"/>
        <w:ind w:right="-192" w:firstLine="480"/>
        <w:rPr>
          <w:rFonts w:ascii="宋体" w:hAnsi="宋体"/>
          <w:color w:val="000000"/>
          <w:sz w:val="24"/>
          <w:szCs w:val="24"/>
          <w:lang w:eastAsia="zh-CN"/>
        </w:rPr>
      </w:pPr>
      <w:r>
        <w:rPr>
          <w:rFonts w:ascii="宋体" w:hAnsi="宋体"/>
          <w:color w:val="000000"/>
          <w:sz w:val="24"/>
          <w:szCs w:val="24"/>
          <w:lang w:eastAsia="zh-CN"/>
        </w:rPr>
        <w:t>201</w:t>
      </w:r>
      <w:r>
        <w:rPr>
          <w:rFonts w:hint="eastAsia" w:ascii="宋体" w:hAnsi="宋体"/>
          <w:color w:val="000000"/>
          <w:sz w:val="24"/>
          <w:szCs w:val="24"/>
          <w:lang w:eastAsia="zh-CN"/>
        </w:rPr>
        <w:t>8</w:t>
      </w:r>
      <w:r>
        <w:rPr>
          <w:rFonts w:ascii="宋体" w:hAnsi="宋体"/>
          <w:color w:val="000000"/>
          <w:sz w:val="24"/>
          <w:szCs w:val="24"/>
          <w:lang w:eastAsia="zh-CN"/>
        </w:rPr>
        <w:t>年，</w:t>
      </w:r>
      <w:r>
        <w:rPr>
          <w:rFonts w:hint="eastAsia" w:ascii="宋体" w:hAnsi="宋体"/>
          <w:color w:val="333333"/>
          <w:sz w:val="24"/>
          <w:szCs w:val="24"/>
          <w:shd w:val="clear" w:color="auto" w:fill="FFFFFF"/>
          <w:lang w:eastAsia="zh-CN"/>
        </w:rPr>
        <w:t>国民经济稳步增长。初步核算，全年国内生产总值3411.01亿元，总量居全省第二，比上年增长8.3%，比全国和全省平均水平分别高1.7和0.5个百分点。其中：第一产业增加值319.91亿元，增长3.3%；第二产业增加值1424.34亿元，增长7.7%；第三产业增加值1666.76亿元，增长10.0%，三次产业结构由9.7:43.1:47.2调整为9.4:41.7:48.9。服务业成为岳阳经济发展的主力军。</w:t>
      </w:r>
    </w:p>
    <w:p>
      <w:pPr>
        <w:spacing w:after="0" w:line="360" w:lineRule="auto"/>
        <w:ind w:right="-192" w:firstLine="480"/>
        <w:rPr>
          <w:rFonts w:ascii="宋体" w:hAnsi="宋体"/>
          <w:color w:val="000000"/>
          <w:sz w:val="24"/>
          <w:szCs w:val="24"/>
          <w:lang w:eastAsia="zh-CN"/>
        </w:rPr>
      </w:pPr>
      <w:r>
        <w:rPr>
          <w:rFonts w:hint="eastAsia" w:ascii="宋体" w:hAnsi="宋体"/>
          <w:color w:val="333333"/>
          <w:sz w:val="24"/>
          <w:szCs w:val="24"/>
          <w:shd w:val="clear" w:color="auto" w:fill="FFFFFF"/>
          <w:lang w:eastAsia="zh-CN"/>
        </w:rPr>
        <w:t>财政收入运行稳健。全年全市公共财政预算收入339.18亿元，比上年增加21.09亿元，增长6.6%，其中：税收收入285.38亿元，增加41.94亿元，增长17.2%。地方公共财政预算收入143.89亿元，比上年减少8.25亿元，同比下降5.4%，其中：税收收入91.75亿元，增加12.81亿元，增长16.2%。</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4.2.</w:t>
      </w:r>
      <w:r>
        <w:rPr>
          <w:rFonts w:ascii="宋体" w:hAnsi="宋体" w:eastAsia="宋体" w:cs="宋体"/>
          <w:b/>
          <w:lang w:eastAsia="zh-CN"/>
        </w:rPr>
        <w:t>3交通状况</w:t>
      </w:r>
    </w:p>
    <w:p>
      <w:pPr>
        <w:spacing w:after="0" w:line="360" w:lineRule="auto"/>
        <w:ind w:firstLine="480"/>
        <w:rPr>
          <w:color w:val="000000"/>
          <w:sz w:val="24"/>
          <w:szCs w:val="24"/>
          <w:lang w:eastAsia="zh-CN"/>
        </w:rPr>
      </w:pPr>
      <w:r>
        <w:rPr>
          <w:color w:val="000000"/>
          <w:sz w:val="24"/>
          <w:szCs w:val="24"/>
          <w:lang w:eastAsia="zh-CN"/>
        </w:rPr>
        <w:t>岳阳是湖南唯一的临江城市。地处一湖(洞庭湖)两原(江汉平原、洞庭湖平原)三省(湘、鄂、赣)四线(京广铁路、京珠高速公路、107国道、长江)的多元交汇点上，是长江中游仅次于武汉的又一个“金十字架”，特别是洞庭湖大桥的通车，构成了“承东联西”“南北贯通”的便捷交通网。长江八大深水良港之一的城陵矶港</w:t>
      </w:r>
      <w:r>
        <w:rPr>
          <w:rFonts w:hint="eastAsia"/>
          <w:color w:val="000000"/>
          <w:sz w:val="24"/>
          <w:szCs w:val="24"/>
          <w:lang w:eastAsia="zh-CN"/>
        </w:rPr>
        <w:t>是重要的</w:t>
      </w:r>
      <w:r>
        <w:rPr>
          <w:color w:val="000000"/>
          <w:sz w:val="24"/>
          <w:szCs w:val="24"/>
          <w:lang w:eastAsia="zh-CN"/>
        </w:rPr>
        <w:t>对外开放</w:t>
      </w:r>
      <w:r>
        <w:rPr>
          <w:rFonts w:hint="eastAsia"/>
          <w:color w:val="000000"/>
          <w:sz w:val="24"/>
          <w:szCs w:val="24"/>
          <w:lang w:eastAsia="zh-CN"/>
        </w:rPr>
        <w:t>口岸</w:t>
      </w:r>
      <w:r>
        <w:rPr>
          <w:color w:val="000000"/>
          <w:sz w:val="24"/>
          <w:szCs w:val="24"/>
          <w:lang w:eastAsia="zh-CN"/>
        </w:rPr>
        <w:t>。岳阳交通极为便利，境内长江、京广铁路、京广高铁、G4京港澳高速公路、G56杭瑞高速公路等国家交通主动脉在市区交织成网，近临的黄花国际机场每日往返频繁。</w:t>
      </w:r>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4.2.4</w:t>
      </w:r>
      <w:r>
        <w:rPr>
          <w:rFonts w:ascii="宋体" w:hAnsi="宋体" w:eastAsia="宋体" w:cs="宋体"/>
          <w:b/>
          <w:lang w:eastAsia="zh-CN"/>
        </w:rPr>
        <w:t>华能岳阳电厂概况</w:t>
      </w:r>
    </w:p>
    <w:p>
      <w:pPr>
        <w:adjustRightInd w:val="0"/>
        <w:snapToGrid w:val="0"/>
        <w:spacing w:after="0" w:line="360" w:lineRule="auto"/>
        <w:ind w:firstLine="480"/>
        <w:rPr>
          <w:rFonts w:ascii="宋体" w:hAnsi="宋体"/>
          <w:color w:val="000000"/>
          <w:sz w:val="24"/>
          <w:szCs w:val="24"/>
          <w:lang w:eastAsia="zh-CN"/>
        </w:rPr>
      </w:pPr>
      <w:r>
        <w:rPr>
          <w:rFonts w:ascii="宋体" w:hAnsi="宋体"/>
          <w:color w:val="000000"/>
          <w:sz w:val="24"/>
          <w:szCs w:val="24"/>
          <w:lang w:eastAsia="zh-CN"/>
        </w:rPr>
        <w:t>华能岳阳电厂位于湖南省岳阳市城陵矶，建设共分为一、二、三期三个阶段，截止至今年，电厂装机容量已达到2525MW，是湘北地区唯一的电源支撑点，为湖南电网的安全稳定运行担负着重要的支撑作用。</w:t>
      </w:r>
    </w:p>
    <w:p>
      <w:pPr>
        <w:adjustRightInd w:val="0"/>
        <w:snapToGrid w:val="0"/>
        <w:spacing w:after="0" w:line="360" w:lineRule="auto"/>
        <w:ind w:firstLine="480"/>
        <w:rPr>
          <w:rFonts w:ascii="宋体" w:hAnsi="宋体"/>
          <w:color w:val="000000"/>
          <w:sz w:val="24"/>
          <w:szCs w:val="24"/>
          <w:lang w:eastAsia="zh-CN"/>
        </w:rPr>
      </w:pPr>
      <w:r>
        <w:rPr>
          <w:rFonts w:ascii="宋体" w:hAnsi="宋体"/>
          <w:color w:val="000000"/>
          <w:sz w:val="24"/>
          <w:szCs w:val="24"/>
          <w:lang w:eastAsia="zh-CN"/>
        </w:rPr>
        <w:t>一期工程安装的两台362.5MW燃煤机组从英国成套引进，已投产发电。二期扩建工程规模为2×300MW国产燃煤机组，并同期建设烟气脱硫装置，该工程于2004年月正式开工建设，#3、#4机组分别于2006年3月9日和5月30日投产发电。三期</w:t>
      </w:r>
      <w:r>
        <w:rPr>
          <w:rFonts w:hint="eastAsia" w:ascii="宋体" w:hAnsi="宋体"/>
          <w:color w:val="000000"/>
          <w:sz w:val="24"/>
          <w:szCs w:val="24"/>
          <w:lang w:eastAsia="zh-CN"/>
        </w:rPr>
        <w:t>5</w:t>
      </w:r>
      <w:r>
        <w:rPr>
          <w:rFonts w:ascii="宋体" w:hAnsi="宋体"/>
          <w:color w:val="000000"/>
          <w:sz w:val="24"/>
          <w:szCs w:val="24"/>
          <w:lang w:eastAsia="zh-CN"/>
        </w:rPr>
        <w:t>#、</w:t>
      </w:r>
      <w:r>
        <w:rPr>
          <w:rFonts w:hint="eastAsia" w:ascii="宋体" w:hAnsi="宋体"/>
          <w:color w:val="000000"/>
          <w:sz w:val="24"/>
          <w:szCs w:val="24"/>
          <w:lang w:eastAsia="zh-CN"/>
        </w:rPr>
        <w:t>6#</w:t>
      </w:r>
      <w:r>
        <w:rPr>
          <w:rFonts w:ascii="宋体" w:hAnsi="宋体"/>
          <w:color w:val="000000"/>
          <w:sz w:val="24"/>
          <w:szCs w:val="24"/>
          <w:lang w:eastAsia="zh-CN"/>
        </w:rPr>
        <w:t>号机组均为600MW超超超临界发电机组，于2011年完成安装，正式投产</w:t>
      </w:r>
      <w:r>
        <w:rPr>
          <w:rFonts w:hint="eastAsia" w:ascii="宋体" w:hAnsi="宋体"/>
          <w:color w:val="000000"/>
          <w:sz w:val="24"/>
          <w:szCs w:val="24"/>
          <w:lang w:eastAsia="zh-CN"/>
        </w:rPr>
        <w:t>发电</w:t>
      </w:r>
      <w:r>
        <w:rPr>
          <w:rFonts w:ascii="宋体" w:hAnsi="宋体"/>
          <w:color w:val="000000"/>
          <w:sz w:val="24"/>
          <w:szCs w:val="24"/>
          <w:lang w:eastAsia="zh-CN"/>
        </w:rPr>
        <w:t>。</w:t>
      </w:r>
    </w:p>
    <w:p>
      <w:pPr>
        <w:adjustRightInd w:val="0"/>
        <w:snapToGrid w:val="0"/>
        <w:spacing w:after="0" w:line="360" w:lineRule="auto"/>
        <w:ind w:firstLine="480"/>
        <w:rPr>
          <w:rFonts w:ascii="宋体" w:hAnsi="宋体"/>
          <w:color w:val="000000"/>
          <w:sz w:val="24"/>
          <w:szCs w:val="24"/>
          <w:lang w:eastAsia="zh-CN"/>
        </w:rPr>
      </w:pPr>
      <w:r>
        <w:rPr>
          <w:rFonts w:ascii="宋体" w:hAnsi="宋体"/>
          <w:color w:val="000000"/>
          <w:sz w:val="24"/>
          <w:szCs w:val="24"/>
          <w:lang w:eastAsia="zh-CN"/>
        </w:rPr>
        <w:t>华能岳阳电厂二期工程建成投产后，全厂总装机容量达1325MW。三期工程扩建两台600MW超超超临界发电机组， #5机组</w:t>
      </w:r>
      <w:r>
        <w:rPr>
          <w:rFonts w:hint="eastAsia" w:ascii="宋体" w:hAnsi="宋体"/>
          <w:color w:val="000000"/>
          <w:sz w:val="24"/>
          <w:szCs w:val="24"/>
          <w:lang w:eastAsia="zh-CN"/>
        </w:rPr>
        <w:t>和</w:t>
      </w:r>
      <w:r>
        <w:rPr>
          <w:rFonts w:ascii="宋体" w:hAnsi="宋体"/>
          <w:color w:val="000000"/>
          <w:sz w:val="24"/>
          <w:szCs w:val="24"/>
          <w:lang w:eastAsia="zh-CN"/>
        </w:rPr>
        <w:t>#6号机组也于2011 年正式投产。至此，全厂总装机容量达2525MW，成为湖南省最大的发电企业。</w:t>
      </w:r>
    </w:p>
    <w:p>
      <w:pPr>
        <w:pStyle w:val="5"/>
        <w:widowControl w:val="0"/>
        <w:tabs>
          <w:tab w:val="left" w:pos="-3900"/>
          <w:tab w:val="left" w:pos="0"/>
        </w:tabs>
        <w:adjustRightInd w:val="0"/>
        <w:snapToGrid w:val="0"/>
        <w:spacing w:before="0" w:line="360" w:lineRule="auto"/>
        <w:rPr>
          <w:rFonts w:eastAsia="宋体"/>
          <w:color w:val="000000" w:themeColor="text1"/>
          <w:lang w:eastAsia="zh-CN"/>
        </w:rPr>
      </w:pPr>
      <w:bookmarkStart w:id="486" w:name="_Toc22202341"/>
      <w:bookmarkStart w:id="487" w:name="_Toc22202753"/>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88" w:name="_Toc24969758"/>
      <w:r>
        <w:rPr>
          <w:rFonts w:hint="eastAsia" w:ascii="宋体" w:hAnsi="宋体" w:eastAsia="宋体"/>
          <w:color w:val="000000" w:themeColor="text1"/>
          <w:lang w:eastAsia="zh-CN"/>
        </w:rPr>
        <w:t>4.3环境质量现状调查与评价</w:t>
      </w:r>
      <w:bookmarkEnd w:id="486"/>
      <w:bookmarkEnd w:id="487"/>
      <w:bookmarkEnd w:id="488"/>
    </w:p>
    <w:p>
      <w:pPr>
        <w:pStyle w:val="27"/>
        <w:shd w:val="clear" w:color="auto" w:fill="FFFFFF"/>
        <w:spacing w:before="0" w:beforeAutospacing="0" w:after="0" w:afterAutospacing="0" w:line="360" w:lineRule="auto"/>
        <w:rPr>
          <w:rFonts w:ascii="宋体" w:hAnsi="宋体" w:eastAsia="宋体" w:cs="宋体"/>
          <w:b/>
          <w:lang w:eastAsia="zh-CN"/>
        </w:rPr>
      </w:pPr>
      <w:r>
        <w:rPr>
          <w:rFonts w:hint="eastAsia" w:ascii="宋体" w:hAnsi="宋体" w:eastAsia="宋体" w:cs="宋体"/>
          <w:b/>
          <w:lang w:eastAsia="zh-CN"/>
        </w:rPr>
        <w:t>4.3.1</w:t>
      </w:r>
      <w:r>
        <w:rPr>
          <w:rFonts w:ascii="宋体" w:hAnsi="宋体" w:eastAsia="宋体" w:cs="宋体"/>
          <w:b/>
          <w:lang w:eastAsia="zh-CN"/>
        </w:rPr>
        <w:t>环境空气质量现状</w:t>
      </w:r>
    </w:p>
    <w:p>
      <w:pPr>
        <w:spacing w:line="360" w:lineRule="auto"/>
        <w:ind w:firstLine="480" w:firstLineChars="200"/>
        <w:rPr>
          <w:color w:val="000000"/>
          <w:sz w:val="24"/>
          <w:lang w:eastAsia="zh-CN"/>
        </w:rPr>
      </w:pPr>
      <w:r>
        <w:rPr>
          <w:rFonts w:hint="eastAsia"/>
          <w:color w:val="000000"/>
          <w:sz w:val="24"/>
          <w:lang w:eastAsia="zh-CN"/>
        </w:rPr>
        <w:t>根据《环境影响评价技术导则</w:t>
      </w:r>
      <w:r>
        <w:rPr>
          <w:color w:val="000000"/>
          <w:sz w:val="24"/>
          <w:lang w:eastAsia="zh-CN"/>
        </w:rPr>
        <w:t xml:space="preserve"> </w:t>
      </w:r>
      <w:r>
        <w:rPr>
          <w:rFonts w:hint="eastAsia"/>
          <w:color w:val="000000"/>
          <w:sz w:val="24"/>
          <w:lang w:eastAsia="zh-CN"/>
        </w:rPr>
        <w:t>大气环境》（</w:t>
      </w:r>
      <w:r>
        <w:rPr>
          <w:color w:val="000000"/>
          <w:sz w:val="24"/>
          <w:lang w:eastAsia="zh-CN"/>
        </w:rPr>
        <w:t>HJ2.2-2018</w:t>
      </w:r>
      <w:r>
        <w:rPr>
          <w:rFonts w:hint="eastAsia"/>
          <w:color w:val="000000"/>
          <w:sz w:val="24"/>
          <w:lang w:eastAsia="zh-CN"/>
        </w:rPr>
        <w:t>），大气基本污染物环境质量现状数据可以采用评价范围内国家或地方环境空气质量监测网中评价基准年连续1年的监测数据。故本项目大气基本污染物环境质量现状数据采用岳阳市生态环境局公开发布的</w:t>
      </w:r>
      <w:r>
        <w:rPr>
          <w:color w:val="000000"/>
          <w:sz w:val="24"/>
          <w:lang w:eastAsia="zh-CN"/>
        </w:rPr>
        <w:t>201</w:t>
      </w:r>
      <w:r>
        <w:rPr>
          <w:rFonts w:hint="eastAsia"/>
          <w:color w:val="000000"/>
          <w:sz w:val="24"/>
          <w:lang w:eastAsia="zh-CN"/>
        </w:rPr>
        <w:t>8年的环境空气质量现状数据进行评价。</w:t>
      </w:r>
    </w:p>
    <w:p>
      <w:pPr>
        <w:pStyle w:val="13"/>
        <w:kinsoku w:val="0"/>
        <w:overflowPunct w:val="0"/>
        <w:spacing w:line="364" w:lineRule="auto"/>
        <w:ind w:right="-102"/>
        <w:rPr>
          <w:sz w:val="24"/>
          <w:lang w:eastAsia="zh-CN"/>
        </w:rPr>
      </w:pPr>
      <w:r>
        <w:rPr>
          <w:rFonts w:hint="eastAsia"/>
          <w:color w:val="000000"/>
          <w:sz w:val="24"/>
          <w:lang w:eastAsia="zh-CN"/>
        </w:rPr>
        <w:t xml:space="preserve">         2018年度岳阳市城区环境空气质量达标率为78.6%，轻度污染占全年18.3%，中度污染占2.2%，重度污染占0.8%，无严重污染天气。细颗粒物（PM2.5）为首要污染物占超标天数58.4%，臭氧（O3）为首要污染物的天数占37.7%，可吸入颗粒物（PM10）为首要污染物的天数占3.9%。2018年城区环境空气质量综合指数为4.39。</w:t>
      </w:r>
      <w:r>
        <w:rPr>
          <w:rFonts w:hint="eastAsia"/>
          <w:bCs/>
          <w:sz w:val="24"/>
          <w:szCs w:val="24"/>
          <w:lang w:eastAsia="zh-CN"/>
        </w:rPr>
        <w:t>根据《湖南省</w:t>
      </w:r>
      <w:r>
        <w:rPr>
          <w:bCs/>
          <w:sz w:val="24"/>
          <w:szCs w:val="24"/>
          <w:lang w:eastAsia="zh-CN"/>
        </w:rPr>
        <w:t>“</w:t>
      </w:r>
      <w:r>
        <w:rPr>
          <w:rFonts w:hint="eastAsia"/>
          <w:bCs/>
          <w:sz w:val="24"/>
          <w:szCs w:val="24"/>
          <w:lang w:eastAsia="zh-CN"/>
        </w:rPr>
        <w:t>蓝天保卫战</w:t>
      </w:r>
      <w:r>
        <w:rPr>
          <w:bCs/>
          <w:sz w:val="24"/>
          <w:szCs w:val="24"/>
          <w:lang w:eastAsia="zh-CN"/>
        </w:rPr>
        <w:t>”</w:t>
      </w:r>
      <w:r>
        <w:rPr>
          <w:rFonts w:hint="eastAsia"/>
          <w:bCs/>
          <w:sz w:val="24"/>
          <w:szCs w:val="24"/>
          <w:lang w:eastAsia="zh-CN"/>
        </w:rPr>
        <w:t>实施方案（</w:t>
      </w:r>
      <w:r>
        <w:rPr>
          <w:bCs/>
          <w:sz w:val="24"/>
          <w:szCs w:val="24"/>
          <w:lang w:eastAsia="zh-CN"/>
        </w:rPr>
        <w:t xml:space="preserve">2018—2020 </w:t>
      </w:r>
      <w:r>
        <w:rPr>
          <w:rFonts w:hint="eastAsia"/>
          <w:bCs/>
          <w:sz w:val="24"/>
          <w:szCs w:val="24"/>
          <w:lang w:eastAsia="zh-CN"/>
        </w:rPr>
        <w:t>年）》，</w:t>
      </w:r>
      <w:r>
        <w:rPr>
          <w:bCs/>
          <w:sz w:val="24"/>
          <w:szCs w:val="24"/>
          <w:lang w:eastAsia="zh-CN"/>
        </w:rPr>
        <w:t>“</w:t>
      </w:r>
      <w:r>
        <w:rPr>
          <w:rFonts w:hint="eastAsia"/>
          <w:bCs/>
          <w:sz w:val="24"/>
          <w:szCs w:val="24"/>
          <w:lang w:eastAsia="zh-CN"/>
        </w:rPr>
        <w:t>重点抓好全省特护期和长沙市、株洲市、湘潭市以及常德市、岳阳市、益阳市等传输通道城市环境空气质量改善，确保完成目标任务。</w:t>
      </w:r>
      <w:r>
        <w:rPr>
          <w:bCs/>
          <w:sz w:val="24"/>
          <w:szCs w:val="24"/>
          <w:lang w:eastAsia="zh-CN"/>
        </w:rPr>
        <w:t>”</w:t>
      </w:r>
      <w:r>
        <w:rPr>
          <w:rFonts w:hint="eastAsia"/>
          <w:bCs/>
          <w:sz w:val="24"/>
          <w:szCs w:val="24"/>
          <w:lang w:eastAsia="zh-CN"/>
        </w:rPr>
        <w:t>根据《岳阳市贯彻落实</w:t>
      </w:r>
      <w:r>
        <w:rPr>
          <w:bCs/>
          <w:sz w:val="24"/>
          <w:szCs w:val="24"/>
          <w:lang w:eastAsia="zh-CN"/>
        </w:rPr>
        <w:t>&lt;</w:t>
      </w:r>
      <w:r>
        <w:rPr>
          <w:rFonts w:hint="eastAsia"/>
          <w:bCs/>
          <w:sz w:val="24"/>
          <w:szCs w:val="24"/>
          <w:lang w:eastAsia="zh-CN"/>
        </w:rPr>
        <w:t>大气污染防治行动计划</w:t>
      </w:r>
      <w:r>
        <w:rPr>
          <w:bCs/>
          <w:sz w:val="24"/>
          <w:szCs w:val="24"/>
          <w:lang w:eastAsia="zh-CN"/>
        </w:rPr>
        <w:t>&gt;</w:t>
      </w:r>
      <w:r>
        <w:rPr>
          <w:rFonts w:hint="eastAsia"/>
          <w:bCs/>
          <w:sz w:val="24"/>
          <w:szCs w:val="24"/>
          <w:lang w:eastAsia="zh-CN"/>
        </w:rPr>
        <w:t xml:space="preserve">实施方案》的通知，岳阳市近期采取产业和能源结构调整措施、大气污染治理的措施等一系列措施，对比 </w:t>
      </w:r>
      <w:r>
        <w:rPr>
          <w:bCs/>
          <w:sz w:val="24"/>
          <w:szCs w:val="24"/>
          <w:lang w:eastAsia="zh-CN"/>
        </w:rPr>
        <w:t xml:space="preserve">2017 </w:t>
      </w:r>
      <w:r>
        <w:rPr>
          <w:rFonts w:hint="eastAsia"/>
          <w:bCs/>
          <w:sz w:val="24"/>
          <w:szCs w:val="24"/>
          <w:lang w:eastAsia="zh-CN"/>
        </w:rPr>
        <w:t xml:space="preserve">年和 </w:t>
      </w:r>
      <w:r>
        <w:rPr>
          <w:bCs/>
          <w:sz w:val="24"/>
          <w:szCs w:val="24"/>
          <w:lang w:eastAsia="zh-CN"/>
        </w:rPr>
        <w:t>2018</w:t>
      </w:r>
      <w:r>
        <w:rPr>
          <w:rFonts w:hint="eastAsia"/>
          <w:bCs/>
          <w:sz w:val="24"/>
          <w:szCs w:val="24"/>
          <w:lang w:eastAsia="zh-CN"/>
        </w:rPr>
        <w:t>年监测数据可知，岳阳市空气质量正在逐步</w:t>
      </w:r>
      <w:r>
        <w:rPr>
          <w:rFonts w:hint="eastAsia"/>
          <w:sz w:val="24"/>
          <w:lang w:eastAsia="zh-CN"/>
        </w:rPr>
        <w:t>趋稳回升。</w:t>
      </w:r>
    </w:p>
    <w:p>
      <w:pPr>
        <w:spacing w:line="360" w:lineRule="auto"/>
        <w:ind w:firstLine="482" w:firstLineChars="200"/>
        <w:jc w:val="center"/>
        <w:rPr>
          <w:b/>
          <w:color w:val="000000"/>
          <w:sz w:val="24"/>
          <w:lang w:eastAsia="zh-CN"/>
        </w:rPr>
      </w:pPr>
      <w:r>
        <w:rPr>
          <w:rFonts w:hint="eastAsia"/>
          <w:b/>
          <w:color w:val="000000"/>
          <w:sz w:val="24"/>
          <w:lang w:eastAsia="zh-CN"/>
        </w:rPr>
        <w:t>2018年岳阳市环境空气质量状况</w:t>
      </w:r>
    </w:p>
    <w:tbl>
      <w:tblPr>
        <w:tblStyle w:val="30"/>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autofit"/>
        <w:tblCellMar>
          <w:top w:w="30" w:type="dxa"/>
          <w:left w:w="30" w:type="dxa"/>
          <w:bottom w:w="30" w:type="dxa"/>
          <w:right w:w="30" w:type="dxa"/>
        </w:tblCellMar>
      </w:tblPr>
      <w:tblGrid>
        <w:gridCol w:w="653"/>
        <w:gridCol w:w="645"/>
        <w:gridCol w:w="717"/>
        <w:gridCol w:w="850"/>
        <w:gridCol w:w="851"/>
        <w:gridCol w:w="1276"/>
        <w:gridCol w:w="850"/>
        <w:gridCol w:w="709"/>
        <w:gridCol w:w="709"/>
        <w:gridCol w:w="850"/>
        <w:gridCol w:w="8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CellMar>
            <w:top w:w="30" w:type="dxa"/>
            <w:left w:w="30" w:type="dxa"/>
            <w:bottom w:w="30" w:type="dxa"/>
            <w:right w:w="30" w:type="dxa"/>
          </w:tblCellMar>
        </w:tblPrEx>
        <w:trPr>
          <w:trHeight w:val="454" w:hRule="atLeast"/>
        </w:trPr>
        <w:tc>
          <w:tcPr>
            <w:tcW w:w="653" w:type="dxa"/>
            <w:vMerge w:val="restart"/>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时间</w:t>
            </w:r>
          </w:p>
        </w:tc>
        <w:tc>
          <w:tcPr>
            <w:tcW w:w="645"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SO2</w:t>
            </w:r>
          </w:p>
        </w:tc>
        <w:tc>
          <w:tcPr>
            <w:tcW w:w="717"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NO2</w:t>
            </w:r>
          </w:p>
        </w:tc>
        <w:tc>
          <w:tcPr>
            <w:tcW w:w="850"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PM10</w:t>
            </w:r>
          </w:p>
        </w:tc>
        <w:tc>
          <w:tcPr>
            <w:tcW w:w="851"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CO(第95百分位数)</w:t>
            </w:r>
          </w:p>
        </w:tc>
        <w:tc>
          <w:tcPr>
            <w:tcW w:w="1276"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O3_8h(第90百分位数)</w:t>
            </w:r>
          </w:p>
        </w:tc>
        <w:tc>
          <w:tcPr>
            <w:tcW w:w="850"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PM2.5</w:t>
            </w:r>
          </w:p>
        </w:tc>
        <w:tc>
          <w:tcPr>
            <w:tcW w:w="709" w:type="dxa"/>
            <w:vMerge w:val="restart"/>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达标天数</w:t>
            </w:r>
          </w:p>
        </w:tc>
        <w:tc>
          <w:tcPr>
            <w:tcW w:w="709" w:type="dxa"/>
            <w:vMerge w:val="restart"/>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有效天数</w:t>
            </w:r>
          </w:p>
        </w:tc>
        <w:tc>
          <w:tcPr>
            <w:tcW w:w="850" w:type="dxa"/>
            <w:vMerge w:val="restart"/>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达标率</w:t>
            </w:r>
          </w:p>
        </w:tc>
        <w:tc>
          <w:tcPr>
            <w:tcW w:w="828" w:type="dxa"/>
            <w:vMerge w:val="restart"/>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综合指数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454" w:hRule="atLeast"/>
        </w:trPr>
        <w:tc>
          <w:tcPr>
            <w:tcW w:w="0" w:type="auto"/>
            <w:vMerge w:val="continue"/>
            <w:shd w:val="clear" w:color="auto" w:fill="FFFFFF"/>
            <w:vAlign w:val="center"/>
          </w:tcPr>
          <w:p>
            <w:pPr>
              <w:spacing w:after="0" w:line="240" w:lineRule="auto"/>
              <w:jc w:val="center"/>
              <w:rPr>
                <w:b/>
                <w:color w:val="000000"/>
                <w:sz w:val="16"/>
                <w:szCs w:val="16"/>
                <w:lang w:eastAsia="zh-CN"/>
              </w:rPr>
            </w:pPr>
          </w:p>
        </w:tc>
        <w:tc>
          <w:tcPr>
            <w:tcW w:w="645"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μg/m</w:t>
            </w:r>
            <w:r>
              <w:rPr>
                <w:rFonts w:hint="eastAsia"/>
                <w:b/>
                <w:color w:val="000000"/>
                <w:sz w:val="16"/>
                <w:szCs w:val="16"/>
                <w:vertAlign w:val="superscript"/>
                <w:lang w:eastAsia="zh-CN"/>
              </w:rPr>
              <w:t>3</w:t>
            </w:r>
          </w:p>
        </w:tc>
        <w:tc>
          <w:tcPr>
            <w:tcW w:w="717"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μg/m3</w:t>
            </w:r>
          </w:p>
        </w:tc>
        <w:tc>
          <w:tcPr>
            <w:tcW w:w="850"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μg/m</w:t>
            </w:r>
            <w:r>
              <w:rPr>
                <w:rFonts w:hint="eastAsia"/>
                <w:b/>
                <w:color w:val="000000"/>
                <w:sz w:val="16"/>
                <w:szCs w:val="16"/>
                <w:vertAlign w:val="superscript"/>
                <w:lang w:eastAsia="zh-CN"/>
              </w:rPr>
              <w:t>3</w:t>
            </w:r>
          </w:p>
        </w:tc>
        <w:tc>
          <w:tcPr>
            <w:tcW w:w="851"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mg/m</w:t>
            </w:r>
            <w:r>
              <w:rPr>
                <w:rFonts w:hint="eastAsia"/>
                <w:b/>
                <w:color w:val="000000"/>
                <w:sz w:val="16"/>
                <w:szCs w:val="16"/>
                <w:vertAlign w:val="superscript"/>
                <w:lang w:eastAsia="zh-CN"/>
              </w:rPr>
              <w:t>3</w:t>
            </w:r>
          </w:p>
        </w:tc>
        <w:tc>
          <w:tcPr>
            <w:tcW w:w="1276"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μg/m3</w:t>
            </w:r>
          </w:p>
        </w:tc>
        <w:tc>
          <w:tcPr>
            <w:tcW w:w="850" w:type="dxa"/>
            <w:shd w:val="clear" w:color="auto" w:fill="FFFFFF"/>
            <w:vAlign w:val="center"/>
          </w:tcPr>
          <w:p>
            <w:pPr>
              <w:spacing w:after="0" w:line="240" w:lineRule="auto"/>
              <w:jc w:val="center"/>
              <w:rPr>
                <w:b/>
                <w:color w:val="000000"/>
                <w:sz w:val="16"/>
                <w:szCs w:val="16"/>
                <w:lang w:eastAsia="zh-CN"/>
              </w:rPr>
            </w:pPr>
            <w:r>
              <w:rPr>
                <w:rFonts w:hint="eastAsia"/>
                <w:b/>
                <w:color w:val="000000"/>
                <w:sz w:val="16"/>
                <w:szCs w:val="16"/>
                <w:lang w:eastAsia="zh-CN"/>
              </w:rPr>
              <w:t>μg/m</w:t>
            </w:r>
            <w:r>
              <w:rPr>
                <w:rFonts w:hint="eastAsia"/>
                <w:b/>
                <w:color w:val="000000"/>
                <w:sz w:val="16"/>
                <w:szCs w:val="16"/>
                <w:vertAlign w:val="superscript"/>
                <w:lang w:eastAsia="zh-CN"/>
              </w:rPr>
              <w:t>3</w:t>
            </w:r>
          </w:p>
        </w:tc>
        <w:tc>
          <w:tcPr>
            <w:tcW w:w="709" w:type="dxa"/>
            <w:vMerge w:val="continue"/>
            <w:shd w:val="clear" w:color="auto" w:fill="FFFFFF"/>
            <w:vAlign w:val="center"/>
          </w:tcPr>
          <w:p>
            <w:pPr>
              <w:spacing w:after="0" w:line="240" w:lineRule="auto"/>
              <w:jc w:val="center"/>
              <w:rPr>
                <w:b/>
                <w:color w:val="000000"/>
                <w:sz w:val="16"/>
                <w:szCs w:val="16"/>
                <w:lang w:eastAsia="zh-CN"/>
              </w:rPr>
            </w:pPr>
          </w:p>
        </w:tc>
        <w:tc>
          <w:tcPr>
            <w:tcW w:w="709" w:type="dxa"/>
            <w:vMerge w:val="continue"/>
            <w:shd w:val="clear" w:color="auto" w:fill="FFFFFF"/>
            <w:vAlign w:val="center"/>
          </w:tcPr>
          <w:p>
            <w:pPr>
              <w:spacing w:after="0" w:line="240" w:lineRule="auto"/>
              <w:jc w:val="center"/>
              <w:rPr>
                <w:b/>
                <w:color w:val="000000"/>
                <w:sz w:val="16"/>
                <w:szCs w:val="16"/>
                <w:lang w:eastAsia="zh-CN"/>
              </w:rPr>
            </w:pPr>
          </w:p>
        </w:tc>
        <w:tc>
          <w:tcPr>
            <w:tcW w:w="850" w:type="dxa"/>
            <w:vMerge w:val="continue"/>
            <w:shd w:val="clear" w:color="auto" w:fill="FFFFFF"/>
            <w:vAlign w:val="center"/>
          </w:tcPr>
          <w:p>
            <w:pPr>
              <w:spacing w:after="0" w:line="240" w:lineRule="auto"/>
              <w:jc w:val="center"/>
              <w:rPr>
                <w:b/>
                <w:color w:val="000000"/>
                <w:sz w:val="16"/>
                <w:szCs w:val="16"/>
                <w:lang w:eastAsia="zh-CN"/>
              </w:rPr>
            </w:pPr>
          </w:p>
        </w:tc>
        <w:tc>
          <w:tcPr>
            <w:tcW w:w="828" w:type="dxa"/>
            <w:vMerge w:val="continue"/>
            <w:shd w:val="clear" w:color="auto" w:fill="FFFFFF"/>
            <w:vAlign w:val="center"/>
          </w:tcPr>
          <w:p>
            <w:pPr>
              <w:spacing w:after="0" w:line="240" w:lineRule="auto"/>
              <w:jc w:val="center"/>
              <w:rPr>
                <w:b/>
                <w:color w:val="000000"/>
                <w:sz w:val="16"/>
                <w:szCs w:val="16"/>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454" w:hRule="atLeast"/>
        </w:trPr>
        <w:tc>
          <w:tcPr>
            <w:tcW w:w="653"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2018年</w:t>
            </w:r>
          </w:p>
        </w:tc>
        <w:tc>
          <w:tcPr>
            <w:tcW w:w="645"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10</w:t>
            </w:r>
          </w:p>
        </w:tc>
        <w:tc>
          <w:tcPr>
            <w:tcW w:w="717"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23</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72</w:t>
            </w:r>
          </w:p>
        </w:tc>
        <w:tc>
          <w:tcPr>
            <w:tcW w:w="851"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1.4</w:t>
            </w:r>
          </w:p>
        </w:tc>
        <w:tc>
          <w:tcPr>
            <w:tcW w:w="1276"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155</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45</w:t>
            </w:r>
          </w:p>
        </w:tc>
        <w:tc>
          <w:tcPr>
            <w:tcW w:w="709"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283</w:t>
            </w:r>
          </w:p>
        </w:tc>
        <w:tc>
          <w:tcPr>
            <w:tcW w:w="709"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360</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78.6%</w:t>
            </w:r>
          </w:p>
        </w:tc>
        <w:tc>
          <w:tcPr>
            <w:tcW w:w="828"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4.39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454" w:hRule="atLeast"/>
        </w:trPr>
        <w:tc>
          <w:tcPr>
            <w:tcW w:w="653"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2017年</w:t>
            </w:r>
          </w:p>
        </w:tc>
        <w:tc>
          <w:tcPr>
            <w:tcW w:w="645"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14</w:t>
            </w:r>
          </w:p>
        </w:tc>
        <w:tc>
          <w:tcPr>
            <w:tcW w:w="717"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25</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70</w:t>
            </w:r>
          </w:p>
        </w:tc>
        <w:tc>
          <w:tcPr>
            <w:tcW w:w="851"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1.4</w:t>
            </w:r>
          </w:p>
        </w:tc>
        <w:tc>
          <w:tcPr>
            <w:tcW w:w="1276"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142</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49</w:t>
            </w:r>
          </w:p>
        </w:tc>
        <w:tc>
          <w:tcPr>
            <w:tcW w:w="709"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305</w:t>
            </w:r>
          </w:p>
        </w:tc>
        <w:tc>
          <w:tcPr>
            <w:tcW w:w="709"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363</w:t>
            </w:r>
          </w:p>
        </w:tc>
        <w:tc>
          <w:tcPr>
            <w:tcW w:w="850"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84.0%</w:t>
            </w:r>
          </w:p>
        </w:tc>
        <w:tc>
          <w:tcPr>
            <w:tcW w:w="828" w:type="dxa"/>
            <w:shd w:val="clear" w:color="auto" w:fill="FFFFFF"/>
            <w:vAlign w:val="center"/>
          </w:tcPr>
          <w:p>
            <w:pPr>
              <w:spacing w:after="0" w:line="240" w:lineRule="auto"/>
              <w:jc w:val="center"/>
              <w:rPr>
                <w:color w:val="000000"/>
                <w:sz w:val="16"/>
                <w:szCs w:val="16"/>
                <w:lang w:eastAsia="zh-CN"/>
              </w:rPr>
            </w:pPr>
            <w:r>
              <w:rPr>
                <w:rFonts w:hint="eastAsia"/>
                <w:color w:val="000000"/>
                <w:sz w:val="16"/>
                <w:szCs w:val="16"/>
                <w:lang w:eastAsia="zh-CN"/>
              </w:rPr>
              <w:t>4.49</w:t>
            </w:r>
          </w:p>
        </w:tc>
      </w:tr>
    </w:tbl>
    <w:p>
      <w:pPr>
        <w:pStyle w:val="2"/>
        <w:rPr>
          <w:lang w:eastAsia="zh-CN"/>
        </w:rPr>
      </w:pPr>
    </w:p>
    <w:p>
      <w:pPr>
        <w:adjustRightInd w:val="0"/>
        <w:snapToGrid w:val="0"/>
        <w:spacing w:beforeLines="50" w:after="0" w:line="360" w:lineRule="auto"/>
        <w:rPr>
          <w:rFonts w:ascii="宋体" w:hAnsi="宋体"/>
          <w:b/>
          <w:color w:val="000000"/>
          <w:sz w:val="24"/>
          <w:szCs w:val="24"/>
          <w:lang w:eastAsia="zh-CN"/>
        </w:rPr>
      </w:pPr>
      <w:r>
        <w:rPr>
          <w:rFonts w:hint="eastAsia" w:ascii="宋体" w:hAnsi="宋体"/>
          <w:b/>
          <w:color w:val="000000"/>
          <w:sz w:val="24"/>
          <w:szCs w:val="24"/>
          <w:lang w:eastAsia="zh-CN"/>
        </w:rPr>
        <w:t>锅炉烟气中二噁英补充监测</w:t>
      </w:r>
    </w:p>
    <w:p>
      <w:pPr>
        <w:pStyle w:val="2"/>
        <w:ind w:left="0" w:firstLine="0"/>
        <w:rPr>
          <w:rFonts w:ascii="宋体" w:hAnsi="宋体"/>
          <w:sz w:val="24"/>
          <w:szCs w:val="24"/>
          <w:lang w:eastAsia="zh-CN"/>
        </w:rPr>
      </w:pPr>
      <w:r>
        <w:rPr>
          <w:rFonts w:hint="eastAsia" w:ascii="宋体" w:hAnsi="宋体"/>
          <w:sz w:val="24"/>
          <w:szCs w:val="24"/>
          <w:lang w:eastAsia="zh-CN"/>
        </w:rPr>
        <w:t xml:space="preserve">    中国科学院大连物理化学研究所于2019年11月12日13：20——15:40对6#锅炉烟气中二噁英含量进行了检测，二噁英浓度为0.006ngTEQ/m</w:t>
      </w:r>
      <w:r>
        <w:rPr>
          <w:rFonts w:hint="eastAsia" w:ascii="宋体" w:hAnsi="宋体"/>
          <w:sz w:val="24"/>
          <w:szCs w:val="24"/>
          <w:vertAlign w:val="superscript"/>
          <w:lang w:eastAsia="zh-CN"/>
        </w:rPr>
        <w:t>3</w:t>
      </w:r>
      <w:r>
        <w:rPr>
          <w:rFonts w:hint="eastAsia" w:ascii="宋体" w:hAnsi="宋体"/>
          <w:sz w:val="24"/>
          <w:szCs w:val="24"/>
          <w:lang w:eastAsia="zh-CN"/>
        </w:rPr>
        <w:t>。远低于《生活垃圾焚烧污染控制标准》规定的污泥焚烧能力为50</w:t>
      </w:r>
      <w:r>
        <w:rPr>
          <w:rFonts w:asciiTheme="majorHAnsi" w:hAnsiTheme="majorHAnsi"/>
          <w:sz w:val="24"/>
          <w:szCs w:val="24"/>
          <w:lang w:eastAsia="zh-CN"/>
        </w:rPr>
        <w:t>~</w:t>
      </w:r>
      <w:r>
        <w:rPr>
          <w:rFonts w:hint="eastAsia" w:ascii="宋体" w:hAnsi="宋体"/>
          <w:sz w:val="24"/>
          <w:szCs w:val="24"/>
          <w:lang w:eastAsia="zh-CN"/>
        </w:rPr>
        <w:t>100t/d的限值0.5ngTEQ/m</w:t>
      </w:r>
      <w:r>
        <w:rPr>
          <w:rFonts w:hint="eastAsia" w:ascii="宋体" w:hAnsi="宋体"/>
          <w:sz w:val="24"/>
          <w:szCs w:val="24"/>
          <w:vertAlign w:val="superscript"/>
          <w:lang w:eastAsia="zh-CN"/>
        </w:rPr>
        <w:t>3</w:t>
      </w:r>
      <w:r>
        <w:rPr>
          <w:rFonts w:hint="eastAsia" w:ascii="宋体" w:hAnsi="宋体"/>
          <w:sz w:val="24"/>
          <w:szCs w:val="24"/>
          <w:lang w:eastAsia="zh-CN"/>
        </w:rPr>
        <w:t>。</w:t>
      </w:r>
    </w:p>
    <w:p>
      <w:pPr>
        <w:adjustRightInd w:val="0"/>
        <w:snapToGrid w:val="0"/>
        <w:spacing w:beforeLines="50" w:after="0" w:line="360" w:lineRule="auto"/>
        <w:rPr>
          <w:rFonts w:ascii="宋体" w:hAnsi="宋体"/>
          <w:color w:val="000000"/>
          <w:sz w:val="24"/>
          <w:szCs w:val="24"/>
          <w:lang w:eastAsia="zh-CN"/>
        </w:rPr>
      </w:pPr>
      <w:r>
        <w:rPr>
          <w:rFonts w:hint="eastAsia" w:ascii="宋体" w:hAnsi="宋体"/>
          <w:b/>
          <w:color w:val="000000"/>
          <w:sz w:val="24"/>
          <w:szCs w:val="24"/>
          <w:lang w:eastAsia="zh-CN"/>
        </w:rPr>
        <w:t>无组织排放气体补充监测</w:t>
      </w:r>
    </w:p>
    <w:p>
      <w:pPr>
        <w:pStyle w:val="29"/>
        <w:wordWrap w:val="0"/>
        <w:ind w:firstLine="480"/>
        <w:rPr>
          <w:bCs/>
          <w:szCs w:val="24"/>
        </w:rPr>
      </w:pPr>
      <w:r>
        <w:rPr>
          <w:rFonts w:hint="eastAsia"/>
          <w:szCs w:val="24"/>
        </w:rPr>
        <w:t>湖南昌源环境</w:t>
      </w:r>
      <w:r>
        <w:rPr>
          <w:szCs w:val="24"/>
        </w:rPr>
        <w:t>科技有限公司于2019年</w:t>
      </w:r>
      <w:r>
        <w:rPr>
          <w:rFonts w:hint="eastAsia"/>
          <w:szCs w:val="24"/>
        </w:rPr>
        <w:t>9</w:t>
      </w:r>
      <w:r>
        <w:rPr>
          <w:szCs w:val="24"/>
        </w:rPr>
        <w:t>月</w:t>
      </w:r>
      <w:r>
        <w:rPr>
          <w:rFonts w:hint="eastAsia"/>
          <w:szCs w:val="24"/>
        </w:rPr>
        <w:t>4</w:t>
      </w:r>
      <w:r>
        <w:rPr>
          <w:szCs w:val="24"/>
        </w:rPr>
        <w:t>日~</w:t>
      </w:r>
      <w:r>
        <w:rPr>
          <w:rFonts w:hint="eastAsia"/>
          <w:szCs w:val="24"/>
        </w:rPr>
        <w:t>9</w:t>
      </w:r>
      <w:r>
        <w:rPr>
          <w:szCs w:val="24"/>
        </w:rPr>
        <w:t>月</w:t>
      </w:r>
      <w:r>
        <w:rPr>
          <w:rFonts w:hint="eastAsia"/>
          <w:szCs w:val="24"/>
        </w:rPr>
        <w:t>1</w:t>
      </w:r>
      <w:r>
        <w:rPr>
          <w:szCs w:val="24"/>
        </w:rPr>
        <w:t>0日对</w:t>
      </w:r>
      <w:r>
        <w:rPr>
          <w:color w:val="000000" w:themeColor="text1"/>
          <w:szCs w:val="24"/>
        </w:rPr>
        <w:t>本</w:t>
      </w:r>
      <w:r>
        <w:rPr>
          <w:rFonts w:hint="eastAsia"/>
          <w:color w:val="000000" w:themeColor="text1"/>
          <w:szCs w:val="24"/>
        </w:rPr>
        <w:t>项目</w:t>
      </w:r>
      <w:r>
        <w:rPr>
          <w:rFonts w:hint="eastAsia"/>
          <w:bCs/>
          <w:color w:val="000000" w:themeColor="text1"/>
          <w:szCs w:val="24"/>
        </w:rPr>
        <w:t>场地上下风向边</w:t>
      </w:r>
      <w:r>
        <w:rPr>
          <w:bCs/>
          <w:color w:val="000000" w:themeColor="text1"/>
          <w:szCs w:val="24"/>
        </w:rPr>
        <w:t>界</w:t>
      </w:r>
      <w:r>
        <w:rPr>
          <w:rFonts w:hint="eastAsia"/>
          <w:bCs/>
          <w:color w:val="000000" w:themeColor="text1"/>
          <w:szCs w:val="24"/>
        </w:rPr>
        <w:t>无组织排放</w:t>
      </w:r>
      <w:r>
        <w:rPr>
          <w:bCs/>
          <w:color w:val="000000" w:themeColor="text1"/>
          <w:szCs w:val="24"/>
        </w:rPr>
        <w:t>气体</w:t>
      </w:r>
      <w:r>
        <w:rPr>
          <w:rFonts w:hint="eastAsia"/>
          <w:bCs/>
          <w:color w:val="000000" w:themeColor="text1"/>
          <w:szCs w:val="24"/>
        </w:rPr>
        <w:t>进行检测</w:t>
      </w:r>
      <w:r>
        <w:rPr>
          <w:bCs/>
          <w:color w:val="000000" w:themeColor="text1"/>
          <w:szCs w:val="24"/>
        </w:rPr>
        <w:t>，</w:t>
      </w:r>
      <w:r>
        <w:rPr>
          <w:rFonts w:hint="eastAsia"/>
          <w:bCs/>
          <w:color w:val="000000" w:themeColor="text1"/>
          <w:szCs w:val="24"/>
        </w:rPr>
        <w:t>检测布点图见图4.3-1；</w:t>
      </w:r>
      <w:r>
        <w:rPr>
          <w:bCs/>
          <w:color w:val="000000" w:themeColor="text1"/>
          <w:szCs w:val="24"/>
        </w:rPr>
        <w:t>检测</w:t>
      </w:r>
      <w:r>
        <w:rPr>
          <w:bCs/>
          <w:szCs w:val="24"/>
        </w:rPr>
        <w:t>结果见表4.</w:t>
      </w:r>
      <w:r>
        <w:rPr>
          <w:rFonts w:hint="eastAsia"/>
          <w:bCs/>
          <w:szCs w:val="24"/>
        </w:rPr>
        <w:t>3</w:t>
      </w:r>
      <w:r>
        <w:rPr>
          <w:bCs/>
          <w:szCs w:val="24"/>
        </w:rPr>
        <w:t>-</w:t>
      </w:r>
      <w:r>
        <w:rPr>
          <w:rFonts w:hint="eastAsia"/>
          <w:bCs/>
          <w:szCs w:val="24"/>
        </w:rPr>
        <w:t>2</w:t>
      </w:r>
      <w:r>
        <w:rPr>
          <w:bCs/>
          <w:szCs w:val="24"/>
        </w:rPr>
        <w:t>。</w:t>
      </w:r>
    </w:p>
    <w:p>
      <w:pPr>
        <w:adjustRightInd w:val="0"/>
        <w:snapToGrid w:val="0"/>
        <w:spacing w:line="360" w:lineRule="auto"/>
        <w:jc w:val="center"/>
        <w:rPr>
          <w:b/>
          <w:bCs/>
          <w:sz w:val="24"/>
          <w:szCs w:val="24"/>
          <w:lang w:eastAsia="zh-CN"/>
        </w:rPr>
      </w:pPr>
    </w:p>
    <w:p>
      <w:pPr>
        <w:adjustRightInd w:val="0"/>
        <w:snapToGrid w:val="0"/>
        <w:spacing w:line="360" w:lineRule="auto"/>
        <w:jc w:val="center"/>
        <w:rPr>
          <w:b/>
          <w:bCs/>
          <w:sz w:val="24"/>
          <w:szCs w:val="24"/>
          <w:lang w:eastAsia="zh-CN"/>
        </w:rPr>
      </w:pPr>
    </w:p>
    <w:p>
      <w:pPr>
        <w:adjustRightInd w:val="0"/>
        <w:snapToGrid w:val="0"/>
        <w:spacing w:line="360" w:lineRule="auto"/>
        <w:rPr>
          <w:b/>
          <w:bCs/>
          <w:sz w:val="24"/>
          <w:szCs w:val="24"/>
          <w:lang w:eastAsia="zh-CN"/>
        </w:rPr>
      </w:pPr>
    </w:p>
    <w:p>
      <w:pPr>
        <w:adjustRightInd w:val="0"/>
        <w:snapToGrid w:val="0"/>
        <w:spacing w:line="360" w:lineRule="auto"/>
        <w:jc w:val="center"/>
        <w:rPr>
          <w:b/>
          <w:bCs/>
          <w:sz w:val="24"/>
          <w:szCs w:val="24"/>
          <w:lang w:eastAsia="zh-CN"/>
        </w:rPr>
      </w:pPr>
      <w:r>
        <w:rPr>
          <w:rFonts w:hint="eastAsia"/>
          <w:b/>
          <w:bCs/>
          <w:sz w:val="24"/>
          <w:szCs w:val="24"/>
          <w:lang w:eastAsia="zh-CN"/>
        </w:rPr>
        <w:t>图4.3-1无组织废气检测布点图</w:t>
      </w:r>
    </w:p>
    <w:p>
      <w:pPr>
        <w:adjustRightInd w:val="0"/>
        <w:snapToGrid w:val="0"/>
        <w:spacing w:line="360" w:lineRule="auto"/>
        <w:jc w:val="center"/>
        <w:rPr>
          <w:b/>
          <w:bCs/>
          <w:sz w:val="24"/>
          <w:szCs w:val="24"/>
          <w:lang w:eastAsia="zh-CN"/>
        </w:rPr>
      </w:pPr>
      <w:r>
        <w:rPr>
          <w:rFonts w:hint="eastAsia"/>
          <w:b/>
          <w:bCs/>
          <w:sz w:val="24"/>
          <w:szCs w:val="24"/>
        </w:rPr>
        <w:drawing>
          <wp:inline distT="0" distB="0" distL="0" distR="0">
            <wp:extent cx="5581650" cy="431609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srcRect/>
                    <a:stretch>
                      <a:fillRect/>
                    </a:stretch>
                  </pic:blipFill>
                  <pic:spPr>
                    <a:xfrm>
                      <a:off x="0" y="0"/>
                      <a:ext cx="5581650" cy="4316095"/>
                    </a:xfrm>
                    <a:prstGeom prst="rect">
                      <a:avLst/>
                    </a:prstGeom>
                    <a:noFill/>
                    <a:ln w="9525">
                      <a:noFill/>
                      <a:miter lim="800000"/>
                      <a:headEnd/>
                      <a:tailEnd/>
                    </a:ln>
                  </pic:spPr>
                </pic:pic>
              </a:graphicData>
            </a:graphic>
          </wp:inline>
        </w:drawing>
      </w:r>
    </w:p>
    <w:p>
      <w:pPr>
        <w:adjustRightInd w:val="0"/>
        <w:snapToGrid w:val="0"/>
        <w:spacing w:after="0" w:line="360" w:lineRule="auto"/>
        <w:jc w:val="center"/>
        <w:rPr>
          <w:b/>
          <w:bCs/>
          <w:sz w:val="24"/>
          <w:szCs w:val="24"/>
          <w:lang w:eastAsia="zh-CN"/>
        </w:rPr>
      </w:pPr>
      <w:r>
        <w:rPr>
          <w:b/>
          <w:bCs/>
          <w:sz w:val="24"/>
          <w:szCs w:val="24"/>
          <w:lang w:eastAsia="zh-CN"/>
        </w:rPr>
        <w:t>表4.</w:t>
      </w:r>
      <w:r>
        <w:rPr>
          <w:rFonts w:hint="eastAsia"/>
          <w:b/>
          <w:bCs/>
          <w:sz w:val="24"/>
          <w:szCs w:val="24"/>
          <w:lang w:eastAsia="zh-CN"/>
        </w:rPr>
        <w:t>3</w:t>
      </w:r>
      <w:r>
        <w:rPr>
          <w:b/>
          <w:bCs/>
          <w:sz w:val="24"/>
          <w:szCs w:val="24"/>
          <w:lang w:eastAsia="zh-CN"/>
        </w:rPr>
        <w:t>-</w:t>
      </w:r>
      <w:r>
        <w:rPr>
          <w:rFonts w:hint="eastAsia"/>
          <w:b/>
          <w:bCs/>
          <w:sz w:val="24"/>
          <w:szCs w:val="24"/>
          <w:lang w:eastAsia="zh-CN"/>
        </w:rPr>
        <w:t>2无组织废气现状检测结果表</w:t>
      </w:r>
    </w:p>
    <w:p>
      <w:pPr>
        <w:adjustRightInd w:val="0"/>
        <w:snapToGrid w:val="0"/>
        <w:spacing w:line="360" w:lineRule="auto"/>
        <w:jc w:val="center"/>
        <w:rPr>
          <w:b/>
          <w:bCs/>
          <w:sz w:val="18"/>
          <w:szCs w:val="18"/>
          <w:vertAlign w:val="superscript"/>
          <w:lang w:eastAsia="zh-CN"/>
        </w:rPr>
      </w:pPr>
      <w:r>
        <w:rPr>
          <w:rFonts w:hint="eastAsia"/>
          <w:b/>
          <w:bCs/>
          <w:sz w:val="18"/>
          <w:szCs w:val="18"/>
          <w:lang w:eastAsia="zh-CN"/>
        </w:rPr>
        <w:t xml:space="preserve">                                                                                                                                                                           单位：mg/m</w:t>
      </w:r>
      <w:r>
        <w:rPr>
          <w:rFonts w:hint="eastAsia"/>
          <w:b/>
          <w:bCs/>
          <w:sz w:val="18"/>
          <w:szCs w:val="18"/>
          <w:vertAlign w:val="superscript"/>
          <w:lang w:eastAsia="zh-CN"/>
        </w:rPr>
        <w:t>3</w:t>
      </w:r>
    </w:p>
    <w:tbl>
      <w:tblPr>
        <w:tblStyle w:val="30"/>
        <w:tblW w:w="949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6"/>
        <w:gridCol w:w="1010"/>
        <w:gridCol w:w="1010"/>
        <w:gridCol w:w="1011"/>
        <w:gridCol w:w="1011"/>
        <w:gridCol w:w="1011"/>
        <w:gridCol w:w="1011"/>
        <w:gridCol w:w="1011"/>
        <w:gridCol w:w="12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186"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采样点位</w:t>
            </w:r>
          </w:p>
        </w:tc>
        <w:tc>
          <w:tcPr>
            <w:tcW w:w="1010"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检测</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指标</w:t>
            </w:r>
          </w:p>
        </w:tc>
        <w:tc>
          <w:tcPr>
            <w:tcW w:w="1010"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4日</w:t>
            </w:r>
          </w:p>
        </w:tc>
        <w:tc>
          <w:tcPr>
            <w:tcW w:w="1011"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5日</w:t>
            </w:r>
          </w:p>
        </w:tc>
        <w:tc>
          <w:tcPr>
            <w:tcW w:w="1011"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6日</w:t>
            </w:r>
          </w:p>
        </w:tc>
        <w:tc>
          <w:tcPr>
            <w:tcW w:w="1011"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7日</w:t>
            </w:r>
          </w:p>
        </w:tc>
        <w:tc>
          <w:tcPr>
            <w:tcW w:w="1011"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8日</w:t>
            </w:r>
          </w:p>
        </w:tc>
        <w:tc>
          <w:tcPr>
            <w:tcW w:w="1011"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9日</w:t>
            </w:r>
          </w:p>
        </w:tc>
        <w:tc>
          <w:tcPr>
            <w:tcW w:w="1237"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w:t>
            </w:r>
          </w:p>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10日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上风向</w:t>
            </w:r>
          </w:p>
        </w:tc>
        <w:tc>
          <w:tcPr>
            <w:tcW w:w="1010" w:type="dxa"/>
            <w:vMerge w:val="restart"/>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氨</w:t>
            </w: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0.11</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0.07</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0.06</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0.06</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占标率</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0.55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0.25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0.25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0.30</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达标情况</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237"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下风向</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0.13</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0.16</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0.09</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0.07</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0.15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0.08</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占标率</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0.65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0.80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0.75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达标情况</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237"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上风向</w:t>
            </w:r>
          </w:p>
        </w:tc>
        <w:tc>
          <w:tcPr>
            <w:tcW w:w="1010" w:type="dxa"/>
            <w:vMerge w:val="restart"/>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硫化氢</w:t>
            </w: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0.003</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0.005</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占标率</w:t>
            </w:r>
          </w:p>
        </w:tc>
        <w:tc>
          <w:tcPr>
            <w:tcW w:w="1010" w:type="dxa"/>
            <w:vMerge w:val="continue"/>
            <w:vAlign w:val="center"/>
          </w:tcPr>
          <w:p>
            <w:pPr>
              <w:spacing w:after="0" w:line="240" w:lineRule="auto"/>
              <w:jc w:val="center"/>
              <w:rPr>
                <w:rFonts w:hAnsi="宋体"/>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0.50</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达标情况</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237"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下风向</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0.005</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0.005</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0.004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占标率</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0.50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c>
          <w:tcPr>
            <w:tcW w:w="1011"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0.50</w:t>
            </w:r>
          </w:p>
        </w:tc>
        <w:tc>
          <w:tcPr>
            <w:tcW w:w="1237"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0.40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86"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达标情况</w:t>
            </w:r>
          </w:p>
        </w:tc>
        <w:tc>
          <w:tcPr>
            <w:tcW w:w="1010" w:type="dxa"/>
            <w:vMerge w:val="continue"/>
            <w:vAlign w:val="center"/>
          </w:tcPr>
          <w:p>
            <w:pPr>
              <w:spacing w:after="0" w:line="240" w:lineRule="auto"/>
              <w:jc w:val="center"/>
              <w:rPr>
                <w:rFonts w:hAnsi="宋体" w:eastAsiaTheme="minorEastAsia"/>
                <w:color w:val="000000"/>
                <w:sz w:val="21"/>
                <w:szCs w:val="21"/>
                <w:lang w:eastAsia="zh-CN"/>
              </w:rPr>
            </w:pPr>
          </w:p>
        </w:tc>
        <w:tc>
          <w:tcPr>
            <w:tcW w:w="1010"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011"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c>
          <w:tcPr>
            <w:tcW w:w="1237"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达标</w:t>
            </w:r>
          </w:p>
        </w:tc>
      </w:tr>
    </w:tbl>
    <w:p>
      <w:pPr>
        <w:adjustRightInd w:val="0"/>
        <w:snapToGrid w:val="0"/>
        <w:spacing w:beforeLines="50" w:after="0" w:line="360" w:lineRule="auto"/>
        <w:rPr>
          <w:rFonts w:ascii="宋体" w:hAnsi="宋体"/>
          <w:color w:val="000000" w:themeColor="text1"/>
          <w:sz w:val="24"/>
          <w:szCs w:val="24"/>
          <w:lang w:eastAsia="zh-CN"/>
        </w:rPr>
      </w:pPr>
      <w:r>
        <w:rPr>
          <w:rFonts w:hint="eastAsia" w:ascii="宋体" w:hAnsi="宋体"/>
          <w:color w:val="000000" w:themeColor="text1"/>
          <w:sz w:val="24"/>
          <w:szCs w:val="24"/>
          <w:lang w:eastAsia="zh-CN"/>
        </w:rPr>
        <w:t xml:space="preserve">    由检测结果可知，本项目上下风向边界无组织排放废气现状均能达到</w:t>
      </w:r>
      <w:r>
        <w:rPr>
          <w:rFonts w:ascii="宋体" w:hAnsi="宋体"/>
          <w:color w:val="000000" w:themeColor="text1"/>
          <w:sz w:val="24"/>
          <w:szCs w:val="24"/>
          <w:lang w:eastAsia="zh-CN"/>
        </w:rPr>
        <w:t>《环境影响评价技术导则  大气环境》（HJ2.2-2018）附录D中其他污染物空气质量浓度参考限值</w:t>
      </w:r>
      <w:r>
        <w:rPr>
          <w:rFonts w:hint="eastAsia" w:ascii="宋体" w:hAnsi="宋体"/>
          <w:color w:val="000000" w:themeColor="text1"/>
          <w:sz w:val="24"/>
          <w:szCs w:val="24"/>
          <w:lang w:eastAsia="zh-CN"/>
        </w:rPr>
        <w:t>要求</w:t>
      </w:r>
      <w:r>
        <w:rPr>
          <w:rFonts w:hint="eastAsia"/>
          <w:color w:val="000000" w:themeColor="text1"/>
          <w:lang w:eastAsia="zh-CN"/>
        </w:rPr>
        <w:t>。</w:t>
      </w:r>
    </w:p>
    <w:p>
      <w:pPr>
        <w:pStyle w:val="27"/>
        <w:shd w:val="clear" w:color="auto" w:fill="FFFFFF"/>
        <w:spacing w:after="0" w:afterAutospacing="0" w:line="360" w:lineRule="auto"/>
        <w:rPr>
          <w:rFonts w:ascii="宋体" w:hAnsi="宋体" w:eastAsia="宋体" w:cs="宋体"/>
          <w:b/>
          <w:lang w:eastAsia="zh-CN"/>
        </w:rPr>
      </w:pPr>
      <w:r>
        <w:rPr>
          <w:rFonts w:hint="eastAsia" w:ascii="宋体" w:hAnsi="宋体" w:eastAsia="宋体" w:cs="宋体"/>
          <w:b/>
          <w:lang w:eastAsia="zh-CN"/>
        </w:rPr>
        <w:t>4.3.</w:t>
      </w:r>
      <w:r>
        <w:rPr>
          <w:rFonts w:ascii="宋体" w:hAnsi="宋体" w:eastAsia="宋体" w:cs="宋体"/>
          <w:b/>
          <w:lang w:eastAsia="zh-CN"/>
        </w:rPr>
        <w:t>2水环境质量现状</w:t>
      </w:r>
    </w:p>
    <w:p>
      <w:pPr>
        <w:spacing w:line="520" w:lineRule="exact"/>
        <w:ind w:firstLine="480"/>
        <w:rPr>
          <w:color w:val="000000"/>
          <w:sz w:val="24"/>
          <w:lang w:eastAsia="zh-CN"/>
        </w:rPr>
      </w:pPr>
      <w:r>
        <w:rPr>
          <w:color w:val="000000"/>
          <w:sz w:val="24"/>
          <w:lang w:eastAsia="zh-CN"/>
        </w:rPr>
        <w:t>本项目位于</w:t>
      </w:r>
      <w:r>
        <w:rPr>
          <w:rFonts w:hint="eastAsia"/>
          <w:color w:val="000000"/>
          <w:sz w:val="24"/>
          <w:lang w:eastAsia="zh-CN"/>
        </w:rPr>
        <w:t>岳阳市临港新区城陵矶</w:t>
      </w:r>
      <w:r>
        <w:rPr>
          <w:color w:val="000000"/>
          <w:sz w:val="24"/>
          <w:lang w:eastAsia="zh-CN"/>
        </w:rPr>
        <w:t>，</w:t>
      </w:r>
      <w:r>
        <w:rPr>
          <w:rFonts w:hint="eastAsia"/>
          <w:color w:val="000000"/>
          <w:sz w:val="24"/>
          <w:lang w:eastAsia="zh-CN"/>
        </w:rPr>
        <w:t>项目</w:t>
      </w:r>
      <w:r>
        <w:rPr>
          <w:rFonts w:hint="eastAsia"/>
          <w:color w:val="000000"/>
          <w:sz w:val="24"/>
          <w:szCs w:val="24"/>
          <w:lang w:eastAsia="zh-CN"/>
        </w:rPr>
        <w:t>所在地表水为长江</w:t>
      </w:r>
      <w:bookmarkStart w:id="489" w:name="_bookmark23"/>
      <w:bookmarkEnd w:id="489"/>
      <w:bookmarkStart w:id="490" w:name="3.5地下水质量现状调查与评价"/>
      <w:bookmarkEnd w:id="490"/>
      <w:r>
        <w:rPr>
          <w:rFonts w:hint="eastAsia"/>
          <w:color w:val="000000"/>
          <w:sz w:val="24"/>
          <w:szCs w:val="24"/>
          <w:lang w:eastAsia="zh-CN"/>
        </w:rPr>
        <w:t>。 根据岳阳市二0一八年度环境质量公报：长江干流岳阳段共布设5个监测断面，分别为天字一号、君山长江取水口、荆江口、城陵矶、陆城断面。其中荆江口断面为Ⅲ类，其余4个断面均达Ⅱ类。并</w:t>
      </w:r>
      <w:r>
        <w:rPr>
          <w:color w:val="000000"/>
          <w:sz w:val="24"/>
          <w:szCs w:val="24"/>
          <w:lang w:eastAsia="zh-CN"/>
        </w:rPr>
        <w:t>收集了</w:t>
      </w:r>
      <w:r>
        <w:rPr>
          <w:sz w:val="24"/>
          <w:szCs w:val="24"/>
          <w:lang w:eastAsia="zh-CN"/>
        </w:rPr>
        <w:t>湖南永蓝检测技术有限公司</w:t>
      </w:r>
      <w:r>
        <w:rPr>
          <w:color w:val="000000"/>
          <w:sz w:val="24"/>
          <w:szCs w:val="24"/>
          <w:lang w:eastAsia="zh-CN"/>
        </w:rPr>
        <w:t>2017年9月</w:t>
      </w:r>
      <w:r>
        <w:rPr>
          <w:sz w:val="24"/>
          <w:szCs w:val="24"/>
          <w:lang w:eastAsia="zh-CN"/>
        </w:rPr>
        <w:t>20～22日</w:t>
      </w:r>
      <w:r>
        <w:rPr>
          <w:color w:val="000000"/>
          <w:sz w:val="24"/>
          <w:szCs w:val="24"/>
          <w:lang w:eastAsia="zh-CN"/>
        </w:rPr>
        <w:t>对东洞庭湖常规</w:t>
      </w:r>
      <w:r>
        <w:rPr>
          <w:rFonts w:hint="eastAsia"/>
          <w:color w:val="000000"/>
          <w:sz w:val="24"/>
          <w:szCs w:val="24"/>
          <w:lang w:eastAsia="zh-CN"/>
        </w:rPr>
        <w:t>断面的</w:t>
      </w:r>
      <w:r>
        <w:rPr>
          <w:color w:val="000000"/>
          <w:sz w:val="24"/>
          <w:szCs w:val="24"/>
          <w:lang w:eastAsia="zh-CN"/>
        </w:rPr>
        <w:t>监测数据</w:t>
      </w:r>
      <w:r>
        <w:rPr>
          <w:rFonts w:hint="eastAsia"/>
          <w:color w:val="000000"/>
          <w:sz w:val="24"/>
          <w:szCs w:val="24"/>
          <w:lang w:eastAsia="zh-CN"/>
        </w:rPr>
        <w:t>结果分析，</w:t>
      </w:r>
      <w:r>
        <w:rPr>
          <w:sz w:val="24"/>
          <w:szCs w:val="24"/>
          <w:lang w:eastAsia="zh-CN"/>
        </w:rPr>
        <w:t>东洞庭湖各监测因子均能满足《地表水环境质量标准》（GB3838-2002）</w:t>
      </w:r>
      <w:r>
        <w:rPr>
          <w:rFonts w:hint="eastAsia"/>
          <w:sz w:val="24"/>
          <w:szCs w:val="24"/>
          <w:lang w:eastAsia="zh-CN"/>
        </w:rPr>
        <w:t>Ⅲ</w:t>
      </w:r>
      <w:r>
        <w:rPr>
          <w:sz w:val="24"/>
          <w:szCs w:val="24"/>
          <w:lang w:eastAsia="zh-CN"/>
        </w:rPr>
        <w:t>类标准要求，说明项目所在</w:t>
      </w:r>
      <w:r>
        <w:rPr>
          <w:rFonts w:hint="eastAsia"/>
          <w:sz w:val="24"/>
          <w:szCs w:val="24"/>
          <w:lang w:eastAsia="zh-CN"/>
        </w:rPr>
        <w:t>地</w:t>
      </w:r>
      <w:r>
        <w:rPr>
          <w:sz w:val="24"/>
          <w:szCs w:val="24"/>
          <w:lang w:eastAsia="zh-CN"/>
        </w:rPr>
        <w:t>地表水环境质量现状较好。</w:t>
      </w:r>
      <w:r>
        <w:rPr>
          <w:rFonts w:hint="eastAsia"/>
          <w:sz w:val="24"/>
          <w:szCs w:val="24"/>
          <w:lang w:eastAsia="zh-CN"/>
        </w:rPr>
        <w:t>详见</w:t>
      </w:r>
      <w:r>
        <w:rPr>
          <w:sz w:val="24"/>
          <w:szCs w:val="24"/>
          <w:lang w:eastAsia="zh-CN"/>
        </w:rPr>
        <w:t>表</w:t>
      </w:r>
      <w:r>
        <w:rPr>
          <w:rFonts w:hint="eastAsia"/>
          <w:sz w:val="24"/>
          <w:szCs w:val="24"/>
          <w:lang w:eastAsia="zh-CN"/>
        </w:rPr>
        <w:t>4.3-3。</w:t>
      </w:r>
    </w:p>
    <w:p>
      <w:pPr>
        <w:spacing w:after="0" w:line="360" w:lineRule="auto"/>
        <w:ind w:firstLine="198" w:firstLineChars="82"/>
        <w:jc w:val="center"/>
        <w:rPr>
          <w:b/>
          <w:bCs/>
          <w:color w:val="000000"/>
          <w:sz w:val="20"/>
          <w:szCs w:val="20"/>
          <w:lang w:eastAsia="zh-CN"/>
        </w:rPr>
      </w:pPr>
      <w:r>
        <w:rPr>
          <w:b/>
          <w:bCs/>
          <w:color w:val="000000"/>
          <w:sz w:val="24"/>
          <w:szCs w:val="24"/>
          <w:lang w:eastAsia="zh-CN"/>
        </w:rPr>
        <w:t>表</w:t>
      </w:r>
      <w:r>
        <w:rPr>
          <w:rFonts w:hint="eastAsia"/>
          <w:b/>
          <w:bCs/>
          <w:color w:val="000000"/>
          <w:sz w:val="24"/>
          <w:szCs w:val="24"/>
          <w:lang w:eastAsia="zh-CN"/>
        </w:rPr>
        <w:t>4.3-3</w:t>
      </w:r>
      <w:r>
        <w:rPr>
          <w:b/>
          <w:bCs/>
          <w:color w:val="000000"/>
          <w:sz w:val="24"/>
          <w:szCs w:val="24"/>
          <w:lang w:eastAsia="zh-CN"/>
        </w:rPr>
        <w:t xml:space="preserve">  东洞庭湖常规水质监测结果统计表单位：mg/l（pH及标明单位除外</w:t>
      </w:r>
      <w:r>
        <w:rPr>
          <w:b/>
          <w:bCs/>
          <w:color w:val="000000"/>
          <w:sz w:val="20"/>
          <w:szCs w:val="20"/>
          <w:lang w:eastAsia="zh-CN"/>
        </w:rPr>
        <w:t>）</w:t>
      </w:r>
    </w:p>
    <w:tbl>
      <w:tblPr>
        <w:tblStyle w:val="3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2"/>
        <w:gridCol w:w="1901"/>
        <w:gridCol w:w="1301"/>
        <w:gridCol w:w="1100"/>
        <w:gridCol w:w="1077"/>
        <w:gridCol w:w="1244"/>
        <w:gridCol w:w="1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822" w:type="dxa"/>
            <w:vAlign w:val="center"/>
          </w:tcPr>
          <w:p>
            <w:pPr>
              <w:spacing w:after="0" w:line="240" w:lineRule="auto"/>
              <w:jc w:val="center"/>
              <w:rPr>
                <w:b/>
                <w:color w:val="000000"/>
                <w:sz w:val="20"/>
                <w:szCs w:val="20"/>
                <w:lang w:eastAsia="zh-CN"/>
              </w:rPr>
            </w:pPr>
            <w:r>
              <w:rPr>
                <w:b/>
                <w:color w:val="000000"/>
                <w:sz w:val="20"/>
                <w:szCs w:val="20"/>
                <w:lang w:eastAsia="zh-CN"/>
              </w:rPr>
              <w:t>断面</w:t>
            </w:r>
          </w:p>
        </w:tc>
        <w:tc>
          <w:tcPr>
            <w:tcW w:w="1901" w:type="dxa"/>
            <w:vAlign w:val="center"/>
          </w:tcPr>
          <w:p>
            <w:pPr>
              <w:spacing w:after="0" w:line="240" w:lineRule="auto"/>
              <w:jc w:val="center"/>
              <w:rPr>
                <w:b/>
                <w:color w:val="000000"/>
                <w:sz w:val="20"/>
                <w:szCs w:val="20"/>
                <w:lang w:eastAsia="zh-CN"/>
              </w:rPr>
            </w:pPr>
            <w:r>
              <w:rPr>
                <w:b/>
                <w:color w:val="000000"/>
                <w:sz w:val="20"/>
                <w:szCs w:val="20"/>
                <w:lang w:eastAsia="zh-CN"/>
              </w:rPr>
              <w:t>监测因子</w:t>
            </w:r>
          </w:p>
        </w:tc>
        <w:tc>
          <w:tcPr>
            <w:tcW w:w="1301" w:type="dxa"/>
            <w:vAlign w:val="center"/>
          </w:tcPr>
          <w:p>
            <w:pPr>
              <w:spacing w:after="0" w:line="240" w:lineRule="auto"/>
              <w:jc w:val="center"/>
              <w:rPr>
                <w:b/>
                <w:color w:val="000000"/>
                <w:sz w:val="20"/>
                <w:szCs w:val="20"/>
                <w:lang w:eastAsia="zh-CN"/>
              </w:rPr>
            </w:pPr>
            <w:r>
              <w:rPr>
                <w:b/>
                <w:color w:val="000000"/>
                <w:sz w:val="20"/>
                <w:szCs w:val="20"/>
                <w:lang w:eastAsia="zh-CN"/>
              </w:rPr>
              <w:t>范围值</w:t>
            </w:r>
          </w:p>
        </w:tc>
        <w:tc>
          <w:tcPr>
            <w:tcW w:w="1100" w:type="dxa"/>
            <w:vAlign w:val="center"/>
          </w:tcPr>
          <w:p>
            <w:pPr>
              <w:spacing w:after="0" w:line="240" w:lineRule="auto"/>
              <w:jc w:val="center"/>
              <w:rPr>
                <w:b/>
                <w:color w:val="000000"/>
                <w:sz w:val="20"/>
                <w:szCs w:val="20"/>
                <w:lang w:eastAsia="zh-CN"/>
              </w:rPr>
            </w:pPr>
            <w:r>
              <w:rPr>
                <w:b/>
                <w:color w:val="000000"/>
                <w:sz w:val="20"/>
                <w:szCs w:val="20"/>
                <w:lang w:eastAsia="zh-CN"/>
              </w:rPr>
              <w:t>平均值</w:t>
            </w:r>
          </w:p>
        </w:tc>
        <w:tc>
          <w:tcPr>
            <w:tcW w:w="1077" w:type="dxa"/>
            <w:vAlign w:val="center"/>
          </w:tcPr>
          <w:p>
            <w:pPr>
              <w:spacing w:after="0" w:line="240" w:lineRule="auto"/>
              <w:jc w:val="center"/>
              <w:rPr>
                <w:b/>
                <w:color w:val="000000"/>
                <w:sz w:val="20"/>
                <w:szCs w:val="20"/>
                <w:lang w:eastAsia="zh-CN"/>
              </w:rPr>
            </w:pPr>
            <w:r>
              <w:rPr>
                <w:b/>
                <w:color w:val="000000"/>
                <w:sz w:val="20"/>
                <w:szCs w:val="20"/>
                <w:lang w:eastAsia="zh-CN"/>
              </w:rPr>
              <w:t>超标率</w:t>
            </w:r>
          </w:p>
        </w:tc>
        <w:tc>
          <w:tcPr>
            <w:tcW w:w="1244" w:type="dxa"/>
            <w:vAlign w:val="center"/>
          </w:tcPr>
          <w:p>
            <w:pPr>
              <w:spacing w:after="0" w:line="240" w:lineRule="auto"/>
              <w:jc w:val="center"/>
              <w:rPr>
                <w:b/>
                <w:color w:val="000000"/>
                <w:sz w:val="20"/>
                <w:szCs w:val="20"/>
                <w:lang w:eastAsia="zh-CN"/>
              </w:rPr>
            </w:pPr>
            <w:r>
              <w:rPr>
                <w:b/>
                <w:color w:val="000000"/>
                <w:sz w:val="20"/>
                <w:szCs w:val="20"/>
                <w:lang w:eastAsia="zh-CN"/>
              </w:rPr>
              <w:t>最大超</w:t>
            </w:r>
          </w:p>
          <w:p>
            <w:pPr>
              <w:spacing w:after="0" w:line="240" w:lineRule="auto"/>
              <w:jc w:val="center"/>
              <w:rPr>
                <w:b/>
                <w:color w:val="000000"/>
                <w:sz w:val="20"/>
                <w:szCs w:val="20"/>
                <w:lang w:eastAsia="zh-CN"/>
              </w:rPr>
            </w:pPr>
            <w:r>
              <w:rPr>
                <w:b/>
                <w:color w:val="000000"/>
                <w:sz w:val="20"/>
                <w:szCs w:val="20"/>
                <w:lang w:eastAsia="zh-CN"/>
              </w:rPr>
              <w:t>标倍数</w:t>
            </w:r>
          </w:p>
        </w:tc>
        <w:tc>
          <w:tcPr>
            <w:tcW w:w="1627" w:type="dxa"/>
            <w:vAlign w:val="center"/>
          </w:tcPr>
          <w:p>
            <w:pPr>
              <w:spacing w:after="0" w:line="240" w:lineRule="auto"/>
              <w:jc w:val="center"/>
              <w:rPr>
                <w:b/>
                <w:color w:val="000000"/>
                <w:sz w:val="20"/>
                <w:szCs w:val="20"/>
                <w:lang w:eastAsia="zh-CN"/>
              </w:rPr>
            </w:pPr>
            <w:r>
              <w:rPr>
                <w:b/>
                <w:color w:val="000000"/>
                <w:sz w:val="20"/>
                <w:szCs w:val="20"/>
                <w:lang w:eastAsia="zh-CN"/>
              </w:rPr>
              <w:t>III类标准值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restart"/>
            <w:vAlign w:val="center"/>
          </w:tcPr>
          <w:p>
            <w:pPr>
              <w:spacing w:after="0" w:line="240" w:lineRule="auto"/>
              <w:jc w:val="center"/>
              <w:rPr>
                <w:color w:val="000000"/>
                <w:sz w:val="20"/>
                <w:szCs w:val="20"/>
                <w:lang w:eastAsia="zh-CN"/>
              </w:rPr>
            </w:pPr>
            <w:r>
              <w:rPr>
                <w:color w:val="000000"/>
                <w:sz w:val="20"/>
                <w:szCs w:val="20"/>
                <w:lang w:eastAsia="zh-CN"/>
              </w:rPr>
              <w:t>W1</w:t>
            </w:r>
          </w:p>
          <w:p>
            <w:pPr>
              <w:spacing w:after="0" w:line="240" w:lineRule="auto"/>
              <w:jc w:val="center"/>
              <w:rPr>
                <w:sz w:val="20"/>
                <w:szCs w:val="20"/>
                <w:lang w:eastAsia="zh-CN"/>
              </w:rPr>
            </w:pPr>
            <w:r>
              <w:rPr>
                <w:sz w:val="20"/>
                <w:szCs w:val="20"/>
                <w:lang w:eastAsia="zh-CN"/>
              </w:rPr>
              <w:t>南津港污水处理厂排污口排入东洞庭湖</w:t>
            </w:r>
          </w:p>
          <w:p>
            <w:pPr>
              <w:spacing w:after="0" w:line="240" w:lineRule="auto"/>
              <w:jc w:val="center"/>
              <w:rPr>
                <w:color w:val="000000"/>
                <w:sz w:val="20"/>
                <w:szCs w:val="20"/>
                <w:lang w:eastAsia="zh-CN"/>
              </w:rPr>
            </w:pPr>
            <w:r>
              <w:rPr>
                <w:sz w:val="20"/>
                <w:szCs w:val="20"/>
                <w:lang w:eastAsia="zh-CN"/>
              </w:rPr>
              <w:t>上游200m</w:t>
            </w:r>
          </w:p>
        </w:tc>
        <w:tc>
          <w:tcPr>
            <w:tcW w:w="1901" w:type="dxa"/>
            <w:vAlign w:val="center"/>
          </w:tcPr>
          <w:p>
            <w:pPr>
              <w:spacing w:after="0" w:line="240" w:lineRule="auto"/>
              <w:jc w:val="center"/>
              <w:rPr>
                <w:color w:val="000000"/>
                <w:sz w:val="20"/>
                <w:szCs w:val="20"/>
                <w:lang w:eastAsia="zh-CN"/>
              </w:rPr>
            </w:pPr>
            <w:r>
              <w:rPr>
                <w:color w:val="000000"/>
                <w:sz w:val="20"/>
                <w:szCs w:val="20"/>
                <w:lang w:eastAsia="zh-CN"/>
              </w:rPr>
              <w:t>pH</w:t>
            </w:r>
          </w:p>
        </w:tc>
        <w:tc>
          <w:tcPr>
            <w:tcW w:w="1301" w:type="dxa"/>
            <w:vAlign w:val="center"/>
          </w:tcPr>
          <w:p>
            <w:pPr>
              <w:spacing w:after="0" w:line="240" w:lineRule="auto"/>
              <w:jc w:val="center"/>
              <w:rPr>
                <w:color w:val="000000"/>
                <w:sz w:val="20"/>
                <w:szCs w:val="20"/>
                <w:lang w:eastAsia="zh-CN"/>
              </w:rPr>
            </w:pPr>
            <w:r>
              <w:rPr>
                <w:color w:val="000000"/>
                <w:sz w:val="20"/>
                <w:szCs w:val="20"/>
                <w:lang w:eastAsia="zh-CN"/>
              </w:rPr>
              <w:t>6.98-7.06</w:t>
            </w:r>
          </w:p>
        </w:tc>
        <w:tc>
          <w:tcPr>
            <w:tcW w:w="1100" w:type="dxa"/>
            <w:vAlign w:val="center"/>
          </w:tcPr>
          <w:p>
            <w:pPr>
              <w:spacing w:after="0" w:line="240" w:lineRule="auto"/>
              <w:jc w:val="center"/>
              <w:rPr>
                <w:color w:val="000000"/>
                <w:sz w:val="20"/>
                <w:szCs w:val="20"/>
                <w:lang w:eastAsia="zh-CN"/>
              </w:rPr>
            </w:pPr>
            <w:r>
              <w:rPr>
                <w:color w:val="000000"/>
                <w:sz w:val="20"/>
                <w:szCs w:val="20"/>
                <w:lang w:eastAsia="zh-CN"/>
              </w:rPr>
              <w:t>/</w:t>
            </w:r>
          </w:p>
        </w:tc>
        <w:tc>
          <w:tcPr>
            <w:tcW w:w="1077" w:type="dxa"/>
            <w:vAlign w:val="center"/>
          </w:tcPr>
          <w:p>
            <w:pPr>
              <w:spacing w:after="0" w:line="240" w:lineRule="auto"/>
              <w:jc w:val="center"/>
              <w:rPr>
                <w:color w:val="000000"/>
                <w:sz w:val="20"/>
                <w:szCs w:val="20"/>
                <w:lang w:eastAsia="zh-CN"/>
              </w:rPr>
            </w:pPr>
            <w:r>
              <w:rPr>
                <w:color w:val="000000"/>
                <w:sz w:val="20"/>
                <w:szCs w:val="20"/>
                <w:lang w:eastAsia="zh-CN"/>
              </w:rPr>
              <w:t>--</w:t>
            </w:r>
          </w:p>
        </w:tc>
        <w:tc>
          <w:tcPr>
            <w:tcW w:w="1244" w:type="dxa"/>
            <w:vAlign w:val="center"/>
          </w:tcPr>
          <w:p>
            <w:pPr>
              <w:spacing w:after="0" w:line="240" w:lineRule="auto"/>
              <w:jc w:val="center"/>
              <w:rPr>
                <w:color w:val="000000"/>
                <w:sz w:val="20"/>
                <w:szCs w:val="20"/>
                <w:lang w:eastAsia="zh-CN"/>
              </w:rPr>
            </w:pPr>
            <w:r>
              <w:rPr>
                <w:color w:val="000000"/>
                <w:sz w:val="20"/>
                <w:szCs w:val="20"/>
                <w:lang w:eastAsia="zh-CN"/>
              </w:rPr>
              <w:t>--</w:t>
            </w:r>
          </w:p>
        </w:tc>
        <w:tc>
          <w:tcPr>
            <w:tcW w:w="1627" w:type="dxa"/>
            <w:vAlign w:val="center"/>
          </w:tcPr>
          <w:p>
            <w:pPr>
              <w:spacing w:after="0" w:line="240" w:lineRule="auto"/>
              <w:jc w:val="center"/>
              <w:rPr>
                <w:color w:val="000000"/>
                <w:sz w:val="20"/>
                <w:szCs w:val="20"/>
                <w:lang w:eastAsia="zh-CN"/>
              </w:rPr>
            </w:pPr>
            <w:r>
              <w:rPr>
                <w:color w:val="000000"/>
                <w:sz w:val="20"/>
                <w:szCs w:val="20"/>
                <w:lang w:eastAsia="zh-CN"/>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lang w:eastAsia="zh-CN"/>
              </w:rPr>
            </w:pPr>
          </w:p>
        </w:tc>
        <w:tc>
          <w:tcPr>
            <w:tcW w:w="1901" w:type="dxa"/>
            <w:vAlign w:val="center"/>
          </w:tcPr>
          <w:p>
            <w:pPr>
              <w:spacing w:after="0" w:line="240" w:lineRule="auto"/>
              <w:jc w:val="center"/>
              <w:rPr>
                <w:color w:val="000000"/>
                <w:sz w:val="20"/>
                <w:szCs w:val="20"/>
                <w:lang w:eastAsia="zh-CN"/>
              </w:rPr>
            </w:pPr>
            <w:r>
              <w:rPr>
                <w:color w:val="000000"/>
                <w:sz w:val="20"/>
                <w:szCs w:val="20"/>
                <w:lang w:eastAsia="zh-CN"/>
              </w:rPr>
              <w:t>DO</w:t>
            </w:r>
          </w:p>
        </w:tc>
        <w:tc>
          <w:tcPr>
            <w:tcW w:w="1301" w:type="dxa"/>
            <w:vAlign w:val="center"/>
          </w:tcPr>
          <w:p>
            <w:pPr>
              <w:spacing w:after="0" w:line="240" w:lineRule="auto"/>
              <w:jc w:val="center"/>
              <w:rPr>
                <w:color w:val="000000"/>
                <w:sz w:val="20"/>
                <w:szCs w:val="20"/>
                <w:lang w:eastAsia="zh-CN"/>
              </w:rPr>
            </w:pPr>
            <w:r>
              <w:rPr>
                <w:color w:val="000000"/>
                <w:sz w:val="20"/>
                <w:szCs w:val="20"/>
                <w:lang w:eastAsia="zh-CN"/>
              </w:rPr>
              <w:t>8.16-8.26</w:t>
            </w:r>
          </w:p>
        </w:tc>
        <w:tc>
          <w:tcPr>
            <w:tcW w:w="1100" w:type="dxa"/>
            <w:vAlign w:val="center"/>
          </w:tcPr>
          <w:p>
            <w:pPr>
              <w:spacing w:after="0" w:line="240" w:lineRule="auto"/>
              <w:jc w:val="center"/>
              <w:rPr>
                <w:color w:val="000000"/>
                <w:sz w:val="20"/>
                <w:szCs w:val="20"/>
                <w:lang w:eastAsia="zh-CN"/>
              </w:rPr>
            </w:pPr>
            <w:r>
              <w:rPr>
                <w:color w:val="000000"/>
                <w:sz w:val="20"/>
                <w:szCs w:val="20"/>
                <w:lang w:eastAsia="zh-CN"/>
              </w:rPr>
              <w:t>8.22</w:t>
            </w:r>
          </w:p>
        </w:tc>
        <w:tc>
          <w:tcPr>
            <w:tcW w:w="1077" w:type="dxa"/>
            <w:vAlign w:val="center"/>
          </w:tcPr>
          <w:p>
            <w:pPr>
              <w:spacing w:after="0" w:line="240" w:lineRule="auto"/>
              <w:jc w:val="center"/>
              <w:rPr>
                <w:color w:val="000000"/>
                <w:sz w:val="20"/>
                <w:szCs w:val="20"/>
                <w:lang w:eastAsia="zh-CN"/>
              </w:rPr>
            </w:pPr>
            <w:r>
              <w:rPr>
                <w:color w:val="000000"/>
                <w:sz w:val="20"/>
                <w:szCs w:val="20"/>
                <w:lang w:eastAsia="zh-CN"/>
              </w:rPr>
              <w:t>--</w:t>
            </w:r>
          </w:p>
        </w:tc>
        <w:tc>
          <w:tcPr>
            <w:tcW w:w="1244" w:type="dxa"/>
            <w:vAlign w:val="center"/>
          </w:tcPr>
          <w:p>
            <w:pPr>
              <w:spacing w:after="0" w:line="240" w:lineRule="auto"/>
              <w:jc w:val="center"/>
              <w:rPr>
                <w:color w:val="000000"/>
                <w:sz w:val="20"/>
                <w:szCs w:val="20"/>
                <w:lang w:eastAsia="zh-CN"/>
              </w:rPr>
            </w:pPr>
            <w:r>
              <w:rPr>
                <w:color w:val="000000"/>
                <w:sz w:val="20"/>
                <w:szCs w:val="20"/>
                <w:lang w:eastAsia="zh-CN"/>
              </w:rPr>
              <w:t>--</w:t>
            </w:r>
          </w:p>
        </w:tc>
        <w:tc>
          <w:tcPr>
            <w:tcW w:w="1627" w:type="dxa"/>
            <w:vAlign w:val="center"/>
          </w:tcPr>
          <w:p>
            <w:pPr>
              <w:spacing w:after="0" w:line="240" w:lineRule="auto"/>
              <w:jc w:val="center"/>
              <w:rPr>
                <w:color w:val="000000"/>
                <w:sz w:val="20"/>
                <w:szCs w:val="20"/>
                <w:lang w:eastAsia="zh-CN"/>
              </w:rPr>
            </w:pPr>
            <w:r>
              <w:rPr>
                <w:color w:val="000000"/>
                <w:sz w:val="20"/>
                <w:szCs w:val="20"/>
                <w:lang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lang w:eastAsia="zh-CN"/>
              </w:rPr>
            </w:pPr>
          </w:p>
        </w:tc>
        <w:tc>
          <w:tcPr>
            <w:tcW w:w="1901" w:type="dxa"/>
            <w:vAlign w:val="center"/>
          </w:tcPr>
          <w:p>
            <w:pPr>
              <w:spacing w:after="0" w:line="240" w:lineRule="auto"/>
              <w:jc w:val="center"/>
              <w:rPr>
                <w:color w:val="000000"/>
                <w:sz w:val="20"/>
                <w:szCs w:val="20"/>
                <w:lang w:eastAsia="zh-CN"/>
              </w:rPr>
            </w:pPr>
            <w:r>
              <w:rPr>
                <w:color w:val="000000"/>
                <w:sz w:val="20"/>
                <w:szCs w:val="20"/>
                <w:lang w:eastAsia="zh-CN"/>
              </w:rPr>
              <w:t>SS</w:t>
            </w:r>
          </w:p>
        </w:tc>
        <w:tc>
          <w:tcPr>
            <w:tcW w:w="1301" w:type="dxa"/>
            <w:vAlign w:val="center"/>
          </w:tcPr>
          <w:p>
            <w:pPr>
              <w:spacing w:after="0" w:line="240" w:lineRule="auto"/>
              <w:jc w:val="center"/>
              <w:rPr>
                <w:color w:val="000000"/>
                <w:sz w:val="20"/>
                <w:szCs w:val="20"/>
              </w:rPr>
            </w:pPr>
            <w:r>
              <w:rPr>
                <w:color w:val="000000"/>
                <w:sz w:val="20"/>
                <w:szCs w:val="20"/>
                <w:lang w:eastAsia="zh-CN"/>
              </w:rPr>
              <w:t>15-1</w:t>
            </w:r>
            <w:r>
              <w:rPr>
                <w:color w:val="000000"/>
                <w:sz w:val="20"/>
                <w:szCs w:val="20"/>
              </w:rPr>
              <w:t>7</w:t>
            </w:r>
          </w:p>
        </w:tc>
        <w:tc>
          <w:tcPr>
            <w:tcW w:w="1100" w:type="dxa"/>
            <w:vAlign w:val="center"/>
          </w:tcPr>
          <w:p>
            <w:pPr>
              <w:spacing w:after="0" w:line="240" w:lineRule="auto"/>
              <w:jc w:val="center"/>
              <w:rPr>
                <w:color w:val="000000"/>
                <w:sz w:val="20"/>
                <w:szCs w:val="20"/>
              </w:rPr>
            </w:pPr>
            <w:r>
              <w:rPr>
                <w:color w:val="000000"/>
                <w:sz w:val="20"/>
                <w:szCs w:val="20"/>
              </w:rPr>
              <w:t>16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COD</w:t>
            </w:r>
          </w:p>
        </w:tc>
        <w:tc>
          <w:tcPr>
            <w:tcW w:w="1301" w:type="dxa"/>
            <w:vAlign w:val="center"/>
          </w:tcPr>
          <w:p>
            <w:pPr>
              <w:spacing w:after="0" w:line="240" w:lineRule="auto"/>
              <w:jc w:val="center"/>
              <w:rPr>
                <w:color w:val="000000"/>
                <w:sz w:val="20"/>
                <w:szCs w:val="20"/>
              </w:rPr>
            </w:pPr>
            <w:r>
              <w:rPr>
                <w:color w:val="000000"/>
                <w:sz w:val="20"/>
                <w:szCs w:val="20"/>
              </w:rPr>
              <w:t>13-14</w:t>
            </w:r>
          </w:p>
        </w:tc>
        <w:tc>
          <w:tcPr>
            <w:tcW w:w="1100" w:type="dxa"/>
            <w:vAlign w:val="center"/>
          </w:tcPr>
          <w:p>
            <w:pPr>
              <w:spacing w:after="0" w:line="240" w:lineRule="auto"/>
              <w:jc w:val="center"/>
              <w:rPr>
                <w:color w:val="000000"/>
                <w:sz w:val="20"/>
                <w:szCs w:val="20"/>
              </w:rPr>
            </w:pPr>
            <w:r>
              <w:rPr>
                <w:color w:val="000000"/>
                <w:sz w:val="20"/>
                <w:szCs w:val="20"/>
              </w:rPr>
              <w:t>13.3</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BOD5</w:t>
            </w:r>
          </w:p>
        </w:tc>
        <w:tc>
          <w:tcPr>
            <w:tcW w:w="1301" w:type="dxa"/>
            <w:vAlign w:val="center"/>
          </w:tcPr>
          <w:p>
            <w:pPr>
              <w:spacing w:after="0" w:line="240" w:lineRule="auto"/>
              <w:jc w:val="center"/>
              <w:rPr>
                <w:color w:val="000000"/>
                <w:sz w:val="20"/>
                <w:szCs w:val="20"/>
              </w:rPr>
            </w:pPr>
            <w:r>
              <w:rPr>
                <w:color w:val="000000"/>
                <w:sz w:val="20"/>
                <w:szCs w:val="20"/>
              </w:rPr>
              <w:t>2.51-2.61</w:t>
            </w:r>
          </w:p>
        </w:tc>
        <w:tc>
          <w:tcPr>
            <w:tcW w:w="1100" w:type="dxa"/>
            <w:vAlign w:val="center"/>
          </w:tcPr>
          <w:p>
            <w:pPr>
              <w:spacing w:after="0" w:line="240" w:lineRule="auto"/>
              <w:jc w:val="center"/>
              <w:rPr>
                <w:color w:val="000000"/>
                <w:sz w:val="20"/>
                <w:szCs w:val="20"/>
              </w:rPr>
            </w:pPr>
            <w:r>
              <w:rPr>
                <w:color w:val="000000"/>
                <w:sz w:val="20"/>
                <w:szCs w:val="20"/>
              </w:rPr>
              <w:t>2.55</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NH3-N</w:t>
            </w:r>
          </w:p>
        </w:tc>
        <w:tc>
          <w:tcPr>
            <w:tcW w:w="1301" w:type="dxa"/>
            <w:vAlign w:val="center"/>
          </w:tcPr>
          <w:p>
            <w:pPr>
              <w:spacing w:after="0" w:line="240" w:lineRule="auto"/>
              <w:jc w:val="center"/>
              <w:rPr>
                <w:color w:val="000000"/>
                <w:sz w:val="20"/>
                <w:szCs w:val="20"/>
              </w:rPr>
            </w:pPr>
            <w:r>
              <w:rPr>
                <w:color w:val="000000"/>
                <w:sz w:val="20"/>
                <w:szCs w:val="20"/>
              </w:rPr>
              <w:t>0.140-0.148</w:t>
            </w:r>
          </w:p>
        </w:tc>
        <w:tc>
          <w:tcPr>
            <w:tcW w:w="1100" w:type="dxa"/>
            <w:vAlign w:val="center"/>
          </w:tcPr>
          <w:p>
            <w:pPr>
              <w:spacing w:after="0" w:line="240" w:lineRule="auto"/>
              <w:jc w:val="center"/>
              <w:rPr>
                <w:color w:val="000000"/>
                <w:sz w:val="20"/>
                <w:szCs w:val="20"/>
              </w:rPr>
            </w:pPr>
            <w:r>
              <w:rPr>
                <w:color w:val="000000"/>
                <w:sz w:val="20"/>
                <w:szCs w:val="20"/>
              </w:rPr>
              <w:t>0.144</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TP</w:t>
            </w:r>
          </w:p>
        </w:tc>
        <w:tc>
          <w:tcPr>
            <w:tcW w:w="1301" w:type="dxa"/>
            <w:vAlign w:val="center"/>
          </w:tcPr>
          <w:p>
            <w:pPr>
              <w:spacing w:after="0" w:line="240" w:lineRule="auto"/>
              <w:jc w:val="center"/>
              <w:rPr>
                <w:color w:val="000000"/>
                <w:sz w:val="20"/>
                <w:szCs w:val="20"/>
              </w:rPr>
            </w:pPr>
            <w:r>
              <w:rPr>
                <w:color w:val="000000"/>
                <w:sz w:val="20"/>
                <w:szCs w:val="20"/>
              </w:rPr>
              <w:t>0.05-0.09</w:t>
            </w:r>
          </w:p>
        </w:tc>
        <w:tc>
          <w:tcPr>
            <w:tcW w:w="1100" w:type="dxa"/>
            <w:vAlign w:val="center"/>
          </w:tcPr>
          <w:p>
            <w:pPr>
              <w:spacing w:after="0" w:line="240" w:lineRule="auto"/>
              <w:jc w:val="center"/>
              <w:rPr>
                <w:color w:val="000000"/>
                <w:sz w:val="20"/>
                <w:szCs w:val="20"/>
              </w:rPr>
            </w:pPr>
            <w:r>
              <w:rPr>
                <w:color w:val="000000"/>
                <w:sz w:val="20"/>
                <w:szCs w:val="20"/>
              </w:rPr>
              <w:t>0.07</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总氮</w:t>
            </w:r>
          </w:p>
        </w:tc>
        <w:tc>
          <w:tcPr>
            <w:tcW w:w="1301" w:type="dxa"/>
            <w:vAlign w:val="center"/>
          </w:tcPr>
          <w:p>
            <w:pPr>
              <w:spacing w:after="0" w:line="240" w:lineRule="auto"/>
              <w:jc w:val="center"/>
              <w:rPr>
                <w:color w:val="000000"/>
                <w:sz w:val="20"/>
                <w:szCs w:val="20"/>
              </w:rPr>
            </w:pPr>
            <w:r>
              <w:rPr>
                <w:color w:val="000000"/>
                <w:sz w:val="20"/>
                <w:szCs w:val="20"/>
              </w:rPr>
              <w:t>0.182-0.193</w:t>
            </w:r>
          </w:p>
        </w:tc>
        <w:tc>
          <w:tcPr>
            <w:tcW w:w="1100" w:type="dxa"/>
            <w:vAlign w:val="center"/>
          </w:tcPr>
          <w:p>
            <w:pPr>
              <w:spacing w:after="0" w:line="240" w:lineRule="auto"/>
              <w:jc w:val="center"/>
              <w:rPr>
                <w:color w:val="000000"/>
                <w:sz w:val="20"/>
                <w:szCs w:val="20"/>
              </w:rPr>
            </w:pPr>
            <w:r>
              <w:rPr>
                <w:color w:val="000000"/>
                <w:sz w:val="20"/>
                <w:szCs w:val="20"/>
              </w:rPr>
              <w:t>0.187</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粪大肠菌群</w:t>
            </w:r>
          </w:p>
        </w:tc>
        <w:tc>
          <w:tcPr>
            <w:tcW w:w="1301" w:type="dxa"/>
            <w:vAlign w:val="center"/>
          </w:tcPr>
          <w:p>
            <w:pPr>
              <w:spacing w:after="0" w:line="240" w:lineRule="auto"/>
              <w:jc w:val="center"/>
              <w:rPr>
                <w:color w:val="000000"/>
                <w:sz w:val="20"/>
                <w:szCs w:val="20"/>
              </w:rPr>
            </w:pPr>
            <w:r>
              <w:rPr>
                <w:color w:val="000000"/>
                <w:sz w:val="20"/>
                <w:szCs w:val="20"/>
              </w:rPr>
              <w:t>670-700</w:t>
            </w:r>
          </w:p>
        </w:tc>
        <w:tc>
          <w:tcPr>
            <w:tcW w:w="1100" w:type="dxa"/>
            <w:vAlign w:val="center"/>
          </w:tcPr>
          <w:p>
            <w:pPr>
              <w:spacing w:after="0" w:line="240" w:lineRule="auto"/>
              <w:jc w:val="center"/>
              <w:rPr>
                <w:color w:val="000000"/>
                <w:sz w:val="20"/>
                <w:szCs w:val="20"/>
              </w:rPr>
            </w:pPr>
            <w:r>
              <w:rPr>
                <w:color w:val="000000"/>
                <w:sz w:val="20"/>
                <w:szCs w:val="20"/>
              </w:rPr>
              <w:t>690</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动植物油</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石油类</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阴离子表面活性剂</w:t>
            </w:r>
          </w:p>
        </w:tc>
        <w:tc>
          <w:tcPr>
            <w:tcW w:w="1301" w:type="dxa"/>
            <w:vAlign w:val="center"/>
          </w:tcPr>
          <w:p>
            <w:pPr>
              <w:spacing w:after="0" w:line="240" w:lineRule="auto"/>
              <w:jc w:val="center"/>
              <w:rPr>
                <w:color w:val="000000"/>
                <w:sz w:val="20"/>
                <w:szCs w:val="20"/>
              </w:rPr>
            </w:pPr>
            <w:r>
              <w:rPr>
                <w:color w:val="000000"/>
                <w:sz w:val="20"/>
                <w:szCs w:val="20"/>
              </w:rPr>
              <w:t>0.045ND</w:t>
            </w:r>
          </w:p>
        </w:tc>
        <w:tc>
          <w:tcPr>
            <w:tcW w:w="1100" w:type="dxa"/>
            <w:vAlign w:val="center"/>
          </w:tcPr>
          <w:p>
            <w:pPr>
              <w:spacing w:after="0" w:line="240" w:lineRule="auto"/>
              <w:jc w:val="center"/>
              <w:rPr>
                <w:color w:val="000000"/>
                <w:sz w:val="20"/>
                <w:szCs w:val="20"/>
              </w:rPr>
            </w:pPr>
            <w:r>
              <w:rPr>
                <w:color w:val="000000"/>
                <w:sz w:val="20"/>
                <w:szCs w:val="20"/>
              </w:rPr>
              <w:t>0.05ND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restart"/>
            <w:vAlign w:val="center"/>
          </w:tcPr>
          <w:p>
            <w:pPr>
              <w:spacing w:after="0" w:line="240" w:lineRule="auto"/>
              <w:jc w:val="center"/>
              <w:rPr>
                <w:color w:val="000000"/>
                <w:sz w:val="20"/>
                <w:szCs w:val="20"/>
                <w:lang w:eastAsia="zh-CN"/>
              </w:rPr>
            </w:pPr>
            <w:r>
              <w:rPr>
                <w:color w:val="000000"/>
                <w:sz w:val="20"/>
                <w:szCs w:val="20"/>
                <w:lang w:eastAsia="zh-CN"/>
              </w:rPr>
              <w:t>W2</w:t>
            </w:r>
          </w:p>
          <w:p>
            <w:pPr>
              <w:spacing w:after="0" w:line="240" w:lineRule="auto"/>
              <w:jc w:val="center"/>
              <w:rPr>
                <w:sz w:val="20"/>
                <w:szCs w:val="20"/>
                <w:lang w:eastAsia="zh-CN"/>
              </w:rPr>
            </w:pPr>
            <w:r>
              <w:rPr>
                <w:sz w:val="20"/>
                <w:szCs w:val="20"/>
                <w:lang w:eastAsia="zh-CN"/>
              </w:rPr>
              <w:t>南津港污水处理厂排污口排入东洞庭湖</w:t>
            </w:r>
          </w:p>
          <w:p>
            <w:pPr>
              <w:spacing w:after="0" w:line="240" w:lineRule="auto"/>
              <w:jc w:val="center"/>
              <w:rPr>
                <w:color w:val="000000"/>
                <w:sz w:val="20"/>
                <w:szCs w:val="20"/>
                <w:lang w:eastAsia="zh-CN"/>
              </w:rPr>
            </w:pPr>
            <w:r>
              <w:rPr>
                <w:sz w:val="20"/>
                <w:szCs w:val="20"/>
                <w:lang w:eastAsia="zh-CN"/>
              </w:rPr>
              <w:t>下游500m</w:t>
            </w:r>
          </w:p>
        </w:tc>
        <w:tc>
          <w:tcPr>
            <w:tcW w:w="1901" w:type="dxa"/>
            <w:vAlign w:val="center"/>
          </w:tcPr>
          <w:p>
            <w:pPr>
              <w:spacing w:after="0" w:line="240" w:lineRule="auto"/>
              <w:jc w:val="center"/>
              <w:rPr>
                <w:color w:val="000000"/>
                <w:sz w:val="20"/>
                <w:szCs w:val="20"/>
              </w:rPr>
            </w:pPr>
            <w:r>
              <w:rPr>
                <w:color w:val="000000"/>
                <w:sz w:val="20"/>
                <w:szCs w:val="20"/>
              </w:rPr>
              <w:t>pH</w:t>
            </w:r>
          </w:p>
        </w:tc>
        <w:tc>
          <w:tcPr>
            <w:tcW w:w="1301" w:type="dxa"/>
            <w:vAlign w:val="center"/>
          </w:tcPr>
          <w:p>
            <w:pPr>
              <w:spacing w:after="0" w:line="240" w:lineRule="auto"/>
              <w:jc w:val="center"/>
              <w:rPr>
                <w:color w:val="000000"/>
                <w:sz w:val="20"/>
                <w:szCs w:val="20"/>
              </w:rPr>
            </w:pPr>
            <w:r>
              <w:rPr>
                <w:color w:val="000000"/>
                <w:sz w:val="20"/>
                <w:szCs w:val="20"/>
              </w:rPr>
              <w:t>7.09-7.13</w:t>
            </w:r>
          </w:p>
        </w:tc>
        <w:tc>
          <w:tcPr>
            <w:tcW w:w="1100" w:type="dxa"/>
            <w:vAlign w:val="center"/>
          </w:tcPr>
          <w:p>
            <w:pPr>
              <w:spacing w:after="0" w:line="240" w:lineRule="auto"/>
              <w:jc w:val="center"/>
              <w:rPr>
                <w:color w:val="000000"/>
                <w:sz w:val="20"/>
                <w:szCs w:val="20"/>
              </w:rPr>
            </w:pPr>
            <w:r>
              <w:rPr>
                <w:color w:val="000000"/>
                <w:sz w:val="20"/>
                <w:szCs w:val="20"/>
              </w:rPr>
              <w:t>/</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pStyle w:val="13"/>
              <w:spacing w:after="0" w:line="240" w:lineRule="auto"/>
              <w:jc w:val="center"/>
              <w:rPr>
                <w:color w:val="000000"/>
                <w:sz w:val="20"/>
                <w:szCs w:val="20"/>
              </w:rPr>
            </w:pPr>
            <w:r>
              <w:rPr>
                <w:color w:val="000000"/>
                <w:sz w:val="20"/>
                <w:szCs w:val="20"/>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DO</w:t>
            </w:r>
          </w:p>
        </w:tc>
        <w:tc>
          <w:tcPr>
            <w:tcW w:w="1301" w:type="dxa"/>
            <w:vAlign w:val="center"/>
          </w:tcPr>
          <w:p>
            <w:pPr>
              <w:spacing w:after="0" w:line="240" w:lineRule="auto"/>
              <w:jc w:val="center"/>
              <w:rPr>
                <w:color w:val="000000"/>
                <w:sz w:val="20"/>
                <w:szCs w:val="20"/>
              </w:rPr>
            </w:pPr>
            <w:r>
              <w:rPr>
                <w:color w:val="000000"/>
                <w:sz w:val="20"/>
                <w:szCs w:val="20"/>
              </w:rPr>
              <w:t>8.05-8.12</w:t>
            </w:r>
          </w:p>
        </w:tc>
        <w:tc>
          <w:tcPr>
            <w:tcW w:w="1100" w:type="dxa"/>
            <w:vAlign w:val="center"/>
          </w:tcPr>
          <w:p>
            <w:pPr>
              <w:spacing w:after="0" w:line="240" w:lineRule="auto"/>
              <w:jc w:val="center"/>
              <w:rPr>
                <w:color w:val="000000"/>
                <w:sz w:val="20"/>
                <w:szCs w:val="20"/>
              </w:rPr>
            </w:pPr>
            <w:r>
              <w:rPr>
                <w:color w:val="000000"/>
                <w:sz w:val="20"/>
                <w:szCs w:val="20"/>
              </w:rPr>
              <w:t>8.08</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SS</w:t>
            </w:r>
          </w:p>
        </w:tc>
        <w:tc>
          <w:tcPr>
            <w:tcW w:w="1301" w:type="dxa"/>
            <w:vAlign w:val="center"/>
          </w:tcPr>
          <w:p>
            <w:pPr>
              <w:spacing w:after="0" w:line="240" w:lineRule="auto"/>
              <w:jc w:val="center"/>
              <w:rPr>
                <w:color w:val="000000"/>
                <w:sz w:val="20"/>
                <w:szCs w:val="20"/>
              </w:rPr>
            </w:pPr>
            <w:r>
              <w:rPr>
                <w:color w:val="000000"/>
                <w:sz w:val="20"/>
                <w:szCs w:val="20"/>
              </w:rPr>
              <w:t>12-13</w:t>
            </w:r>
          </w:p>
        </w:tc>
        <w:tc>
          <w:tcPr>
            <w:tcW w:w="1100" w:type="dxa"/>
            <w:vAlign w:val="center"/>
          </w:tcPr>
          <w:p>
            <w:pPr>
              <w:spacing w:after="0" w:line="240" w:lineRule="auto"/>
              <w:jc w:val="center"/>
              <w:rPr>
                <w:color w:val="000000"/>
                <w:sz w:val="20"/>
                <w:szCs w:val="20"/>
              </w:rPr>
            </w:pPr>
            <w:r>
              <w:rPr>
                <w:color w:val="000000"/>
                <w:sz w:val="20"/>
                <w:szCs w:val="20"/>
              </w:rPr>
              <w:t>12.6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COD</w:t>
            </w:r>
          </w:p>
        </w:tc>
        <w:tc>
          <w:tcPr>
            <w:tcW w:w="1301" w:type="dxa"/>
            <w:vAlign w:val="center"/>
          </w:tcPr>
          <w:p>
            <w:pPr>
              <w:spacing w:after="0" w:line="240" w:lineRule="auto"/>
              <w:jc w:val="center"/>
              <w:rPr>
                <w:color w:val="000000"/>
                <w:sz w:val="20"/>
                <w:szCs w:val="20"/>
              </w:rPr>
            </w:pPr>
            <w:r>
              <w:rPr>
                <w:color w:val="000000"/>
                <w:sz w:val="20"/>
                <w:szCs w:val="20"/>
              </w:rPr>
              <w:t>12-13</w:t>
            </w:r>
          </w:p>
        </w:tc>
        <w:tc>
          <w:tcPr>
            <w:tcW w:w="1100" w:type="dxa"/>
            <w:vAlign w:val="center"/>
          </w:tcPr>
          <w:p>
            <w:pPr>
              <w:spacing w:after="0" w:line="240" w:lineRule="auto"/>
              <w:jc w:val="center"/>
              <w:rPr>
                <w:color w:val="000000"/>
                <w:sz w:val="20"/>
                <w:szCs w:val="20"/>
              </w:rPr>
            </w:pPr>
            <w:r>
              <w:rPr>
                <w:color w:val="000000"/>
                <w:sz w:val="20"/>
                <w:szCs w:val="20"/>
              </w:rPr>
              <w:t>12.6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BOD5</w:t>
            </w:r>
          </w:p>
        </w:tc>
        <w:tc>
          <w:tcPr>
            <w:tcW w:w="1301" w:type="dxa"/>
            <w:vAlign w:val="center"/>
          </w:tcPr>
          <w:p>
            <w:pPr>
              <w:spacing w:after="0" w:line="240" w:lineRule="auto"/>
              <w:jc w:val="center"/>
              <w:rPr>
                <w:color w:val="000000"/>
                <w:sz w:val="20"/>
                <w:szCs w:val="20"/>
              </w:rPr>
            </w:pPr>
            <w:r>
              <w:rPr>
                <w:color w:val="000000"/>
                <w:sz w:val="20"/>
                <w:szCs w:val="20"/>
              </w:rPr>
              <w:t>2.37-2.45</w:t>
            </w:r>
          </w:p>
        </w:tc>
        <w:tc>
          <w:tcPr>
            <w:tcW w:w="1100" w:type="dxa"/>
            <w:vAlign w:val="center"/>
          </w:tcPr>
          <w:p>
            <w:pPr>
              <w:spacing w:after="0" w:line="240" w:lineRule="auto"/>
              <w:jc w:val="center"/>
              <w:rPr>
                <w:color w:val="000000"/>
                <w:sz w:val="20"/>
                <w:szCs w:val="20"/>
              </w:rPr>
            </w:pPr>
            <w:r>
              <w:rPr>
                <w:color w:val="000000"/>
                <w:sz w:val="20"/>
                <w:szCs w:val="20"/>
              </w:rPr>
              <w:t>2.41</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NH3-N</w:t>
            </w:r>
          </w:p>
        </w:tc>
        <w:tc>
          <w:tcPr>
            <w:tcW w:w="1301" w:type="dxa"/>
            <w:vAlign w:val="center"/>
          </w:tcPr>
          <w:p>
            <w:pPr>
              <w:spacing w:after="0" w:line="240" w:lineRule="auto"/>
              <w:jc w:val="center"/>
              <w:rPr>
                <w:color w:val="000000"/>
                <w:sz w:val="20"/>
                <w:szCs w:val="20"/>
              </w:rPr>
            </w:pPr>
            <w:r>
              <w:rPr>
                <w:color w:val="000000"/>
                <w:sz w:val="20"/>
                <w:szCs w:val="20"/>
              </w:rPr>
              <w:t>0.132-0.139</w:t>
            </w:r>
          </w:p>
        </w:tc>
        <w:tc>
          <w:tcPr>
            <w:tcW w:w="1100" w:type="dxa"/>
            <w:vAlign w:val="center"/>
          </w:tcPr>
          <w:p>
            <w:pPr>
              <w:spacing w:after="0" w:line="240" w:lineRule="auto"/>
              <w:jc w:val="center"/>
              <w:rPr>
                <w:color w:val="000000"/>
                <w:sz w:val="20"/>
                <w:szCs w:val="20"/>
              </w:rPr>
            </w:pPr>
            <w:r>
              <w:rPr>
                <w:color w:val="000000"/>
                <w:sz w:val="20"/>
                <w:szCs w:val="20"/>
              </w:rPr>
              <w:t>0.135</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TP</w:t>
            </w:r>
          </w:p>
        </w:tc>
        <w:tc>
          <w:tcPr>
            <w:tcW w:w="1301" w:type="dxa"/>
            <w:vAlign w:val="center"/>
          </w:tcPr>
          <w:p>
            <w:pPr>
              <w:spacing w:after="0" w:line="240" w:lineRule="auto"/>
              <w:jc w:val="center"/>
              <w:rPr>
                <w:color w:val="000000"/>
                <w:sz w:val="20"/>
                <w:szCs w:val="20"/>
              </w:rPr>
            </w:pPr>
            <w:r>
              <w:rPr>
                <w:color w:val="000000"/>
                <w:sz w:val="20"/>
                <w:szCs w:val="20"/>
              </w:rPr>
              <w:t>0.05-0.07</w:t>
            </w:r>
          </w:p>
        </w:tc>
        <w:tc>
          <w:tcPr>
            <w:tcW w:w="1100" w:type="dxa"/>
            <w:vAlign w:val="center"/>
          </w:tcPr>
          <w:p>
            <w:pPr>
              <w:spacing w:after="0" w:line="240" w:lineRule="auto"/>
              <w:jc w:val="center"/>
              <w:rPr>
                <w:color w:val="000000"/>
                <w:sz w:val="20"/>
                <w:szCs w:val="20"/>
              </w:rPr>
            </w:pPr>
            <w:r>
              <w:rPr>
                <w:color w:val="000000"/>
                <w:sz w:val="20"/>
                <w:szCs w:val="20"/>
              </w:rPr>
              <w:t>0.06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总氮</w:t>
            </w:r>
          </w:p>
        </w:tc>
        <w:tc>
          <w:tcPr>
            <w:tcW w:w="1301" w:type="dxa"/>
            <w:vAlign w:val="center"/>
          </w:tcPr>
          <w:p>
            <w:pPr>
              <w:spacing w:after="0" w:line="240" w:lineRule="auto"/>
              <w:jc w:val="center"/>
              <w:rPr>
                <w:color w:val="000000"/>
                <w:sz w:val="20"/>
                <w:szCs w:val="20"/>
              </w:rPr>
            </w:pPr>
            <w:r>
              <w:rPr>
                <w:color w:val="000000"/>
                <w:sz w:val="20"/>
                <w:szCs w:val="20"/>
              </w:rPr>
              <w:t>0.172-0.179</w:t>
            </w:r>
          </w:p>
        </w:tc>
        <w:tc>
          <w:tcPr>
            <w:tcW w:w="1100" w:type="dxa"/>
            <w:vAlign w:val="center"/>
          </w:tcPr>
          <w:p>
            <w:pPr>
              <w:spacing w:after="0" w:line="240" w:lineRule="auto"/>
              <w:jc w:val="center"/>
              <w:rPr>
                <w:color w:val="000000"/>
                <w:sz w:val="20"/>
                <w:szCs w:val="20"/>
              </w:rPr>
            </w:pPr>
            <w:r>
              <w:rPr>
                <w:color w:val="000000"/>
                <w:sz w:val="20"/>
                <w:szCs w:val="20"/>
              </w:rPr>
              <w:t>0.176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粪大肠菌群</w:t>
            </w:r>
          </w:p>
        </w:tc>
        <w:tc>
          <w:tcPr>
            <w:tcW w:w="1301" w:type="dxa"/>
            <w:vAlign w:val="center"/>
          </w:tcPr>
          <w:p>
            <w:pPr>
              <w:spacing w:after="0" w:line="240" w:lineRule="auto"/>
              <w:jc w:val="center"/>
              <w:rPr>
                <w:color w:val="000000"/>
                <w:sz w:val="20"/>
                <w:szCs w:val="20"/>
              </w:rPr>
            </w:pPr>
            <w:r>
              <w:rPr>
                <w:color w:val="000000"/>
                <w:sz w:val="20"/>
                <w:szCs w:val="20"/>
              </w:rPr>
              <w:t>630-670</w:t>
            </w:r>
          </w:p>
        </w:tc>
        <w:tc>
          <w:tcPr>
            <w:tcW w:w="1100" w:type="dxa"/>
            <w:vAlign w:val="center"/>
          </w:tcPr>
          <w:p>
            <w:pPr>
              <w:spacing w:after="0" w:line="240" w:lineRule="auto"/>
              <w:jc w:val="center"/>
              <w:rPr>
                <w:color w:val="000000"/>
                <w:sz w:val="20"/>
                <w:szCs w:val="20"/>
              </w:rPr>
            </w:pPr>
            <w:r>
              <w:rPr>
                <w:color w:val="000000"/>
                <w:sz w:val="20"/>
                <w:szCs w:val="20"/>
              </w:rPr>
              <w:t>645</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动植物油</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石油类</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阴离子表面活性剂</w:t>
            </w:r>
          </w:p>
        </w:tc>
        <w:tc>
          <w:tcPr>
            <w:tcW w:w="1301" w:type="dxa"/>
            <w:vAlign w:val="center"/>
          </w:tcPr>
          <w:p>
            <w:pPr>
              <w:spacing w:after="0" w:line="240" w:lineRule="auto"/>
              <w:jc w:val="center"/>
              <w:rPr>
                <w:color w:val="000000"/>
                <w:sz w:val="20"/>
                <w:szCs w:val="20"/>
              </w:rPr>
            </w:pPr>
            <w:r>
              <w:rPr>
                <w:color w:val="000000"/>
                <w:sz w:val="20"/>
                <w:szCs w:val="20"/>
              </w:rPr>
              <w:t>0.045ND</w:t>
            </w:r>
          </w:p>
        </w:tc>
        <w:tc>
          <w:tcPr>
            <w:tcW w:w="1100" w:type="dxa"/>
            <w:vAlign w:val="center"/>
          </w:tcPr>
          <w:p>
            <w:pPr>
              <w:spacing w:after="0" w:line="240" w:lineRule="auto"/>
              <w:jc w:val="center"/>
              <w:rPr>
                <w:color w:val="000000"/>
                <w:sz w:val="20"/>
                <w:szCs w:val="20"/>
              </w:rPr>
            </w:pPr>
            <w:r>
              <w:rPr>
                <w:color w:val="000000"/>
                <w:sz w:val="20"/>
                <w:szCs w:val="20"/>
              </w:rPr>
              <w:t>0.05ND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restart"/>
            <w:vAlign w:val="center"/>
          </w:tcPr>
          <w:p>
            <w:pPr>
              <w:spacing w:after="0" w:line="240" w:lineRule="auto"/>
              <w:jc w:val="center"/>
              <w:rPr>
                <w:color w:val="000000"/>
                <w:sz w:val="20"/>
                <w:szCs w:val="20"/>
                <w:lang w:eastAsia="zh-CN"/>
              </w:rPr>
            </w:pPr>
            <w:r>
              <w:rPr>
                <w:color w:val="000000"/>
                <w:sz w:val="20"/>
                <w:szCs w:val="20"/>
                <w:lang w:eastAsia="zh-CN"/>
              </w:rPr>
              <w:t>W3</w:t>
            </w:r>
            <w:r>
              <w:rPr>
                <w:sz w:val="20"/>
                <w:szCs w:val="20"/>
                <w:lang w:eastAsia="zh-CN"/>
              </w:rPr>
              <w:t>南津港污水处理厂排污口进入东洞庭湖下游3500m</w:t>
            </w:r>
          </w:p>
        </w:tc>
        <w:tc>
          <w:tcPr>
            <w:tcW w:w="1901" w:type="dxa"/>
            <w:vAlign w:val="center"/>
          </w:tcPr>
          <w:p>
            <w:pPr>
              <w:spacing w:after="0" w:line="240" w:lineRule="auto"/>
              <w:jc w:val="center"/>
              <w:rPr>
                <w:color w:val="000000"/>
                <w:sz w:val="20"/>
                <w:szCs w:val="20"/>
              </w:rPr>
            </w:pPr>
            <w:r>
              <w:rPr>
                <w:color w:val="000000"/>
                <w:sz w:val="20"/>
                <w:szCs w:val="20"/>
              </w:rPr>
              <w:t>pH</w:t>
            </w:r>
          </w:p>
        </w:tc>
        <w:tc>
          <w:tcPr>
            <w:tcW w:w="1301" w:type="dxa"/>
            <w:vAlign w:val="center"/>
          </w:tcPr>
          <w:p>
            <w:pPr>
              <w:spacing w:after="0" w:line="240" w:lineRule="auto"/>
              <w:jc w:val="center"/>
              <w:rPr>
                <w:color w:val="000000"/>
                <w:sz w:val="20"/>
                <w:szCs w:val="20"/>
              </w:rPr>
            </w:pPr>
            <w:r>
              <w:rPr>
                <w:color w:val="000000"/>
                <w:sz w:val="20"/>
                <w:szCs w:val="20"/>
              </w:rPr>
              <w:t>7.15-7.23</w:t>
            </w:r>
          </w:p>
        </w:tc>
        <w:tc>
          <w:tcPr>
            <w:tcW w:w="1100" w:type="dxa"/>
            <w:vAlign w:val="center"/>
          </w:tcPr>
          <w:p>
            <w:pPr>
              <w:spacing w:after="0" w:line="240" w:lineRule="auto"/>
              <w:jc w:val="center"/>
              <w:rPr>
                <w:color w:val="000000"/>
                <w:sz w:val="20"/>
                <w:szCs w:val="20"/>
              </w:rPr>
            </w:pPr>
            <w:r>
              <w:rPr>
                <w:color w:val="000000"/>
                <w:sz w:val="20"/>
                <w:szCs w:val="20"/>
              </w:rPr>
              <w:t>/</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pStyle w:val="13"/>
              <w:spacing w:after="0" w:line="240" w:lineRule="auto"/>
              <w:jc w:val="center"/>
              <w:rPr>
                <w:color w:val="000000"/>
                <w:sz w:val="20"/>
                <w:szCs w:val="20"/>
              </w:rPr>
            </w:pPr>
            <w:r>
              <w:rPr>
                <w:color w:val="000000"/>
                <w:sz w:val="20"/>
                <w:szCs w:val="20"/>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DO</w:t>
            </w:r>
          </w:p>
        </w:tc>
        <w:tc>
          <w:tcPr>
            <w:tcW w:w="1301" w:type="dxa"/>
            <w:vAlign w:val="center"/>
          </w:tcPr>
          <w:p>
            <w:pPr>
              <w:spacing w:after="0" w:line="240" w:lineRule="auto"/>
              <w:jc w:val="center"/>
              <w:rPr>
                <w:color w:val="000000"/>
                <w:sz w:val="20"/>
                <w:szCs w:val="20"/>
              </w:rPr>
            </w:pPr>
            <w:r>
              <w:rPr>
                <w:color w:val="000000"/>
                <w:sz w:val="20"/>
                <w:szCs w:val="20"/>
              </w:rPr>
              <w:t>7.86-7.97</w:t>
            </w:r>
          </w:p>
        </w:tc>
        <w:tc>
          <w:tcPr>
            <w:tcW w:w="1100" w:type="dxa"/>
            <w:vAlign w:val="center"/>
          </w:tcPr>
          <w:p>
            <w:pPr>
              <w:spacing w:after="0" w:line="240" w:lineRule="auto"/>
              <w:jc w:val="center"/>
              <w:rPr>
                <w:color w:val="000000"/>
                <w:sz w:val="20"/>
                <w:szCs w:val="20"/>
              </w:rPr>
            </w:pPr>
            <w:r>
              <w:rPr>
                <w:color w:val="000000"/>
                <w:sz w:val="20"/>
                <w:szCs w:val="20"/>
              </w:rPr>
              <w:t>7.93</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SS</w:t>
            </w:r>
          </w:p>
        </w:tc>
        <w:tc>
          <w:tcPr>
            <w:tcW w:w="1301" w:type="dxa"/>
            <w:vAlign w:val="center"/>
          </w:tcPr>
          <w:p>
            <w:pPr>
              <w:spacing w:after="0" w:line="240" w:lineRule="auto"/>
              <w:jc w:val="center"/>
              <w:rPr>
                <w:color w:val="000000"/>
                <w:sz w:val="20"/>
                <w:szCs w:val="20"/>
              </w:rPr>
            </w:pPr>
            <w:r>
              <w:rPr>
                <w:color w:val="000000"/>
                <w:sz w:val="20"/>
                <w:szCs w:val="20"/>
              </w:rPr>
              <w:t>8-10</w:t>
            </w:r>
          </w:p>
        </w:tc>
        <w:tc>
          <w:tcPr>
            <w:tcW w:w="1100" w:type="dxa"/>
            <w:vAlign w:val="center"/>
          </w:tcPr>
          <w:p>
            <w:pPr>
              <w:spacing w:after="0" w:line="240" w:lineRule="auto"/>
              <w:jc w:val="center"/>
              <w:rPr>
                <w:color w:val="000000"/>
                <w:sz w:val="20"/>
                <w:szCs w:val="20"/>
              </w:rPr>
            </w:pPr>
            <w:r>
              <w:rPr>
                <w:color w:val="000000"/>
                <w:sz w:val="20"/>
                <w:szCs w:val="20"/>
              </w:rPr>
              <w:t>9</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COD</w:t>
            </w:r>
          </w:p>
        </w:tc>
        <w:tc>
          <w:tcPr>
            <w:tcW w:w="1301" w:type="dxa"/>
            <w:vAlign w:val="center"/>
          </w:tcPr>
          <w:p>
            <w:pPr>
              <w:spacing w:after="0" w:line="240" w:lineRule="auto"/>
              <w:jc w:val="center"/>
              <w:rPr>
                <w:color w:val="000000"/>
                <w:sz w:val="20"/>
                <w:szCs w:val="20"/>
              </w:rPr>
            </w:pPr>
            <w:r>
              <w:rPr>
                <w:color w:val="000000"/>
                <w:sz w:val="20"/>
                <w:szCs w:val="20"/>
              </w:rPr>
              <w:t>9-11</w:t>
            </w:r>
          </w:p>
        </w:tc>
        <w:tc>
          <w:tcPr>
            <w:tcW w:w="1100" w:type="dxa"/>
            <w:vAlign w:val="center"/>
          </w:tcPr>
          <w:p>
            <w:pPr>
              <w:spacing w:after="0" w:line="240" w:lineRule="auto"/>
              <w:jc w:val="center"/>
              <w:rPr>
                <w:color w:val="000000"/>
                <w:sz w:val="20"/>
                <w:szCs w:val="20"/>
              </w:rPr>
            </w:pPr>
            <w:r>
              <w:rPr>
                <w:color w:val="000000"/>
                <w:sz w:val="20"/>
                <w:szCs w:val="20"/>
              </w:rPr>
              <w:t>10</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BOD5</w:t>
            </w:r>
          </w:p>
        </w:tc>
        <w:tc>
          <w:tcPr>
            <w:tcW w:w="1301" w:type="dxa"/>
            <w:vAlign w:val="center"/>
          </w:tcPr>
          <w:p>
            <w:pPr>
              <w:spacing w:after="0" w:line="240" w:lineRule="auto"/>
              <w:jc w:val="center"/>
              <w:rPr>
                <w:color w:val="000000"/>
                <w:sz w:val="20"/>
                <w:szCs w:val="20"/>
              </w:rPr>
            </w:pPr>
            <w:r>
              <w:rPr>
                <w:color w:val="000000"/>
                <w:sz w:val="20"/>
                <w:szCs w:val="20"/>
              </w:rPr>
              <w:t>2.09-2.14</w:t>
            </w:r>
          </w:p>
        </w:tc>
        <w:tc>
          <w:tcPr>
            <w:tcW w:w="1100" w:type="dxa"/>
            <w:vAlign w:val="center"/>
          </w:tcPr>
          <w:p>
            <w:pPr>
              <w:spacing w:after="0" w:line="240" w:lineRule="auto"/>
              <w:jc w:val="center"/>
              <w:rPr>
                <w:color w:val="000000"/>
                <w:sz w:val="20"/>
                <w:szCs w:val="20"/>
              </w:rPr>
            </w:pPr>
            <w:r>
              <w:rPr>
                <w:color w:val="000000"/>
                <w:sz w:val="20"/>
                <w:szCs w:val="20"/>
              </w:rPr>
              <w:t>2.11</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NH3-N</w:t>
            </w:r>
          </w:p>
        </w:tc>
        <w:tc>
          <w:tcPr>
            <w:tcW w:w="1301" w:type="dxa"/>
            <w:vAlign w:val="center"/>
          </w:tcPr>
          <w:p>
            <w:pPr>
              <w:spacing w:after="0" w:line="240" w:lineRule="auto"/>
              <w:jc w:val="center"/>
              <w:rPr>
                <w:color w:val="000000"/>
                <w:sz w:val="20"/>
                <w:szCs w:val="20"/>
              </w:rPr>
            </w:pPr>
            <w:r>
              <w:rPr>
                <w:color w:val="000000"/>
                <w:sz w:val="20"/>
                <w:szCs w:val="20"/>
              </w:rPr>
              <w:t>0.120-0.128</w:t>
            </w:r>
          </w:p>
        </w:tc>
        <w:tc>
          <w:tcPr>
            <w:tcW w:w="1100" w:type="dxa"/>
            <w:vAlign w:val="center"/>
          </w:tcPr>
          <w:p>
            <w:pPr>
              <w:spacing w:after="0" w:line="240" w:lineRule="auto"/>
              <w:jc w:val="center"/>
              <w:rPr>
                <w:color w:val="000000"/>
                <w:sz w:val="20"/>
                <w:szCs w:val="20"/>
              </w:rPr>
            </w:pPr>
            <w:r>
              <w:rPr>
                <w:color w:val="000000"/>
                <w:sz w:val="20"/>
                <w:szCs w:val="20"/>
              </w:rPr>
              <w:t>0.124</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TP</w:t>
            </w:r>
          </w:p>
        </w:tc>
        <w:tc>
          <w:tcPr>
            <w:tcW w:w="1301" w:type="dxa"/>
            <w:vAlign w:val="center"/>
          </w:tcPr>
          <w:p>
            <w:pPr>
              <w:spacing w:after="0" w:line="240" w:lineRule="auto"/>
              <w:jc w:val="center"/>
              <w:rPr>
                <w:color w:val="000000"/>
                <w:sz w:val="20"/>
                <w:szCs w:val="20"/>
              </w:rPr>
            </w:pPr>
            <w:r>
              <w:rPr>
                <w:color w:val="000000"/>
                <w:sz w:val="20"/>
                <w:szCs w:val="20"/>
              </w:rPr>
              <w:t>0.02-0.05</w:t>
            </w:r>
          </w:p>
        </w:tc>
        <w:tc>
          <w:tcPr>
            <w:tcW w:w="1100" w:type="dxa"/>
            <w:vAlign w:val="center"/>
          </w:tcPr>
          <w:p>
            <w:pPr>
              <w:spacing w:after="0" w:line="240" w:lineRule="auto"/>
              <w:jc w:val="center"/>
              <w:rPr>
                <w:color w:val="000000"/>
                <w:sz w:val="20"/>
                <w:szCs w:val="20"/>
              </w:rPr>
            </w:pPr>
            <w:r>
              <w:rPr>
                <w:color w:val="000000"/>
                <w:sz w:val="20"/>
                <w:szCs w:val="20"/>
              </w:rPr>
              <w:t>0.036</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总氮</w:t>
            </w:r>
          </w:p>
        </w:tc>
        <w:tc>
          <w:tcPr>
            <w:tcW w:w="1301" w:type="dxa"/>
            <w:vAlign w:val="center"/>
          </w:tcPr>
          <w:p>
            <w:pPr>
              <w:spacing w:after="0" w:line="240" w:lineRule="auto"/>
              <w:jc w:val="center"/>
              <w:rPr>
                <w:color w:val="000000"/>
                <w:sz w:val="20"/>
                <w:szCs w:val="20"/>
              </w:rPr>
            </w:pPr>
            <w:r>
              <w:rPr>
                <w:color w:val="000000"/>
                <w:sz w:val="20"/>
                <w:szCs w:val="20"/>
              </w:rPr>
              <w:t>0.160-0.168</w:t>
            </w:r>
          </w:p>
        </w:tc>
        <w:tc>
          <w:tcPr>
            <w:tcW w:w="1100" w:type="dxa"/>
            <w:vAlign w:val="center"/>
          </w:tcPr>
          <w:p>
            <w:pPr>
              <w:spacing w:after="0" w:line="240" w:lineRule="auto"/>
              <w:jc w:val="center"/>
              <w:rPr>
                <w:color w:val="000000"/>
                <w:sz w:val="20"/>
                <w:szCs w:val="20"/>
              </w:rPr>
            </w:pPr>
            <w:r>
              <w:rPr>
                <w:color w:val="000000"/>
                <w:sz w:val="20"/>
                <w:szCs w:val="20"/>
              </w:rPr>
              <w:t>0.164</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粪大肠菌群</w:t>
            </w:r>
          </w:p>
        </w:tc>
        <w:tc>
          <w:tcPr>
            <w:tcW w:w="1301" w:type="dxa"/>
            <w:vAlign w:val="center"/>
          </w:tcPr>
          <w:p>
            <w:pPr>
              <w:spacing w:after="0" w:line="240" w:lineRule="auto"/>
              <w:jc w:val="center"/>
              <w:rPr>
                <w:color w:val="000000"/>
                <w:sz w:val="20"/>
                <w:szCs w:val="20"/>
              </w:rPr>
            </w:pPr>
            <w:r>
              <w:rPr>
                <w:color w:val="000000"/>
                <w:sz w:val="20"/>
                <w:szCs w:val="20"/>
              </w:rPr>
              <w:t>430-460</w:t>
            </w:r>
          </w:p>
        </w:tc>
        <w:tc>
          <w:tcPr>
            <w:tcW w:w="1100" w:type="dxa"/>
            <w:vAlign w:val="center"/>
          </w:tcPr>
          <w:p>
            <w:pPr>
              <w:spacing w:after="0" w:line="240" w:lineRule="auto"/>
              <w:jc w:val="center"/>
              <w:rPr>
                <w:color w:val="000000"/>
                <w:sz w:val="20"/>
                <w:szCs w:val="20"/>
              </w:rPr>
            </w:pPr>
            <w:r>
              <w:rPr>
                <w:color w:val="000000"/>
                <w:sz w:val="20"/>
                <w:szCs w:val="20"/>
              </w:rPr>
              <w:t>450</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动植物油</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石油类</w:t>
            </w:r>
          </w:p>
        </w:tc>
        <w:tc>
          <w:tcPr>
            <w:tcW w:w="1301" w:type="dxa"/>
            <w:vAlign w:val="center"/>
          </w:tcPr>
          <w:p>
            <w:pPr>
              <w:spacing w:after="0" w:line="240" w:lineRule="auto"/>
              <w:jc w:val="center"/>
              <w:rPr>
                <w:color w:val="000000"/>
                <w:sz w:val="20"/>
                <w:szCs w:val="20"/>
              </w:rPr>
            </w:pPr>
            <w:r>
              <w:rPr>
                <w:color w:val="000000"/>
                <w:sz w:val="20"/>
                <w:szCs w:val="20"/>
              </w:rPr>
              <w:t>0.04ND</w:t>
            </w:r>
          </w:p>
        </w:tc>
        <w:tc>
          <w:tcPr>
            <w:tcW w:w="1100" w:type="dxa"/>
            <w:vAlign w:val="center"/>
          </w:tcPr>
          <w:p>
            <w:pPr>
              <w:spacing w:after="0" w:line="240" w:lineRule="auto"/>
              <w:jc w:val="center"/>
              <w:rPr>
                <w:color w:val="000000"/>
                <w:sz w:val="20"/>
                <w:szCs w:val="20"/>
              </w:rPr>
            </w:pPr>
            <w:r>
              <w:rPr>
                <w:color w:val="000000"/>
                <w:sz w:val="20"/>
                <w:szCs w:val="20"/>
              </w:rPr>
              <w:t>0.04ND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2" w:type="dxa"/>
            <w:vMerge w:val="continue"/>
            <w:vAlign w:val="center"/>
          </w:tcPr>
          <w:p>
            <w:pPr>
              <w:spacing w:after="0" w:line="240" w:lineRule="auto"/>
              <w:jc w:val="center"/>
              <w:rPr>
                <w:color w:val="000000"/>
                <w:sz w:val="20"/>
                <w:szCs w:val="20"/>
              </w:rPr>
            </w:pPr>
          </w:p>
        </w:tc>
        <w:tc>
          <w:tcPr>
            <w:tcW w:w="1901" w:type="dxa"/>
            <w:vAlign w:val="center"/>
          </w:tcPr>
          <w:p>
            <w:pPr>
              <w:spacing w:after="0" w:line="240" w:lineRule="auto"/>
              <w:jc w:val="center"/>
              <w:rPr>
                <w:color w:val="000000"/>
                <w:sz w:val="20"/>
                <w:szCs w:val="20"/>
              </w:rPr>
            </w:pPr>
            <w:r>
              <w:rPr>
                <w:color w:val="000000"/>
                <w:sz w:val="20"/>
                <w:szCs w:val="20"/>
              </w:rPr>
              <w:t>阴离子表面活性剂</w:t>
            </w:r>
          </w:p>
        </w:tc>
        <w:tc>
          <w:tcPr>
            <w:tcW w:w="1301" w:type="dxa"/>
            <w:vAlign w:val="center"/>
          </w:tcPr>
          <w:p>
            <w:pPr>
              <w:spacing w:after="0" w:line="240" w:lineRule="auto"/>
              <w:jc w:val="center"/>
              <w:rPr>
                <w:color w:val="000000"/>
                <w:sz w:val="20"/>
                <w:szCs w:val="20"/>
              </w:rPr>
            </w:pPr>
            <w:r>
              <w:rPr>
                <w:color w:val="000000"/>
                <w:sz w:val="20"/>
                <w:szCs w:val="20"/>
              </w:rPr>
              <w:t>0.045ND</w:t>
            </w:r>
          </w:p>
        </w:tc>
        <w:tc>
          <w:tcPr>
            <w:tcW w:w="1100" w:type="dxa"/>
            <w:vAlign w:val="center"/>
          </w:tcPr>
          <w:p>
            <w:pPr>
              <w:spacing w:after="0" w:line="240" w:lineRule="auto"/>
              <w:jc w:val="center"/>
              <w:rPr>
                <w:color w:val="000000"/>
                <w:sz w:val="20"/>
                <w:szCs w:val="20"/>
              </w:rPr>
            </w:pPr>
            <w:r>
              <w:rPr>
                <w:color w:val="000000"/>
                <w:sz w:val="20"/>
                <w:szCs w:val="20"/>
              </w:rPr>
              <w:t>0.05ND</w:t>
            </w:r>
          </w:p>
        </w:tc>
        <w:tc>
          <w:tcPr>
            <w:tcW w:w="1077" w:type="dxa"/>
            <w:vAlign w:val="center"/>
          </w:tcPr>
          <w:p>
            <w:pPr>
              <w:spacing w:after="0" w:line="240" w:lineRule="auto"/>
              <w:jc w:val="center"/>
              <w:rPr>
                <w:color w:val="000000"/>
                <w:sz w:val="20"/>
                <w:szCs w:val="20"/>
              </w:rPr>
            </w:pPr>
            <w:r>
              <w:rPr>
                <w:color w:val="000000"/>
                <w:sz w:val="20"/>
                <w:szCs w:val="20"/>
              </w:rPr>
              <w:t>--</w:t>
            </w:r>
          </w:p>
        </w:tc>
        <w:tc>
          <w:tcPr>
            <w:tcW w:w="1244" w:type="dxa"/>
            <w:vAlign w:val="center"/>
          </w:tcPr>
          <w:p>
            <w:pPr>
              <w:pStyle w:val="13"/>
              <w:spacing w:after="0" w:line="240" w:lineRule="auto"/>
              <w:jc w:val="center"/>
              <w:rPr>
                <w:color w:val="000000"/>
                <w:sz w:val="20"/>
                <w:szCs w:val="20"/>
              </w:rPr>
            </w:pPr>
            <w:r>
              <w:rPr>
                <w:color w:val="000000"/>
                <w:sz w:val="20"/>
                <w:szCs w:val="20"/>
              </w:rPr>
              <w:t>--</w:t>
            </w:r>
          </w:p>
        </w:tc>
        <w:tc>
          <w:tcPr>
            <w:tcW w:w="1627" w:type="dxa"/>
            <w:vAlign w:val="center"/>
          </w:tcPr>
          <w:p>
            <w:pPr>
              <w:spacing w:after="0" w:line="240" w:lineRule="auto"/>
              <w:jc w:val="center"/>
              <w:rPr>
                <w:color w:val="000000"/>
                <w:sz w:val="20"/>
                <w:szCs w:val="20"/>
              </w:rPr>
            </w:pPr>
            <w:r>
              <w:rPr>
                <w:color w:val="000000"/>
                <w:sz w:val="20"/>
                <w:szCs w:val="20"/>
              </w:rPr>
              <w:t>≤0.2</w:t>
            </w:r>
          </w:p>
        </w:tc>
      </w:tr>
    </w:tbl>
    <w:p>
      <w:pPr>
        <w:pStyle w:val="27"/>
        <w:shd w:val="clear" w:color="auto" w:fill="FFFFFF"/>
        <w:spacing w:after="0" w:afterAutospacing="0" w:line="360" w:lineRule="auto"/>
        <w:rPr>
          <w:rFonts w:ascii="宋体" w:hAnsi="宋体" w:eastAsia="宋体" w:cs="宋体"/>
          <w:b/>
          <w:lang w:eastAsia="zh-CN"/>
        </w:rPr>
      </w:pPr>
      <w:r>
        <w:rPr>
          <w:rFonts w:hint="eastAsia" w:ascii="宋体" w:hAnsi="宋体" w:eastAsia="宋体" w:cs="宋体"/>
          <w:b/>
          <w:lang w:eastAsia="zh-CN"/>
        </w:rPr>
        <w:t>4.3.3</w:t>
      </w:r>
      <w:r>
        <w:rPr>
          <w:rFonts w:ascii="宋体" w:hAnsi="宋体" w:eastAsia="宋体" w:cs="宋体"/>
          <w:b/>
          <w:lang w:eastAsia="zh-CN"/>
        </w:rPr>
        <w:t>声环境质量现状</w:t>
      </w:r>
    </w:p>
    <w:p>
      <w:pPr>
        <w:spacing w:after="0" w:line="360" w:lineRule="auto"/>
        <w:ind w:firstLine="482"/>
        <w:rPr>
          <w:bCs/>
          <w:color w:val="000000"/>
          <w:sz w:val="24"/>
          <w:szCs w:val="24"/>
          <w:lang w:eastAsia="zh-CN"/>
        </w:rPr>
      </w:pPr>
      <w:r>
        <w:rPr>
          <w:bCs/>
          <w:color w:val="000000"/>
          <w:sz w:val="24"/>
          <w:szCs w:val="24"/>
          <w:lang w:eastAsia="zh-CN"/>
        </w:rPr>
        <w:t>根据岳阳市环境监测公报</w:t>
      </w:r>
      <w:r>
        <w:rPr>
          <w:rFonts w:ascii="Times New Roman" w:hAnsi="Times New Roman" w:eastAsia="Times New Roman" w:cs="Times New Roman"/>
          <w:sz w:val="24"/>
          <w:szCs w:val="24"/>
          <w:lang w:eastAsia="zh-CN"/>
        </w:rPr>
        <w:t>2018</w:t>
      </w:r>
      <w:r>
        <w:rPr>
          <w:rFonts w:hint="eastAsia" w:ascii="宋体" w:hAnsi="宋体" w:cs="宋体"/>
          <w:sz w:val="24"/>
          <w:szCs w:val="24"/>
          <w:lang w:eastAsia="zh-CN"/>
        </w:rPr>
        <w:t>年度市区交通干线噪声和区域环境噪声达标</w:t>
      </w:r>
      <w:r>
        <w:rPr>
          <w:rFonts w:ascii="宋体" w:hAnsi="宋体" w:cs="宋体"/>
          <w:sz w:val="24"/>
          <w:szCs w:val="24"/>
          <w:lang w:eastAsia="zh-CN"/>
        </w:rPr>
        <w:t>。</w:t>
      </w:r>
    </w:p>
    <w:p>
      <w:pPr>
        <w:spacing w:after="0" w:line="480" w:lineRule="auto"/>
        <w:jc w:val="center"/>
        <w:rPr>
          <w:rFonts w:ascii="宋体" w:hAnsi="宋体" w:cs="宋体"/>
          <w:b/>
          <w:sz w:val="24"/>
          <w:szCs w:val="24"/>
          <w:lang w:eastAsia="zh-CN"/>
        </w:rPr>
      </w:pPr>
      <w:r>
        <w:rPr>
          <w:rFonts w:ascii="Times New Roman" w:hAnsi="Times New Roman" w:eastAsia="Times New Roman" w:cs="Times New Roman"/>
          <w:b/>
          <w:sz w:val="24"/>
          <w:szCs w:val="24"/>
          <w:lang w:eastAsia="zh-CN"/>
        </w:rPr>
        <w:t>2018</w:t>
      </w:r>
      <w:r>
        <w:rPr>
          <w:rFonts w:hint="eastAsia" w:ascii="宋体" w:hAnsi="宋体" w:cs="宋体"/>
          <w:b/>
          <w:sz w:val="24"/>
          <w:szCs w:val="24"/>
          <w:lang w:eastAsia="zh-CN"/>
        </w:rPr>
        <w:t>年岳阳市声环境质量状</w:t>
      </w:r>
      <w:r>
        <w:rPr>
          <w:rFonts w:ascii="宋体" w:hAnsi="宋体" w:cs="宋体"/>
          <w:b/>
          <w:sz w:val="24"/>
          <w:szCs w:val="24"/>
          <w:lang w:eastAsia="zh-CN"/>
        </w:rPr>
        <w:t>况</w:t>
      </w:r>
    </w:p>
    <w:tbl>
      <w:tblPr>
        <w:tblStyle w:val="30"/>
        <w:tblpPr w:leftFromText="180" w:rightFromText="180" w:vertAnchor="text" w:horzAnchor="margin" w:tblpXSpec="center" w:tblpY="116"/>
        <w:tblW w:w="400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30" w:type="dxa"/>
          <w:left w:w="30" w:type="dxa"/>
          <w:bottom w:w="30" w:type="dxa"/>
          <w:right w:w="30" w:type="dxa"/>
        </w:tblCellMar>
      </w:tblPr>
      <w:tblGrid>
        <w:gridCol w:w="2152"/>
        <w:gridCol w:w="2602"/>
        <w:gridCol w:w="260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361" w:hRule="atLeast"/>
        </w:trPr>
        <w:tc>
          <w:tcPr>
            <w:tcW w:w="1463" w:type="pct"/>
            <w:vAlign w:val="center"/>
          </w:tcPr>
          <w:p>
            <w:pPr>
              <w:spacing w:after="0" w:line="240" w:lineRule="auto"/>
              <w:jc w:val="center"/>
              <w:rPr>
                <w:b/>
                <w:color w:val="000000"/>
                <w:sz w:val="20"/>
                <w:szCs w:val="20"/>
              </w:rPr>
            </w:pPr>
            <w:r>
              <w:rPr>
                <w:b/>
                <w:color w:val="000000"/>
                <w:sz w:val="20"/>
                <w:szCs w:val="20"/>
              </w:rPr>
              <w:t>类别</w:t>
            </w:r>
          </w:p>
        </w:tc>
        <w:tc>
          <w:tcPr>
            <w:tcW w:w="1769" w:type="pct"/>
            <w:vAlign w:val="center"/>
          </w:tcPr>
          <w:p>
            <w:pPr>
              <w:spacing w:after="0" w:line="240" w:lineRule="auto"/>
              <w:jc w:val="center"/>
              <w:rPr>
                <w:b/>
                <w:color w:val="000000"/>
                <w:sz w:val="20"/>
                <w:szCs w:val="20"/>
              </w:rPr>
            </w:pPr>
            <w:r>
              <w:rPr>
                <w:b/>
                <w:color w:val="000000"/>
                <w:sz w:val="20"/>
                <w:szCs w:val="20"/>
              </w:rPr>
              <w:t>年均值</w:t>
            </w:r>
          </w:p>
        </w:tc>
        <w:tc>
          <w:tcPr>
            <w:tcW w:w="1768" w:type="pct"/>
            <w:vAlign w:val="center"/>
          </w:tcPr>
          <w:p>
            <w:pPr>
              <w:spacing w:after="0" w:line="240" w:lineRule="auto"/>
              <w:jc w:val="center"/>
              <w:rPr>
                <w:b/>
                <w:color w:val="000000"/>
                <w:sz w:val="20"/>
                <w:szCs w:val="20"/>
              </w:rPr>
            </w:pPr>
            <w:r>
              <w:rPr>
                <w:b/>
                <w:color w:val="000000"/>
                <w:sz w:val="20"/>
                <w:szCs w:val="20"/>
              </w:rPr>
              <w:t>与2017年比较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350" w:hRule="atLeast"/>
        </w:trPr>
        <w:tc>
          <w:tcPr>
            <w:tcW w:w="1463" w:type="pct"/>
            <w:vAlign w:val="center"/>
          </w:tcPr>
          <w:p>
            <w:pPr>
              <w:spacing w:after="0" w:line="240" w:lineRule="auto"/>
              <w:jc w:val="center"/>
              <w:rPr>
                <w:color w:val="000000"/>
                <w:sz w:val="20"/>
                <w:szCs w:val="20"/>
              </w:rPr>
            </w:pPr>
            <w:r>
              <w:rPr>
                <w:color w:val="000000"/>
                <w:sz w:val="20"/>
                <w:szCs w:val="20"/>
              </w:rPr>
              <w:t>区域噪声（昼间）</w:t>
            </w:r>
          </w:p>
        </w:tc>
        <w:tc>
          <w:tcPr>
            <w:tcW w:w="1769" w:type="pct"/>
            <w:vAlign w:val="center"/>
          </w:tcPr>
          <w:p>
            <w:pPr>
              <w:spacing w:after="0" w:line="240" w:lineRule="auto"/>
              <w:jc w:val="center"/>
              <w:rPr>
                <w:color w:val="000000"/>
                <w:sz w:val="20"/>
                <w:szCs w:val="20"/>
              </w:rPr>
            </w:pPr>
            <w:r>
              <w:rPr>
                <w:color w:val="000000"/>
                <w:sz w:val="20"/>
                <w:szCs w:val="20"/>
              </w:rPr>
              <w:t>53.1分贝</w:t>
            </w:r>
          </w:p>
        </w:tc>
        <w:tc>
          <w:tcPr>
            <w:tcW w:w="1768" w:type="pct"/>
            <w:vAlign w:val="center"/>
          </w:tcPr>
          <w:p>
            <w:pPr>
              <w:spacing w:after="0" w:line="240" w:lineRule="auto"/>
              <w:jc w:val="center"/>
              <w:rPr>
                <w:color w:val="000000"/>
                <w:sz w:val="20"/>
                <w:szCs w:val="20"/>
              </w:rPr>
            </w:pPr>
            <w:r>
              <w:rPr>
                <w:color w:val="000000"/>
                <w:sz w:val="20"/>
                <w:szCs w:val="20"/>
              </w:rPr>
              <w:t>略有上升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0" w:type="dxa"/>
            <w:left w:w="30" w:type="dxa"/>
            <w:bottom w:w="30" w:type="dxa"/>
            <w:right w:w="30" w:type="dxa"/>
          </w:tblCellMar>
        </w:tblPrEx>
        <w:trPr>
          <w:trHeight w:val="548" w:hRule="atLeast"/>
        </w:trPr>
        <w:tc>
          <w:tcPr>
            <w:tcW w:w="1463" w:type="pct"/>
            <w:vAlign w:val="center"/>
          </w:tcPr>
          <w:p>
            <w:pPr>
              <w:spacing w:after="0" w:line="240" w:lineRule="auto"/>
              <w:jc w:val="center"/>
              <w:rPr>
                <w:color w:val="000000"/>
                <w:sz w:val="20"/>
                <w:szCs w:val="20"/>
              </w:rPr>
            </w:pPr>
            <w:r>
              <w:rPr>
                <w:color w:val="000000"/>
                <w:sz w:val="20"/>
                <w:szCs w:val="20"/>
              </w:rPr>
              <w:t>交通噪声</w:t>
            </w:r>
          </w:p>
        </w:tc>
        <w:tc>
          <w:tcPr>
            <w:tcW w:w="1769" w:type="pct"/>
            <w:vAlign w:val="center"/>
          </w:tcPr>
          <w:p>
            <w:pPr>
              <w:spacing w:after="0" w:line="240" w:lineRule="auto"/>
              <w:jc w:val="center"/>
              <w:rPr>
                <w:color w:val="000000"/>
                <w:sz w:val="20"/>
                <w:szCs w:val="20"/>
              </w:rPr>
            </w:pPr>
            <w:r>
              <w:rPr>
                <w:color w:val="000000"/>
                <w:sz w:val="20"/>
                <w:szCs w:val="20"/>
              </w:rPr>
              <w:t>70.0分贝</w:t>
            </w:r>
          </w:p>
        </w:tc>
        <w:tc>
          <w:tcPr>
            <w:tcW w:w="1768" w:type="pct"/>
            <w:vAlign w:val="center"/>
          </w:tcPr>
          <w:p>
            <w:pPr>
              <w:spacing w:after="0" w:line="240" w:lineRule="auto"/>
              <w:jc w:val="center"/>
              <w:rPr>
                <w:color w:val="000000"/>
                <w:sz w:val="20"/>
                <w:szCs w:val="20"/>
              </w:rPr>
            </w:pPr>
            <w:r>
              <w:rPr>
                <w:color w:val="000000"/>
                <w:sz w:val="20"/>
                <w:szCs w:val="20"/>
              </w:rPr>
              <w:t>略有上升</w:t>
            </w:r>
          </w:p>
        </w:tc>
      </w:tr>
    </w:tbl>
    <w:p>
      <w:pPr>
        <w:pStyle w:val="29"/>
        <w:spacing w:after="0"/>
        <w:ind w:firstLine="0" w:firstLineChars="0"/>
        <w:rPr>
          <w:szCs w:val="24"/>
        </w:rPr>
      </w:pPr>
    </w:p>
    <w:p>
      <w:pPr>
        <w:pStyle w:val="29"/>
        <w:spacing w:after="0"/>
        <w:ind w:firstLine="482" w:firstLineChars="0"/>
        <w:rPr>
          <w:szCs w:val="24"/>
        </w:rPr>
      </w:pPr>
    </w:p>
    <w:p>
      <w:pPr>
        <w:pStyle w:val="29"/>
        <w:spacing w:after="0"/>
        <w:ind w:firstLine="482" w:firstLineChars="0"/>
        <w:rPr>
          <w:szCs w:val="24"/>
        </w:rPr>
      </w:pPr>
    </w:p>
    <w:p>
      <w:pPr>
        <w:pStyle w:val="29"/>
        <w:spacing w:after="0"/>
        <w:ind w:firstLine="482" w:firstLineChars="0"/>
        <w:rPr>
          <w:szCs w:val="24"/>
        </w:rPr>
      </w:pPr>
    </w:p>
    <w:p>
      <w:pPr>
        <w:pStyle w:val="29"/>
        <w:spacing w:after="0"/>
        <w:ind w:firstLine="482" w:firstLineChars="0"/>
        <w:rPr>
          <w:szCs w:val="24"/>
        </w:rPr>
      </w:pPr>
    </w:p>
    <w:p>
      <w:pPr>
        <w:pStyle w:val="29"/>
        <w:spacing w:after="0"/>
        <w:ind w:firstLine="482" w:firstLineChars="0"/>
        <w:rPr>
          <w:szCs w:val="24"/>
        </w:rPr>
      </w:pPr>
      <w:r>
        <w:rPr>
          <w:rFonts w:hint="eastAsia"/>
          <w:szCs w:val="24"/>
        </w:rPr>
        <w:t>场界噪声补充监测</w:t>
      </w:r>
    </w:p>
    <w:p>
      <w:pPr>
        <w:pStyle w:val="29"/>
        <w:spacing w:after="0"/>
        <w:ind w:firstLine="482" w:firstLineChars="0"/>
        <w:rPr>
          <w:bCs/>
          <w:szCs w:val="24"/>
        </w:rPr>
      </w:pPr>
      <w:r>
        <w:rPr>
          <w:rFonts w:hint="eastAsia"/>
          <w:szCs w:val="24"/>
        </w:rPr>
        <w:t>湖南昌源环境</w:t>
      </w:r>
      <w:r>
        <w:rPr>
          <w:szCs w:val="24"/>
        </w:rPr>
        <w:t>科技有限公司于2019年</w:t>
      </w:r>
      <w:r>
        <w:rPr>
          <w:rFonts w:hint="eastAsia"/>
          <w:szCs w:val="24"/>
        </w:rPr>
        <w:t>9</w:t>
      </w:r>
      <w:r>
        <w:rPr>
          <w:szCs w:val="24"/>
        </w:rPr>
        <w:t>月</w:t>
      </w:r>
      <w:r>
        <w:rPr>
          <w:rFonts w:hint="eastAsia"/>
          <w:szCs w:val="24"/>
        </w:rPr>
        <w:t>4</w:t>
      </w:r>
      <w:r>
        <w:rPr>
          <w:szCs w:val="24"/>
        </w:rPr>
        <w:t>日~</w:t>
      </w:r>
      <w:r>
        <w:rPr>
          <w:rFonts w:hint="eastAsia"/>
          <w:szCs w:val="24"/>
        </w:rPr>
        <w:t>9</w:t>
      </w:r>
      <w:r>
        <w:rPr>
          <w:szCs w:val="24"/>
        </w:rPr>
        <w:t>月</w:t>
      </w:r>
      <w:r>
        <w:rPr>
          <w:rFonts w:hint="eastAsia"/>
          <w:szCs w:val="24"/>
        </w:rPr>
        <w:t>5</w:t>
      </w:r>
      <w:r>
        <w:rPr>
          <w:szCs w:val="24"/>
        </w:rPr>
        <w:t>日对本</w:t>
      </w:r>
      <w:r>
        <w:rPr>
          <w:rFonts w:hint="eastAsia"/>
          <w:szCs w:val="24"/>
        </w:rPr>
        <w:t>项目</w:t>
      </w:r>
      <w:r>
        <w:rPr>
          <w:rFonts w:hint="eastAsia"/>
          <w:bCs/>
          <w:szCs w:val="24"/>
        </w:rPr>
        <w:t>边界噪声进行检测</w:t>
      </w:r>
      <w:r>
        <w:rPr>
          <w:bCs/>
          <w:szCs w:val="24"/>
        </w:rPr>
        <w:t>，</w:t>
      </w:r>
      <w:r>
        <w:rPr>
          <w:rFonts w:hint="eastAsia"/>
          <w:bCs/>
          <w:szCs w:val="24"/>
        </w:rPr>
        <w:t>检测布点图见图4.3-2；</w:t>
      </w:r>
      <w:r>
        <w:rPr>
          <w:bCs/>
          <w:szCs w:val="24"/>
        </w:rPr>
        <w:t>检测结果见表4.</w:t>
      </w:r>
      <w:r>
        <w:rPr>
          <w:rFonts w:hint="eastAsia"/>
          <w:bCs/>
          <w:szCs w:val="24"/>
        </w:rPr>
        <w:t>3</w:t>
      </w:r>
      <w:r>
        <w:rPr>
          <w:bCs/>
          <w:szCs w:val="24"/>
        </w:rPr>
        <w:t>-</w:t>
      </w:r>
      <w:r>
        <w:rPr>
          <w:rFonts w:hint="eastAsia"/>
          <w:bCs/>
          <w:szCs w:val="24"/>
        </w:rPr>
        <w:t>4</w:t>
      </w:r>
      <w:r>
        <w:rPr>
          <w:bCs/>
          <w:szCs w:val="24"/>
        </w:rPr>
        <w:t>。</w:t>
      </w:r>
    </w:p>
    <w:p>
      <w:pPr>
        <w:pStyle w:val="29"/>
        <w:wordWrap w:val="0"/>
        <w:ind w:firstLine="0" w:firstLineChars="0"/>
        <w:jc w:val="center"/>
        <w:rPr>
          <w:b/>
          <w:bCs/>
          <w:szCs w:val="24"/>
        </w:rPr>
      </w:pPr>
    </w:p>
    <w:p>
      <w:pPr>
        <w:pStyle w:val="29"/>
        <w:wordWrap w:val="0"/>
        <w:ind w:firstLine="0" w:firstLineChars="0"/>
        <w:jc w:val="center"/>
        <w:rPr>
          <w:b/>
          <w:bCs/>
          <w:szCs w:val="24"/>
        </w:rPr>
      </w:pPr>
    </w:p>
    <w:p>
      <w:pPr>
        <w:pStyle w:val="29"/>
        <w:wordWrap w:val="0"/>
        <w:ind w:firstLine="0" w:firstLineChars="0"/>
        <w:jc w:val="center"/>
        <w:rPr>
          <w:b/>
          <w:bCs/>
          <w:szCs w:val="24"/>
        </w:rPr>
      </w:pPr>
    </w:p>
    <w:p>
      <w:pPr>
        <w:pStyle w:val="29"/>
        <w:wordWrap w:val="0"/>
        <w:ind w:firstLine="0" w:firstLineChars="0"/>
        <w:jc w:val="center"/>
        <w:rPr>
          <w:b/>
          <w:bCs/>
          <w:szCs w:val="24"/>
        </w:rPr>
      </w:pPr>
    </w:p>
    <w:p>
      <w:pPr>
        <w:pStyle w:val="29"/>
        <w:wordWrap w:val="0"/>
        <w:ind w:firstLine="0" w:firstLineChars="0"/>
        <w:jc w:val="center"/>
        <w:rPr>
          <w:b/>
          <w:bCs/>
          <w:szCs w:val="24"/>
        </w:rPr>
      </w:pPr>
    </w:p>
    <w:p>
      <w:pPr>
        <w:pStyle w:val="29"/>
        <w:wordWrap w:val="0"/>
        <w:ind w:firstLine="0" w:firstLineChars="0"/>
        <w:jc w:val="center"/>
        <w:rPr>
          <w:b/>
          <w:bCs/>
          <w:szCs w:val="24"/>
        </w:rPr>
      </w:pPr>
      <w:r>
        <w:rPr>
          <w:rFonts w:hint="eastAsia"/>
          <w:b/>
          <w:bCs/>
          <w:szCs w:val="24"/>
        </w:rPr>
        <w:t>图4.3-2噪声检测布点图</w:t>
      </w:r>
    </w:p>
    <w:p>
      <w:pPr>
        <w:pStyle w:val="29"/>
        <w:wordWrap w:val="0"/>
        <w:ind w:firstLine="480"/>
        <w:rPr>
          <w:bCs/>
          <w:szCs w:val="24"/>
        </w:rPr>
      </w:pPr>
      <w:r>
        <w:rPr>
          <w:bCs/>
          <w:szCs w:val="24"/>
          <w:lang w:eastAsia="en-US"/>
        </w:rPr>
        <w:drawing>
          <wp:inline distT="0" distB="0" distL="0" distR="0">
            <wp:extent cx="5638800" cy="411988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srcRect/>
                    <a:stretch>
                      <a:fillRect/>
                    </a:stretch>
                  </pic:blipFill>
                  <pic:spPr>
                    <a:xfrm>
                      <a:off x="0" y="0"/>
                      <a:ext cx="5638800" cy="4120309"/>
                    </a:xfrm>
                    <a:prstGeom prst="rect">
                      <a:avLst/>
                    </a:prstGeom>
                    <a:noFill/>
                    <a:ln w="9525">
                      <a:noFill/>
                      <a:miter lim="800000"/>
                      <a:headEnd/>
                      <a:tailEnd/>
                    </a:ln>
                  </pic:spPr>
                </pic:pic>
              </a:graphicData>
            </a:graphic>
          </wp:inline>
        </w:drawing>
      </w:r>
    </w:p>
    <w:p>
      <w:pPr>
        <w:pStyle w:val="13"/>
        <w:spacing w:before="141" w:after="0" w:line="360" w:lineRule="auto"/>
        <w:ind w:right="313"/>
        <w:rPr>
          <w:rFonts w:ascii="宋体" w:hAnsi="宋体"/>
          <w:b/>
          <w:bCs/>
          <w:sz w:val="24"/>
          <w:szCs w:val="32"/>
          <w:lang w:eastAsia="zh-CN"/>
        </w:rPr>
      </w:pPr>
      <w:r>
        <w:rPr>
          <w:rFonts w:hint="eastAsia" w:ascii="宋体" w:hAnsi="宋体"/>
          <w:b/>
          <w:bCs/>
          <w:sz w:val="24"/>
          <w:szCs w:val="32"/>
          <w:lang w:eastAsia="zh-CN"/>
        </w:rPr>
        <w:t>4.3.3.1</w:t>
      </w:r>
      <w:r>
        <w:rPr>
          <w:rFonts w:ascii="宋体" w:hAnsi="宋体"/>
          <w:b/>
          <w:bCs/>
          <w:sz w:val="24"/>
          <w:szCs w:val="32"/>
          <w:lang w:eastAsia="zh-CN"/>
        </w:rPr>
        <w:t>监测项目</w:t>
      </w:r>
    </w:p>
    <w:p>
      <w:pPr>
        <w:pStyle w:val="13"/>
        <w:spacing w:before="141" w:after="0" w:line="360" w:lineRule="auto"/>
        <w:ind w:right="313" w:firstLine="480"/>
        <w:rPr>
          <w:spacing w:val="-2"/>
          <w:sz w:val="24"/>
          <w:szCs w:val="24"/>
          <w:lang w:eastAsia="zh-CN"/>
        </w:rPr>
      </w:pPr>
      <w:r>
        <w:rPr>
          <w:spacing w:val="-2"/>
          <w:sz w:val="24"/>
          <w:szCs w:val="24"/>
          <w:lang w:eastAsia="zh-CN"/>
        </w:rPr>
        <w:t>等效连续 A 声级 Leq(A)。</w:t>
      </w:r>
    </w:p>
    <w:p>
      <w:pPr>
        <w:pStyle w:val="13"/>
        <w:spacing w:before="141" w:after="0" w:line="360" w:lineRule="auto"/>
        <w:ind w:right="313"/>
        <w:rPr>
          <w:rFonts w:ascii="宋体" w:hAnsi="宋体"/>
          <w:b/>
          <w:bCs/>
          <w:sz w:val="24"/>
          <w:szCs w:val="32"/>
          <w:lang w:eastAsia="zh-CN"/>
        </w:rPr>
      </w:pPr>
      <w:r>
        <w:rPr>
          <w:rFonts w:hint="eastAsia" w:ascii="宋体" w:hAnsi="宋体"/>
          <w:b/>
          <w:bCs/>
          <w:sz w:val="24"/>
          <w:szCs w:val="32"/>
          <w:lang w:eastAsia="zh-CN"/>
        </w:rPr>
        <w:t>4.3.3.2</w:t>
      </w:r>
      <w:r>
        <w:rPr>
          <w:rFonts w:ascii="宋体" w:hAnsi="宋体"/>
          <w:b/>
          <w:bCs/>
          <w:sz w:val="24"/>
          <w:szCs w:val="32"/>
          <w:lang w:eastAsia="zh-CN"/>
        </w:rPr>
        <w:t>监测时间与频次</w:t>
      </w:r>
    </w:p>
    <w:p>
      <w:pPr>
        <w:spacing w:after="0" w:line="360" w:lineRule="auto"/>
        <w:ind w:firstLine="480" w:firstLineChars="200"/>
        <w:rPr>
          <w:sz w:val="24"/>
          <w:szCs w:val="24"/>
          <w:lang w:eastAsia="zh-CN"/>
        </w:rPr>
      </w:pPr>
      <w:r>
        <w:rPr>
          <w:sz w:val="24"/>
          <w:szCs w:val="24"/>
          <w:lang w:eastAsia="zh-CN"/>
        </w:rPr>
        <w:t>监测时间为连续监测</w:t>
      </w:r>
      <w:r>
        <w:rPr>
          <w:rFonts w:hint="eastAsia"/>
          <w:sz w:val="24"/>
          <w:szCs w:val="24"/>
          <w:lang w:eastAsia="zh-CN"/>
        </w:rPr>
        <w:t>二</w:t>
      </w:r>
      <w:r>
        <w:rPr>
          <w:sz w:val="24"/>
          <w:szCs w:val="24"/>
          <w:lang w:eastAsia="zh-CN"/>
        </w:rPr>
        <w:t>天，昼、夜间各测 1 次，每次监测</w:t>
      </w:r>
      <w:r>
        <w:rPr>
          <w:rFonts w:hint="eastAsia"/>
          <w:sz w:val="24"/>
          <w:szCs w:val="24"/>
          <w:lang w:eastAsia="zh-CN"/>
        </w:rPr>
        <w:t>1</w:t>
      </w:r>
      <w:r>
        <w:rPr>
          <w:sz w:val="24"/>
          <w:szCs w:val="24"/>
          <w:lang w:eastAsia="zh-CN"/>
        </w:rPr>
        <w:t>0min。</w:t>
      </w:r>
    </w:p>
    <w:p>
      <w:pPr>
        <w:pStyle w:val="13"/>
        <w:spacing w:before="141" w:after="0" w:line="360" w:lineRule="auto"/>
        <w:ind w:right="313"/>
        <w:rPr>
          <w:rFonts w:ascii="宋体" w:hAnsi="宋体"/>
          <w:b/>
          <w:bCs/>
          <w:sz w:val="24"/>
          <w:szCs w:val="32"/>
          <w:lang w:eastAsia="zh-CN"/>
        </w:rPr>
      </w:pPr>
      <w:r>
        <w:rPr>
          <w:rFonts w:hint="eastAsia" w:ascii="宋体" w:hAnsi="宋体"/>
          <w:b/>
          <w:bCs/>
          <w:sz w:val="24"/>
          <w:szCs w:val="32"/>
          <w:lang w:eastAsia="zh-CN"/>
        </w:rPr>
        <w:t>4.3.3.3</w:t>
      </w:r>
      <w:r>
        <w:rPr>
          <w:rFonts w:ascii="宋体" w:hAnsi="宋体"/>
          <w:b/>
          <w:bCs/>
          <w:sz w:val="24"/>
          <w:szCs w:val="32"/>
          <w:lang w:eastAsia="zh-CN"/>
        </w:rPr>
        <w:t>测量方法与仪器</w:t>
      </w:r>
    </w:p>
    <w:p>
      <w:pPr>
        <w:pStyle w:val="13"/>
        <w:spacing w:before="158" w:after="0" w:line="360" w:lineRule="auto"/>
        <w:ind w:firstLine="480" w:firstLineChars="200"/>
        <w:rPr>
          <w:sz w:val="24"/>
          <w:szCs w:val="24"/>
          <w:lang w:eastAsia="zh-CN"/>
        </w:rPr>
      </w:pPr>
      <w:r>
        <w:rPr>
          <w:sz w:val="24"/>
          <w:szCs w:val="24"/>
          <w:lang w:eastAsia="zh-CN"/>
        </w:rPr>
        <w:t>测量方法与仪器符合《声环境质量标准》（</w:t>
      </w:r>
      <w:r>
        <w:rPr>
          <w:rFonts w:eastAsia="Times New Roman"/>
          <w:sz w:val="24"/>
          <w:szCs w:val="24"/>
          <w:lang w:eastAsia="zh-CN"/>
        </w:rPr>
        <w:t>GB3096-2008</w:t>
      </w:r>
      <w:r>
        <w:rPr>
          <w:sz w:val="24"/>
          <w:szCs w:val="24"/>
          <w:lang w:eastAsia="zh-CN"/>
        </w:rPr>
        <w:t>）中的有关规定。</w:t>
      </w:r>
    </w:p>
    <w:p>
      <w:pPr>
        <w:pStyle w:val="13"/>
        <w:spacing w:before="141" w:after="0" w:line="360" w:lineRule="auto"/>
        <w:ind w:right="313"/>
        <w:rPr>
          <w:b/>
          <w:bCs/>
          <w:sz w:val="24"/>
          <w:szCs w:val="32"/>
          <w:lang w:eastAsia="zh-CN"/>
        </w:rPr>
      </w:pPr>
    </w:p>
    <w:p>
      <w:pPr>
        <w:pStyle w:val="13"/>
        <w:spacing w:before="141" w:after="0" w:line="360" w:lineRule="auto"/>
        <w:ind w:right="313"/>
        <w:rPr>
          <w:b/>
          <w:bCs/>
          <w:sz w:val="24"/>
          <w:szCs w:val="32"/>
          <w:lang w:eastAsia="zh-CN"/>
        </w:rPr>
      </w:pPr>
    </w:p>
    <w:p>
      <w:pPr>
        <w:pStyle w:val="13"/>
        <w:spacing w:before="141" w:after="0" w:line="360" w:lineRule="auto"/>
        <w:ind w:right="313"/>
        <w:rPr>
          <w:b/>
          <w:bCs/>
          <w:sz w:val="24"/>
          <w:szCs w:val="32"/>
          <w:lang w:eastAsia="zh-CN"/>
        </w:rPr>
      </w:pPr>
    </w:p>
    <w:p>
      <w:pPr>
        <w:pStyle w:val="13"/>
        <w:spacing w:before="141" w:after="0" w:line="360" w:lineRule="auto"/>
        <w:ind w:right="313"/>
        <w:rPr>
          <w:rFonts w:ascii="宋体" w:hAnsi="宋体"/>
          <w:b/>
          <w:bCs/>
          <w:sz w:val="24"/>
          <w:szCs w:val="32"/>
          <w:lang w:eastAsia="zh-CN"/>
        </w:rPr>
      </w:pPr>
      <w:r>
        <w:rPr>
          <w:rFonts w:hint="eastAsia" w:ascii="宋体" w:hAnsi="宋体"/>
          <w:b/>
          <w:bCs/>
          <w:sz w:val="24"/>
          <w:szCs w:val="32"/>
          <w:lang w:eastAsia="zh-CN"/>
        </w:rPr>
        <w:t>4.3.3.4</w:t>
      </w:r>
      <w:r>
        <w:rPr>
          <w:rFonts w:ascii="宋体" w:hAnsi="宋体"/>
          <w:b/>
          <w:bCs/>
          <w:sz w:val="24"/>
          <w:szCs w:val="32"/>
          <w:lang w:eastAsia="zh-CN"/>
        </w:rPr>
        <w:t>监测与评价结果</w:t>
      </w:r>
    </w:p>
    <w:p>
      <w:pPr>
        <w:spacing w:after="0" w:line="360" w:lineRule="auto"/>
        <w:jc w:val="center"/>
        <w:rPr>
          <w:b/>
          <w:bCs/>
          <w:sz w:val="18"/>
          <w:szCs w:val="18"/>
          <w:lang w:eastAsia="zh-CN"/>
        </w:rPr>
      </w:pPr>
      <w:r>
        <w:rPr>
          <w:b/>
          <w:bCs/>
          <w:sz w:val="24"/>
          <w:szCs w:val="24"/>
          <w:lang w:eastAsia="zh-CN"/>
        </w:rPr>
        <w:t>表4.</w:t>
      </w:r>
      <w:r>
        <w:rPr>
          <w:rFonts w:hint="eastAsia"/>
          <w:b/>
          <w:bCs/>
          <w:sz w:val="24"/>
          <w:szCs w:val="24"/>
          <w:lang w:eastAsia="zh-CN"/>
        </w:rPr>
        <w:t>3</w:t>
      </w:r>
      <w:r>
        <w:rPr>
          <w:b/>
          <w:bCs/>
          <w:sz w:val="24"/>
          <w:szCs w:val="24"/>
          <w:lang w:eastAsia="zh-CN"/>
        </w:rPr>
        <w:t>-</w:t>
      </w:r>
      <w:r>
        <w:rPr>
          <w:rFonts w:hint="eastAsia"/>
          <w:b/>
          <w:bCs/>
          <w:sz w:val="24"/>
          <w:szCs w:val="24"/>
          <w:lang w:eastAsia="zh-CN"/>
        </w:rPr>
        <w:t>4噪声</w:t>
      </w:r>
      <w:r>
        <w:rPr>
          <w:b/>
          <w:bCs/>
          <w:sz w:val="24"/>
          <w:szCs w:val="24"/>
          <w:lang w:eastAsia="zh-CN"/>
        </w:rPr>
        <w:t>检测结果</w:t>
      </w:r>
      <w:r>
        <w:rPr>
          <w:rFonts w:hint="eastAsia"/>
          <w:b/>
          <w:bCs/>
          <w:sz w:val="24"/>
          <w:szCs w:val="24"/>
          <w:lang w:eastAsia="zh-CN"/>
        </w:rPr>
        <w:t xml:space="preserve">表           </w:t>
      </w:r>
      <w:r>
        <w:rPr>
          <w:rFonts w:hint="eastAsia"/>
          <w:b/>
          <w:bCs/>
          <w:sz w:val="18"/>
          <w:szCs w:val="18"/>
          <w:lang w:eastAsia="zh-CN"/>
        </w:rPr>
        <w:t>单位：db（A）</w:t>
      </w:r>
    </w:p>
    <w:tbl>
      <w:tblPr>
        <w:tblStyle w:val="30"/>
        <w:tblW w:w="909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19"/>
        <w:gridCol w:w="1819"/>
        <w:gridCol w:w="1819"/>
        <w:gridCol w:w="1819"/>
        <w:gridCol w:w="182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60" w:hRule="atLeast"/>
        </w:trPr>
        <w:tc>
          <w:tcPr>
            <w:tcW w:w="1819" w:type="dxa"/>
          </w:tcPr>
          <w:p>
            <w:pPr>
              <w:spacing w:line="360" w:lineRule="auto"/>
              <w:rPr>
                <w:rFonts w:hAnsi="宋体"/>
                <w:b/>
                <w:color w:val="000000"/>
                <w:sz w:val="21"/>
                <w:szCs w:val="21"/>
                <w:lang w:eastAsia="zh-CN"/>
              </w:rPr>
            </w:pPr>
            <w:r>
              <w:rPr>
                <w:rFonts w:hAnsi="宋体" w:eastAsiaTheme="minorEastAsia"/>
                <w:b/>
                <w:color w:val="000000"/>
                <w:sz w:val="21"/>
                <w:szCs w:val="21"/>
              </w:rPr>
              <w:pict>
                <v:shape id="_x0000_s1031" o:spid="_x0000_s1031" o:spt="32" type="#_x0000_t32" style="position:absolute;left:0pt;flip:x y;margin-left:32pt;margin-top:0.2pt;height:54.15pt;width:53pt;z-index:251660288;mso-width-relative:page;mso-height-relative:page;" filled="f" coordsize="21600,21600" o:gfxdata="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46S+XWAAAABwEAAA8AAAAAAAAAAQAgAAAAIgAAAGRycy9kb3ducmV2LnhtbFBLAQIUABQAAAAI&#10;AIdO4kCeD32Z7wEAALwDAAAOAAAAAAAAAAEAIAAAACUBAABkcnMvZTJvRG9jLnhtbFBLBQYAAAAA&#10;BgAGAFkBAACGBQAAAAA=&#10;">
                  <v:path arrowok="t"/>
                  <v:fill on="f" focussize="0,0"/>
                  <v:stroke/>
                  <v:imagedata o:title=""/>
                  <o:lock v:ext="edit"/>
                </v:shape>
              </w:pict>
            </w:r>
            <w:r>
              <w:rPr>
                <w:rFonts w:hAnsi="宋体" w:eastAsiaTheme="minorEastAsia"/>
                <w:b/>
                <w:color w:val="000000"/>
                <w:sz w:val="21"/>
                <w:szCs w:val="21"/>
              </w:rPr>
              <w:pict>
                <v:shape id="_x0000_s1030" o:spid="_x0000_s1030" o:spt="32" type="#_x0000_t32" style="position:absolute;left:0pt;flip:x y;margin-left:-6.6pt;margin-top:18.65pt;height:35.7pt;width:91.6pt;z-index:251659264;mso-width-relative:page;mso-height-relative:page;" filled="f" coordsize="21600,21600" o:gfxdata="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JBteLaAAAACgEAAA8AAAAAAAAAAQAgAAAAIgAAAGRycy9kb3ducmV2LnhtbFBLAQIU&#10;ABQAAAAIAIdO4kAm3CJc8QEAAL0DAAAOAAAAAAAAAAEAIAAAACkBAABkcnMvZTJvRG9jLnhtbFBL&#10;BQYAAAAABgAGAFkBAACMBQAAAAA=&#10;">
                  <v:path arrowok="t"/>
                  <v:fill on="f" focussize="0,0"/>
                  <v:stroke/>
                  <v:imagedata o:title=""/>
                  <o:lock v:ext="edit"/>
                </v:shape>
              </w:pict>
            </w:r>
            <w:r>
              <w:rPr>
                <w:rFonts w:hint="eastAsia" w:hAnsi="宋体"/>
                <w:b/>
                <w:color w:val="000000"/>
                <w:sz w:val="21"/>
                <w:szCs w:val="21"/>
                <w:lang w:eastAsia="zh-CN"/>
              </w:rPr>
              <w:t>结果      时间</w:t>
            </w:r>
          </w:p>
          <w:p>
            <w:pPr>
              <w:spacing w:line="360" w:lineRule="auto"/>
              <w:rPr>
                <w:rFonts w:hAnsi="宋体"/>
                <w:b/>
                <w:color w:val="000000"/>
                <w:sz w:val="21"/>
                <w:szCs w:val="21"/>
                <w:lang w:eastAsia="zh-CN"/>
              </w:rPr>
            </w:pPr>
            <w:r>
              <w:rPr>
                <w:rFonts w:hint="eastAsia" w:hAnsi="宋体"/>
                <w:b/>
                <w:color w:val="000000"/>
                <w:sz w:val="21"/>
                <w:szCs w:val="21"/>
                <w:lang w:eastAsia="zh-CN"/>
              </w:rPr>
              <w:t>点位</w:t>
            </w:r>
          </w:p>
        </w:tc>
        <w:tc>
          <w:tcPr>
            <w:tcW w:w="1819" w:type="dxa"/>
            <w:vAlign w:val="center"/>
          </w:tcPr>
          <w:p>
            <w:pPr>
              <w:spacing w:after="0" w:line="240" w:lineRule="auto"/>
              <w:jc w:val="center"/>
              <w:rPr>
                <w:rFonts w:hAnsi="宋体"/>
                <w:b/>
                <w:color w:val="000000"/>
                <w:sz w:val="21"/>
                <w:szCs w:val="21"/>
                <w:lang w:eastAsia="zh-CN"/>
              </w:rPr>
            </w:pPr>
            <w:r>
              <w:rPr>
                <w:rFonts w:hint="eastAsia" w:hAnsi="宋体"/>
                <w:b/>
                <w:color w:val="000000"/>
                <w:sz w:val="21"/>
                <w:szCs w:val="21"/>
                <w:lang w:eastAsia="zh-CN"/>
              </w:rPr>
              <w:t>9月4日昼间</w:t>
            </w:r>
          </w:p>
        </w:tc>
        <w:tc>
          <w:tcPr>
            <w:tcW w:w="1819" w:type="dxa"/>
            <w:vAlign w:val="center"/>
          </w:tcPr>
          <w:p>
            <w:pPr>
              <w:spacing w:after="0" w:line="240" w:lineRule="auto"/>
              <w:jc w:val="center"/>
              <w:rPr>
                <w:rFonts w:hAnsi="宋体" w:eastAsiaTheme="minorEastAsia"/>
                <w:b/>
                <w:color w:val="000000"/>
                <w:sz w:val="21"/>
                <w:szCs w:val="21"/>
                <w:lang w:eastAsia="zh-CN"/>
              </w:rPr>
            </w:pPr>
            <w:r>
              <w:rPr>
                <w:rFonts w:hint="eastAsia" w:hAnsi="宋体"/>
                <w:b/>
                <w:color w:val="000000"/>
                <w:sz w:val="21"/>
                <w:szCs w:val="21"/>
                <w:lang w:eastAsia="zh-CN"/>
              </w:rPr>
              <w:t>9月4日夜间</w:t>
            </w:r>
          </w:p>
        </w:tc>
        <w:tc>
          <w:tcPr>
            <w:tcW w:w="1819" w:type="dxa"/>
            <w:vAlign w:val="center"/>
          </w:tcPr>
          <w:p>
            <w:pPr>
              <w:spacing w:after="0" w:line="240" w:lineRule="auto"/>
              <w:jc w:val="center"/>
              <w:rPr>
                <w:rFonts w:hAnsi="宋体" w:eastAsiaTheme="minorEastAsia"/>
                <w:b/>
                <w:color w:val="000000"/>
                <w:sz w:val="21"/>
                <w:szCs w:val="21"/>
                <w:lang w:eastAsia="zh-CN"/>
              </w:rPr>
            </w:pPr>
            <w:r>
              <w:rPr>
                <w:rFonts w:hint="eastAsia" w:hAnsi="宋体"/>
                <w:b/>
                <w:color w:val="000000"/>
                <w:sz w:val="21"/>
                <w:szCs w:val="21"/>
                <w:lang w:eastAsia="zh-CN"/>
              </w:rPr>
              <w:t>9月5日昼间</w:t>
            </w:r>
          </w:p>
        </w:tc>
        <w:tc>
          <w:tcPr>
            <w:tcW w:w="1820" w:type="dxa"/>
            <w:vAlign w:val="center"/>
          </w:tcPr>
          <w:p>
            <w:pPr>
              <w:spacing w:after="0" w:line="240" w:lineRule="auto"/>
              <w:jc w:val="center"/>
              <w:rPr>
                <w:rFonts w:hAnsi="宋体" w:eastAsiaTheme="minorEastAsia"/>
                <w:b/>
                <w:color w:val="000000"/>
                <w:sz w:val="21"/>
                <w:szCs w:val="21"/>
                <w:lang w:eastAsia="zh-CN"/>
              </w:rPr>
            </w:pPr>
            <w:r>
              <w:rPr>
                <w:rFonts w:hint="eastAsia" w:hAnsi="宋体"/>
                <w:b/>
                <w:color w:val="000000"/>
                <w:sz w:val="21"/>
                <w:szCs w:val="21"/>
                <w:lang w:eastAsia="zh-CN"/>
              </w:rPr>
              <w:t>9月5日夜间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1场界东侧外1m</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61</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54</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61</w:t>
            </w:r>
          </w:p>
        </w:tc>
        <w:tc>
          <w:tcPr>
            <w:tcW w:w="182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819"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2场界南侧外1m</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62</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53</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61</w:t>
            </w:r>
          </w:p>
        </w:tc>
        <w:tc>
          <w:tcPr>
            <w:tcW w:w="182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819"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3场界西侧外1m</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60</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52</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60</w:t>
            </w:r>
          </w:p>
        </w:tc>
        <w:tc>
          <w:tcPr>
            <w:tcW w:w="182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819" w:type="dxa"/>
            <w:vAlign w:val="center"/>
          </w:tcPr>
          <w:p>
            <w:pPr>
              <w:spacing w:after="0" w:line="240" w:lineRule="auto"/>
              <w:jc w:val="center"/>
              <w:rPr>
                <w:rFonts w:hAnsi="宋体" w:eastAsiaTheme="minorEastAsia"/>
                <w:color w:val="000000"/>
                <w:sz w:val="21"/>
                <w:szCs w:val="21"/>
                <w:lang w:eastAsia="zh-CN"/>
              </w:rPr>
            </w:pPr>
            <w:r>
              <w:rPr>
                <w:rFonts w:hint="eastAsia" w:hAnsi="宋体"/>
                <w:color w:val="000000"/>
                <w:sz w:val="21"/>
                <w:szCs w:val="21"/>
                <w:lang w:eastAsia="zh-CN"/>
              </w:rPr>
              <w:t>4场界北侧外1m</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60</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51</w:t>
            </w:r>
          </w:p>
        </w:tc>
        <w:tc>
          <w:tcPr>
            <w:tcW w:w="1819"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59</w:t>
            </w:r>
          </w:p>
        </w:tc>
        <w:tc>
          <w:tcPr>
            <w:tcW w:w="1820" w:type="dxa"/>
            <w:vAlign w:val="center"/>
          </w:tcPr>
          <w:p>
            <w:pPr>
              <w:spacing w:after="0" w:line="240" w:lineRule="auto"/>
              <w:jc w:val="center"/>
              <w:rPr>
                <w:rFonts w:hAnsi="宋体"/>
                <w:color w:val="000000"/>
                <w:sz w:val="21"/>
                <w:szCs w:val="21"/>
                <w:lang w:eastAsia="zh-CN"/>
              </w:rPr>
            </w:pPr>
            <w:r>
              <w:rPr>
                <w:rFonts w:hint="eastAsia" w:hAnsi="宋体"/>
                <w:color w:val="000000"/>
                <w:sz w:val="21"/>
                <w:szCs w:val="21"/>
                <w:lang w:eastAsia="zh-CN"/>
              </w:rPr>
              <w:t>52</w:t>
            </w:r>
          </w:p>
        </w:tc>
      </w:tr>
    </w:tbl>
    <w:p>
      <w:pPr>
        <w:pStyle w:val="2"/>
        <w:spacing w:beforeLines="50"/>
        <w:ind w:left="-141" w:hanging="1"/>
        <w:rPr>
          <w:sz w:val="24"/>
          <w:lang w:eastAsia="zh-CN"/>
        </w:rPr>
      </w:pPr>
      <w:r>
        <w:rPr>
          <w:sz w:val="24"/>
          <w:lang w:eastAsia="zh-CN"/>
        </w:rPr>
        <w:t>根据上表监测结果，</w:t>
      </w:r>
      <w:r>
        <w:rPr>
          <w:rFonts w:hint="eastAsia"/>
          <w:sz w:val="24"/>
          <w:lang w:eastAsia="zh-CN"/>
        </w:rPr>
        <w:t>本</w:t>
      </w:r>
      <w:r>
        <w:rPr>
          <w:sz w:val="24"/>
          <w:lang w:eastAsia="zh-CN"/>
        </w:rPr>
        <w:t>项目各</w:t>
      </w:r>
      <w:r>
        <w:rPr>
          <w:rFonts w:hint="eastAsia"/>
          <w:sz w:val="24"/>
          <w:lang w:eastAsia="zh-CN"/>
        </w:rPr>
        <w:t>边界</w:t>
      </w:r>
      <w:r>
        <w:rPr>
          <w:sz w:val="24"/>
          <w:lang w:eastAsia="zh-CN"/>
        </w:rPr>
        <w:t>监测点昼夜声环境均能满足《声环境质量标准》</w:t>
      </w:r>
      <w:r>
        <w:rPr>
          <w:rFonts w:ascii="宋体" w:hAnsi="宋体"/>
          <w:sz w:val="24"/>
          <w:lang w:eastAsia="zh-CN"/>
        </w:rPr>
        <w:t>(GB 3096-2008)</w:t>
      </w:r>
      <w:r>
        <w:rPr>
          <w:sz w:val="24"/>
          <w:lang w:eastAsia="zh-CN"/>
        </w:rPr>
        <w:t>中的</w:t>
      </w:r>
      <w:r>
        <w:rPr>
          <w:rFonts w:hint="eastAsia"/>
          <w:sz w:val="24"/>
          <w:lang w:eastAsia="zh-CN"/>
        </w:rPr>
        <w:t>3</w:t>
      </w:r>
      <w:r>
        <w:rPr>
          <w:sz w:val="24"/>
          <w:lang w:eastAsia="zh-CN"/>
        </w:rPr>
        <w:t>类标准要求。</w:t>
      </w:r>
    </w:p>
    <w:p>
      <w:pPr>
        <w:pStyle w:val="2"/>
        <w:spacing w:beforeLines="50"/>
        <w:ind w:left="-141" w:hanging="1"/>
        <w:rPr>
          <w:rFonts w:ascii="宋体" w:hAnsi="宋体" w:cs="宋体"/>
          <w:b/>
          <w:sz w:val="24"/>
          <w:szCs w:val="24"/>
          <w:lang w:eastAsia="zh-CN"/>
        </w:rPr>
      </w:pPr>
      <w:r>
        <w:rPr>
          <w:rFonts w:hint="eastAsia" w:ascii="宋体" w:hAnsi="宋体" w:cs="宋体"/>
          <w:b/>
          <w:sz w:val="24"/>
          <w:szCs w:val="24"/>
          <w:lang w:eastAsia="zh-CN"/>
        </w:rPr>
        <w:t>4.3.4生态环境</w:t>
      </w:r>
    </w:p>
    <w:p>
      <w:pPr>
        <w:pStyle w:val="13"/>
        <w:spacing w:before="158" w:after="0" w:line="360" w:lineRule="auto"/>
        <w:ind w:firstLine="480" w:firstLineChars="200"/>
        <w:rPr>
          <w:sz w:val="24"/>
          <w:szCs w:val="24"/>
          <w:lang w:eastAsia="zh-CN"/>
        </w:rPr>
      </w:pPr>
      <w:r>
        <w:rPr>
          <w:sz w:val="24"/>
          <w:szCs w:val="24"/>
          <w:lang w:eastAsia="zh-CN"/>
        </w:rPr>
        <w:t>该区域表土为受长江和洞庭湖控制的冲积土，表层以粘土为主，夹少量砂土，厚度在0.4-12.64m，呈红褐色、黄褐色、深绿色和紫红色等。自然土壤以湖土和红壤为主，农耕土以水稻土和菜园土为主。</w:t>
      </w:r>
    </w:p>
    <w:p>
      <w:pPr>
        <w:pStyle w:val="13"/>
        <w:spacing w:before="158" w:after="0" w:line="360" w:lineRule="auto"/>
        <w:ind w:firstLine="480" w:firstLineChars="200"/>
        <w:rPr>
          <w:sz w:val="24"/>
          <w:szCs w:val="24"/>
          <w:lang w:eastAsia="zh-CN"/>
        </w:rPr>
      </w:pPr>
      <w:r>
        <w:rPr>
          <w:sz w:val="24"/>
          <w:szCs w:val="24"/>
          <w:lang w:eastAsia="zh-CN"/>
        </w:rPr>
        <w:t>区域内的人工植被主要为梧桐树、松树、杉树、桃树、梨树等；粮食作物有水稻等；经济作物有油菜、蔬菜、瓜粟等；天然植被主要是荒坡地上的丝草、回头青、马鞭草等。</w:t>
      </w:r>
    </w:p>
    <w:p>
      <w:pPr>
        <w:pStyle w:val="13"/>
        <w:spacing w:before="158" w:after="0" w:line="360" w:lineRule="auto"/>
        <w:ind w:firstLine="480" w:firstLineChars="200"/>
        <w:rPr>
          <w:sz w:val="24"/>
          <w:szCs w:val="24"/>
          <w:lang w:eastAsia="zh-CN"/>
        </w:rPr>
      </w:pPr>
      <w:r>
        <w:rPr>
          <w:sz w:val="24"/>
          <w:szCs w:val="24"/>
          <w:lang w:eastAsia="zh-CN"/>
        </w:rPr>
        <w:t>评价区内无珍稀古树名木和保护植物。</w:t>
      </w:r>
    </w:p>
    <w:p>
      <w:pPr>
        <w:pStyle w:val="2"/>
        <w:rPr>
          <w:lang w:eastAsia="zh-CN"/>
        </w:rPr>
      </w:pPr>
    </w:p>
    <w:p>
      <w:pPr>
        <w:pStyle w:val="2"/>
        <w:rPr>
          <w:lang w:eastAsia="zh-CN"/>
        </w:rPr>
        <w:sectPr>
          <w:headerReference r:id="rId8" w:type="default"/>
          <w:footerReference r:id="rId9" w:type="default"/>
          <w:pgSz w:w="12240" w:h="15840"/>
          <w:pgMar w:top="709" w:right="1325" w:bottom="1440" w:left="1803" w:header="708" w:footer="709" w:gutter="0"/>
          <w:cols w:space="0" w:num="1"/>
          <w:docGrid w:linePitch="360" w:charSpace="0"/>
        </w:sect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491" w:name="_Toc24969759"/>
      <w:bookmarkStart w:id="492" w:name="_Toc22202342"/>
      <w:bookmarkStart w:id="493" w:name="_Toc22202044"/>
      <w:bookmarkStart w:id="494" w:name="_Toc22202754"/>
      <w:r>
        <w:rPr>
          <w:rFonts w:hint="eastAsia" w:ascii="宋体" w:hAnsi="宋体" w:eastAsia="宋体"/>
          <w:sz w:val="44"/>
          <w:szCs w:val="44"/>
          <w:lang w:eastAsia="zh-CN"/>
        </w:rPr>
        <w:t>5.环境影响预测与评价</w:t>
      </w:r>
      <w:bookmarkEnd w:id="491"/>
      <w:bookmarkEnd w:id="492"/>
      <w:bookmarkEnd w:id="493"/>
      <w:bookmarkEnd w:id="494"/>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495" w:name="_Toc22202343"/>
      <w:bookmarkStart w:id="496" w:name="_Toc24969760"/>
      <w:bookmarkStart w:id="497" w:name="_Toc22202755"/>
      <w:r>
        <w:rPr>
          <w:rFonts w:hint="eastAsia" w:ascii="宋体" w:hAnsi="宋体" w:eastAsia="宋体"/>
          <w:color w:val="000000" w:themeColor="text1"/>
          <w:lang w:eastAsia="zh-CN"/>
        </w:rPr>
        <w:t>5.1施工期环境影响预测与评价</w:t>
      </w:r>
      <w:bookmarkEnd w:id="495"/>
      <w:bookmarkEnd w:id="496"/>
      <w:bookmarkEnd w:id="497"/>
    </w:p>
    <w:p>
      <w:pPr>
        <w:pStyle w:val="27"/>
        <w:shd w:val="clear" w:color="auto" w:fill="FFFFFF"/>
        <w:spacing w:before="0" w:beforeAutospacing="0" w:after="0" w:afterAutospacing="0" w:line="360" w:lineRule="auto"/>
        <w:rPr>
          <w:rFonts w:eastAsia="宋体" w:asciiTheme="minorEastAsia" w:hAnsiTheme="minorEastAsia" w:cstheme="minorEastAsia"/>
          <w:b/>
          <w:lang w:eastAsia="zh-CN"/>
        </w:rPr>
      </w:pPr>
      <w:r>
        <w:rPr>
          <w:rFonts w:hint="eastAsia" w:eastAsia="宋体" w:asciiTheme="minorEastAsia" w:hAnsiTheme="minorEastAsia" w:cstheme="minorEastAsia"/>
          <w:b/>
          <w:lang w:eastAsia="zh-CN"/>
        </w:rPr>
        <w:t>5.1.1</w:t>
      </w:r>
      <w:bookmarkStart w:id="498" w:name="_Toc25604"/>
      <w:r>
        <w:rPr>
          <w:rFonts w:hint="eastAsia" w:ascii="宋体" w:hAnsi="宋体" w:eastAsia="宋体" w:cs="宋体"/>
          <w:b/>
          <w:lang w:eastAsia="zh-CN"/>
        </w:rPr>
        <w:t>施工内容及施工工艺</w:t>
      </w:r>
      <w:bookmarkEnd w:id="498"/>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本项目施工期主要为</w:t>
      </w:r>
      <w:r>
        <w:rPr>
          <w:rFonts w:hint="eastAsia" w:ascii="Times New Roman" w:hAnsi="Times New Roman" w:cs="Times New Roman"/>
          <w:sz w:val="24"/>
          <w:szCs w:val="24"/>
          <w:lang w:eastAsia="zh-CN"/>
        </w:rPr>
        <w:t>污泥储罐的建设和污泥及生物质干燥炭化输送一体化机</w:t>
      </w:r>
      <w:r>
        <w:rPr>
          <w:rFonts w:ascii="Times New Roman" w:hAnsi="Times New Roman" w:cs="Times New Roman"/>
          <w:sz w:val="24"/>
          <w:szCs w:val="24"/>
          <w:lang w:eastAsia="zh-CN"/>
        </w:rPr>
        <w:t>的安装，工程量小，施工期短，因此，项目施工期产生的污染较少，主要为施工</w:t>
      </w:r>
      <w:r>
        <w:rPr>
          <w:rFonts w:hint="eastAsia" w:ascii="Times New Roman" w:hAnsi="Times New Roman" w:cs="Times New Roman"/>
          <w:sz w:val="24"/>
          <w:szCs w:val="24"/>
          <w:lang w:eastAsia="zh-CN"/>
        </w:rPr>
        <w:t>扬尘、施工</w:t>
      </w:r>
      <w:r>
        <w:rPr>
          <w:rFonts w:ascii="Times New Roman" w:hAnsi="Times New Roman" w:cs="Times New Roman"/>
          <w:sz w:val="24"/>
          <w:szCs w:val="24"/>
          <w:lang w:eastAsia="zh-CN"/>
        </w:rPr>
        <w:t>噪声、施工人员生活垃圾和生活污水</w:t>
      </w:r>
      <w:r>
        <w:rPr>
          <w:rFonts w:ascii="Times New Roman" w:hAnsi="Times New Roman" w:cs="Times New Roman"/>
          <w:b/>
          <w:bCs/>
          <w:sz w:val="30"/>
          <w:szCs w:val="32"/>
          <w:lang w:eastAsia="zh-CN"/>
        </w:rPr>
        <w:t>。</w:t>
      </w:r>
    </w:p>
    <w:p>
      <w:pPr>
        <w:pStyle w:val="6"/>
        <w:spacing w:before="0" w:line="360" w:lineRule="auto"/>
        <w:rPr>
          <w:rFonts w:eastAsia="宋体"/>
          <w:color w:val="000000" w:themeColor="text1"/>
          <w:sz w:val="24"/>
          <w:szCs w:val="24"/>
          <w:lang w:eastAsia="zh-CN"/>
        </w:rPr>
      </w:pPr>
      <w:bookmarkStart w:id="499" w:name="_Toc22202344"/>
      <w:bookmarkStart w:id="500" w:name="_Toc22150995"/>
      <w:bookmarkStart w:id="501" w:name="_Toc22198538"/>
      <w:bookmarkStart w:id="502" w:name="_Toc21814363"/>
      <w:bookmarkStart w:id="503" w:name="_Toc22198435"/>
      <w:bookmarkStart w:id="504" w:name="_Toc21814231"/>
      <w:bookmarkStart w:id="505" w:name="_Toc22198329"/>
      <w:bookmarkStart w:id="506" w:name="_Toc22198834"/>
      <w:bookmarkStart w:id="507" w:name="_Toc24969761"/>
      <w:bookmarkStart w:id="508" w:name="_Toc22200332"/>
      <w:bookmarkStart w:id="509" w:name="_Toc22198211"/>
      <w:bookmarkStart w:id="510" w:name="_Toc21815018"/>
      <w:bookmarkStart w:id="511" w:name="_Toc22202045"/>
      <w:bookmarkStart w:id="512" w:name="_Toc22199198"/>
      <w:bookmarkStart w:id="513" w:name="_Toc22151172"/>
      <w:bookmarkStart w:id="514" w:name="_Toc21814410"/>
      <w:bookmarkStart w:id="515" w:name="_Toc22199688"/>
      <w:bookmarkStart w:id="516" w:name="_Toc22200998"/>
      <w:bookmarkStart w:id="517" w:name="_Toc22202756"/>
      <w:bookmarkStart w:id="518" w:name="_Toc7874"/>
      <w:r>
        <w:rPr>
          <w:rFonts w:hint="eastAsia" w:eastAsia="宋体"/>
          <w:color w:val="000000" w:themeColor="text1"/>
          <w:sz w:val="24"/>
          <w:szCs w:val="24"/>
          <w:lang w:eastAsia="zh-CN"/>
        </w:rPr>
        <w:t>5.1</w:t>
      </w:r>
      <w:r>
        <w:rPr>
          <w:color w:val="000000" w:themeColor="text1"/>
          <w:sz w:val="24"/>
          <w:szCs w:val="24"/>
          <w:lang w:eastAsia="zh-CN"/>
        </w:rPr>
        <w:t>.2 施工期污染分析</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spacing w:after="0" w:line="360" w:lineRule="auto"/>
        <w:ind w:firstLine="480" w:firstLineChars="200"/>
        <w:rPr>
          <w:rFonts w:ascii="Times New Roman" w:hAnsi="Times New Roman" w:cs="Times New Roman"/>
          <w:sz w:val="24"/>
          <w:szCs w:val="24"/>
          <w:lang w:eastAsia="zh-CN"/>
        </w:rPr>
      </w:pPr>
      <w:r>
        <w:rPr>
          <w:rFonts w:hint="eastAsia" w:ascii="宋体" w:hAnsi="宋体"/>
          <w:sz w:val="24"/>
          <w:szCs w:val="24"/>
          <w:lang w:eastAsia="zh-CN"/>
        </w:rPr>
        <w:t>（1）</w:t>
      </w:r>
      <w:r>
        <w:rPr>
          <w:rFonts w:ascii="Times New Roman" w:hAnsi="Times New Roman" w:cs="Times New Roman"/>
          <w:sz w:val="24"/>
          <w:szCs w:val="24"/>
          <w:lang w:eastAsia="zh-CN"/>
        </w:rPr>
        <w:t>施工期间对环境空气产生的污染主要是施工扬尘，对区域造成暂时性不利影响，</w:t>
      </w:r>
      <w:r>
        <w:rPr>
          <w:rFonts w:hint="eastAsia" w:ascii="Times New Roman" w:hAnsi="Times New Roman" w:cs="Times New Roman"/>
          <w:sz w:val="24"/>
          <w:szCs w:val="24"/>
          <w:lang w:eastAsia="zh-CN"/>
        </w:rPr>
        <w:t>通过洒水围网将较大降低其对环境空气质量的影响，而且</w:t>
      </w:r>
      <w:r>
        <w:rPr>
          <w:rFonts w:ascii="Times New Roman" w:hAnsi="Times New Roman" w:cs="Times New Roman"/>
          <w:sz w:val="24"/>
          <w:szCs w:val="24"/>
          <w:lang w:eastAsia="zh-CN"/>
        </w:rPr>
        <w:t>这些污染会随着施工期的结束而消失。</w:t>
      </w:r>
    </w:p>
    <w:p>
      <w:pPr>
        <w:pStyle w:val="29"/>
        <w:spacing w:after="0"/>
        <w:ind w:firstLine="480"/>
        <w:rPr>
          <w:szCs w:val="24"/>
        </w:rPr>
      </w:pPr>
      <w:r>
        <w:rPr>
          <w:szCs w:val="24"/>
        </w:rPr>
        <w:t>（</w:t>
      </w:r>
      <w:r>
        <w:rPr>
          <w:rFonts w:hint="eastAsia"/>
          <w:szCs w:val="24"/>
        </w:rPr>
        <w:t>2</w:t>
      </w:r>
      <w:r>
        <w:rPr>
          <w:szCs w:val="24"/>
        </w:rPr>
        <w:t>）废水生活污水主要包括粪便污水、清洗污水，其主要污染因子为COD、NH</w:t>
      </w:r>
      <w:r>
        <w:rPr>
          <w:szCs w:val="24"/>
          <w:vertAlign w:val="subscript"/>
        </w:rPr>
        <w:t>3</w:t>
      </w:r>
      <w:r>
        <w:rPr>
          <w:szCs w:val="24"/>
        </w:rPr>
        <w:t>-N、SS和TP，本项目施工</w:t>
      </w:r>
      <w:r>
        <w:rPr>
          <w:rFonts w:hint="eastAsia"/>
          <w:szCs w:val="24"/>
        </w:rPr>
        <w:t>人员白天产生的生活污水进入华能岳阳电厂生活污水收集处理系统，晚上租住</w:t>
      </w:r>
      <w:r>
        <w:rPr>
          <w:szCs w:val="24"/>
        </w:rPr>
        <w:t>周边农居，施工人员生活污水经现有化粪池后用作农肥，</w:t>
      </w:r>
      <w:r>
        <w:rPr>
          <w:kern w:val="0"/>
        </w:rPr>
        <w:t>对施工场地周围的水环境影响很小</w:t>
      </w:r>
      <w:r>
        <w:rPr>
          <w:szCs w:val="24"/>
        </w:rPr>
        <w:t>。</w:t>
      </w:r>
    </w:p>
    <w:p>
      <w:pPr>
        <w:adjustRightInd w:val="0"/>
        <w:snapToGrid w:val="0"/>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3</w:t>
      </w:r>
      <w:r>
        <w:rPr>
          <w:rFonts w:ascii="Times New Roman" w:hAnsi="Times New Roman" w:cs="Times New Roman"/>
          <w:sz w:val="24"/>
          <w:szCs w:val="24"/>
          <w:lang w:eastAsia="zh-CN"/>
        </w:rPr>
        <w:t>）噪声</w:t>
      </w:r>
    </w:p>
    <w:p>
      <w:pPr>
        <w:adjustRightInd w:val="0"/>
        <w:snapToGrid w:val="0"/>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项目施工过程产生的噪声主要来自施工机械和运输车辆，施工机械和运输车辆的单体声级一般均在80dB(A)</w:t>
      </w:r>
      <w:r>
        <w:rPr>
          <w:rFonts w:hint="eastAsia" w:ascii="Times New Roman" w:hAnsi="Times New Roman" w:cs="Times New Roman"/>
          <w:sz w:val="24"/>
          <w:szCs w:val="24"/>
          <w:lang w:eastAsia="zh-CN"/>
        </w:rPr>
        <w:t>左右</w:t>
      </w:r>
      <w:r>
        <w:rPr>
          <w:rFonts w:ascii="Times New Roman" w:hAnsi="Times New Roman" w:cs="Times New Roman"/>
          <w:sz w:val="24"/>
          <w:szCs w:val="24"/>
          <w:lang w:eastAsia="zh-CN"/>
        </w:rPr>
        <w:t>，施工机械和运输车辆的噪声将影响施工场地周围区域声环境质量，但本项目</w:t>
      </w:r>
      <w:r>
        <w:rPr>
          <w:rFonts w:hint="eastAsia" w:ascii="Times New Roman" w:hAnsi="Times New Roman" w:cs="Times New Roman"/>
          <w:sz w:val="24"/>
          <w:szCs w:val="24"/>
          <w:lang w:eastAsia="zh-CN"/>
        </w:rPr>
        <w:t>位于华能岳阳电厂内，</w:t>
      </w:r>
      <w:r>
        <w:rPr>
          <w:rFonts w:ascii="Times New Roman" w:hAnsi="Times New Roman" w:cs="Times New Roman"/>
          <w:sz w:val="24"/>
          <w:szCs w:val="24"/>
          <w:lang w:eastAsia="zh-CN"/>
        </w:rPr>
        <w:t>周围200m范围内没有环境敏感点，项目施工产生的噪声在可接受范围内。</w:t>
      </w:r>
    </w:p>
    <w:p>
      <w:pPr>
        <w:adjustRightInd w:val="0"/>
        <w:snapToGrid w:val="0"/>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4</w:t>
      </w:r>
      <w:r>
        <w:rPr>
          <w:rFonts w:ascii="Times New Roman" w:hAnsi="Times New Roman" w:cs="Times New Roman"/>
          <w:sz w:val="24"/>
          <w:szCs w:val="24"/>
          <w:lang w:eastAsia="zh-CN"/>
        </w:rPr>
        <w:t>）固废</w:t>
      </w:r>
    </w:p>
    <w:p>
      <w:pPr>
        <w:adjustRightInd w:val="0"/>
        <w:snapToGrid w:val="0"/>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施工期间固体废物主要为施工人员的生活垃圾。项目施工人员最大按</w:t>
      </w:r>
      <w:r>
        <w:rPr>
          <w:rFonts w:hint="eastAsia" w:ascii="Times New Roman" w:hAnsi="Times New Roman" w:cs="Times New Roman"/>
          <w:sz w:val="24"/>
          <w:szCs w:val="24"/>
          <w:lang w:eastAsia="zh-CN"/>
        </w:rPr>
        <w:t>10</w:t>
      </w:r>
      <w:r>
        <w:rPr>
          <w:rFonts w:ascii="Times New Roman" w:hAnsi="Times New Roman" w:cs="Times New Roman"/>
          <w:sz w:val="24"/>
          <w:szCs w:val="24"/>
          <w:lang w:eastAsia="zh-CN"/>
        </w:rPr>
        <w:t>人计，施工现场不设施工营地，</w:t>
      </w:r>
      <w:r>
        <w:rPr>
          <w:rFonts w:hint="eastAsia" w:ascii="Times New Roman" w:hAnsi="Times New Roman" w:cs="Times New Roman"/>
          <w:sz w:val="24"/>
          <w:szCs w:val="24"/>
          <w:lang w:eastAsia="zh-CN"/>
        </w:rPr>
        <w:t>施工人员在华能岳阳电厂职工食堂就餐，</w:t>
      </w:r>
      <w:r>
        <w:rPr>
          <w:rFonts w:ascii="Times New Roman" w:hAnsi="Times New Roman" w:cs="Times New Roman"/>
          <w:sz w:val="24"/>
          <w:szCs w:val="24"/>
          <w:lang w:eastAsia="zh-CN"/>
        </w:rPr>
        <w:t>每天的垃圾垃圾产生量按 0.5kg/人</w:t>
      </w:r>
      <w:r>
        <w:rPr>
          <w:rFonts w:hint="eastAsia" w:ascii="Times New Roman" w:hAnsi="Times New Roman" w:cs="Times New Roman"/>
          <w:sz w:val="24"/>
          <w:szCs w:val="24"/>
          <w:lang w:eastAsia="zh-CN"/>
        </w:rPr>
        <w:t>d</w:t>
      </w:r>
      <w:r>
        <w:rPr>
          <w:rFonts w:ascii="Times New Roman" w:hAnsi="Times New Roman" w:cs="Times New Roman"/>
          <w:sz w:val="24"/>
          <w:szCs w:val="24"/>
          <w:lang w:eastAsia="zh-CN"/>
        </w:rPr>
        <w:t>计算，项目施工期预估为3个月，整个施工期生活垃圾产生量为 0.45t，本项目施工期生活垃圾</w:t>
      </w:r>
      <w:r>
        <w:rPr>
          <w:rFonts w:hint="eastAsia" w:ascii="Times New Roman" w:hAnsi="Times New Roman" w:cs="Times New Roman"/>
          <w:sz w:val="24"/>
          <w:szCs w:val="24"/>
          <w:lang w:eastAsia="zh-CN"/>
        </w:rPr>
        <w:t>产生量小，利用华能岳阳电厂职工生活垃圾收集系统</w:t>
      </w:r>
      <w:r>
        <w:rPr>
          <w:rFonts w:ascii="Times New Roman" w:hAnsi="Times New Roman" w:cs="Times New Roman"/>
          <w:sz w:val="24"/>
          <w:szCs w:val="24"/>
          <w:lang w:eastAsia="zh-CN"/>
        </w:rPr>
        <w:t>进行集中收集后交环卫部门处理。</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519" w:name="_Toc24969762"/>
      <w:bookmarkStart w:id="520" w:name="_Toc22202757"/>
      <w:bookmarkStart w:id="521" w:name="_Toc22202345"/>
      <w:r>
        <w:rPr>
          <w:rFonts w:hint="eastAsia" w:ascii="宋体" w:hAnsi="宋体" w:eastAsia="宋体"/>
          <w:color w:val="000000" w:themeColor="text1"/>
          <w:lang w:eastAsia="zh-CN"/>
        </w:rPr>
        <w:t>5.2运行期环境影响预测与评价</w:t>
      </w:r>
      <w:bookmarkEnd w:id="519"/>
      <w:bookmarkEnd w:id="520"/>
      <w:bookmarkEnd w:id="521"/>
    </w:p>
    <w:p>
      <w:pPr>
        <w:pStyle w:val="92"/>
      </w:pPr>
      <w:bookmarkStart w:id="522" w:name="_Toc24969763"/>
      <w:r>
        <w:rPr>
          <w:rFonts w:hint="eastAsia" w:ascii="宋体" w:hAnsi="宋体" w:eastAsia="宋体"/>
          <w:b/>
          <w:sz w:val="24"/>
          <w:szCs w:val="24"/>
        </w:rPr>
        <w:t>5.2.1</w:t>
      </w:r>
      <w:r>
        <w:rPr>
          <w:rFonts w:ascii="宋体" w:hAnsi="宋体" w:eastAsia="宋体" w:cs="宋体"/>
          <w:b/>
          <w:sz w:val="28"/>
        </w:rPr>
        <w:t>大气环境影响评价工作等级的确定</w:t>
      </w:r>
      <w:bookmarkEnd w:id="522"/>
    </w:p>
    <w:p>
      <w:pPr>
        <w:spacing w:line="480" w:lineRule="exact"/>
        <w:ind w:firstLine="422" w:firstLineChars="176"/>
        <w:rPr>
          <w:rFonts w:ascii="Times New Roman" w:hAnsi="Times New Roman" w:cs="Times New Roman"/>
          <w:sz w:val="24"/>
          <w:szCs w:val="24"/>
          <w:lang w:eastAsia="zh-CN"/>
        </w:rPr>
      </w:pPr>
      <w:r>
        <w:rPr>
          <w:rFonts w:ascii="Times New Roman" w:hAnsi="Times New Roman" w:cs="Times New Roman"/>
          <w:sz w:val="24"/>
          <w:szCs w:val="24"/>
          <w:lang w:eastAsia="zh-CN"/>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480" w:lineRule="exact"/>
        <w:ind w:firstLine="422" w:firstLineChars="176"/>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P</w:t>
      </w:r>
      <w:r>
        <w:rPr>
          <w:rFonts w:ascii="Times New Roman" w:hAnsi="Times New Roman" w:cs="Times New Roman"/>
          <w:sz w:val="24"/>
          <w:szCs w:val="24"/>
          <w:vertAlign w:val="subscript"/>
        </w:rPr>
        <w:t>max</w:t>
      </w:r>
      <w:r>
        <w:rPr>
          <w:rFonts w:ascii="Times New Roman" w:hAnsi="Times New Roman" w:cs="Times New Roman"/>
          <w:sz w:val="24"/>
          <w:szCs w:val="24"/>
        </w:rPr>
        <w:t>及D</w:t>
      </w:r>
      <w:r>
        <w:rPr>
          <w:rFonts w:ascii="Times New Roman" w:hAnsi="Times New Roman" w:cs="Times New Roman"/>
          <w:sz w:val="24"/>
          <w:szCs w:val="24"/>
          <w:vertAlign w:val="subscript"/>
        </w:rPr>
        <w:t>10%</w:t>
      </w:r>
      <w:r>
        <w:rPr>
          <w:rFonts w:ascii="Times New Roman" w:hAnsi="Times New Roman" w:cs="Times New Roman"/>
          <w:sz w:val="24"/>
          <w:szCs w:val="24"/>
        </w:rPr>
        <w:t>的确定</w:t>
      </w:r>
    </w:p>
    <w:p>
      <w:pPr>
        <w:spacing w:line="480" w:lineRule="exact"/>
        <w:ind w:firstLine="422" w:firstLineChars="176"/>
        <w:rPr>
          <w:rFonts w:ascii="Times New Roman" w:hAnsi="Times New Roman" w:cs="Times New Roman"/>
          <w:sz w:val="24"/>
          <w:szCs w:val="24"/>
          <w:lang w:eastAsia="zh-CN"/>
        </w:rPr>
      </w:pPr>
      <w:r>
        <w:rPr>
          <w:rFonts w:ascii="Times New Roman" w:hAnsi="Times New Roman" w:cs="Times New Roman"/>
          <w:sz w:val="24"/>
          <w:szCs w:val="24"/>
          <w:lang w:eastAsia="zh-CN"/>
        </w:rPr>
        <w:t>依据《环境影响评价技术导则 大气环境》(HJ2.2-20</w:t>
      </w:r>
      <w:r>
        <w:rPr>
          <w:rFonts w:hint="eastAsia" w:ascii="Times New Roman" w:hAnsi="Times New Roman" w:cs="Times New Roman"/>
          <w:sz w:val="24"/>
          <w:szCs w:val="24"/>
          <w:lang w:eastAsia="zh-CN"/>
        </w:rPr>
        <w:t>1</w:t>
      </w:r>
      <w:r>
        <w:rPr>
          <w:rFonts w:ascii="Times New Roman" w:hAnsi="Times New Roman" w:cs="Times New Roman"/>
          <w:sz w:val="24"/>
          <w:szCs w:val="24"/>
          <w:lang w:eastAsia="zh-CN"/>
        </w:rPr>
        <w:t>8)中最大地面浓度占标率P</w:t>
      </w:r>
      <w:r>
        <w:rPr>
          <w:rFonts w:ascii="Times New Roman" w:hAnsi="Times New Roman" w:cs="Times New Roman"/>
          <w:i/>
          <w:sz w:val="24"/>
          <w:szCs w:val="24"/>
          <w:lang w:eastAsia="zh-CN"/>
        </w:rPr>
        <w:t>i</w:t>
      </w:r>
      <w:r>
        <w:rPr>
          <w:rFonts w:ascii="Times New Roman" w:hAnsi="Times New Roman" w:cs="Times New Roman"/>
          <w:sz w:val="24"/>
          <w:szCs w:val="24"/>
          <w:lang w:eastAsia="zh-CN"/>
        </w:rPr>
        <w:t>定义如下：</w:t>
      </w:r>
    </w:p>
    <w:p>
      <w:pPr>
        <w:ind w:firstLine="422" w:firstLineChars="176"/>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sz w:val="24"/>
                  <w:szCs w:val="24"/>
                </w:rPr>
              </m:ctrlPr>
            </m:num>
            <m:den>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
                      <w:sz w:val="24"/>
                      <w:szCs w:val="24"/>
                    </w:rPr>
                  </m:ctrlPr>
                </m:e>
                <m:sub>
                  <m:r>
                    <w:rPr>
                      <w:rFonts w:ascii="Cambria Math" w:hAnsi="Cambria Math" w:cs="Times New Roman"/>
                      <w:sz w:val="24"/>
                      <w:szCs w:val="24"/>
                    </w:rPr>
                    <m:t>0i</m:t>
                  </m:r>
                  <m:ctrlPr>
                    <w:rPr>
                      <w:rFonts w:ascii="Cambria Math" w:hAnsi="Cambria Math" w:cs="Times New Roman"/>
                      <w:i/>
                      <w:sz w:val="24"/>
                      <w:szCs w:val="24"/>
                    </w:rPr>
                  </m:ctrlPr>
                </m:sub>
              </m:sSub>
              <m:ctrlPr>
                <w:rPr>
                  <w:rFonts w:ascii="Cambria Math" w:hAnsi="Cambria Math" w:cs="Times New Roman"/>
                  <w:sz w:val="24"/>
                  <w:szCs w:val="24"/>
                </w:rPr>
              </m:ctrlPr>
            </m:den>
          </m:f>
          <m:r>
            <w:rPr>
              <w:rFonts w:ascii="Cambria Math" w:hAnsi="Cambria Math" w:cs="Times New Roman"/>
              <w:sz w:val="24"/>
              <w:szCs w:val="24"/>
            </w:rPr>
            <m:t>×100%</m:t>
          </m:r>
        </m:oMath>
      </m:oMathPara>
    </w:p>
    <w:p>
      <w:pPr>
        <w:spacing w:line="480" w:lineRule="exact"/>
        <w:ind w:firstLine="422" w:firstLineChars="176"/>
        <w:rPr>
          <w:rFonts w:ascii="Times New Roman" w:hAnsi="Times New Roman" w:cs="Times New Roman"/>
          <w:sz w:val="24"/>
          <w:szCs w:val="24"/>
          <w:lang w:eastAsia="zh-CN"/>
        </w:rPr>
      </w:pPr>
      <m:oMath>
        <m:sSub>
          <m:sSubPr>
            <m:ctrlPr>
              <w:rPr>
                <w:rFonts w:ascii="Cambria Math" w:hAnsi="Cambria Math" w:cs="Times New Roman"/>
                <w:sz w:val="24"/>
                <w:szCs w:val="24"/>
              </w:rPr>
            </m:ctrlPr>
          </m:sSubPr>
          <m:e>
            <m:r>
              <w:rPr>
                <w:rFonts w:ascii="Cambria Math" w:hAnsi="Cambria Math" w:cs="Times New Roman"/>
                <w:sz w:val="24"/>
                <w:szCs w:val="24"/>
                <w:lang w:eastAsia="zh-CN"/>
              </w:rPr>
              <m:t>P</m:t>
            </m:r>
            <m:ctrlPr>
              <w:rPr>
                <w:rFonts w:ascii="Cambria Math" w:hAnsi="Cambria Math" w:cs="Times New Roman"/>
                <w:sz w:val="24"/>
                <w:szCs w:val="24"/>
              </w:rPr>
            </m:ctrlPr>
          </m:e>
          <m:sub>
            <m:r>
              <w:rPr>
                <w:rFonts w:ascii="Cambria Math" w:hAnsi="Cambria Math" w:cs="Times New Roman"/>
                <w:sz w:val="24"/>
                <w:szCs w:val="24"/>
                <w:lang w:eastAsia="zh-CN"/>
              </w:rPr>
              <m:t>i</m:t>
            </m:r>
            <m:ctrlPr>
              <w:rPr>
                <w:rFonts w:ascii="Cambria Math" w:hAnsi="Cambria Math" w:cs="Times New Roman"/>
                <w:sz w:val="24"/>
                <w:szCs w:val="24"/>
              </w:rPr>
            </m:ctrlPr>
          </m:sub>
        </m:sSub>
      </m:oMath>
      <w:r>
        <w:rPr>
          <w:rFonts w:ascii="Times New Roman" w:hAnsi="Times New Roman" w:cs="Times New Roman"/>
          <w:sz w:val="24"/>
          <w:szCs w:val="24"/>
          <w:lang w:eastAsia="zh-CN"/>
        </w:rPr>
        <w:t xml:space="preserve"> ——第i个污染物的最大地面空气质量浓度 占标率，%；</w:t>
      </w:r>
    </w:p>
    <w:p>
      <w:pPr>
        <w:spacing w:line="480" w:lineRule="exact"/>
        <w:ind w:firstLine="422" w:firstLineChars="176"/>
        <w:rPr>
          <w:rFonts w:ascii="Times New Roman" w:hAnsi="Times New Roman" w:cs="Times New Roman"/>
          <w:sz w:val="24"/>
          <w:szCs w:val="24"/>
          <w:lang w:eastAsia="zh-CN"/>
        </w:rPr>
      </w:pPr>
      <m:oMath>
        <m:sSub>
          <m:sSubPr>
            <m:ctrlPr>
              <w:rPr>
                <w:rFonts w:ascii="Cambria Math" w:hAnsi="Cambria Math" w:cs="Times New Roman"/>
                <w:i/>
                <w:sz w:val="24"/>
                <w:szCs w:val="24"/>
              </w:rPr>
            </m:ctrlPr>
          </m:sSubPr>
          <m:e>
            <m:r>
              <w:rPr>
                <w:rFonts w:ascii="Cambria Math" w:hAnsi="Cambria Math" w:cs="Times New Roman"/>
                <w:sz w:val="24"/>
                <w:szCs w:val="24"/>
                <w:lang w:eastAsia="zh-CN"/>
              </w:rPr>
              <m:t>C</m:t>
            </m:r>
            <m:ctrlPr>
              <w:rPr>
                <w:rFonts w:ascii="Cambria Math" w:hAnsi="Cambria Math" w:cs="Times New Roman"/>
                <w:i/>
                <w:sz w:val="24"/>
                <w:szCs w:val="24"/>
              </w:rPr>
            </m:ctrlPr>
          </m:e>
          <m:sub>
            <m:r>
              <w:rPr>
                <w:rFonts w:ascii="Cambria Math" w:hAnsi="Cambria Math" w:cs="Times New Roman"/>
                <w:sz w:val="24"/>
                <w:szCs w:val="24"/>
                <w:lang w:eastAsia="zh-CN"/>
              </w:rPr>
              <m:t>i</m:t>
            </m:r>
            <m:ctrlPr>
              <w:rPr>
                <w:rFonts w:ascii="Cambria Math" w:hAnsi="Cambria Math" w:cs="Times New Roman"/>
                <w:i/>
                <w:sz w:val="24"/>
                <w:szCs w:val="24"/>
              </w:rPr>
            </m:ctrlPr>
          </m:sub>
        </m:sSub>
      </m:oMath>
      <w:r>
        <w:rPr>
          <w:rFonts w:ascii="Times New Roman" w:hAnsi="Times New Roman" w:cs="Times New Roman"/>
          <w:sz w:val="24"/>
          <w:szCs w:val="24"/>
          <w:lang w:eastAsia="zh-CN"/>
        </w:rPr>
        <w:t>——采用估算模型计算出的第i个污染物的最大1h地面空气质量浓度，</w:t>
      </w:r>
      <w:r>
        <w:rPr>
          <w:rFonts w:ascii="Times New Roman" w:hAnsi="Times New Roman" w:cs="Times New Roman"/>
          <w:sz w:val="24"/>
          <w:szCs w:val="24"/>
        </w:rPr>
        <w:t>μ</w:t>
      </w:r>
      <w:r>
        <w:rPr>
          <w:rFonts w:ascii="Times New Roman" w:hAnsi="Times New Roman" w:cs="Times New Roman"/>
          <w:sz w:val="24"/>
          <w:szCs w:val="24"/>
          <w:lang w:eastAsia="zh-CN"/>
        </w:rPr>
        <w:t>g/m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w:t>
      </w:r>
    </w:p>
    <w:p>
      <w:pPr>
        <w:spacing w:line="480" w:lineRule="exact"/>
        <w:ind w:firstLine="422" w:firstLineChars="176"/>
        <w:rPr>
          <w:rFonts w:ascii="Times New Roman" w:hAnsi="Times New Roman" w:cs="Times New Roman"/>
          <w:sz w:val="24"/>
          <w:szCs w:val="24"/>
          <w:lang w:eastAsia="zh-CN"/>
        </w:rPr>
      </w:pPr>
      <m:oMath>
        <m:sSub>
          <m:sSubPr>
            <m:ctrlPr>
              <w:rPr>
                <w:rFonts w:ascii="Cambria Math" w:hAnsi="Cambria Math" w:cs="Times New Roman"/>
                <w:i/>
                <w:sz w:val="24"/>
                <w:szCs w:val="24"/>
              </w:rPr>
            </m:ctrlPr>
          </m:sSubPr>
          <m:e>
            <m:r>
              <w:rPr>
                <w:rFonts w:ascii="Cambria Math" w:hAnsi="Cambria Math" w:cs="Times New Roman"/>
                <w:sz w:val="24"/>
                <w:szCs w:val="24"/>
                <w:lang w:eastAsia="zh-CN"/>
              </w:rPr>
              <m:t>C</m:t>
            </m:r>
            <m:ctrlPr>
              <w:rPr>
                <w:rFonts w:ascii="Cambria Math" w:hAnsi="Cambria Math" w:cs="Times New Roman"/>
                <w:i/>
                <w:sz w:val="24"/>
                <w:szCs w:val="24"/>
              </w:rPr>
            </m:ctrlPr>
          </m:e>
          <m:sub>
            <m:r>
              <w:rPr>
                <w:rFonts w:ascii="Cambria Math" w:hAnsi="Cambria Math" w:cs="Times New Roman"/>
                <w:sz w:val="24"/>
                <w:szCs w:val="24"/>
                <w:lang w:eastAsia="zh-CN"/>
              </w:rPr>
              <m:t>0i</m:t>
            </m:r>
            <m:ctrlPr>
              <w:rPr>
                <w:rFonts w:ascii="Cambria Math" w:hAnsi="Cambria Math" w:cs="Times New Roman"/>
                <w:i/>
                <w:sz w:val="24"/>
                <w:szCs w:val="24"/>
              </w:rPr>
            </m:ctrlPr>
          </m:sub>
        </m:sSub>
      </m:oMath>
      <w:r>
        <w:rPr>
          <w:rFonts w:ascii="Times New Roman" w:hAnsi="Times New Roman" w:cs="Times New Roman"/>
          <w:sz w:val="24"/>
          <w:szCs w:val="24"/>
          <w:lang w:eastAsia="zh-CN"/>
        </w:rPr>
        <w:t>——第i个污染物的环境空气质量浓度标准，</w:t>
      </w:r>
      <w:r>
        <w:rPr>
          <w:rFonts w:ascii="Times New Roman" w:hAnsi="Times New Roman" w:cs="Times New Roman"/>
          <w:sz w:val="24"/>
          <w:szCs w:val="24"/>
        </w:rPr>
        <w:t>μ</w:t>
      </w:r>
      <w:r>
        <w:rPr>
          <w:rFonts w:ascii="Times New Roman" w:hAnsi="Times New Roman" w:cs="Times New Roman"/>
          <w:sz w:val="24"/>
          <w:szCs w:val="24"/>
          <w:lang w:eastAsia="zh-CN"/>
        </w:rPr>
        <w:t>g/m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w:t>
      </w:r>
    </w:p>
    <w:p>
      <w:pPr>
        <w:spacing w:line="480" w:lineRule="exact"/>
        <w:ind w:firstLine="422" w:firstLineChars="176"/>
        <w:rPr>
          <w:rFonts w:ascii="Times New Roman" w:hAnsi="Times New Roman" w:cs="Times New Roman"/>
          <w:sz w:val="24"/>
          <w:szCs w:val="24"/>
          <w:lang w:eastAsia="zh-CN"/>
        </w:rPr>
      </w:pPr>
      <w:r>
        <w:rPr>
          <w:rFonts w:hint="eastAsia" w:ascii="Times New Roman" w:hAnsi="Times New Roman" w:cs="Times New Roman"/>
          <w:sz w:val="24"/>
          <w:szCs w:val="24"/>
          <w:lang w:eastAsia="zh-CN"/>
        </w:rPr>
        <w:t>（2）</w:t>
      </w:r>
      <w:r>
        <w:rPr>
          <w:rFonts w:ascii="Times New Roman" w:hAnsi="Times New Roman" w:cs="Times New Roman"/>
          <w:sz w:val="24"/>
          <w:szCs w:val="24"/>
          <w:lang w:eastAsia="zh-CN"/>
        </w:rPr>
        <w:t>评价等级判别表</w:t>
      </w:r>
    </w:p>
    <w:p>
      <w:pPr>
        <w:spacing w:line="480" w:lineRule="exact"/>
        <w:ind w:firstLine="422" w:firstLineChars="176"/>
        <w:rPr>
          <w:rFonts w:ascii="Times New Roman" w:hAnsi="Times New Roman" w:cs="Times New Roman"/>
          <w:sz w:val="24"/>
          <w:szCs w:val="24"/>
          <w:lang w:eastAsia="zh-CN"/>
        </w:rPr>
      </w:pPr>
      <w:r>
        <w:rPr>
          <w:rFonts w:ascii="Times New Roman" w:hAnsi="Times New Roman" w:cs="Times New Roman"/>
          <w:sz w:val="24"/>
          <w:szCs w:val="24"/>
          <w:lang w:eastAsia="zh-CN"/>
        </w:rPr>
        <w:t>评价等级按下表的分级判据进行划分</w:t>
      </w:r>
    </w:p>
    <w:p>
      <w:pPr>
        <w:spacing w:line="480" w:lineRule="exact"/>
        <w:ind w:firstLine="424" w:firstLineChars="176"/>
        <w:jc w:val="center"/>
        <w:rPr>
          <w:rFonts w:ascii="Times New Roman" w:hAnsi="Times New Roman" w:cs="Times New Roman"/>
          <w:b/>
          <w:sz w:val="24"/>
          <w:szCs w:val="24"/>
        </w:rPr>
      </w:pPr>
      <w:r>
        <w:rPr>
          <w:rFonts w:ascii="Times New Roman" w:hAnsi="Times New Roman" w:cs="Times New Roman"/>
          <w:b/>
          <w:sz w:val="24"/>
          <w:szCs w:val="24"/>
        </w:rPr>
        <w:t>表1 评价等级判别表</w:t>
      </w:r>
    </w:p>
    <w:tbl>
      <w:tblPr>
        <w:tblStyle w:val="30"/>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643"/>
        <w:gridCol w:w="46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643" w:type="dxa"/>
            <w:vAlign w:val="center"/>
          </w:tcPr>
          <w:p>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评价工作等级</w:t>
            </w:r>
          </w:p>
        </w:tc>
        <w:tc>
          <w:tcPr>
            <w:tcW w:w="4643" w:type="dxa"/>
            <w:vAlign w:val="center"/>
          </w:tcPr>
          <w:p>
            <w:pPr>
              <w:spacing w:after="0" w:line="240" w:lineRule="auto"/>
              <w:jc w:val="center"/>
              <w:rPr>
                <w:rFonts w:ascii="Times New Roman" w:hAnsi="Times New Roman" w:cs="Times New Roman"/>
                <w:b/>
                <w:sz w:val="21"/>
                <w:szCs w:val="21"/>
              </w:rPr>
            </w:pPr>
            <w:r>
              <w:rPr>
                <w:rFonts w:ascii="Times New Roman" w:hAnsi="Times New Roman" w:cs="Times New Roman"/>
                <w:b/>
                <w:sz w:val="21"/>
                <w:szCs w:val="21"/>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一级评价</w:t>
            </w:r>
          </w:p>
        </w:tc>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Pmax</w:t>
            </w:r>
            <w:r>
              <w:rPr>
                <w:rFonts w:hint="eastAsia" w:hAnsi="宋体" w:cs="宋体"/>
                <w:sz w:val="21"/>
                <w:szCs w:val="21"/>
              </w:rPr>
              <w:t>≧</w:t>
            </w:r>
            <w:r>
              <w:rPr>
                <w:rFonts w:ascii="Times New Roman" w:hAnsi="Times New Roman" w:cs="Times New Roman"/>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二级评价</w:t>
            </w:r>
          </w:p>
        </w:tc>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1%</w:t>
            </w:r>
            <w:r>
              <w:rPr>
                <w:rFonts w:hint="eastAsia" w:hAnsi="宋体" w:cs="宋体"/>
                <w:sz w:val="21"/>
                <w:szCs w:val="21"/>
              </w:rPr>
              <w:t>≦</w:t>
            </w:r>
            <w:r>
              <w:rPr>
                <w:rFonts w:ascii="Times New Roman" w:hAnsi="Times New Roman" w:cs="Times New Roman"/>
                <w:sz w:val="21"/>
                <w:szCs w:val="21"/>
              </w:rPr>
              <w:t>Pmax&lt;10%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三级评价</w:t>
            </w:r>
          </w:p>
        </w:tc>
        <w:tc>
          <w:tcPr>
            <w:tcW w:w="4643" w:type="dxa"/>
            <w:vAlign w:val="center"/>
          </w:tcPr>
          <w:p>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Pmax&lt;1%</w:t>
            </w:r>
          </w:p>
        </w:tc>
      </w:tr>
    </w:tbl>
    <w:p>
      <w:pPr>
        <w:spacing w:line="480" w:lineRule="exact"/>
        <w:ind w:firstLine="422" w:firstLineChars="176"/>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污染物评价标准</w:t>
      </w:r>
    </w:p>
    <w:p>
      <w:pPr>
        <w:spacing w:line="480" w:lineRule="exact"/>
        <w:ind w:firstLine="422" w:firstLineChars="176"/>
        <w:rPr>
          <w:rFonts w:ascii="Times New Roman" w:hAnsi="Times New Roman" w:cs="Times New Roman"/>
          <w:sz w:val="24"/>
          <w:szCs w:val="24"/>
          <w:lang w:eastAsia="zh-CN"/>
        </w:rPr>
      </w:pPr>
      <w:r>
        <w:rPr>
          <w:rFonts w:ascii="Times New Roman" w:hAnsi="Times New Roman" w:cs="Times New Roman"/>
          <w:sz w:val="24"/>
          <w:szCs w:val="24"/>
          <w:lang w:eastAsia="zh-CN"/>
        </w:rPr>
        <w:t>污染物评价标准和来源见下表。</w:t>
      </w:r>
    </w:p>
    <w:p>
      <w:pPr>
        <w:spacing w:line="480" w:lineRule="exact"/>
        <w:ind w:firstLine="424" w:firstLineChars="176"/>
        <w:jc w:val="center"/>
        <w:rPr>
          <w:rFonts w:ascii="Times New Roman" w:hAnsi="Times New Roman" w:cs="Times New Roman"/>
          <w:b/>
          <w:sz w:val="24"/>
          <w:szCs w:val="24"/>
          <w:lang w:eastAsia="zh-CN"/>
        </w:rPr>
      </w:pPr>
      <w:r>
        <w:rPr>
          <w:rFonts w:ascii="Times New Roman" w:hAnsi="Times New Roman" w:cs="Times New Roman"/>
          <w:b/>
          <w:sz w:val="24"/>
          <w:szCs w:val="24"/>
        </w:rPr>
        <w:t>表2  污染物评价标准</w:t>
      </w:r>
    </w:p>
    <w:tbl>
      <w:tblPr>
        <w:tblStyle w:val="30"/>
        <w:tblW w:w="85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384"/>
        <w:gridCol w:w="1150"/>
        <w:gridCol w:w="1155"/>
        <w:gridCol w:w="1846"/>
        <w:gridCol w:w="29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0" w:type="auto"/>
            <w:vAlign w:val="center"/>
          </w:tcPr>
          <w:p>
            <w:pPr>
              <w:spacing w:after="0" w:line="240" w:lineRule="auto"/>
              <w:jc w:val="center"/>
              <w:rPr>
                <w:b/>
                <w:sz w:val="21"/>
                <w:szCs w:val="21"/>
              </w:rPr>
            </w:pPr>
            <w:r>
              <w:rPr>
                <w:rFonts w:ascii="宋体" w:hAnsi="宋体"/>
                <w:b/>
                <w:sz w:val="21"/>
                <w:szCs w:val="21"/>
              </w:rPr>
              <w:t>污染物名称</w:t>
            </w:r>
          </w:p>
        </w:tc>
        <w:tc>
          <w:tcPr>
            <w:tcW w:w="0" w:type="auto"/>
            <w:vAlign w:val="center"/>
          </w:tcPr>
          <w:p>
            <w:pPr>
              <w:spacing w:after="0" w:line="240" w:lineRule="auto"/>
              <w:jc w:val="center"/>
              <w:rPr>
                <w:b/>
                <w:sz w:val="21"/>
                <w:szCs w:val="21"/>
              </w:rPr>
            </w:pPr>
            <w:r>
              <w:rPr>
                <w:rFonts w:ascii="宋体" w:hAnsi="宋体"/>
                <w:b/>
                <w:sz w:val="21"/>
                <w:szCs w:val="21"/>
              </w:rPr>
              <w:t>功能区</w:t>
            </w:r>
          </w:p>
        </w:tc>
        <w:tc>
          <w:tcPr>
            <w:tcW w:w="0" w:type="auto"/>
            <w:vAlign w:val="center"/>
          </w:tcPr>
          <w:p>
            <w:pPr>
              <w:spacing w:after="0" w:line="240" w:lineRule="auto"/>
              <w:rPr>
                <w:rFonts w:ascii="Times New Roman" w:hAnsi="Times New Roman" w:cs="Times New Roman"/>
                <w:b/>
                <w:sz w:val="21"/>
                <w:szCs w:val="21"/>
              </w:rPr>
            </w:pPr>
            <w:r>
              <w:rPr>
                <w:rFonts w:ascii="Times New Roman" w:hAnsi="Times New Roman" w:cs="Times New Roman"/>
                <w:b/>
                <w:sz w:val="21"/>
                <w:szCs w:val="21"/>
              </w:rPr>
              <w:t>取值时间</w:t>
            </w:r>
          </w:p>
        </w:tc>
        <w:tc>
          <w:tcPr>
            <w:tcW w:w="0" w:type="auto"/>
            <w:vAlign w:val="center"/>
          </w:tcPr>
          <w:p>
            <w:pPr>
              <w:spacing w:after="0" w:line="240" w:lineRule="auto"/>
              <w:jc w:val="center"/>
              <w:rPr>
                <w:b/>
                <w:sz w:val="21"/>
                <w:szCs w:val="21"/>
              </w:rPr>
            </w:pPr>
            <w:r>
              <w:rPr>
                <w:rFonts w:ascii="宋体" w:hAnsi="宋体"/>
                <w:b/>
                <w:sz w:val="21"/>
                <w:szCs w:val="21"/>
              </w:rPr>
              <w:t>标准值(μg/m³)</w:t>
            </w:r>
          </w:p>
        </w:tc>
        <w:tc>
          <w:tcPr>
            <w:tcW w:w="0" w:type="auto"/>
            <w:vAlign w:val="center"/>
          </w:tcPr>
          <w:p>
            <w:pPr>
              <w:spacing w:after="0" w:line="240" w:lineRule="auto"/>
              <w:jc w:val="center"/>
              <w:rPr>
                <w:b/>
                <w:sz w:val="21"/>
                <w:szCs w:val="21"/>
              </w:rPr>
            </w:pPr>
            <w:r>
              <w:rPr>
                <w:rFonts w:ascii="宋体" w:hAnsi="宋体"/>
                <w:b/>
                <w:sz w:val="21"/>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0" w:type="auto"/>
            <w:vAlign w:val="center"/>
          </w:tcPr>
          <w:p>
            <w:pPr>
              <w:spacing w:after="0" w:line="240" w:lineRule="auto"/>
              <w:jc w:val="center"/>
              <w:rPr>
                <w:sz w:val="21"/>
                <w:szCs w:val="21"/>
              </w:rPr>
            </w:pPr>
            <w:r>
              <w:rPr>
                <w:rFonts w:ascii="宋体" w:hAnsi="宋体"/>
                <w:sz w:val="21"/>
                <w:szCs w:val="21"/>
              </w:rPr>
              <w:t>SO2</w:t>
            </w:r>
          </w:p>
        </w:tc>
        <w:tc>
          <w:tcPr>
            <w:tcW w:w="0" w:type="auto"/>
            <w:vAlign w:val="center"/>
          </w:tcPr>
          <w:p>
            <w:pPr>
              <w:spacing w:after="0" w:line="240" w:lineRule="auto"/>
              <w:jc w:val="center"/>
              <w:rPr>
                <w:sz w:val="21"/>
                <w:szCs w:val="21"/>
              </w:rPr>
            </w:pPr>
            <w:r>
              <w:rPr>
                <w:rFonts w:ascii="宋体" w:hAnsi="宋体"/>
                <w:sz w:val="21"/>
                <w:szCs w:val="21"/>
              </w:rPr>
              <w:t>二类限区</w:t>
            </w:r>
          </w:p>
        </w:tc>
        <w:tc>
          <w:tcPr>
            <w:tcW w:w="0" w:type="auto"/>
            <w:vAlign w:val="center"/>
          </w:tcPr>
          <w:p>
            <w:pPr>
              <w:spacing w:after="0" w:line="240" w:lineRule="auto"/>
              <w:jc w:val="center"/>
              <w:rPr>
                <w:sz w:val="21"/>
                <w:szCs w:val="21"/>
              </w:rPr>
            </w:pPr>
            <w:r>
              <w:rPr>
                <w:rFonts w:ascii="宋体" w:hAnsi="宋体"/>
                <w:sz w:val="21"/>
                <w:szCs w:val="21"/>
              </w:rPr>
              <w:t>一小时</w:t>
            </w:r>
          </w:p>
        </w:tc>
        <w:tc>
          <w:tcPr>
            <w:tcW w:w="0" w:type="auto"/>
            <w:vAlign w:val="center"/>
          </w:tcPr>
          <w:p>
            <w:pPr>
              <w:spacing w:after="0" w:line="240" w:lineRule="auto"/>
              <w:jc w:val="center"/>
              <w:rPr>
                <w:sz w:val="21"/>
                <w:szCs w:val="21"/>
              </w:rPr>
            </w:pPr>
            <w:r>
              <w:rPr>
                <w:rFonts w:ascii="宋体" w:hAnsi="宋体"/>
                <w:sz w:val="21"/>
                <w:szCs w:val="21"/>
              </w:rPr>
              <w:t>500.0</w:t>
            </w:r>
          </w:p>
        </w:tc>
        <w:tc>
          <w:tcPr>
            <w:tcW w:w="0" w:type="auto"/>
            <w:vAlign w:val="center"/>
          </w:tcPr>
          <w:p>
            <w:pPr>
              <w:spacing w:after="0" w:line="240" w:lineRule="auto"/>
              <w:jc w:val="center"/>
              <w:rPr>
                <w:sz w:val="21"/>
                <w:szCs w:val="21"/>
              </w:rPr>
            </w:pPr>
            <w:r>
              <w:rPr>
                <w:rFonts w:ascii="宋体" w:hAnsi="宋体"/>
                <w:sz w:val="21"/>
                <w:szCs w:val="21"/>
              </w:rPr>
              <w:t>GB 3095-2012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0" w:type="auto"/>
            <w:vAlign w:val="center"/>
          </w:tcPr>
          <w:p>
            <w:pPr>
              <w:spacing w:after="0" w:line="240" w:lineRule="auto"/>
              <w:jc w:val="center"/>
              <w:rPr>
                <w:sz w:val="21"/>
                <w:szCs w:val="21"/>
              </w:rPr>
            </w:pPr>
            <w:r>
              <w:rPr>
                <w:rFonts w:ascii="宋体" w:hAnsi="宋体"/>
                <w:sz w:val="21"/>
                <w:szCs w:val="21"/>
              </w:rPr>
              <w:t>PM10</w:t>
            </w:r>
          </w:p>
        </w:tc>
        <w:tc>
          <w:tcPr>
            <w:tcW w:w="0" w:type="auto"/>
            <w:vAlign w:val="center"/>
          </w:tcPr>
          <w:p>
            <w:pPr>
              <w:spacing w:after="0" w:line="240" w:lineRule="auto"/>
              <w:jc w:val="center"/>
              <w:rPr>
                <w:sz w:val="21"/>
                <w:szCs w:val="21"/>
              </w:rPr>
            </w:pPr>
            <w:r>
              <w:rPr>
                <w:rFonts w:ascii="宋体" w:hAnsi="宋体"/>
                <w:sz w:val="21"/>
                <w:szCs w:val="21"/>
              </w:rPr>
              <w:t>二类限区</w:t>
            </w:r>
          </w:p>
        </w:tc>
        <w:tc>
          <w:tcPr>
            <w:tcW w:w="0" w:type="auto"/>
            <w:vAlign w:val="center"/>
          </w:tcPr>
          <w:p>
            <w:pPr>
              <w:spacing w:after="0" w:line="240" w:lineRule="auto"/>
              <w:jc w:val="center"/>
              <w:rPr>
                <w:sz w:val="21"/>
                <w:szCs w:val="21"/>
              </w:rPr>
            </w:pPr>
            <w:r>
              <w:rPr>
                <w:rFonts w:ascii="宋体" w:hAnsi="宋体"/>
                <w:sz w:val="21"/>
                <w:szCs w:val="21"/>
              </w:rPr>
              <w:t>日均</w:t>
            </w:r>
          </w:p>
        </w:tc>
        <w:tc>
          <w:tcPr>
            <w:tcW w:w="0" w:type="auto"/>
            <w:vAlign w:val="center"/>
          </w:tcPr>
          <w:p>
            <w:pPr>
              <w:spacing w:after="0" w:line="240" w:lineRule="auto"/>
              <w:jc w:val="center"/>
              <w:rPr>
                <w:sz w:val="21"/>
                <w:szCs w:val="21"/>
              </w:rPr>
            </w:pPr>
            <w:r>
              <w:rPr>
                <w:rFonts w:ascii="宋体" w:hAnsi="宋体"/>
                <w:sz w:val="21"/>
                <w:szCs w:val="21"/>
              </w:rPr>
              <w:t>150.0</w:t>
            </w:r>
          </w:p>
        </w:tc>
        <w:tc>
          <w:tcPr>
            <w:tcW w:w="0" w:type="auto"/>
            <w:vAlign w:val="center"/>
          </w:tcPr>
          <w:p>
            <w:pPr>
              <w:spacing w:after="0" w:line="240" w:lineRule="auto"/>
              <w:jc w:val="center"/>
              <w:rPr>
                <w:sz w:val="21"/>
                <w:szCs w:val="21"/>
              </w:rPr>
            </w:pPr>
            <w:r>
              <w:rPr>
                <w:rFonts w:ascii="宋体" w:hAnsi="宋体"/>
                <w:sz w:val="21"/>
                <w:szCs w:val="21"/>
              </w:rPr>
              <w:t>GB 3095-2012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0" w:type="auto"/>
            <w:vAlign w:val="center"/>
          </w:tcPr>
          <w:p>
            <w:pPr>
              <w:spacing w:after="0" w:line="240" w:lineRule="auto"/>
              <w:jc w:val="center"/>
              <w:rPr>
                <w:sz w:val="21"/>
                <w:szCs w:val="21"/>
              </w:rPr>
            </w:pPr>
            <w:r>
              <w:rPr>
                <w:rFonts w:ascii="宋体" w:hAnsi="宋体"/>
                <w:sz w:val="21"/>
                <w:szCs w:val="21"/>
              </w:rPr>
              <w:t>NOx</w:t>
            </w:r>
          </w:p>
        </w:tc>
        <w:tc>
          <w:tcPr>
            <w:tcW w:w="0" w:type="auto"/>
            <w:vAlign w:val="center"/>
          </w:tcPr>
          <w:p>
            <w:pPr>
              <w:spacing w:after="0" w:line="240" w:lineRule="auto"/>
              <w:jc w:val="center"/>
              <w:rPr>
                <w:sz w:val="21"/>
                <w:szCs w:val="21"/>
              </w:rPr>
            </w:pPr>
            <w:r>
              <w:rPr>
                <w:rFonts w:ascii="宋体" w:hAnsi="宋体"/>
                <w:sz w:val="21"/>
                <w:szCs w:val="21"/>
              </w:rPr>
              <w:t>二类限区</w:t>
            </w:r>
          </w:p>
        </w:tc>
        <w:tc>
          <w:tcPr>
            <w:tcW w:w="0" w:type="auto"/>
            <w:vAlign w:val="center"/>
          </w:tcPr>
          <w:p>
            <w:pPr>
              <w:spacing w:after="0" w:line="240" w:lineRule="auto"/>
              <w:jc w:val="center"/>
              <w:rPr>
                <w:sz w:val="21"/>
                <w:szCs w:val="21"/>
              </w:rPr>
            </w:pPr>
            <w:r>
              <w:rPr>
                <w:rFonts w:ascii="宋体" w:hAnsi="宋体"/>
                <w:sz w:val="21"/>
                <w:szCs w:val="21"/>
              </w:rPr>
              <w:t>一小时</w:t>
            </w:r>
          </w:p>
        </w:tc>
        <w:tc>
          <w:tcPr>
            <w:tcW w:w="0" w:type="auto"/>
            <w:vAlign w:val="center"/>
          </w:tcPr>
          <w:p>
            <w:pPr>
              <w:spacing w:after="0" w:line="240" w:lineRule="auto"/>
              <w:jc w:val="center"/>
              <w:rPr>
                <w:sz w:val="21"/>
                <w:szCs w:val="21"/>
              </w:rPr>
            </w:pPr>
            <w:r>
              <w:rPr>
                <w:rFonts w:ascii="宋体" w:hAnsi="宋体"/>
                <w:sz w:val="21"/>
                <w:szCs w:val="21"/>
              </w:rPr>
              <w:t>250.0</w:t>
            </w:r>
          </w:p>
        </w:tc>
        <w:tc>
          <w:tcPr>
            <w:tcW w:w="0" w:type="auto"/>
            <w:vAlign w:val="center"/>
          </w:tcPr>
          <w:p>
            <w:pPr>
              <w:spacing w:after="0" w:line="240" w:lineRule="auto"/>
              <w:jc w:val="center"/>
              <w:rPr>
                <w:sz w:val="21"/>
                <w:szCs w:val="21"/>
              </w:rPr>
            </w:pPr>
            <w:r>
              <w:rPr>
                <w:rFonts w:ascii="宋体" w:hAnsi="宋体"/>
                <w:sz w:val="21"/>
                <w:szCs w:val="21"/>
              </w:rPr>
              <w:t>GB 3095-2012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0" w:type="auto"/>
            <w:vAlign w:val="center"/>
          </w:tcPr>
          <w:p>
            <w:pPr>
              <w:spacing w:after="0" w:line="240" w:lineRule="auto"/>
              <w:jc w:val="center"/>
              <w:rPr>
                <w:rFonts w:hint="eastAsia" w:ascii="宋体" w:hAnsi="宋体"/>
                <w:sz w:val="21"/>
                <w:szCs w:val="21"/>
                <w:lang w:eastAsia="zh-CN"/>
              </w:rPr>
            </w:pPr>
            <w:r>
              <w:rPr>
                <w:rFonts w:hint="eastAsia" w:ascii="宋体" w:hAnsi="宋体"/>
                <w:sz w:val="21"/>
                <w:szCs w:val="21"/>
                <w:lang w:eastAsia="zh-CN"/>
              </w:rPr>
              <w:t>二噁英</w:t>
            </w:r>
          </w:p>
        </w:tc>
        <w:tc>
          <w:tcPr>
            <w:tcW w:w="0" w:type="auto"/>
            <w:vAlign w:val="center"/>
          </w:tcPr>
          <w:p>
            <w:pPr>
              <w:spacing w:after="0" w:line="240" w:lineRule="auto"/>
              <w:jc w:val="center"/>
              <w:rPr>
                <w:sz w:val="21"/>
                <w:szCs w:val="21"/>
              </w:rPr>
            </w:pPr>
            <w:r>
              <w:rPr>
                <w:rFonts w:ascii="宋体" w:hAnsi="宋体"/>
                <w:sz w:val="21"/>
                <w:szCs w:val="21"/>
              </w:rPr>
              <w:t>二类限区</w:t>
            </w:r>
          </w:p>
        </w:tc>
        <w:tc>
          <w:tcPr>
            <w:tcW w:w="0" w:type="auto"/>
            <w:vAlign w:val="center"/>
          </w:tcPr>
          <w:p>
            <w:pPr>
              <w:spacing w:after="0" w:line="240" w:lineRule="auto"/>
              <w:jc w:val="center"/>
              <w:rPr>
                <w:sz w:val="21"/>
                <w:szCs w:val="21"/>
              </w:rPr>
            </w:pPr>
            <w:r>
              <w:rPr>
                <w:rFonts w:ascii="宋体" w:hAnsi="宋体"/>
                <w:sz w:val="21"/>
                <w:szCs w:val="21"/>
              </w:rPr>
              <w:t>一小时</w:t>
            </w:r>
          </w:p>
        </w:tc>
        <w:tc>
          <w:tcPr>
            <w:tcW w:w="0" w:type="auto"/>
            <w:vAlign w:val="center"/>
          </w:tcPr>
          <w:p>
            <w:pPr>
              <w:pStyle w:val="92"/>
              <w:jc w:val="center"/>
              <w:rPr>
                <w:rFonts w:ascii="宋体" w:hAnsi="宋体" w:eastAsia="宋体" w:cs="宋体"/>
                <w:sz w:val="24"/>
                <w:szCs w:val="24"/>
                <w:vertAlign w:val="superscript"/>
              </w:rPr>
            </w:pPr>
            <w:r>
              <w:rPr>
                <w:rFonts w:hint="eastAsia" w:ascii="宋体" w:hAnsi="宋体"/>
                <w:szCs w:val="21"/>
              </w:rPr>
              <w:t>3.6×</w:t>
            </w:r>
            <w:r>
              <w:rPr>
                <w:rFonts w:hint="eastAsia" w:ascii="宋体" w:hAnsi="宋体" w:eastAsia="宋体" w:cs="宋体"/>
                <w:sz w:val="24"/>
                <w:szCs w:val="24"/>
              </w:rPr>
              <w:t>10</w:t>
            </w:r>
            <w:r>
              <w:rPr>
                <w:rFonts w:hint="eastAsia" w:ascii="宋体" w:hAnsi="宋体" w:eastAsia="宋体" w:cs="宋体"/>
                <w:sz w:val="24"/>
                <w:szCs w:val="24"/>
                <w:vertAlign w:val="superscript"/>
              </w:rPr>
              <w:t>-6</w:t>
            </w:r>
          </w:p>
          <w:p>
            <w:pPr>
              <w:spacing w:after="0" w:line="240" w:lineRule="auto"/>
              <w:jc w:val="center"/>
              <w:rPr>
                <w:rFonts w:hint="eastAsia"/>
                <w:sz w:val="21"/>
                <w:szCs w:val="21"/>
                <w:lang w:eastAsia="zh-CN"/>
              </w:rPr>
            </w:pPr>
          </w:p>
        </w:tc>
        <w:tc>
          <w:tcPr>
            <w:tcW w:w="0" w:type="auto"/>
            <w:vAlign w:val="center"/>
          </w:tcPr>
          <w:p>
            <w:pPr>
              <w:spacing w:after="0" w:line="240" w:lineRule="auto"/>
              <w:jc w:val="center"/>
              <w:rPr>
                <w:rFonts w:ascii="宋体" w:hAnsi="宋体"/>
                <w:sz w:val="21"/>
                <w:szCs w:val="21"/>
                <w:lang w:eastAsia="zh-CN"/>
              </w:rPr>
            </w:pPr>
            <w:r>
              <w:rPr>
                <w:rFonts w:ascii="宋体" w:hAnsi="宋体"/>
                <w:sz w:val="23"/>
                <w:szCs w:val="23"/>
                <w:lang w:eastAsia="zh-CN"/>
              </w:rPr>
              <w:t>日本环境质量标准年均值</w:t>
            </w:r>
          </w:p>
        </w:tc>
      </w:tr>
    </w:tbl>
    <w:p>
      <w:pPr>
        <w:rPr>
          <w:lang w:eastAsia="zh-CN"/>
        </w:rPr>
      </w:pPr>
    </w:p>
    <w:p>
      <w:pPr>
        <w:pStyle w:val="92"/>
      </w:pPr>
      <w:bookmarkStart w:id="523" w:name="_Toc24969764"/>
      <w:r>
        <w:rPr>
          <w:rFonts w:hint="eastAsia" w:ascii="宋体" w:hAnsi="宋体" w:eastAsia="宋体" w:cs="宋体"/>
          <w:b/>
          <w:sz w:val="28"/>
        </w:rPr>
        <w:t>5.2.2</w:t>
      </w:r>
      <w:r>
        <w:rPr>
          <w:rFonts w:ascii="宋体" w:hAnsi="宋体" w:eastAsia="宋体" w:cs="宋体"/>
          <w:b/>
          <w:sz w:val="28"/>
        </w:rPr>
        <w:t xml:space="preserve"> 污染源参数</w:t>
      </w:r>
      <w:bookmarkEnd w:id="523"/>
    </w:p>
    <w:p>
      <w:pPr>
        <w:spacing w:line="480" w:lineRule="exact"/>
        <w:jc w:val="center"/>
        <w:rPr>
          <w:b/>
          <w:lang w:eastAsia="zh-CN"/>
        </w:rPr>
      </w:pPr>
      <w:r>
        <w:rPr>
          <w:rFonts w:ascii="宋体" w:hAnsi="宋体" w:cs="宋体"/>
          <w:b/>
          <w:sz w:val="24"/>
          <w:lang w:eastAsia="zh-CN"/>
        </w:rPr>
        <w:t xml:space="preserve">  表3  主要废气污染源参数一览表(点源) </w:t>
      </w:r>
    </w:p>
    <w:tbl>
      <w:tblPr>
        <w:tblStyle w:val="30"/>
        <w:tblW w:w="1045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7"/>
        <w:gridCol w:w="1241"/>
        <w:gridCol w:w="1182"/>
        <w:gridCol w:w="944"/>
        <w:gridCol w:w="709"/>
        <w:gridCol w:w="708"/>
        <w:gridCol w:w="709"/>
        <w:gridCol w:w="851"/>
        <w:gridCol w:w="850"/>
        <w:gridCol w:w="851"/>
        <w:gridCol w:w="850"/>
        <w:gridCol w:w="11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jc w:val="center"/>
        </w:trPr>
        <w:tc>
          <w:tcPr>
            <w:tcW w:w="427" w:type="dxa"/>
            <w:vMerge w:val="restart"/>
            <w:vAlign w:val="center"/>
          </w:tcPr>
          <w:p>
            <w:pPr>
              <w:spacing w:after="0" w:line="240" w:lineRule="auto"/>
              <w:jc w:val="center"/>
              <w:rPr>
                <w:b/>
                <w:sz w:val="21"/>
                <w:szCs w:val="21"/>
              </w:rPr>
            </w:pPr>
            <w:r>
              <w:rPr>
                <w:rFonts w:ascii="宋体" w:hAnsi="宋体"/>
                <w:b/>
                <w:sz w:val="21"/>
                <w:szCs w:val="21"/>
              </w:rPr>
              <w:t>污染源名称</w:t>
            </w:r>
          </w:p>
        </w:tc>
        <w:tc>
          <w:tcPr>
            <w:tcW w:w="2423" w:type="dxa"/>
            <w:gridSpan w:val="2"/>
            <w:vAlign w:val="center"/>
          </w:tcPr>
          <w:p>
            <w:pPr>
              <w:spacing w:after="0" w:line="240" w:lineRule="auto"/>
              <w:jc w:val="center"/>
              <w:rPr>
                <w:b/>
                <w:sz w:val="21"/>
                <w:szCs w:val="21"/>
                <w:lang w:eastAsia="zh-CN"/>
              </w:rPr>
            </w:pPr>
            <w:r>
              <w:rPr>
                <w:rFonts w:ascii="宋体" w:hAnsi="宋体"/>
                <w:b/>
                <w:sz w:val="21"/>
                <w:szCs w:val="21"/>
                <w:lang w:eastAsia="zh-CN"/>
              </w:rPr>
              <w:t>排气筒底部中心坐标(°)</w:t>
            </w:r>
          </w:p>
        </w:tc>
        <w:tc>
          <w:tcPr>
            <w:tcW w:w="944" w:type="dxa"/>
            <w:vMerge w:val="restart"/>
            <w:vAlign w:val="center"/>
          </w:tcPr>
          <w:p>
            <w:pPr>
              <w:spacing w:after="0" w:line="240" w:lineRule="auto"/>
              <w:jc w:val="center"/>
              <w:rPr>
                <w:b/>
                <w:sz w:val="21"/>
                <w:szCs w:val="21"/>
              </w:rPr>
            </w:pPr>
            <w:r>
              <w:rPr>
                <w:rFonts w:ascii="宋体" w:hAnsi="宋体"/>
                <w:b/>
                <w:sz w:val="21"/>
                <w:szCs w:val="21"/>
              </w:rPr>
              <w:t>排气筒底部海拔高度(m)</w:t>
            </w:r>
          </w:p>
        </w:tc>
        <w:tc>
          <w:tcPr>
            <w:tcW w:w="2977" w:type="dxa"/>
            <w:gridSpan w:val="4"/>
            <w:vAlign w:val="center"/>
          </w:tcPr>
          <w:p>
            <w:pPr>
              <w:spacing w:after="0" w:line="240" w:lineRule="auto"/>
              <w:jc w:val="center"/>
              <w:rPr>
                <w:b/>
                <w:sz w:val="21"/>
                <w:szCs w:val="21"/>
              </w:rPr>
            </w:pPr>
            <w:r>
              <w:rPr>
                <w:rFonts w:ascii="宋体" w:hAnsi="宋体"/>
                <w:b/>
                <w:sz w:val="21"/>
                <w:szCs w:val="21"/>
              </w:rPr>
              <w:t>排气筒参数</w:t>
            </w:r>
          </w:p>
        </w:tc>
        <w:tc>
          <w:tcPr>
            <w:tcW w:w="3685" w:type="dxa"/>
            <w:gridSpan w:val="4"/>
            <w:vAlign w:val="center"/>
          </w:tcPr>
          <w:p>
            <w:pPr>
              <w:spacing w:after="0" w:line="240" w:lineRule="auto"/>
              <w:jc w:val="center"/>
              <w:rPr>
                <w:rFonts w:ascii="宋体" w:hAnsi="宋体"/>
                <w:b/>
                <w:sz w:val="21"/>
                <w:szCs w:val="21"/>
              </w:rPr>
            </w:pPr>
            <w:r>
              <w:rPr>
                <w:rFonts w:ascii="宋体" w:hAnsi="宋体"/>
                <w:b/>
                <w:sz w:val="21"/>
                <w:szCs w:val="21"/>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jc w:val="center"/>
        </w:trPr>
        <w:tc>
          <w:tcPr>
            <w:tcW w:w="427" w:type="dxa"/>
            <w:vMerge w:val="continue"/>
            <w:vAlign w:val="center"/>
          </w:tcPr>
          <w:p>
            <w:pPr>
              <w:spacing w:after="0" w:line="240" w:lineRule="auto"/>
              <w:jc w:val="center"/>
              <w:rPr>
                <w:b/>
                <w:sz w:val="21"/>
                <w:szCs w:val="21"/>
              </w:rPr>
            </w:pPr>
          </w:p>
        </w:tc>
        <w:tc>
          <w:tcPr>
            <w:tcW w:w="1241" w:type="dxa"/>
            <w:vAlign w:val="center"/>
          </w:tcPr>
          <w:p>
            <w:pPr>
              <w:spacing w:after="0" w:line="240" w:lineRule="auto"/>
              <w:jc w:val="center"/>
              <w:rPr>
                <w:b/>
                <w:sz w:val="21"/>
                <w:szCs w:val="21"/>
              </w:rPr>
            </w:pPr>
            <w:r>
              <w:rPr>
                <w:rFonts w:ascii="宋体" w:hAnsi="宋体"/>
                <w:b/>
                <w:sz w:val="21"/>
                <w:szCs w:val="21"/>
              </w:rPr>
              <w:t>经度</w:t>
            </w:r>
          </w:p>
        </w:tc>
        <w:tc>
          <w:tcPr>
            <w:tcW w:w="1182" w:type="dxa"/>
            <w:vAlign w:val="center"/>
          </w:tcPr>
          <w:p>
            <w:pPr>
              <w:spacing w:after="0" w:line="240" w:lineRule="auto"/>
              <w:jc w:val="center"/>
              <w:rPr>
                <w:b/>
                <w:sz w:val="21"/>
                <w:szCs w:val="21"/>
              </w:rPr>
            </w:pPr>
            <w:r>
              <w:rPr>
                <w:rFonts w:ascii="宋体" w:hAnsi="宋体"/>
                <w:b/>
                <w:sz w:val="21"/>
                <w:szCs w:val="21"/>
              </w:rPr>
              <w:t>维度</w:t>
            </w:r>
          </w:p>
        </w:tc>
        <w:tc>
          <w:tcPr>
            <w:tcW w:w="944" w:type="dxa"/>
            <w:vMerge w:val="continue"/>
            <w:vAlign w:val="center"/>
          </w:tcPr>
          <w:p>
            <w:pPr>
              <w:spacing w:after="0" w:line="240" w:lineRule="auto"/>
              <w:jc w:val="center"/>
              <w:rPr>
                <w:b/>
                <w:sz w:val="21"/>
                <w:szCs w:val="21"/>
              </w:rPr>
            </w:pPr>
          </w:p>
        </w:tc>
        <w:tc>
          <w:tcPr>
            <w:tcW w:w="709" w:type="dxa"/>
            <w:vAlign w:val="center"/>
          </w:tcPr>
          <w:p>
            <w:pPr>
              <w:spacing w:after="0" w:line="240" w:lineRule="auto"/>
              <w:jc w:val="center"/>
              <w:rPr>
                <w:b/>
                <w:sz w:val="21"/>
                <w:szCs w:val="21"/>
              </w:rPr>
            </w:pPr>
            <w:r>
              <w:rPr>
                <w:rFonts w:ascii="宋体" w:hAnsi="宋体"/>
                <w:b/>
                <w:sz w:val="21"/>
                <w:szCs w:val="21"/>
              </w:rPr>
              <w:t>高度(m)</w:t>
            </w:r>
          </w:p>
        </w:tc>
        <w:tc>
          <w:tcPr>
            <w:tcW w:w="708" w:type="dxa"/>
            <w:vAlign w:val="center"/>
          </w:tcPr>
          <w:p>
            <w:pPr>
              <w:spacing w:after="0" w:line="240" w:lineRule="auto"/>
              <w:jc w:val="center"/>
              <w:rPr>
                <w:b/>
                <w:sz w:val="21"/>
                <w:szCs w:val="21"/>
              </w:rPr>
            </w:pPr>
            <w:r>
              <w:rPr>
                <w:rFonts w:ascii="宋体" w:hAnsi="宋体"/>
                <w:b/>
                <w:sz w:val="21"/>
                <w:szCs w:val="21"/>
              </w:rPr>
              <w:t>内径(m)</w:t>
            </w:r>
          </w:p>
        </w:tc>
        <w:tc>
          <w:tcPr>
            <w:tcW w:w="709" w:type="dxa"/>
            <w:vAlign w:val="center"/>
          </w:tcPr>
          <w:p>
            <w:pPr>
              <w:spacing w:after="0" w:line="240" w:lineRule="auto"/>
              <w:jc w:val="center"/>
              <w:rPr>
                <w:b/>
                <w:sz w:val="21"/>
                <w:szCs w:val="21"/>
              </w:rPr>
            </w:pPr>
            <w:r>
              <w:rPr>
                <w:rFonts w:ascii="宋体" w:hAnsi="宋体"/>
                <w:b/>
                <w:sz w:val="21"/>
                <w:szCs w:val="21"/>
              </w:rPr>
              <w:t>温度(℃)</w:t>
            </w:r>
          </w:p>
        </w:tc>
        <w:tc>
          <w:tcPr>
            <w:tcW w:w="851" w:type="dxa"/>
            <w:vAlign w:val="center"/>
          </w:tcPr>
          <w:p>
            <w:pPr>
              <w:spacing w:after="0" w:line="240" w:lineRule="auto"/>
              <w:jc w:val="center"/>
              <w:rPr>
                <w:b/>
                <w:sz w:val="21"/>
                <w:szCs w:val="21"/>
              </w:rPr>
            </w:pPr>
            <w:r>
              <w:rPr>
                <w:rFonts w:ascii="宋体" w:hAnsi="宋体"/>
                <w:b/>
                <w:sz w:val="21"/>
                <w:szCs w:val="21"/>
              </w:rPr>
              <w:t>流速(m/s)</w:t>
            </w:r>
          </w:p>
        </w:tc>
        <w:tc>
          <w:tcPr>
            <w:tcW w:w="850" w:type="dxa"/>
            <w:vAlign w:val="center"/>
          </w:tcPr>
          <w:p>
            <w:pPr>
              <w:spacing w:after="0" w:line="240" w:lineRule="auto"/>
              <w:jc w:val="center"/>
              <w:rPr>
                <w:b/>
                <w:sz w:val="21"/>
                <w:szCs w:val="21"/>
              </w:rPr>
            </w:pPr>
            <w:r>
              <w:rPr>
                <w:rFonts w:ascii="宋体" w:hAnsi="宋体"/>
                <w:b/>
                <w:sz w:val="21"/>
                <w:szCs w:val="21"/>
              </w:rPr>
              <w:t>NOx</w:t>
            </w:r>
          </w:p>
        </w:tc>
        <w:tc>
          <w:tcPr>
            <w:tcW w:w="851" w:type="dxa"/>
            <w:vAlign w:val="center"/>
          </w:tcPr>
          <w:p>
            <w:pPr>
              <w:spacing w:after="0" w:line="240" w:lineRule="auto"/>
              <w:jc w:val="center"/>
              <w:rPr>
                <w:b/>
                <w:sz w:val="21"/>
                <w:szCs w:val="21"/>
              </w:rPr>
            </w:pPr>
            <w:r>
              <w:rPr>
                <w:rFonts w:ascii="宋体" w:hAnsi="宋体"/>
                <w:b/>
                <w:sz w:val="21"/>
                <w:szCs w:val="21"/>
              </w:rPr>
              <w:t>SO2</w:t>
            </w:r>
          </w:p>
        </w:tc>
        <w:tc>
          <w:tcPr>
            <w:tcW w:w="850" w:type="dxa"/>
            <w:vAlign w:val="center"/>
          </w:tcPr>
          <w:p>
            <w:pPr>
              <w:spacing w:after="0" w:line="240" w:lineRule="auto"/>
              <w:jc w:val="center"/>
              <w:rPr>
                <w:b/>
                <w:sz w:val="21"/>
                <w:szCs w:val="21"/>
              </w:rPr>
            </w:pPr>
            <w:r>
              <w:rPr>
                <w:rFonts w:ascii="宋体" w:hAnsi="宋体"/>
                <w:b/>
                <w:sz w:val="21"/>
                <w:szCs w:val="21"/>
              </w:rPr>
              <w:t>PM10</w:t>
            </w:r>
          </w:p>
        </w:tc>
        <w:tc>
          <w:tcPr>
            <w:tcW w:w="1134" w:type="dxa"/>
          </w:tcPr>
          <w:p>
            <w:pPr>
              <w:spacing w:after="0" w:line="240" w:lineRule="auto"/>
              <w:jc w:val="center"/>
              <w:rPr>
                <w:rFonts w:hint="eastAsia" w:ascii="宋体" w:hAnsi="宋体"/>
                <w:b/>
                <w:sz w:val="21"/>
                <w:szCs w:val="21"/>
                <w:lang w:eastAsia="zh-CN"/>
              </w:rPr>
            </w:pPr>
            <w:r>
              <w:rPr>
                <w:rFonts w:hint="eastAsia" w:ascii="宋体" w:hAnsi="宋体"/>
                <w:b/>
                <w:sz w:val="21"/>
                <w:szCs w:val="21"/>
                <w:lang w:eastAsia="zh-CN"/>
              </w:rPr>
              <w:t>二噁英</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jc w:val="center"/>
        </w:trPr>
        <w:tc>
          <w:tcPr>
            <w:tcW w:w="427" w:type="dxa"/>
            <w:vAlign w:val="center"/>
          </w:tcPr>
          <w:p>
            <w:pPr>
              <w:spacing w:after="0" w:line="240" w:lineRule="auto"/>
              <w:rPr>
                <w:sz w:val="21"/>
                <w:szCs w:val="21"/>
              </w:rPr>
            </w:pPr>
            <w:r>
              <w:rPr>
                <w:rFonts w:ascii="宋体" w:hAnsi="宋体"/>
                <w:sz w:val="21"/>
                <w:szCs w:val="21"/>
              </w:rPr>
              <w:t>点源</w:t>
            </w:r>
          </w:p>
        </w:tc>
        <w:tc>
          <w:tcPr>
            <w:tcW w:w="1241" w:type="dxa"/>
            <w:vAlign w:val="center"/>
          </w:tcPr>
          <w:p>
            <w:pPr>
              <w:spacing w:after="0" w:line="240" w:lineRule="auto"/>
              <w:rPr>
                <w:sz w:val="18"/>
                <w:szCs w:val="18"/>
              </w:rPr>
            </w:pPr>
            <w:r>
              <w:rPr>
                <w:rFonts w:ascii="宋体" w:hAnsi="宋体"/>
                <w:sz w:val="18"/>
                <w:szCs w:val="18"/>
              </w:rPr>
              <w:t>113.165116</w:t>
            </w:r>
          </w:p>
        </w:tc>
        <w:tc>
          <w:tcPr>
            <w:tcW w:w="1182" w:type="dxa"/>
            <w:vAlign w:val="center"/>
          </w:tcPr>
          <w:p>
            <w:pPr>
              <w:spacing w:after="0" w:line="240" w:lineRule="auto"/>
              <w:rPr>
                <w:sz w:val="18"/>
                <w:szCs w:val="18"/>
              </w:rPr>
            </w:pPr>
            <w:r>
              <w:rPr>
                <w:rFonts w:ascii="宋体" w:hAnsi="宋体"/>
                <w:sz w:val="18"/>
                <w:szCs w:val="18"/>
              </w:rPr>
              <w:t>29.452526</w:t>
            </w:r>
          </w:p>
        </w:tc>
        <w:tc>
          <w:tcPr>
            <w:tcW w:w="944" w:type="dxa"/>
            <w:vAlign w:val="center"/>
          </w:tcPr>
          <w:p>
            <w:pPr>
              <w:spacing w:after="0" w:line="240" w:lineRule="auto"/>
              <w:rPr>
                <w:sz w:val="18"/>
                <w:szCs w:val="18"/>
              </w:rPr>
            </w:pPr>
            <w:r>
              <w:rPr>
                <w:rFonts w:ascii="宋体" w:hAnsi="宋体"/>
                <w:sz w:val="18"/>
                <w:szCs w:val="18"/>
              </w:rPr>
              <w:t>25.0000</w:t>
            </w:r>
          </w:p>
        </w:tc>
        <w:tc>
          <w:tcPr>
            <w:tcW w:w="709" w:type="dxa"/>
            <w:vAlign w:val="center"/>
          </w:tcPr>
          <w:p>
            <w:pPr>
              <w:spacing w:after="0" w:line="240" w:lineRule="auto"/>
              <w:rPr>
                <w:rFonts w:hint="eastAsia"/>
                <w:sz w:val="18"/>
                <w:szCs w:val="18"/>
                <w:lang w:eastAsia="zh-CN"/>
              </w:rPr>
            </w:pPr>
            <w:r>
              <w:rPr>
                <w:rFonts w:ascii="宋体" w:hAnsi="宋体"/>
                <w:sz w:val="18"/>
                <w:szCs w:val="18"/>
              </w:rPr>
              <w:t>240.0</w:t>
            </w:r>
          </w:p>
        </w:tc>
        <w:tc>
          <w:tcPr>
            <w:tcW w:w="708" w:type="dxa"/>
            <w:vAlign w:val="center"/>
          </w:tcPr>
          <w:p>
            <w:pPr>
              <w:spacing w:after="0" w:line="240" w:lineRule="auto"/>
              <w:rPr>
                <w:rFonts w:hint="eastAsia"/>
                <w:sz w:val="18"/>
                <w:szCs w:val="18"/>
                <w:lang w:eastAsia="zh-CN"/>
              </w:rPr>
            </w:pPr>
            <w:r>
              <w:rPr>
                <w:rFonts w:ascii="宋体" w:hAnsi="宋体"/>
                <w:sz w:val="18"/>
                <w:szCs w:val="18"/>
              </w:rPr>
              <w:t>5.0</w:t>
            </w:r>
          </w:p>
        </w:tc>
        <w:tc>
          <w:tcPr>
            <w:tcW w:w="709" w:type="dxa"/>
            <w:vAlign w:val="center"/>
          </w:tcPr>
          <w:p>
            <w:pPr>
              <w:spacing w:after="0" w:line="240" w:lineRule="auto"/>
              <w:rPr>
                <w:sz w:val="18"/>
                <w:szCs w:val="18"/>
              </w:rPr>
            </w:pPr>
            <w:r>
              <w:rPr>
                <w:rFonts w:ascii="宋体" w:hAnsi="宋体"/>
                <w:sz w:val="18"/>
                <w:szCs w:val="18"/>
              </w:rPr>
              <w:t>99.85</w:t>
            </w:r>
          </w:p>
        </w:tc>
        <w:tc>
          <w:tcPr>
            <w:tcW w:w="851" w:type="dxa"/>
            <w:vAlign w:val="center"/>
          </w:tcPr>
          <w:p>
            <w:pPr>
              <w:spacing w:after="0" w:line="240" w:lineRule="auto"/>
              <w:rPr>
                <w:sz w:val="18"/>
                <w:szCs w:val="18"/>
              </w:rPr>
            </w:pPr>
            <w:r>
              <w:rPr>
                <w:rFonts w:ascii="宋体" w:hAnsi="宋体"/>
                <w:sz w:val="18"/>
                <w:szCs w:val="18"/>
              </w:rPr>
              <w:t>12.00</w:t>
            </w:r>
          </w:p>
        </w:tc>
        <w:tc>
          <w:tcPr>
            <w:tcW w:w="850" w:type="dxa"/>
            <w:vAlign w:val="center"/>
          </w:tcPr>
          <w:p>
            <w:pPr>
              <w:spacing w:after="0" w:line="240" w:lineRule="auto"/>
              <w:rPr>
                <w:sz w:val="18"/>
                <w:szCs w:val="18"/>
              </w:rPr>
            </w:pPr>
            <w:r>
              <w:rPr>
                <w:rFonts w:ascii="宋体" w:hAnsi="宋体"/>
                <w:sz w:val="18"/>
                <w:szCs w:val="18"/>
              </w:rPr>
              <w:t>0.2854</w:t>
            </w:r>
          </w:p>
        </w:tc>
        <w:tc>
          <w:tcPr>
            <w:tcW w:w="851" w:type="dxa"/>
            <w:vAlign w:val="center"/>
          </w:tcPr>
          <w:p>
            <w:pPr>
              <w:spacing w:after="0" w:line="240" w:lineRule="auto"/>
              <w:rPr>
                <w:sz w:val="18"/>
                <w:szCs w:val="18"/>
              </w:rPr>
            </w:pPr>
            <w:r>
              <w:rPr>
                <w:rFonts w:ascii="宋体" w:hAnsi="宋体"/>
                <w:sz w:val="18"/>
                <w:szCs w:val="18"/>
              </w:rPr>
              <w:t>0.0571</w:t>
            </w:r>
          </w:p>
        </w:tc>
        <w:tc>
          <w:tcPr>
            <w:tcW w:w="850" w:type="dxa"/>
            <w:vAlign w:val="center"/>
          </w:tcPr>
          <w:p>
            <w:pPr>
              <w:spacing w:after="0" w:line="240" w:lineRule="auto"/>
              <w:rPr>
                <w:sz w:val="18"/>
                <w:szCs w:val="18"/>
              </w:rPr>
            </w:pPr>
            <w:r>
              <w:rPr>
                <w:rFonts w:ascii="宋体" w:hAnsi="宋体"/>
                <w:sz w:val="18"/>
                <w:szCs w:val="18"/>
              </w:rPr>
              <w:t>0.0457</w:t>
            </w:r>
          </w:p>
        </w:tc>
        <w:tc>
          <w:tcPr>
            <w:tcW w:w="1134" w:type="dxa"/>
          </w:tcPr>
          <w:p>
            <w:pPr>
              <w:pStyle w:val="92"/>
              <w:rPr>
                <w:rFonts w:ascii="宋体" w:hAnsi="宋体" w:eastAsia="宋体" w:cs="宋体"/>
                <w:sz w:val="24"/>
                <w:szCs w:val="24"/>
                <w:vertAlign w:val="superscript"/>
              </w:rPr>
            </w:pPr>
            <w:r>
              <w:rPr>
                <w:rFonts w:hint="eastAsia" w:ascii="宋体" w:hAnsi="宋体" w:eastAsia="宋体"/>
                <w:sz w:val="18"/>
                <w:szCs w:val="18"/>
              </w:rPr>
              <w:t>9.9×</w:t>
            </w:r>
            <w:r>
              <w:rPr>
                <w:rFonts w:hint="eastAsia" w:ascii="宋体" w:hAnsi="宋体" w:eastAsia="宋体" w:cs="宋体"/>
                <w:sz w:val="18"/>
                <w:szCs w:val="18"/>
              </w:rPr>
              <w:t>10</w:t>
            </w:r>
            <w:r>
              <w:rPr>
                <w:rFonts w:hint="eastAsia" w:ascii="宋体" w:hAnsi="宋体" w:eastAsia="宋体" w:cs="宋体"/>
                <w:sz w:val="28"/>
                <w:szCs w:val="28"/>
                <w:vertAlign w:val="superscript"/>
              </w:rPr>
              <w:t>-9</w:t>
            </w:r>
          </w:p>
          <w:p>
            <w:pPr>
              <w:spacing w:after="0" w:line="240" w:lineRule="auto"/>
              <w:rPr>
                <w:rFonts w:hint="eastAsia" w:ascii="宋体" w:hAnsi="宋体"/>
                <w:sz w:val="18"/>
                <w:szCs w:val="18"/>
                <w:lang w:eastAsia="zh-CN"/>
              </w:rPr>
            </w:pPr>
          </w:p>
        </w:tc>
      </w:tr>
    </w:tbl>
    <w:p/>
    <w:p>
      <w:pPr>
        <w:pStyle w:val="92"/>
        <w:rPr>
          <w:rFonts w:hint="eastAsia" w:ascii="宋体" w:hAnsi="宋体" w:eastAsia="宋体" w:cs="宋体"/>
          <w:b/>
          <w:sz w:val="28"/>
        </w:rPr>
      </w:pPr>
      <w:bookmarkStart w:id="524" w:name="_Toc24969765"/>
    </w:p>
    <w:p>
      <w:pPr>
        <w:pStyle w:val="92"/>
        <w:rPr>
          <w:rFonts w:ascii="宋体" w:hAnsi="宋体" w:eastAsia="宋体" w:cs="宋体"/>
          <w:b/>
          <w:sz w:val="28"/>
        </w:rPr>
      </w:pPr>
    </w:p>
    <w:p>
      <w:pPr>
        <w:pStyle w:val="92"/>
        <w:rPr>
          <w:rFonts w:ascii="宋体" w:hAnsi="宋体" w:eastAsia="宋体" w:cs="宋体"/>
          <w:b/>
          <w:sz w:val="28"/>
        </w:rPr>
      </w:pPr>
    </w:p>
    <w:p>
      <w:pPr>
        <w:pStyle w:val="92"/>
        <w:rPr>
          <w:rFonts w:ascii="宋体" w:hAnsi="宋体" w:eastAsia="宋体" w:cs="宋体"/>
          <w:b/>
          <w:sz w:val="28"/>
        </w:rPr>
      </w:pPr>
    </w:p>
    <w:p>
      <w:pPr>
        <w:pStyle w:val="92"/>
        <w:rPr>
          <w:rFonts w:ascii="宋体" w:hAnsi="宋体" w:eastAsia="宋体" w:cs="宋体"/>
          <w:b/>
          <w:sz w:val="28"/>
        </w:rPr>
      </w:pPr>
    </w:p>
    <w:p>
      <w:pPr>
        <w:pStyle w:val="92"/>
      </w:pPr>
      <w:r>
        <w:rPr>
          <w:rFonts w:hint="eastAsia" w:ascii="宋体" w:hAnsi="宋体" w:eastAsia="宋体" w:cs="宋体"/>
          <w:b/>
          <w:sz w:val="28"/>
        </w:rPr>
        <w:t>5.2.3</w:t>
      </w:r>
      <w:r>
        <w:rPr>
          <w:rFonts w:ascii="宋体" w:hAnsi="宋体" w:eastAsia="宋体" w:cs="宋体"/>
          <w:b/>
          <w:sz w:val="28"/>
        </w:rPr>
        <w:t xml:space="preserve"> 项目参数</w:t>
      </w:r>
      <w:bookmarkEnd w:id="524"/>
    </w:p>
    <w:p>
      <w:pPr>
        <w:adjustRightInd w:val="0"/>
        <w:snapToGrid w:val="0"/>
        <w:spacing w:beforeLines="50"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估算模式所用参数见</w:t>
      </w:r>
      <w:r>
        <w:rPr>
          <w:rFonts w:hint="eastAsia" w:ascii="Times New Roman" w:hAnsi="Times New Roman" w:cs="Times New Roman"/>
          <w:sz w:val="24"/>
          <w:szCs w:val="24"/>
          <w:lang w:eastAsia="zh-CN"/>
        </w:rPr>
        <w:t>下</w:t>
      </w:r>
      <w:r>
        <w:rPr>
          <w:rFonts w:ascii="Times New Roman" w:hAnsi="Times New Roman" w:cs="Times New Roman"/>
          <w:sz w:val="24"/>
          <w:szCs w:val="24"/>
          <w:lang w:eastAsia="zh-CN"/>
        </w:rPr>
        <w:t>表</w:t>
      </w:r>
    </w:p>
    <w:p>
      <w:pPr>
        <w:spacing w:line="480" w:lineRule="exact"/>
        <w:jc w:val="center"/>
        <w:rPr>
          <w:b/>
        </w:rPr>
      </w:pPr>
      <w:r>
        <w:rPr>
          <w:rFonts w:ascii="宋体" w:hAnsi="宋体" w:cs="宋体"/>
          <w:b/>
          <w:sz w:val="24"/>
        </w:rPr>
        <w:t>表4  估算模型参数表</w:t>
      </w:r>
    </w:p>
    <w:tbl>
      <w:tblPr>
        <w:tblStyle w:val="30"/>
        <w:tblW w:w="85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191"/>
        <w:gridCol w:w="3559"/>
        <w:gridCol w:w="177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gridSpan w:val="2"/>
            <w:vAlign w:val="center"/>
          </w:tcPr>
          <w:p>
            <w:pPr>
              <w:spacing w:after="0" w:line="240" w:lineRule="auto"/>
              <w:jc w:val="center"/>
              <w:rPr>
                <w:b/>
                <w:sz w:val="21"/>
                <w:szCs w:val="21"/>
              </w:rPr>
            </w:pPr>
            <w:r>
              <w:rPr>
                <w:rFonts w:ascii="宋体" w:hAnsi="宋体"/>
                <w:b/>
                <w:sz w:val="21"/>
                <w:szCs w:val="21"/>
              </w:rPr>
              <w:t>参数</w:t>
            </w:r>
          </w:p>
        </w:tc>
        <w:tc>
          <w:tcPr>
            <w:tcW w:w="0" w:type="auto"/>
            <w:vAlign w:val="center"/>
          </w:tcPr>
          <w:p>
            <w:pPr>
              <w:spacing w:after="0" w:line="240" w:lineRule="auto"/>
              <w:jc w:val="center"/>
              <w:rPr>
                <w:b/>
                <w:sz w:val="21"/>
                <w:szCs w:val="21"/>
              </w:rPr>
            </w:pPr>
            <w:r>
              <w:rPr>
                <w:rFonts w:ascii="宋体" w:hAnsi="宋体"/>
                <w:b/>
                <w:sz w:val="21"/>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restart"/>
            <w:vAlign w:val="center"/>
          </w:tcPr>
          <w:p>
            <w:pPr>
              <w:spacing w:after="0" w:line="240" w:lineRule="auto"/>
              <w:jc w:val="center"/>
              <w:rPr>
                <w:b/>
                <w:sz w:val="21"/>
                <w:szCs w:val="21"/>
              </w:rPr>
            </w:pPr>
            <w:r>
              <w:rPr>
                <w:rFonts w:ascii="宋体" w:hAnsi="宋体"/>
                <w:b/>
                <w:sz w:val="21"/>
                <w:szCs w:val="21"/>
              </w:rPr>
              <w:t>城市/农村选项</w:t>
            </w:r>
          </w:p>
        </w:tc>
        <w:tc>
          <w:tcPr>
            <w:tcW w:w="0" w:type="auto"/>
            <w:vAlign w:val="center"/>
          </w:tcPr>
          <w:p>
            <w:pPr>
              <w:spacing w:after="0" w:line="240" w:lineRule="auto"/>
              <w:jc w:val="center"/>
              <w:rPr>
                <w:b/>
                <w:sz w:val="21"/>
                <w:szCs w:val="21"/>
              </w:rPr>
            </w:pPr>
            <w:r>
              <w:rPr>
                <w:rFonts w:ascii="宋体" w:hAnsi="宋体"/>
                <w:b/>
                <w:sz w:val="21"/>
                <w:szCs w:val="21"/>
              </w:rPr>
              <w:t>城市/农村</w:t>
            </w:r>
          </w:p>
        </w:tc>
        <w:tc>
          <w:tcPr>
            <w:tcW w:w="0" w:type="auto"/>
            <w:vAlign w:val="center"/>
          </w:tcPr>
          <w:p>
            <w:pPr>
              <w:spacing w:after="0" w:line="240" w:lineRule="auto"/>
              <w:jc w:val="center"/>
              <w:rPr>
                <w:b/>
                <w:sz w:val="21"/>
                <w:szCs w:val="21"/>
              </w:rPr>
            </w:pPr>
            <w:r>
              <w:rPr>
                <w:rFonts w:ascii="宋体" w:hAnsi="宋体"/>
                <w:b/>
                <w:sz w:val="21"/>
                <w:szCs w:val="21"/>
              </w:rPr>
              <w:t>农村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continue"/>
            <w:vAlign w:val="center"/>
          </w:tcPr>
          <w:p>
            <w:pPr>
              <w:spacing w:after="0" w:line="240" w:lineRule="auto"/>
              <w:jc w:val="center"/>
              <w:rPr>
                <w:b/>
                <w:sz w:val="21"/>
                <w:szCs w:val="21"/>
              </w:rPr>
            </w:pPr>
          </w:p>
        </w:tc>
        <w:tc>
          <w:tcPr>
            <w:tcW w:w="0" w:type="auto"/>
            <w:vAlign w:val="center"/>
          </w:tcPr>
          <w:p>
            <w:pPr>
              <w:spacing w:after="0" w:line="240" w:lineRule="auto"/>
              <w:jc w:val="center"/>
              <w:rPr>
                <w:b/>
                <w:sz w:val="21"/>
                <w:szCs w:val="21"/>
              </w:rPr>
            </w:pPr>
            <w:r>
              <w:rPr>
                <w:rFonts w:ascii="宋体" w:hAnsi="宋体"/>
                <w:b/>
                <w:sz w:val="21"/>
                <w:szCs w:val="21"/>
              </w:rPr>
              <w:t>人口数(城市人口数)</w:t>
            </w:r>
          </w:p>
        </w:tc>
        <w:tc>
          <w:tcPr>
            <w:tcW w:w="0" w:type="auto"/>
            <w:vAlign w:val="center"/>
          </w:tcPr>
          <w:p>
            <w:pPr>
              <w:spacing w:after="0" w:line="240" w:lineRule="auto"/>
              <w:jc w:val="center"/>
              <w:rPr>
                <w:b/>
                <w:sz w:val="21"/>
                <w:szCs w:val="21"/>
              </w:rPr>
            </w:pPr>
            <w:r>
              <w:rPr>
                <w:rFonts w:ascii="宋体" w:hAnsi="宋体"/>
                <w:b/>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gridSpan w:val="2"/>
            <w:vAlign w:val="center"/>
          </w:tcPr>
          <w:p>
            <w:pPr>
              <w:spacing w:after="0" w:line="240" w:lineRule="auto"/>
              <w:jc w:val="center"/>
              <w:rPr>
                <w:sz w:val="21"/>
                <w:szCs w:val="21"/>
              </w:rPr>
            </w:pPr>
            <w:r>
              <w:rPr>
                <w:rFonts w:ascii="宋体" w:hAnsi="宋体"/>
                <w:sz w:val="21"/>
                <w:szCs w:val="21"/>
              </w:rPr>
              <w:t>最高环境温度</w:t>
            </w:r>
          </w:p>
        </w:tc>
        <w:tc>
          <w:tcPr>
            <w:tcW w:w="0" w:type="auto"/>
            <w:vAlign w:val="center"/>
          </w:tcPr>
          <w:p>
            <w:pPr>
              <w:spacing w:after="0" w:line="240" w:lineRule="auto"/>
              <w:jc w:val="center"/>
              <w:rPr>
                <w:sz w:val="21"/>
                <w:szCs w:val="21"/>
              </w:rPr>
            </w:pPr>
            <w:r>
              <w:rPr>
                <w:rFonts w:ascii="宋体" w:hAnsi="宋体"/>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gridSpan w:val="2"/>
            <w:vAlign w:val="center"/>
          </w:tcPr>
          <w:p>
            <w:pPr>
              <w:spacing w:after="0" w:line="240" w:lineRule="auto"/>
              <w:jc w:val="center"/>
              <w:rPr>
                <w:sz w:val="21"/>
                <w:szCs w:val="21"/>
              </w:rPr>
            </w:pPr>
            <w:r>
              <w:rPr>
                <w:rFonts w:ascii="宋体" w:hAnsi="宋体"/>
                <w:sz w:val="21"/>
                <w:szCs w:val="21"/>
              </w:rPr>
              <w:t>最低环境温度</w:t>
            </w:r>
          </w:p>
        </w:tc>
        <w:tc>
          <w:tcPr>
            <w:tcW w:w="0" w:type="auto"/>
            <w:vAlign w:val="center"/>
          </w:tcPr>
          <w:p>
            <w:pPr>
              <w:spacing w:after="0" w:line="240" w:lineRule="auto"/>
              <w:jc w:val="center"/>
              <w:rPr>
                <w:sz w:val="21"/>
                <w:szCs w:val="21"/>
              </w:rPr>
            </w:pPr>
            <w:r>
              <w:rPr>
                <w:rFonts w:ascii="宋体" w:hAnsi="宋体"/>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gridSpan w:val="2"/>
            <w:vAlign w:val="center"/>
          </w:tcPr>
          <w:p>
            <w:pPr>
              <w:spacing w:after="0" w:line="240" w:lineRule="auto"/>
              <w:jc w:val="center"/>
              <w:rPr>
                <w:sz w:val="21"/>
                <w:szCs w:val="21"/>
              </w:rPr>
            </w:pPr>
            <w:r>
              <w:rPr>
                <w:rFonts w:ascii="宋体" w:hAnsi="宋体"/>
                <w:sz w:val="21"/>
                <w:szCs w:val="21"/>
              </w:rPr>
              <w:t>土地利用类型</w:t>
            </w:r>
          </w:p>
        </w:tc>
        <w:tc>
          <w:tcPr>
            <w:tcW w:w="0" w:type="auto"/>
            <w:vAlign w:val="center"/>
          </w:tcPr>
          <w:p>
            <w:pPr>
              <w:spacing w:after="0" w:line="240" w:lineRule="auto"/>
              <w:jc w:val="center"/>
              <w:rPr>
                <w:sz w:val="21"/>
                <w:szCs w:val="21"/>
              </w:rPr>
            </w:pPr>
            <w:r>
              <w:rPr>
                <w:rFonts w:ascii="宋体" w:hAnsi="宋体"/>
                <w:sz w:val="21"/>
                <w:szCs w:val="21"/>
              </w:rPr>
              <w:t>农田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gridSpan w:val="2"/>
            <w:vAlign w:val="center"/>
          </w:tcPr>
          <w:p>
            <w:pPr>
              <w:spacing w:after="0" w:line="240" w:lineRule="auto"/>
              <w:jc w:val="center"/>
              <w:rPr>
                <w:sz w:val="21"/>
                <w:szCs w:val="21"/>
              </w:rPr>
            </w:pPr>
            <w:r>
              <w:rPr>
                <w:rFonts w:ascii="宋体" w:hAnsi="宋体"/>
                <w:sz w:val="21"/>
                <w:szCs w:val="21"/>
              </w:rPr>
              <w:t>区域湿度条件</w:t>
            </w:r>
          </w:p>
        </w:tc>
        <w:tc>
          <w:tcPr>
            <w:tcW w:w="0" w:type="auto"/>
            <w:vAlign w:val="center"/>
          </w:tcPr>
          <w:p>
            <w:pPr>
              <w:spacing w:after="0" w:line="240" w:lineRule="auto"/>
              <w:jc w:val="center"/>
              <w:rPr>
                <w:sz w:val="21"/>
                <w:szCs w:val="21"/>
              </w:rPr>
            </w:pPr>
            <w:r>
              <w:rPr>
                <w:rFonts w:ascii="宋体" w:hAnsi="宋体"/>
                <w:sz w:val="21"/>
                <w:szCs w:val="21"/>
              </w:rPr>
              <w:t>中等湿度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restart"/>
            <w:vAlign w:val="center"/>
          </w:tcPr>
          <w:p>
            <w:pPr>
              <w:spacing w:after="0" w:line="240" w:lineRule="auto"/>
              <w:jc w:val="center"/>
              <w:rPr>
                <w:sz w:val="21"/>
                <w:szCs w:val="21"/>
              </w:rPr>
            </w:pPr>
            <w:r>
              <w:rPr>
                <w:rFonts w:ascii="宋体" w:hAnsi="宋体"/>
                <w:sz w:val="21"/>
                <w:szCs w:val="21"/>
              </w:rPr>
              <w:t>是否考虑地形</w:t>
            </w:r>
          </w:p>
        </w:tc>
        <w:tc>
          <w:tcPr>
            <w:tcW w:w="0" w:type="auto"/>
            <w:vAlign w:val="center"/>
          </w:tcPr>
          <w:p>
            <w:pPr>
              <w:spacing w:after="0" w:line="240" w:lineRule="auto"/>
              <w:jc w:val="center"/>
              <w:rPr>
                <w:sz w:val="21"/>
                <w:szCs w:val="21"/>
              </w:rPr>
            </w:pPr>
            <w:r>
              <w:rPr>
                <w:rFonts w:ascii="宋体" w:hAnsi="宋体"/>
                <w:sz w:val="21"/>
                <w:szCs w:val="21"/>
              </w:rPr>
              <w:t>考虑地形</w:t>
            </w:r>
          </w:p>
        </w:tc>
        <w:tc>
          <w:tcPr>
            <w:tcW w:w="0" w:type="auto"/>
            <w:vAlign w:val="center"/>
          </w:tcPr>
          <w:p>
            <w:pPr>
              <w:spacing w:after="0" w:line="240" w:lineRule="auto"/>
              <w:jc w:val="center"/>
              <w:rPr>
                <w:sz w:val="21"/>
                <w:szCs w:val="21"/>
              </w:rPr>
            </w:pPr>
            <w:r>
              <w:rPr>
                <w:rFonts w:ascii="宋体" w:hAnsi="宋体"/>
                <w:sz w:val="21"/>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continue"/>
            <w:vAlign w:val="center"/>
          </w:tcPr>
          <w:p>
            <w:pPr>
              <w:spacing w:after="0" w:line="240" w:lineRule="auto"/>
              <w:jc w:val="center"/>
              <w:rPr>
                <w:sz w:val="21"/>
                <w:szCs w:val="21"/>
              </w:rPr>
            </w:pPr>
          </w:p>
        </w:tc>
        <w:tc>
          <w:tcPr>
            <w:tcW w:w="0" w:type="auto"/>
            <w:vAlign w:val="center"/>
          </w:tcPr>
          <w:p>
            <w:pPr>
              <w:spacing w:after="0" w:line="240" w:lineRule="auto"/>
              <w:jc w:val="center"/>
              <w:rPr>
                <w:sz w:val="21"/>
                <w:szCs w:val="21"/>
              </w:rPr>
            </w:pPr>
            <w:r>
              <w:rPr>
                <w:rFonts w:ascii="宋体" w:hAnsi="宋体"/>
                <w:sz w:val="21"/>
                <w:szCs w:val="21"/>
              </w:rPr>
              <w:t>地形数据分辨率(m)</w:t>
            </w:r>
          </w:p>
        </w:tc>
        <w:tc>
          <w:tcPr>
            <w:tcW w:w="0" w:type="auto"/>
            <w:vAlign w:val="center"/>
          </w:tcPr>
          <w:p>
            <w:pPr>
              <w:spacing w:after="0" w:line="240" w:lineRule="auto"/>
              <w:jc w:val="center"/>
              <w:rPr>
                <w:sz w:val="21"/>
                <w:szCs w:val="21"/>
              </w:rPr>
            </w:pPr>
            <w:r>
              <w:rPr>
                <w:rFonts w:ascii="宋体" w:hAnsi="宋体"/>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restart"/>
            <w:vAlign w:val="center"/>
          </w:tcPr>
          <w:p>
            <w:pPr>
              <w:spacing w:after="0" w:line="240" w:lineRule="auto"/>
              <w:jc w:val="center"/>
              <w:rPr>
                <w:sz w:val="21"/>
                <w:szCs w:val="21"/>
              </w:rPr>
            </w:pPr>
            <w:r>
              <w:rPr>
                <w:rFonts w:ascii="宋体" w:hAnsi="宋体"/>
                <w:sz w:val="21"/>
                <w:szCs w:val="21"/>
              </w:rPr>
              <w:t>是否考虑岸线熏烟</w:t>
            </w:r>
          </w:p>
        </w:tc>
        <w:tc>
          <w:tcPr>
            <w:tcW w:w="0" w:type="auto"/>
            <w:vAlign w:val="center"/>
          </w:tcPr>
          <w:p>
            <w:pPr>
              <w:spacing w:after="0" w:line="240" w:lineRule="auto"/>
              <w:jc w:val="center"/>
              <w:rPr>
                <w:sz w:val="21"/>
                <w:szCs w:val="21"/>
              </w:rPr>
            </w:pPr>
            <w:r>
              <w:rPr>
                <w:rFonts w:ascii="宋体" w:hAnsi="宋体"/>
                <w:sz w:val="21"/>
                <w:szCs w:val="21"/>
              </w:rPr>
              <w:t>考虑岸线熏烟</w:t>
            </w:r>
          </w:p>
        </w:tc>
        <w:tc>
          <w:tcPr>
            <w:tcW w:w="0" w:type="auto"/>
            <w:vAlign w:val="center"/>
          </w:tcPr>
          <w:p>
            <w:pPr>
              <w:spacing w:after="0" w:line="240" w:lineRule="auto"/>
              <w:jc w:val="center"/>
              <w:rPr>
                <w:sz w:val="21"/>
                <w:szCs w:val="21"/>
              </w:rPr>
            </w:pPr>
            <w:r>
              <w:rPr>
                <w:rFonts w:ascii="宋体" w:hAnsi="宋体"/>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continue"/>
            <w:vAlign w:val="center"/>
          </w:tcPr>
          <w:p>
            <w:pPr>
              <w:spacing w:after="0" w:line="240" w:lineRule="auto"/>
              <w:jc w:val="center"/>
              <w:rPr>
                <w:sz w:val="21"/>
                <w:szCs w:val="21"/>
              </w:rPr>
            </w:pPr>
          </w:p>
        </w:tc>
        <w:tc>
          <w:tcPr>
            <w:tcW w:w="0" w:type="auto"/>
            <w:vAlign w:val="center"/>
          </w:tcPr>
          <w:p>
            <w:pPr>
              <w:spacing w:after="0" w:line="240" w:lineRule="auto"/>
              <w:jc w:val="center"/>
              <w:rPr>
                <w:sz w:val="21"/>
                <w:szCs w:val="21"/>
              </w:rPr>
            </w:pPr>
            <w:r>
              <w:rPr>
                <w:rFonts w:ascii="宋体" w:hAnsi="宋体"/>
                <w:sz w:val="21"/>
                <w:szCs w:val="21"/>
              </w:rPr>
              <w:t>岸线距离/m</w:t>
            </w:r>
          </w:p>
        </w:tc>
        <w:tc>
          <w:tcPr>
            <w:tcW w:w="0" w:type="auto"/>
            <w:vAlign w:val="center"/>
          </w:tcPr>
          <w:p>
            <w:pPr>
              <w:spacing w:after="0" w:line="240" w:lineRule="auto"/>
              <w:jc w:val="center"/>
              <w:rPr>
                <w:sz w:val="21"/>
                <w:szCs w:val="21"/>
              </w:rPr>
            </w:pPr>
            <w:r>
              <w:rPr>
                <w:rFonts w:ascii="宋体" w:hAnsi="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Merge w:val="continue"/>
            <w:vAlign w:val="center"/>
          </w:tcPr>
          <w:p>
            <w:pPr>
              <w:spacing w:after="0" w:line="240" w:lineRule="auto"/>
              <w:jc w:val="center"/>
              <w:rPr>
                <w:sz w:val="21"/>
                <w:szCs w:val="21"/>
              </w:rPr>
            </w:pPr>
          </w:p>
        </w:tc>
        <w:tc>
          <w:tcPr>
            <w:tcW w:w="0" w:type="auto"/>
            <w:vAlign w:val="center"/>
          </w:tcPr>
          <w:p>
            <w:pPr>
              <w:spacing w:after="0" w:line="240" w:lineRule="auto"/>
              <w:jc w:val="center"/>
              <w:rPr>
                <w:sz w:val="21"/>
                <w:szCs w:val="21"/>
              </w:rPr>
            </w:pPr>
            <w:r>
              <w:rPr>
                <w:rFonts w:ascii="宋体" w:hAnsi="宋体"/>
                <w:sz w:val="21"/>
                <w:szCs w:val="21"/>
              </w:rPr>
              <w:t>岸线方向/°</w:t>
            </w:r>
          </w:p>
        </w:tc>
        <w:tc>
          <w:tcPr>
            <w:tcW w:w="0" w:type="auto"/>
            <w:vAlign w:val="center"/>
          </w:tcPr>
          <w:p>
            <w:pPr>
              <w:spacing w:after="0" w:line="240" w:lineRule="auto"/>
              <w:jc w:val="center"/>
              <w:rPr>
                <w:sz w:val="21"/>
                <w:szCs w:val="21"/>
              </w:rPr>
            </w:pPr>
            <w:r>
              <w:rPr>
                <w:rFonts w:ascii="宋体" w:hAnsi="宋体"/>
                <w:sz w:val="21"/>
                <w:szCs w:val="21"/>
              </w:rPr>
              <w:t>/</w:t>
            </w:r>
          </w:p>
        </w:tc>
      </w:tr>
    </w:tbl>
    <w:p/>
    <w:p>
      <w:pPr>
        <w:pStyle w:val="92"/>
      </w:pPr>
      <w:bookmarkStart w:id="525" w:name="_Toc24969766"/>
      <w:r>
        <w:rPr>
          <w:rFonts w:hint="eastAsia" w:ascii="宋体" w:hAnsi="宋体" w:eastAsia="宋体" w:cs="宋体"/>
          <w:b/>
          <w:sz w:val="28"/>
        </w:rPr>
        <w:t>5.2.</w:t>
      </w:r>
      <w:r>
        <w:rPr>
          <w:rFonts w:ascii="宋体" w:hAnsi="宋体" w:eastAsia="宋体" w:cs="宋体"/>
          <w:b/>
          <w:sz w:val="28"/>
        </w:rPr>
        <w:t>4 评价工作等级确定</w:t>
      </w:r>
      <w:bookmarkEnd w:id="525"/>
    </w:p>
    <w:p>
      <w:pPr>
        <w:adjustRightInd w:val="0"/>
        <w:snapToGrid w:val="0"/>
        <w:spacing w:beforeLines="50"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本项目所有污染源的正常排放的污染物的Pmax和D10%预测结果如下:</w:t>
      </w:r>
    </w:p>
    <w:p>
      <w:pPr>
        <w:spacing w:line="480" w:lineRule="exact"/>
        <w:jc w:val="center"/>
        <w:rPr>
          <w:b/>
          <w:lang w:eastAsia="zh-CN"/>
        </w:rPr>
      </w:pPr>
      <w:r>
        <w:rPr>
          <w:rFonts w:ascii="宋体" w:hAnsi="宋体" w:cs="宋体"/>
          <w:b/>
          <w:sz w:val="24"/>
          <w:lang w:eastAsia="zh-CN"/>
        </w:rPr>
        <w:t>表5  Pmax和D10%预测和计算结果一览表</w:t>
      </w:r>
    </w:p>
    <w:tbl>
      <w:tblPr>
        <w:tblStyle w:val="30"/>
        <w:tblW w:w="85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18"/>
        <w:gridCol w:w="1184"/>
        <w:gridCol w:w="2128"/>
        <w:gridCol w:w="1659"/>
        <w:gridCol w:w="1069"/>
        <w:gridCol w:w="10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rPr>
                <w:b/>
                <w:sz w:val="21"/>
                <w:szCs w:val="21"/>
              </w:rPr>
            </w:pPr>
            <w:r>
              <w:rPr>
                <w:rFonts w:ascii="宋体" w:hAnsi="宋体"/>
                <w:b/>
                <w:sz w:val="21"/>
                <w:szCs w:val="21"/>
              </w:rPr>
              <w:t>污染源名称</w:t>
            </w:r>
          </w:p>
        </w:tc>
        <w:tc>
          <w:tcPr>
            <w:tcW w:w="0" w:type="auto"/>
            <w:vAlign w:val="center"/>
          </w:tcPr>
          <w:p>
            <w:pPr>
              <w:spacing w:after="0" w:line="240" w:lineRule="auto"/>
              <w:jc w:val="center"/>
              <w:rPr>
                <w:b/>
                <w:sz w:val="21"/>
                <w:szCs w:val="21"/>
              </w:rPr>
            </w:pPr>
            <w:r>
              <w:rPr>
                <w:rFonts w:ascii="宋体" w:hAnsi="宋体"/>
                <w:b/>
                <w:sz w:val="21"/>
                <w:szCs w:val="21"/>
              </w:rPr>
              <w:t>评价因子</w:t>
            </w:r>
          </w:p>
        </w:tc>
        <w:tc>
          <w:tcPr>
            <w:tcW w:w="0" w:type="auto"/>
            <w:vAlign w:val="center"/>
          </w:tcPr>
          <w:p>
            <w:pPr>
              <w:spacing w:after="0" w:line="240" w:lineRule="auto"/>
              <w:jc w:val="center"/>
              <w:rPr>
                <w:b/>
                <w:sz w:val="21"/>
                <w:szCs w:val="21"/>
              </w:rPr>
            </w:pPr>
            <w:r>
              <w:rPr>
                <w:rFonts w:ascii="宋体" w:hAnsi="宋体"/>
                <w:b/>
                <w:sz w:val="21"/>
                <w:szCs w:val="21"/>
              </w:rPr>
              <w:t>评价标准(μg/m³)</w:t>
            </w:r>
          </w:p>
        </w:tc>
        <w:tc>
          <w:tcPr>
            <w:tcW w:w="0" w:type="auto"/>
            <w:vAlign w:val="center"/>
          </w:tcPr>
          <w:p>
            <w:pPr>
              <w:spacing w:after="0" w:line="240" w:lineRule="auto"/>
              <w:jc w:val="center"/>
              <w:rPr>
                <w:b/>
                <w:sz w:val="21"/>
                <w:szCs w:val="21"/>
              </w:rPr>
            </w:pPr>
            <w:r>
              <w:rPr>
                <w:rFonts w:ascii="宋体" w:hAnsi="宋体"/>
                <w:b/>
                <w:sz w:val="21"/>
                <w:szCs w:val="21"/>
              </w:rPr>
              <w:t>Cmax(μg/m³)</w:t>
            </w:r>
          </w:p>
        </w:tc>
        <w:tc>
          <w:tcPr>
            <w:tcW w:w="0" w:type="auto"/>
            <w:vAlign w:val="center"/>
          </w:tcPr>
          <w:p>
            <w:pPr>
              <w:spacing w:after="0" w:line="240" w:lineRule="auto"/>
              <w:jc w:val="center"/>
              <w:rPr>
                <w:b/>
                <w:sz w:val="21"/>
                <w:szCs w:val="21"/>
              </w:rPr>
            </w:pPr>
            <w:r>
              <w:rPr>
                <w:rFonts w:ascii="宋体" w:hAnsi="宋体"/>
                <w:b/>
                <w:sz w:val="21"/>
                <w:szCs w:val="21"/>
              </w:rPr>
              <w:t>Pmax(%)</w:t>
            </w:r>
          </w:p>
        </w:tc>
        <w:tc>
          <w:tcPr>
            <w:tcW w:w="0" w:type="auto"/>
            <w:vAlign w:val="center"/>
          </w:tcPr>
          <w:p>
            <w:pPr>
              <w:spacing w:after="0" w:line="240" w:lineRule="auto"/>
              <w:jc w:val="center"/>
              <w:rPr>
                <w:b/>
                <w:sz w:val="21"/>
                <w:szCs w:val="21"/>
              </w:rPr>
            </w:pPr>
            <w:r>
              <w:rPr>
                <w:rFonts w:ascii="宋体" w:hAnsi="宋体"/>
                <w:b/>
                <w:sz w:val="21"/>
                <w:szCs w:val="21"/>
              </w:rPr>
              <w:t>D10%(m)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rPr>
                <w:sz w:val="21"/>
                <w:szCs w:val="21"/>
              </w:rPr>
            </w:pPr>
            <w:r>
              <w:rPr>
                <w:rFonts w:ascii="宋体" w:hAnsi="宋体"/>
                <w:sz w:val="21"/>
                <w:szCs w:val="21"/>
              </w:rPr>
              <w:t>点源</w:t>
            </w:r>
          </w:p>
        </w:tc>
        <w:tc>
          <w:tcPr>
            <w:tcW w:w="0" w:type="auto"/>
            <w:vAlign w:val="center"/>
          </w:tcPr>
          <w:p>
            <w:pPr>
              <w:spacing w:after="0" w:line="240" w:lineRule="auto"/>
              <w:jc w:val="center"/>
              <w:rPr>
                <w:sz w:val="21"/>
                <w:szCs w:val="21"/>
              </w:rPr>
            </w:pPr>
            <w:r>
              <w:rPr>
                <w:rFonts w:ascii="宋体" w:hAnsi="宋体"/>
                <w:sz w:val="21"/>
                <w:szCs w:val="21"/>
              </w:rPr>
              <w:t>SO2</w:t>
            </w:r>
          </w:p>
        </w:tc>
        <w:tc>
          <w:tcPr>
            <w:tcW w:w="0" w:type="auto"/>
            <w:vAlign w:val="center"/>
          </w:tcPr>
          <w:p>
            <w:pPr>
              <w:spacing w:after="0" w:line="240" w:lineRule="auto"/>
              <w:jc w:val="center"/>
              <w:rPr>
                <w:sz w:val="21"/>
                <w:szCs w:val="21"/>
              </w:rPr>
            </w:pPr>
            <w:r>
              <w:rPr>
                <w:rFonts w:ascii="宋体" w:hAnsi="宋体"/>
                <w:sz w:val="21"/>
                <w:szCs w:val="21"/>
              </w:rPr>
              <w:t>500.0</w:t>
            </w:r>
          </w:p>
        </w:tc>
        <w:tc>
          <w:tcPr>
            <w:tcW w:w="0" w:type="auto"/>
            <w:vAlign w:val="center"/>
          </w:tcPr>
          <w:p>
            <w:pPr>
              <w:spacing w:after="0" w:line="240" w:lineRule="auto"/>
              <w:jc w:val="center"/>
              <w:rPr>
                <w:sz w:val="21"/>
                <w:szCs w:val="21"/>
              </w:rPr>
            </w:pPr>
            <w:r>
              <w:rPr>
                <w:rFonts w:ascii="宋体" w:hAnsi="宋体"/>
                <w:sz w:val="21"/>
                <w:szCs w:val="21"/>
              </w:rPr>
              <w:t>0.0197</w:t>
            </w:r>
          </w:p>
        </w:tc>
        <w:tc>
          <w:tcPr>
            <w:tcW w:w="0" w:type="auto"/>
            <w:vAlign w:val="center"/>
          </w:tcPr>
          <w:p>
            <w:pPr>
              <w:spacing w:after="0" w:line="240" w:lineRule="auto"/>
              <w:jc w:val="center"/>
              <w:rPr>
                <w:sz w:val="21"/>
                <w:szCs w:val="21"/>
              </w:rPr>
            </w:pPr>
            <w:r>
              <w:rPr>
                <w:rFonts w:ascii="宋体" w:hAnsi="宋体"/>
                <w:sz w:val="21"/>
                <w:szCs w:val="21"/>
              </w:rPr>
              <w:t>0.0040</w:t>
            </w:r>
          </w:p>
        </w:tc>
        <w:tc>
          <w:tcPr>
            <w:tcW w:w="0" w:type="auto"/>
            <w:vAlign w:val="center"/>
          </w:tcPr>
          <w:p>
            <w:pPr>
              <w:spacing w:after="0" w:line="240" w:lineRule="auto"/>
              <w:jc w:val="center"/>
              <w:rPr>
                <w:sz w:val="21"/>
                <w:szCs w:val="21"/>
              </w:rPr>
            </w:pPr>
            <w:r>
              <w:rPr>
                <w:rFonts w:ascii="宋体" w:hAnsi="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rPr>
                <w:sz w:val="21"/>
                <w:szCs w:val="21"/>
              </w:rPr>
            </w:pPr>
            <w:r>
              <w:rPr>
                <w:rFonts w:ascii="宋体" w:hAnsi="宋体"/>
                <w:sz w:val="21"/>
                <w:szCs w:val="21"/>
              </w:rPr>
              <w:t>点源</w:t>
            </w:r>
          </w:p>
        </w:tc>
        <w:tc>
          <w:tcPr>
            <w:tcW w:w="0" w:type="auto"/>
            <w:vAlign w:val="center"/>
          </w:tcPr>
          <w:p>
            <w:pPr>
              <w:spacing w:after="0" w:line="240" w:lineRule="auto"/>
              <w:jc w:val="center"/>
              <w:rPr>
                <w:sz w:val="21"/>
                <w:szCs w:val="21"/>
              </w:rPr>
            </w:pPr>
            <w:r>
              <w:rPr>
                <w:rFonts w:ascii="宋体" w:hAnsi="宋体"/>
                <w:sz w:val="21"/>
                <w:szCs w:val="21"/>
              </w:rPr>
              <w:t>NOx</w:t>
            </w:r>
          </w:p>
        </w:tc>
        <w:tc>
          <w:tcPr>
            <w:tcW w:w="0" w:type="auto"/>
            <w:vAlign w:val="center"/>
          </w:tcPr>
          <w:p>
            <w:pPr>
              <w:spacing w:after="0" w:line="240" w:lineRule="auto"/>
              <w:jc w:val="center"/>
              <w:rPr>
                <w:sz w:val="21"/>
                <w:szCs w:val="21"/>
              </w:rPr>
            </w:pPr>
            <w:r>
              <w:rPr>
                <w:rFonts w:ascii="宋体" w:hAnsi="宋体"/>
                <w:sz w:val="21"/>
                <w:szCs w:val="21"/>
              </w:rPr>
              <w:t>250.0</w:t>
            </w:r>
          </w:p>
        </w:tc>
        <w:tc>
          <w:tcPr>
            <w:tcW w:w="0" w:type="auto"/>
            <w:vAlign w:val="center"/>
          </w:tcPr>
          <w:p>
            <w:pPr>
              <w:spacing w:after="0" w:line="240" w:lineRule="auto"/>
              <w:jc w:val="center"/>
              <w:rPr>
                <w:sz w:val="21"/>
                <w:szCs w:val="21"/>
              </w:rPr>
            </w:pPr>
            <w:r>
              <w:rPr>
                <w:rFonts w:ascii="宋体" w:hAnsi="宋体"/>
                <w:sz w:val="21"/>
                <w:szCs w:val="21"/>
              </w:rPr>
              <w:t>0.0987</w:t>
            </w:r>
          </w:p>
        </w:tc>
        <w:tc>
          <w:tcPr>
            <w:tcW w:w="0" w:type="auto"/>
            <w:vAlign w:val="center"/>
          </w:tcPr>
          <w:p>
            <w:pPr>
              <w:spacing w:after="0" w:line="240" w:lineRule="auto"/>
              <w:jc w:val="center"/>
              <w:rPr>
                <w:sz w:val="21"/>
                <w:szCs w:val="21"/>
              </w:rPr>
            </w:pPr>
            <w:r>
              <w:rPr>
                <w:rFonts w:ascii="宋体" w:hAnsi="宋体"/>
                <w:sz w:val="21"/>
                <w:szCs w:val="21"/>
              </w:rPr>
              <w:t>0.0395</w:t>
            </w:r>
          </w:p>
        </w:tc>
        <w:tc>
          <w:tcPr>
            <w:tcW w:w="0" w:type="auto"/>
            <w:vAlign w:val="center"/>
          </w:tcPr>
          <w:p>
            <w:pPr>
              <w:spacing w:after="0" w:line="240" w:lineRule="auto"/>
              <w:jc w:val="center"/>
              <w:rPr>
                <w:sz w:val="21"/>
                <w:szCs w:val="21"/>
              </w:rPr>
            </w:pPr>
            <w:r>
              <w:rPr>
                <w:rFonts w:ascii="宋体" w:hAnsi="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rPr>
                <w:sz w:val="21"/>
                <w:szCs w:val="21"/>
              </w:rPr>
            </w:pPr>
            <w:r>
              <w:rPr>
                <w:rFonts w:ascii="宋体" w:hAnsi="宋体"/>
                <w:sz w:val="21"/>
                <w:szCs w:val="21"/>
              </w:rPr>
              <w:t>点源</w:t>
            </w:r>
          </w:p>
        </w:tc>
        <w:tc>
          <w:tcPr>
            <w:tcW w:w="0" w:type="auto"/>
            <w:vAlign w:val="center"/>
          </w:tcPr>
          <w:p>
            <w:pPr>
              <w:spacing w:after="0" w:line="240" w:lineRule="auto"/>
              <w:jc w:val="center"/>
              <w:rPr>
                <w:sz w:val="21"/>
                <w:szCs w:val="21"/>
              </w:rPr>
            </w:pPr>
            <w:r>
              <w:rPr>
                <w:rFonts w:ascii="宋体" w:hAnsi="宋体"/>
                <w:sz w:val="21"/>
                <w:szCs w:val="21"/>
              </w:rPr>
              <w:t>PM10</w:t>
            </w:r>
          </w:p>
        </w:tc>
        <w:tc>
          <w:tcPr>
            <w:tcW w:w="0" w:type="auto"/>
            <w:vAlign w:val="center"/>
          </w:tcPr>
          <w:p>
            <w:pPr>
              <w:spacing w:after="0" w:line="240" w:lineRule="auto"/>
              <w:jc w:val="center"/>
              <w:rPr>
                <w:sz w:val="21"/>
                <w:szCs w:val="21"/>
              </w:rPr>
            </w:pPr>
            <w:r>
              <w:rPr>
                <w:rFonts w:ascii="宋体" w:hAnsi="宋体"/>
                <w:sz w:val="21"/>
                <w:szCs w:val="21"/>
              </w:rPr>
              <w:t>450.0</w:t>
            </w:r>
          </w:p>
        </w:tc>
        <w:tc>
          <w:tcPr>
            <w:tcW w:w="0" w:type="auto"/>
            <w:vAlign w:val="center"/>
          </w:tcPr>
          <w:p>
            <w:pPr>
              <w:spacing w:after="0" w:line="240" w:lineRule="auto"/>
              <w:jc w:val="center"/>
              <w:rPr>
                <w:sz w:val="21"/>
                <w:szCs w:val="21"/>
              </w:rPr>
            </w:pPr>
            <w:r>
              <w:rPr>
                <w:rFonts w:ascii="宋体" w:hAnsi="宋体"/>
                <w:sz w:val="21"/>
                <w:szCs w:val="21"/>
              </w:rPr>
              <w:t>0.0158</w:t>
            </w:r>
          </w:p>
        </w:tc>
        <w:tc>
          <w:tcPr>
            <w:tcW w:w="0" w:type="auto"/>
            <w:vAlign w:val="center"/>
          </w:tcPr>
          <w:p>
            <w:pPr>
              <w:spacing w:after="0" w:line="240" w:lineRule="auto"/>
              <w:jc w:val="center"/>
              <w:rPr>
                <w:sz w:val="21"/>
                <w:szCs w:val="21"/>
              </w:rPr>
            </w:pPr>
            <w:r>
              <w:rPr>
                <w:rFonts w:ascii="宋体" w:hAnsi="宋体"/>
                <w:sz w:val="21"/>
                <w:szCs w:val="21"/>
              </w:rPr>
              <w:t>0.0035</w:t>
            </w:r>
          </w:p>
        </w:tc>
        <w:tc>
          <w:tcPr>
            <w:tcW w:w="0" w:type="auto"/>
            <w:vAlign w:val="center"/>
          </w:tcPr>
          <w:p>
            <w:pPr>
              <w:spacing w:after="0" w:line="240" w:lineRule="auto"/>
              <w:jc w:val="center"/>
              <w:rPr>
                <w:sz w:val="21"/>
                <w:szCs w:val="21"/>
              </w:rPr>
            </w:pPr>
            <w:r>
              <w:rPr>
                <w:rFonts w:ascii="宋体" w:hAnsi="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rPr>
                <w:sz w:val="21"/>
                <w:szCs w:val="21"/>
              </w:rPr>
            </w:pPr>
            <w:r>
              <w:rPr>
                <w:rFonts w:ascii="宋体" w:hAnsi="宋体"/>
                <w:sz w:val="21"/>
                <w:szCs w:val="21"/>
              </w:rPr>
              <w:t>点源</w:t>
            </w:r>
          </w:p>
        </w:tc>
        <w:tc>
          <w:tcPr>
            <w:tcW w:w="0" w:type="auto"/>
            <w:vAlign w:val="center"/>
          </w:tcPr>
          <w:p>
            <w:pPr>
              <w:spacing w:after="0" w:line="240" w:lineRule="auto"/>
              <w:jc w:val="center"/>
              <w:rPr>
                <w:rFonts w:hint="eastAsia"/>
                <w:sz w:val="21"/>
                <w:szCs w:val="21"/>
                <w:lang w:eastAsia="zh-CN"/>
              </w:rPr>
            </w:pPr>
            <w:r>
              <w:rPr>
                <w:rFonts w:hint="eastAsia" w:ascii="宋体" w:hAnsi="宋体"/>
                <w:sz w:val="21"/>
                <w:szCs w:val="21"/>
                <w:lang w:eastAsia="zh-CN"/>
              </w:rPr>
              <w:t>二噁英</w:t>
            </w:r>
          </w:p>
        </w:tc>
        <w:tc>
          <w:tcPr>
            <w:tcW w:w="0" w:type="auto"/>
            <w:vAlign w:val="center"/>
          </w:tcPr>
          <w:p>
            <w:pPr>
              <w:pStyle w:val="92"/>
              <w:jc w:val="center"/>
              <w:rPr>
                <w:rFonts w:ascii="宋体" w:hAnsi="宋体" w:eastAsia="宋体" w:cs="宋体"/>
                <w:sz w:val="32"/>
                <w:szCs w:val="32"/>
                <w:vertAlign w:val="superscript"/>
              </w:rPr>
            </w:pPr>
            <w:r>
              <w:rPr>
                <w:rFonts w:hint="eastAsia" w:ascii="宋体" w:hAnsi="宋体"/>
                <w:szCs w:val="21"/>
              </w:rPr>
              <w:t>3.6×</w:t>
            </w:r>
            <w:r>
              <w:rPr>
                <w:rFonts w:hint="eastAsia" w:ascii="宋体" w:hAnsi="宋体" w:eastAsia="宋体" w:cs="宋体"/>
                <w:sz w:val="24"/>
                <w:szCs w:val="24"/>
              </w:rPr>
              <w:t>10</w:t>
            </w:r>
            <w:r>
              <w:rPr>
                <w:rFonts w:hint="eastAsia" w:ascii="宋体" w:hAnsi="宋体" w:eastAsia="宋体" w:cs="宋体"/>
                <w:sz w:val="32"/>
                <w:szCs w:val="32"/>
                <w:vertAlign w:val="superscript"/>
              </w:rPr>
              <w:t>-6</w:t>
            </w:r>
          </w:p>
          <w:p>
            <w:pPr>
              <w:spacing w:after="0" w:line="240" w:lineRule="auto"/>
              <w:jc w:val="center"/>
              <w:rPr>
                <w:sz w:val="21"/>
                <w:szCs w:val="21"/>
              </w:rPr>
            </w:pPr>
          </w:p>
        </w:tc>
        <w:tc>
          <w:tcPr>
            <w:tcW w:w="0" w:type="auto"/>
            <w:vAlign w:val="center"/>
          </w:tcPr>
          <w:p>
            <w:pPr>
              <w:spacing w:after="0" w:line="240" w:lineRule="auto"/>
              <w:jc w:val="center"/>
              <w:rPr>
                <w:rFonts w:ascii="宋体" w:hAnsi="宋体"/>
                <w:sz w:val="21"/>
                <w:szCs w:val="21"/>
              </w:rPr>
            </w:pPr>
            <w:r>
              <w:rPr>
                <w:rFonts w:ascii="宋体" w:hAnsi="宋体"/>
                <w:sz w:val="23"/>
                <w:szCs w:val="23"/>
              </w:rPr>
              <w:t>2.6×10</w:t>
            </w:r>
            <w:r>
              <w:rPr>
                <w:rFonts w:ascii="宋体" w:hAnsi="宋体"/>
                <w:sz w:val="32"/>
                <w:szCs w:val="32"/>
                <w:vertAlign w:val="superscript"/>
              </w:rPr>
              <w:t>-8</w:t>
            </w:r>
          </w:p>
        </w:tc>
        <w:tc>
          <w:tcPr>
            <w:tcW w:w="0" w:type="auto"/>
            <w:vAlign w:val="center"/>
          </w:tcPr>
          <w:p>
            <w:pPr>
              <w:spacing w:after="0" w:line="240" w:lineRule="auto"/>
              <w:jc w:val="center"/>
              <w:rPr>
                <w:rFonts w:hint="eastAsia" w:ascii="宋体" w:hAnsi="宋体"/>
                <w:sz w:val="21"/>
                <w:szCs w:val="21"/>
                <w:lang w:eastAsia="zh-CN"/>
              </w:rPr>
            </w:pPr>
            <w:r>
              <w:rPr>
                <w:rFonts w:hint="eastAsia" w:ascii="宋体" w:hAnsi="宋体"/>
                <w:sz w:val="21"/>
                <w:szCs w:val="21"/>
                <w:lang w:eastAsia="zh-CN"/>
              </w:rPr>
              <w:t>0.7255</w:t>
            </w:r>
          </w:p>
        </w:tc>
        <w:tc>
          <w:tcPr>
            <w:tcW w:w="0" w:type="auto"/>
            <w:vAlign w:val="center"/>
          </w:tcPr>
          <w:p>
            <w:pPr>
              <w:spacing w:after="0" w:line="240" w:lineRule="auto"/>
              <w:jc w:val="center"/>
              <w:rPr>
                <w:rFonts w:ascii="宋体" w:hAnsi="宋体"/>
                <w:sz w:val="21"/>
                <w:szCs w:val="21"/>
              </w:rPr>
            </w:pPr>
          </w:p>
        </w:tc>
      </w:tr>
    </w:tbl>
    <w:p>
      <w:pPr>
        <w:spacing w:line="480" w:lineRule="exact"/>
        <w:ind w:firstLine="4"/>
        <w:rPr>
          <w:lang w:eastAsia="zh-CN"/>
        </w:rPr>
      </w:pPr>
      <w:r>
        <w:rPr>
          <w:rFonts w:ascii="宋体" w:hAnsi="宋体" w:cs="宋体"/>
          <w:sz w:val="24"/>
          <w:lang w:eastAsia="zh-CN"/>
        </w:rPr>
        <w:t>本项目Pmax最大值出现为点源排放的</w:t>
      </w:r>
      <w:r>
        <w:rPr>
          <w:rFonts w:hint="eastAsia" w:ascii="宋体" w:hAnsi="宋体" w:cs="宋体"/>
          <w:sz w:val="24"/>
          <w:lang w:eastAsia="zh-CN"/>
        </w:rPr>
        <w:t>二噁英</w:t>
      </w:r>
      <w:r>
        <w:rPr>
          <w:rFonts w:ascii="宋体" w:hAnsi="宋体" w:cs="宋体"/>
          <w:sz w:val="24"/>
          <w:lang w:eastAsia="zh-CN"/>
        </w:rPr>
        <w:t>Pmax值为</w:t>
      </w:r>
      <w:r>
        <w:rPr>
          <w:rFonts w:hint="eastAsia" w:ascii="宋体" w:hAnsi="宋体" w:cs="宋体"/>
          <w:sz w:val="24"/>
          <w:lang w:eastAsia="zh-CN"/>
        </w:rPr>
        <w:t>0.7255</w:t>
      </w:r>
      <w:r>
        <w:rPr>
          <w:rFonts w:ascii="宋体" w:hAnsi="宋体" w:cs="宋体"/>
          <w:sz w:val="24"/>
          <w:lang w:eastAsia="zh-CN"/>
        </w:rPr>
        <w:t>%,Cmax为</w:t>
      </w:r>
      <w:r>
        <w:rPr>
          <w:rFonts w:ascii="宋体" w:hAnsi="宋体"/>
          <w:sz w:val="23"/>
          <w:szCs w:val="23"/>
          <w:lang w:eastAsia="zh-CN"/>
        </w:rPr>
        <w:t>2.6×10</w:t>
      </w:r>
      <w:r>
        <w:rPr>
          <w:rFonts w:ascii="宋体" w:hAnsi="宋体"/>
          <w:sz w:val="32"/>
          <w:szCs w:val="32"/>
          <w:vertAlign w:val="superscript"/>
          <w:lang w:eastAsia="zh-CN"/>
        </w:rPr>
        <w:t>-8</w:t>
      </w:r>
      <w:r>
        <w:rPr>
          <w:rFonts w:ascii="宋体" w:hAnsi="宋体" w:cs="宋体"/>
          <w:sz w:val="24"/>
        </w:rPr>
        <w:t>μ</w:t>
      </w:r>
      <w:r>
        <w:rPr>
          <w:rFonts w:ascii="宋体" w:hAnsi="宋体" w:cs="宋体"/>
          <w:sz w:val="24"/>
          <w:lang w:eastAsia="zh-CN"/>
        </w:rPr>
        <w:t>g/m³，根据《环境影响评价技术导则 大气环境》（HJ2.2-2018）分级判据，确定本项目大气环境影响评价工作等级为三级。</w:t>
      </w:r>
    </w:p>
    <w:p>
      <w:pPr>
        <w:pStyle w:val="92"/>
      </w:pPr>
      <w:bookmarkStart w:id="526" w:name="_Toc24969767"/>
      <w:r>
        <w:rPr>
          <w:rFonts w:hint="eastAsia" w:ascii="宋体" w:hAnsi="宋体" w:eastAsia="宋体" w:cs="宋体"/>
          <w:b/>
          <w:sz w:val="28"/>
        </w:rPr>
        <w:t>5.2.</w:t>
      </w:r>
      <w:r>
        <w:rPr>
          <w:rFonts w:ascii="宋体" w:hAnsi="宋体" w:eastAsia="宋体" w:cs="宋体"/>
          <w:b/>
          <w:sz w:val="28"/>
        </w:rPr>
        <w:t>5 污染源结果</w:t>
      </w:r>
      <w:bookmarkEnd w:id="526"/>
    </w:p>
    <w:tbl>
      <w:tblPr>
        <w:tblStyle w:val="30"/>
        <w:tblW w:w="1029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46"/>
        <w:gridCol w:w="1105"/>
        <w:gridCol w:w="992"/>
        <w:gridCol w:w="1134"/>
        <w:gridCol w:w="1134"/>
        <w:gridCol w:w="1134"/>
        <w:gridCol w:w="1134"/>
        <w:gridCol w:w="1418"/>
        <w:gridCol w:w="139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46" w:type="dxa"/>
            <w:vMerge w:val="restart"/>
            <w:vAlign w:val="center"/>
          </w:tcPr>
          <w:p>
            <w:pPr>
              <w:spacing w:after="0" w:line="240" w:lineRule="auto"/>
              <w:jc w:val="center"/>
              <w:rPr>
                <w:b/>
                <w:sz w:val="21"/>
                <w:szCs w:val="21"/>
                <w:u w:val="single"/>
              </w:rPr>
            </w:pPr>
            <w:r>
              <w:rPr>
                <w:rFonts w:ascii="宋体" w:hAnsi="宋体"/>
                <w:b/>
                <w:sz w:val="21"/>
                <w:szCs w:val="21"/>
                <w:u w:val="single"/>
              </w:rPr>
              <w:t>下风向距离</w:t>
            </w:r>
          </w:p>
        </w:tc>
        <w:tc>
          <w:tcPr>
            <w:tcW w:w="9450" w:type="dxa"/>
            <w:gridSpan w:val="8"/>
            <w:vAlign w:val="center"/>
          </w:tcPr>
          <w:p>
            <w:pPr>
              <w:spacing w:after="0" w:line="240" w:lineRule="auto"/>
              <w:jc w:val="center"/>
              <w:rPr>
                <w:rFonts w:ascii="宋体" w:hAnsi="宋体"/>
                <w:b/>
                <w:sz w:val="21"/>
                <w:szCs w:val="21"/>
                <w:u w:val="single"/>
              </w:rPr>
            </w:pPr>
            <w:r>
              <w:rPr>
                <w:rFonts w:ascii="宋体" w:hAnsi="宋体"/>
                <w:b/>
                <w:sz w:val="21"/>
                <w:szCs w:val="21"/>
                <w:u w:val="single"/>
              </w:rPr>
              <w:t>点源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46" w:type="dxa"/>
            <w:vMerge w:val="continue"/>
            <w:vAlign w:val="center"/>
          </w:tcPr>
          <w:p>
            <w:pPr>
              <w:spacing w:after="0" w:line="240" w:lineRule="auto"/>
              <w:jc w:val="center"/>
              <w:rPr>
                <w:b/>
                <w:sz w:val="21"/>
                <w:szCs w:val="21"/>
                <w:u w:val="single"/>
              </w:rPr>
            </w:pPr>
          </w:p>
        </w:tc>
        <w:tc>
          <w:tcPr>
            <w:tcW w:w="1105" w:type="dxa"/>
            <w:vAlign w:val="center"/>
          </w:tcPr>
          <w:p>
            <w:pPr>
              <w:spacing w:after="0" w:line="240" w:lineRule="auto"/>
              <w:jc w:val="center"/>
              <w:rPr>
                <w:b/>
                <w:sz w:val="18"/>
                <w:szCs w:val="18"/>
                <w:u w:val="single"/>
              </w:rPr>
            </w:pPr>
            <w:r>
              <w:rPr>
                <w:rFonts w:ascii="宋体" w:hAnsi="宋体"/>
                <w:b/>
                <w:sz w:val="18"/>
                <w:szCs w:val="18"/>
                <w:u w:val="single"/>
              </w:rPr>
              <w:t>SO2浓度(μg/m³)</w:t>
            </w:r>
          </w:p>
        </w:tc>
        <w:tc>
          <w:tcPr>
            <w:tcW w:w="992" w:type="dxa"/>
            <w:vAlign w:val="center"/>
          </w:tcPr>
          <w:p>
            <w:pPr>
              <w:spacing w:after="0" w:line="240" w:lineRule="auto"/>
              <w:jc w:val="center"/>
              <w:rPr>
                <w:b/>
                <w:sz w:val="18"/>
                <w:szCs w:val="18"/>
                <w:u w:val="single"/>
              </w:rPr>
            </w:pPr>
            <w:r>
              <w:rPr>
                <w:rFonts w:ascii="宋体" w:hAnsi="宋体"/>
                <w:b/>
                <w:sz w:val="18"/>
                <w:szCs w:val="18"/>
                <w:u w:val="single"/>
              </w:rPr>
              <w:t>SO2占标率(%)</w:t>
            </w:r>
          </w:p>
        </w:tc>
        <w:tc>
          <w:tcPr>
            <w:tcW w:w="1134" w:type="dxa"/>
            <w:vAlign w:val="center"/>
          </w:tcPr>
          <w:p>
            <w:pPr>
              <w:spacing w:after="0" w:line="240" w:lineRule="auto"/>
              <w:jc w:val="center"/>
              <w:rPr>
                <w:b/>
                <w:sz w:val="18"/>
                <w:szCs w:val="18"/>
                <w:u w:val="single"/>
              </w:rPr>
            </w:pPr>
            <w:r>
              <w:rPr>
                <w:rFonts w:ascii="宋体" w:hAnsi="宋体"/>
                <w:b/>
                <w:sz w:val="18"/>
                <w:szCs w:val="18"/>
                <w:u w:val="single"/>
              </w:rPr>
              <w:t>NOx浓度(μg/m³)</w:t>
            </w:r>
          </w:p>
        </w:tc>
        <w:tc>
          <w:tcPr>
            <w:tcW w:w="1134" w:type="dxa"/>
            <w:vAlign w:val="center"/>
          </w:tcPr>
          <w:p>
            <w:pPr>
              <w:spacing w:after="0" w:line="240" w:lineRule="auto"/>
              <w:jc w:val="center"/>
              <w:rPr>
                <w:b/>
                <w:sz w:val="18"/>
                <w:szCs w:val="18"/>
                <w:u w:val="single"/>
              </w:rPr>
            </w:pPr>
            <w:r>
              <w:rPr>
                <w:rFonts w:ascii="宋体" w:hAnsi="宋体"/>
                <w:b/>
                <w:sz w:val="18"/>
                <w:szCs w:val="18"/>
                <w:u w:val="single"/>
              </w:rPr>
              <w:t>NOx占标率(%)</w:t>
            </w:r>
          </w:p>
        </w:tc>
        <w:tc>
          <w:tcPr>
            <w:tcW w:w="1134" w:type="dxa"/>
            <w:vAlign w:val="center"/>
          </w:tcPr>
          <w:p>
            <w:pPr>
              <w:spacing w:after="0" w:line="240" w:lineRule="auto"/>
              <w:jc w:val="center"/>
              <w:rPr>
                <w:b/>
                <w:sz w:val="18"/>
                <w:szCs w:val="18"/>
                <w:u w:val="single"/>
              </w:rPr>
            </w:pPr>
            <w:r>
              <w:rPr>
                <w:rFonts w:ascii="宋体" w:hAnsi="宋体"/>
                <w:b/>
                <w:sz w:val="18"/>
                <w:szCs w:val="18"/>
                <w:u w:val="single"/>
              </w:rPr>
              <w:t>PM10浓度(μg/m³)</w:t>
            </w:r>
          </w:p>
        </w:tc>
        <w:tc>
          <w:tcPr>
            <w:tcW w:w="1134" w:type="dxa"/>
            <w:vAlign w:val="center"/>
          </w:tcPr>
          <w:p>
            <w:pPr>
              <w:spacing w:after="0" w:line="240" w:lineRule="auto"/>
              <w:jc w:val="center"/>
              <w:rPr>
                <w:b/>
                <w:sz w:val="18"/>
                <w:szCs w:val="18"/>
                <w:u w:val="single"/>
              </w:rPr>
            </w:pPr>
            <w:r>
              <w:rPr>
                <w:rFonts w:ascii="宋体" w:hAnsi="宋体"/>
                <w:b/>
                <w:sz w:val="18"/>
                <w:szCs w:val="18"/>
                <w:u w:val="single"/>
              </w:rPr>
              <w:t>PM10占标率(%)</w:t>
            </w:r>
          </w:p>
        </w:tc>
        <w:tc>
          <w:tcPr>
            <w:tcW w:w="1418" w:type="dxa"/>
            <w:vAlign w:val="center"/>
          </w:tcPr>
          <w:p>
            <w:pPr>
              <w:spacing w:after="0" w:line="240" w:lineRule="auto"/>
              <w:jc w:val="center"/>
              <w:rPr>
                <w:b/>
                <w:sz w:val="18"/>
                <w:szCs w:val="18"/>
                <w:u w:val="single"/>
              </w:rPr>
            </w:pPr>
            <w:r>
              <w:rPr>
                <w:rFonts w:hint="eastAsia" w:ascii="宋体" w:hAnsi="宋体"/>
                <w:b/>
                <w:sz w:val="18"/>
                <w:szCs w:val="18"/>
                <w:u w:val="single"/>
                <w:lang w:eastAsia="zh-CN"/>
              </w:rPr>
              <w:t>二噁英</w:t>
            </w:r>
            <w:r>
              <w:rPr>
                <w:rFonts w:ascii="宋体" w:hAnsi="宋体"/>
                <w:b/>
                <w:sz w:val="18"/>
                <w:szCs w:val="18"/>
                <w:u w:val="single"/>
              </w:rPr>
              <w:t>浓度(μg/m³)</w:t>
            </w:r>
          </w:p>
        </w:tc>
        <w:tc>
          <w:tcPr>
            <w:tcW w:w="1399" w:type="dxa"/>
            <w:vAlign w:val="center"/>
          </w:tcPr>
          <w:p>
            <w:pPr>
              <w:spacing w:after="0" w:line="240" w:lineRule="auto"/>
              <w:jc w:val="center"/>
              <w:rPr>
                <w:b/>
                <w:sz w:val="18"/>
                <w:szCs w:val="18"/>
                <w:u w:val="single"/>
              </w:rPr>
            </w:pPr>
            <w:r>
              <w:rPr>
                <w:rFonts w:hint="eastAsia" w:ascii="宋体" w:hAnsi="宋体"/>
                <w:b/>
                <w:sz w:val="18"/>
                <w:szCs w:val="18"/>
                <w:u w:val="single"/>
                <w:lang w:eastAsia="zh-CN"/>
              </w:rPr>
              <w:t>二噁英</w:t>
            </w:r>
            <w:r>
              <w:rPr>
                <w:rFonts w:ascii="宋体" w:hAnsi="宋体"/>
                <w:b/>
                <w:sz w:val="18"/>
                <w:szCs w:val="18"/>
                <w:u w:val="single"/>
              </w:rPr>
              <w:t>占标率(%)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1.0</w:t>
            </w:r>
          </w:p>
        </w:tc>
        <w:tc>
          <w:tcPr>
            <w:tcW w:w="1105" w:type="dxa"/>
            <w:vAlign w:val="center"/>
          </w:tcPr>
          <w:p>
            <w:pPr>
              <w:spacing w:after="0" w:line="240" w:lineRule="auto"/>
              <w:jc w:val="center"/>
              <w:rPr>
                <w:sz w:val="18"/>
                <w:szCs w:val="18"/>
                <w:u w:val="single"/>
              </w:rPr>
            </w:pPr>
            <w:r>
              <w:rPr>
                <w:rFonts w:ascii="宋体" w:hAnsi="宋体"/>
                <w:sz w:val="18"/>
                <w:szCs w:val="18"/>
                <w:u w:val="single"/>
              </w:rPr>
              <w:t>0.0000</w:t>
            </w:r>
          </w:p>
        </w:tc>
        <w:tc>
          <w:tcPr>
            <w:tcW w:w="992" w:type="dxa"/>
            <w:vAlign w:val="center"/>
          </w:tcPr>
          <w:p>
            <w:pPr>
              <w:spacing w:after="0" w:line="240" w:lineRule="auto"/>
              <w:jc w:val="center"/>
              <w:rPr>
                <w:sz w:val="18"/>
                <w:szCs w:val="18"/>
                <w:u w:val="single"/>
              </w:rPr>
            </w:pPr>
            <w:r>
              <w:rPr>
                <w:rFonts w:ascii="宋体" w:hAnsi="宋体"/>
                <w:sz w:val="18"/>
                <w:szCs w:val="18"/>
                <w:u w:val="single"/>
              </w:rPr>
              <w:t>0.000000</w:t>
            </w:r>
          </w:p>
        </w:tc>
        <w:tc>
          <w:tcPr>
            <w:tcW w:w="1134" w:type="dxa"/>
            <w:vAlign w:val="center"/>
          </w:tcPr>
          <w:p>
            <w:pPr>
              <w:spacing w:after="0" w:line="240" w:lineRule="auto"/>
              <w:jc w:val="center"/>
              <w:rPr>
                <w:sz w:val="18"/>
                <w:szCs w:val="18"/>
                <w:u w:val="single"/>
              </w:rPr>
            </w:pPr>
            <w:r>
              <w:rPr>
                <w:rFonts w:ascii="宋体" w:hAnsi="宋体"/>
                <w:sz w:val="18"/>
                <w:szCs w:val="18"/>
                <w:u w:val="single"/>
              </w:rPr>
              <w:t>0.0000</w:t>
            </w:r>
          </w:p>
        </w:tc>
        <w:tc>
          <w:tcPr>
            <w:tcW w:w="1134" w:type="dxa"/>
            <w:vAlign w:val="center"/>
          </w:tcPr>
          <w:p>
            <w:pPr>
              <w:spacing w:after="0" w:line="240" w:lineRule="auto"/>
              <w:jc w:val="center"/>
              <w:rPr>
                <w:sz w:val="18"/>
                <w:szCs w:val="18"/>
                <w:u w:val="single"/>
              </w:rPr>
            </w:pPr>
            <w:r>
              <w:rPr>
                <w:rFonts w:ascii="宋体" w:hAnsi="宋体"/>
                <w:sz w:val="18"/>
                <w:szCs w:val="18"/>
                <w:u w:val="single"/>
              </w:rPr>
              <w:t>0.000000</w:t>
            </w:r>
          </w:p>
        </w:tc>
        <w:tc>
          <w:tcPr>
            <w:tcW w:w="1134" w:type="dxa"/>
            <w:vAlign w:val="center"/>
          </w:tcPr>
          <w:p>
            <w:pPr>
              <w:spacing w:after="0" w:line="240" w:lineRule="auto"/>
              <w:jc w:val="center"/>
              <w:rPr>
                <w:sz w:val="18"/>
                <w:szCs w:val="18"/>
                <w:u w:val="single"/>
              </w:rPr>
            </w:pPr>
            <w:r>
              <w:rPr>
                <w:rFonts w:ascii="宋体" w:hAnsi="宋体"/>
                <w:sz w:val="18"/>
                <w:szCs w:val="18"/>
                <w:u w:val="single"/>
              </w:rPr>
              <w:t>0.0000</w:t>
            </w:r>
          </w:p>
        </w:tc>
        <w:tc>
          <w:tcPr>
            <w:tcW w:w="1134" w:type="dxa"/>
            <w:vAlign w:val="center"/>
          </w:tcPr>
          <w:p>
            <w:pPr>
              <w:spacing w:after="0" w:line="240" w:lineRule="auto"/>
              <w:jc w:val="center"/>
              <w:rPr>
                <w:sz w:val="18"/>
                <w:szCs w:val="18"/>
                <w:u w:val="single"/>
              </w:rPr>
            </w:pPr>
            <w:r>
              <w:rPr>
                <w:rFonts w:ascii="宋体" w:hAnsi="宋体"/>
                <w:sz w:val="18"/>
                <w:szCs w:val="18"/>
                <w:u w:val="single"/>
              </w:rPr>
              <w:t>0.000000</w:t>
            </w:r>
          </w:p>
        </w:tc>
        <w:tc>
          <w:tcPr>
            <w:tcW w:w="1418" w:type="dxa"/>
            <w:vAlign w:val="center"/>
          </w:tcPr>
          <w:p>
            <w:pPr>
              <w:jc w:val="center"/>
              <w:rPr>
                <w:sz w:val="18"/>
                <w:szCs w:val="18"/>
                <w:u w:val="single"/>
              </w:rPr>
            </w:pPr>
            <w:r>
              <w:rPr>
                <w:rFonts w:ascii="宋体" w:hAnsi="宋体"/>
                <w:sz w:val="18"/>
                <w:szCs w:val="18"/>
                <w:u w:val="single"/>
              </w:rPr>
              <w:t>0×10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0.0049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50.0</w:t>
            </w:r>
          </w:p>
        </w:tc>
        <w:tc>
          <w:tcPr>
            <w:tcW w:w="1105" w:type="dxa"/>
            <w:vAlign w:val="center"/>
          </w:tcPr>
          <w:p>
            <w:pPr>
              <w:spacing w:after="0" w:line="240" w:lineRule="auto"/>
              <w:jc w:val="center"/>
              <w:rPr>
                <w:sz w:val="18"/>
                <w:szCs w:val="18"/>
                <w:u w:val="single"/>
              </w:rPr>
            </w:pPr>
            <w:r>
              <w:rPr>
                <w:rFonts w:ascii="宋体" w:hAnsi="宋体"/>
                <w:sz w:val="18"/>
                <w:szCs w:val="18"/>
                <w:u w:val="single"/>
              </w:rPr>
              <w:t>0.0000</w:t>
            </w:r>
          </w:p>
        </w:tc>
        <w:tc>
          <w:tcPr>
            <w:tcW w:w="992" w:type="dxa"/>
            <w:vAlign w:val="center"/>
          </w:tcPr>
          <w:p>
            <w:pPr>
              <w:spacing w:after="0" w:line="240" w:lineRule="auto"/>
              <w:jc w:val="center"/>
              <w:rPr>
                <w:sz w:val="18"/>
                <w:szCs w:val="18"/>
                <w:u w:val="single"/>
              </w:rPr>
            </w:pPr>
            <w:r>
              <w:rPr>
                <w:rFonts w:ascii="宋体" w:hAnsi="宋体"/>
                <w:sz w:val="18"/>
                <w:szCs w:val="18"/>
                <w:u w:val="single"/>
              </w:rPr>
              <w:t>0.000003</w:t>
            </w:r>
          </w:p>
        </w:tc>
        <w:tc>
          <w:tcPr>
            <w:tcW w:w="1134" w:type="dxa"/>
            <w:vAlign w:val="center"/>
          </w:tcPr>
          <w:p>
            <w:pPr>
              <w:spacing w:after="0" w:line="240" w:lineRule="auto"/>
              <w:jc w:val="center"/>
              <w:rPr>
                <w:sz w:val="18"/>
                <w:szCs w:val="18"/>
                <w:u w:val="single"/>
              </w:rPr>
            </w:pPr>
            <w:r>
              <w:rPr>
                <w:rFonts w:ascii="宋体" w:hAnsi="宋体"/>
                <w:sz w:val="18"/>
                <w:szCs w:val="18"/>
                <w:u w:val="single"/>
              </w:rPr>
              <w:t>0.0001</w:t>
            </w:r>
          </w:p>
        </w:tc>
        <w:tc>
          <w:tcPr>
            <w:tcW w:w="1134" w:type="dxa"/>
            <w:vAlign w:val="center"/>
          </w:tcPr>
          <w:p>
            <w:pPr>
              <w:spacing w:after="0" w:line="240" w:lineRule="auto"/>
              <w:jc w:val="center"/>
              <w:rPr>
                <w:sz w:val="18"/>
                <w:szCs w:val="18"/>
                <w:u w:val="single"/>
              </w:rPr>
            </w:pPr>
            <w:r>
              <w:rPr>
                <w:rFonts w:ascii="宋体" w:hAnsi="宋体"/>
                <w:sz w:val="18"/>
                <w:szCs w:val="18"/>
                <w:u w:val="single"/>
              </w:rPr>
              <w:t>0.000025</w:t>
            </w:r>
          </w:p>
        </w:tc>
        <w:tc>
          <w:tcPr>
            <w:tcW w:w="1134" w:type="dxa"/>
            <w:vAlign w:val="center"/>
          </w:tcPr>
          <w:p>
            <w:pPr>
              <w:spacing w:after="0" w:line="240" w:lineRule="auto"/>
              <w:jc w:val="center"/>
              <w:rPr>
                <w:sz w:val="18"/>
                <w:szCs w:val="18"/>
                <w:u w:val="single"/>
              </w:rPr>
            </w:pPr>
            <w:r>
              <w:rPr>
                <w:rFonts w:ascii="宋体" w:hAnsi="宋体"/>
                <w:sz w:val="18"/>
                <w:szCs w:val="18"/>
                <w:u w:val="single"/>
              </w:rPr>
              <w:t>0.0000</w:t>
            </w:r>
          </w:p>
        </w:tc>
        <w:tc>
          <w:tcPr>
            <w:tcW w:w="1134" w:type="dxa"/>
            <w:vAlign w:val="center"/>
          </w:tcPr>
          <w:p>
            <w:pPr>
              <w:spacing w:after="0" w:line="240" w:lineRule="auto"/>
              <w:jc w:val="center"/>
              <w:rPr>
                <w:sz w:val="18"/>
                <w:szCs w:val="18"/>
                <w:u w:val="single"/>
              </w:rPr>
            </w:pPr>
            <w:r>
              <w:rPr>
                <w:rFonts w:ascii="宋体" w:hAnsi="宋体"/>
                <w:sz w:val="18"/>
                <w:szCs w:val="18"/>
                <w:u w:val="single"/>
              </w:rPr>
              <w:t>0.000002</w:t>
            </w:r>
          </w:p>
        </w:tc>
        <w:tc>
          <w:tcPr>
            <w:tcW w:w="1418" w:type="dxa"/>
            <w:vAlign w:val="center"/>
          </w:tcPr>
          <w:p>
            <w:pPr>
              <w:jc w:val="center"/>
              <w:rPr>
                <w:sz w:val="18"/>
                <w:szCs w:val="18"/>
                <w:u w:val="single"/>
              </w:rPr>
            </w:pPr>
            <w:r>
              <w:rPr>
                <w:rFonts w:ascii="宋体" w:hAnsi="宋体"/>
                <w:sz w:val="18"/>
                <w:szCs w:val="18"/>
                <w:u w:val="single"/>
              </w:rPr>
              <w:t>2×10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0.0605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100.0</w:t>
            </w:r>
          </w:p>
        </w:tc>
        <w:tc>
          <w:tcPr>
            <w:tcW w:w="1105" w:type="dxa"/>
            <w:vAlign w:val="center"/>
          </w:tcPr>
          <w:p>
            <w:pPr>
              <w:spacing w:after="0" w:line="240" w:lineRule="auto"/>
              <w:jc w:val="center"/>
              <w:rPr>
                <w:sz w:val="18"/>
                <w:szCs w:val="18"/>
                <w:u w:val="single"/>
              </w:rPr>
            </w:pPr>
            <w:r>
              <w:rPr>
                <w:rFonts w:ascii="宋体" w:hAnsi="宋体"/>
                <w:sz w:val="18"/>
                <w:szCs w:val="18"/>
                <w:u w:val="single"/>
              </w:rPr>
              <w:t>0.0011</w:t>
            </w:r>
          </w:p>
        </w:tc>
        <w:tc>
          <w:tcPr>
            <w:tcW w:w="992" w:type="dxa"/>
            <w:vAlign w:val="center"/>
          </w:tcPr>
          <w:p>
            <w:pPr>
              <w:spacing w:after="0" w:line="240" w:lineRule="auto"/>
              <w:jc w:val="center"/>
              <w:rPr>
                <w:sz w:val="18"/>
                <w:szCs w:val="18"/>
                <w:u w:val="single"/>
              </w:rPr>
            </w:pPr>
            <w:r>
              <w:rPr>
                <w:rFonts w:ascii="宋体" w:hAnsi="宋体"/>
                <w:sz w:val="18"/>
                <w:szCs w:val="18"/>
                <w:u w:val="single"/>
              </w:rPr>
              <w:t>0.000211</w:t>
            </w:r>
          </w:p>
        </w:tc>
        <w:tc>
          <w:tcPr>
            <w:tcW w:w="1134" w:type="dxa"/>
            <w:vAlign w:val="center"/>
          </w:tcPr>
          <w:p>
            <w:pPr>
              <w:spacing w:after="0" w:line="240" w:lineRule="auto"/>
              <w:jc w:val="center"/>
              <w:rPr>
                <w:sz w:val="18"/>
                <w:szCs w:val="18"/>
                <w:u w:val="single"/>
              </w:rPr>
            </w:pPr>
            <w:r>
              <w:rPr>
                <w:rFonts w:ascii="宋体" w:hAnsi="宋体"/>
                <w:sz w:val="18"/>
                <w:szCs w:val="18"/>
                <w:u w:val="single"/>
              </w:rPr>
              <w:t>0.0053</w:t>
            </w:r>
          </w:p>
        </w:tc>
        <w:tc>
          <w:tcPr>
            <w:tcW w:w="1134" w:type="dxa"/>
            <w:vAlign w:val="center"/>
          </w:tcPr>
          <w:p>
            <w:pPr>
              <w:spacing w:after="0" w:line="240" w:lineRule="auto"/>
              <w:jc w:val="center"/>
              <w:rPr>
                <w:sz w:val="18"/>
                <w:szCs w:val="18"/>
                <w:u w:val="single"/>
              </w:rPr>
            </w:pPr>
            <w:r>
              <w:rPr>
                <w:rFonts w:ascii="宋体" w:hAnsi="宋体"/>
                <w:sz w:val="18"/>
                <w:szCs w:val="18"/>
                <w:u w:val="single"/>
              </w:rPr>
              <w:t>0.002109</w:t>
            </w:r>
          </w:p>
        </w:tc>
        <w:tc>
          <w:tcPr>
            <w:tcW w:w="1134" w:type="dxa"/>
            <w:vAlign w:val="center"/>
          </w:tcPr>
          <w:p>
            <w:pPr>
              <w:spacing w:after="0" w:line="240" w:lineRule="auto"/>
              <w:jc w:val="center"/>
              <w:rPr>
                <w:sz w:val="18"/>
                <w:szCs w:val="18"/>
                <w:u w:val="single"/>
              </w:rPr>
            </w:pPr>
            <w:r>
              <w:rPr>
                <w:rFonts w:ascii="宋体" w:hAnsi="宋体"/>
                <w:sz w:val="18"/>
                <w:szCs w:val="18"/>
                <w:u w:val="single"/>
              </w:rPr>
              <w:t>0.0008</w:t>
            </w:r>
          </w:p>
        </w:tc>
        <w:tc>
          <w:tcPr>
            <w:tcW w:w="1134" w:type="dxa"/>
            <w:vAlign w:val="center"/>
          </w:tcPr>
          <w:p>
            <w:pPr>
              <w:spacing w:after="0" w:line="240" w:lineRule="auto"/>
              <w:jc w:val="center"/>
              <w:rPr>
                <w:sz w:val="18"/>
                <w:szCs w:val="18"/>
                <w:u w:val="single"/>
              </w:rPr>
            </w:pPr>
            <w:r>
              <w:rPr>
                <w:rFonts w:ascii="宋体" w:hAnsi="宋体"/>
                <w:sz w:val="18"/>
                <w:szCs w:val="18"/>
                <w:u w:val="single"/>
              </w:rPr>
              <w:t>0.000187</w:t>
            </w:r>
          </w:p>
        </w:tc>
        <w:tc>
          <w:tcPr>
            <w:tcW w:w="1418" w:type="dxa"/>
            <w:vAlign w:val="center"/>
          </w:tcPr>
          <w:p>
            <w:pPr>
              <w:jc w:val="center"/>
              <w:rPr>
                <w:sz w:val="18"/>
                <w:szCs w:val="18"/>
                <w:u w:val="single"/>
              </w:rPr>
            </w:pPr>
            <w:r>
              <w:rPr>
                <w:rFonts w:ascii="宋体" w:hAnsi="宋体"/>
                <w:sz w:val="18"/>
                <w:szCs w:val="18"/>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w:t>
            </w:r>
            <w:r>
              <w:rPr>
                <w:rFonts w:hint="eastAsia" w:ascii="宋体" w:hAnsi="宋体"/>
                <w:sz w:val="18"/>
                <w:szCs w:val="18"/>
                <w:u w:val="single"/>
                <w:lang w:eastAsia="zh-CN"/>
              </w:rPr>
              <w:t>7</w:t>
            </w:r>
            <w:r>
              <w:rPr>
                <w:rFonts w:ascii="宋体" w:hAnsi="宋体"/>
                <w:sz w:val="18"/>
                <w:szCs w:val="18"/>
                <w:u w:val="single"/>
              </w:rPr>
              <w:t>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150.0</w:t>
            </w:r>
          </w:p>
        </w:tc>
        <w:tc>
          <w:tcPr>
            <w:tcW w:w="1105" w:type="dxa"/>
            <w:vAlign w:val="center"/>
          </w:tcPr>
          <w:p>
            <w:pPr>
              <w:spacing w:after="0" w:line="240" w:lineRule="auto"/>
              <w:jc w:val="center"/>
              <w:rPr>
                <w:sz w:val="18"/>
                <w:szCs w:val="18"/>
                <w:u w:val="single"/>
              </w:rPr>
            </w:pPr>
            <w:r>
              <w:rPr>
                <w:rFonts w:ascii="宋体" w:hAnsi="宋体"/>
                <w:sz w:val="18"/>
                <w:szCs w:val="18"/>
                <w:u w:val="single"/>
              </w:rPr>
              <w:t>0.0031</w:t>
            </w:r>
          </w:p>
        </w:tc>
        <w:tc>
          <w:tcPr>
            <w:tcW w:w="992" w:type="dxa"/>
            <w:vAlign w:val="center"/>
          </w:tcPr>
          <w:p>
            <w:pPr>
              <w:spacing w:after="0" w:line="240" w:lineRule="auto"/>
              <w:jc w:val="center"/>
              <w:rPr>
                <w:sz w:val="18"/>
                <w:szCs w:val="18"/>
                <w:u w:val="single"/>
              </w:rPr>
            </w:pPr>
            <w:r>
              <w:rPr>
                <w:rFonts w:ascii="宋体" w:hAnsi="宋体"/>
                <w:sz w:val="18"/>
                <w:szCs w:val="18"/>
                <w:u w:val="single"/>
              </w:rPr>
              <w:t>0.000619</w:t>
            </w:r>
          </w:p>
        </w:tc>
        <w:tc>
          <w:tcPr>
            <w:tcW w:w="1134" w:type="dxa"/>
            <w:vAlign w:val="center"/>
          </w:tcPr>
          <w:p>
            <w:pPr>
              <w:spacing w:after="0" w:line="240" w:lineRule="auto"/>
              <w:jc w:val="center"/>
              <w:rPr>
                <w:sz w:val="18"/>
                <w:szCs w:val="18"/>
                <w:u w:val="single"/>
              </w:rPr>
            </w:pPr>
            <w:r>
              <w:rPr>
                <w:rFonts w:ascii="宋体" w:hAnsi="宋体"/>
                <w:sz w:val="18"/>
                <w:szCs w:val="18"/>
                <w:u w:val="single"/>
              </w:rPr>
              <w:t>0.0155</w:t>
            </w:r>
          </w:p>
        </w:tc>
        <w:tc>
          <w:tcPr>
            <w:tcW w:w="1134" w:type="dxa"/>
            <w:vAlign w:val="center"/>
          </w:tcPr>
          <w:p>
            <w:pPr>
              <w:spacing w:after="0" w:line="240" w:lineRule="auto"/>
              <w:jc w:val="center"/>
              <w:rPr>
                <w:sz w:val="18"/>
                <w:szCs w:val="18"/>
                <w:u w:val="single"/>
              </w:rPr>
            </w:pPr>
            <w:r>
              <w:rPr>
                <w:rFonts w:ascii="宋体" w:hAnsi="宋体"/>
                <w:sz w:val="18"/>
                <w:szCs w:val="18"/>
                <w:u w:val="single"/>
              </w:rPr>
              <w:t>0.006184</w:t>
            </w:r>
          </w:p>
        </w:tc>
        <w:tc>
          <w:tcPr>
            <w:tcW w:w="1134" w:type="dxa"/>
            <w:vAlign w:val="center"/>
          </w:tcPr>
          <w:p>
            <w:pPr>
              <w:spacing w:after="0" w:line="240" w:lineRule="auto"/>
              <w:jc w:val="center"/>
              <w:rPr>
                <w:sz w:val="18"/>
                <w:szCs w:val="18"/>
                <w:u w:val="single"/>
              </w:rPr>
            </w:pPr>
            <w:r>
              <w:rPr>
                <w:rFonts w:ascii="宋体" w:hAnsi="宋体"/>
                <w:sz w:val="18"/>
                <w:szCs w:val="18"/>
                <w:u w:val="single"/>
              </w:rPr>
              <w:t>0.0025</w:t>
            </w:r>
          </w:p>
        </w:tc>
        <w:tc>
          <w:tcPr>
            <w:tcW w:w="1134" w:type="dxa"/>
            <w:vAlign w:val="center"/>
          </w:tcPr>
          <w:p>
            <w:pPr>
              <w:spacing w:after="0" w:line="240" w:lineRule="auto"/>
              <w:jc w:val="center"/>
              <w:rPr>
                <w:sz w:val="18"/>
                <w:szCs w:val="18"/>
                <w:u w:val="single"/>
              </w:rPr>
            </w:pPr>
            <w:r>
              <w:rPr>
                <w:rFonts w:ascii="宋体" w:hAnsi="宋体"/>
                <w:sz w:val="18"/>
                <w:szCs w:val="18"/>
                <w:u w:val="single"/>
              </w:rPr>
              <w:t>0.000550</w:t>
            </w:r>
          </w:p>
        </w:tc>
        <w:tc>
          <w:tcPr>
            <w:tcW w:w="1418" w:type="dxa"/>
            <w:vAlign w:val="center"/>
          </w:tcPr>
          <w:p>
            <w:pPr>
              <w:jc w:val="center"/>
              <w:rPr>
                <w:sz w:val="18"/>
                <w:szCs w:val="18"/>
                <w:u w:val="single"/>
              </w:rPr>
            </w:pPr>
            <w:r>
              <w:rPr>
                <w:rFonts w:ascii="宋体" w:hAnsi="宋体"/>
                <w:sz w:val="18"/>
                <w:szCs w:val="18"/>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0.07</w:t>
            </w:r>
            <w:r>
              <w:rPr>
                <w:rFonts w:hint="eastAsia" w:ascii="宋体" w:hAnsi="宋体"/>
                <w:sz w:val="18"/>
                <w:szCs w:val="18"/>
                <w:u w:val="single"/>
                <w:lang w:eastAsia="zh-CN"/>
              </w:rPr>
              <w:t>6</w:t>
            </w:r>
            <w:r>
              <w:rPr>
                <w:rFonts w:ascii="宋体" w:hAnsi="宋体"/>
                <w:sz w:val="18"/>
                <w:szCs w:val="18"/>
                <w:u w:val="single"/>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200.0</w:t>
            </w:r>
          </w:p>
        </w:tc>
        <w:tc>
          <w:tcPr>
            <w:tcW w:w="1105" w:type="dxa"/>
            <w:vAlign w:val="center"/>
          </w:tcPr>
          <w:p>
            <w:pPr>
              <w:spacing w:after="0" w:line="240" w:lineRule="auto"/>
              <w:jc w:val="center"/>
              <w:rPr>
                <w:sz w:val="18"/>
                <w:szCs w:val="18"/>
                <w:u w:val="single"/>
              </w:rPr>
            </w:pPr>
            <w:r>
              <w:rPr>
                <w:rFonts w:ascii="宋体" w:hAnsi="宋体"/>
                <w:sz w:val="18"/>
                <w:szCs w:val="18"/>
                <w:u w:val="single"/>
              </w:rPr>
              <w:t>0.0039</w:t>
            </w:r>
          </w:p>
        </w:tc>
        <w:tc>
          <w:tcPr>
            <w:tcW w:w="992" w:type="dxa"/>
            <w:vAlign w:val="center"/>
          </w:tcPr>
          <w:p>
            <w:pPr>
              <w:spacing w:after="0" w:line="240" w:lineRule="auto"/>
              <w:jc w:val="center"/>
              <w:rPr>
                <w:sz w:val="18"/>
                <w:szCs w:val="18"/>
                <w:u w:val="single"/>
              </w:rPr>
            </w:pPr>
            <w:r>
              <w:rPr>
                <w:rFonts w:ascii="宋体" w:hAnsi="宋体"/>
                <w:sz w:val="18"/>
                <w:szCs w:val="18"/>
                <w:u w:val="single"/>
              </w:rPr>
              <w:t>0.000786</w:t>
            </w:r>
          </w:p>
        </w:tc>
        <w:tc>
          <w:tcPr>
            <w:tcW w:w="1134" w:type="dxa"/>
            <w:vAlign w:val="center"/>
          </w:tcPr>
          <w:p>
            <w:pPr>
              <w:spacing w:after="0" w:line="240" w:lineRule="auto"/>
              <w:jc w:val="center"/>
              <w:rPr>
                <w:sz w:val="18"/>
                <w:szCs w:val="18"/>
                <w:u w:val="single"/>
              </w:rPr>
            </w:pPr>
            <w:r>
              <w:rPr>
                <w:rFonts w:ascii="宋体" w:hAnsi="宋体"/>
                <w:sz w:val="18"/>
                <w:szCs w:val="18"/>
                <w:u w:val="single"/>
              </w:rPr>
              <w:t>0.0197</w:t>
            </w:r>
          </w:p>
        </w:tc>
        <w:tc>
          <w:tcPr>
            <w:tcW w:w="1134" w:type="dxa"/>
            <w:vAlign w:val="center"/>
          </w:tcPr>
          <w:p>
            <w:pPr>
              <w:spacing w:after="0" w:line="240" w:lineRule="auto"/>
              <w:jc w:val="center"/>
              <w:rPr>
                <w:sz w:val="18"/>
                <w:szCs w:val="18"/>
                <w:u w:val="single"/>
              </w:rPr>
            </w:pPr>
            <w:r>
              <w:rPr>
                <w:rFonts w:ascii="宋体" w:hAnsi="宋体"/>
                <w:sz w:val="18"/>
                <w:szCs w:val="18"/>
                <w:u w:val="single"/>
              </w:rPr>
              <w:t>0.007861</w:t>
            </w:r>
          </w:p>
        </w:tc>
        <w:tc>
          <w:tcPr>
            <w:tcW w:w="1134" w:type="dxa"/>
            <w:vAlign w:val="center"/>
          </w:tcPr>
          <w:p>
            <w:pPr>
              <w:spacing w:after="0" w:line="240" w:lineRule="auto"/>
              <w:jc w:val="center"/>
              <w:rPr>
                <w:sz w:val="18"/>
                <w:szCs w:val="18"/>
                <w:u w:val="single"/>
              </w:rPr>
            </w:pPr>
            <w:r>
              <w:rPr>
                <w:rFonts w:ascii="宋体" w:hAnsi="宋体"/>
                <w:sz w:val="18"/>
                <w:szCs w:val="18"/>
                <w:u w:val="single"/>
              </w:rPr>
              <w:t>0.0031</w:t>
            </w:r>
          </w:p>
        </w:tc>
        <w:tc>
          <w:tcPr>
            <w:tcW w:w="1134" w:type="dxa"/>
            <w:vAlign w:val="center"/>
          </w:tcPr>
          <w:p>
            <w:pPr>
              <w:spacing w:after="0" w:line="240" w:lineRule="auto"/>
              <w:jc w:val="center"/>
              <w:rPr>
                <w:sz w:val="18"/>
                <w:szCs w:val="18"/>
                <w:u w:val="single"/>
              </w:rPr>
            </w:pPr>
            <w:r>
              <w:rPr>
                <w:rFonts w:ascii="宋体" w:hAnsi="宋体"/>
                <w:sz w:val="18"/>
                <w:szCs w:val="18"/>
                <w:u w:val="single"/>
              </w:rPr>
              <w:t>0.000699</w:t>
            </w:r>
          </w:p>
        </w:tc>
        <w:tc>
          <w:tcPr>
            <w:tcW w:w="1418" w:type="dxa"/>
            <w:vAlign w:val="center"/>
          </w:tcPr>
          <w:p>
            <w:pPr>
              <w:jc w:val="center"/>
              <w:rPr>
                <w:sz w:val="18"/>
                <w:szCs w:val="18"/>
                <w:u w:val="single"/>
              </w:rPr>
            </w:pPr>
            <w:r>
              <w:rPr>
                <w:rFonts w:hint="eastAsia" w:ascii="宋体" w:hAnsi="宋体"/>
                <w:sz w:val="18"/>
                <w:szCs w:val="18"/>
                <w:u w:val="single"/>
                <w:lang w:eastAsia="zh-CN"/>
              </w:rPr>
              <w:t>3</w:t>
            </w:r>
            <w:r>
              <w:rPr>
                <w:rFonts w:ascii="宋体" w:hAnsi="宋体"/>
                <w:sz w:val="18"/>
                <w:szCs w:val="18"/>
                <w:u w:val="single"/>
              </w:rPr>
              <w:t>×10</w:t>
            </w:r>
            <w:r>
              <w:rPr>
                <w:rFonts w:ascii="宋体" w:hAnsi="宋体"/>
                <w:sz w:val="32"/>
                <w:szCs w:val="32"/>
                <w:u w:val="single"/>
                <w:vertAlign w:val="superscript"/>
              </w:rPr>
              <w:t>-9</w:t>
            </w:r>
          </w:p>
        </w:tc>
        <w:tc>
          <w:tcPr>
            <w:tcW w:w="1399" w:type="dxa"/>
            <w:vAlign w:val="center"/>
          </w:tcPr>
          <w:p>
            <w:pPr>
              <w:jc w:val="center"/>
              <w:rPr>
                <w:rFonts w:hint="eastAsia"/>
                <w:sz w:val="18"/>
                <w:szCs w:val="18"/>
                <w:u w:val="single"/>
                <w:lang w:eastAsia="zh-CN"/>
              </w:rPr>
            </w:pPr>
            <w:r>
              <w:rPr>
                <w:rFonts w:ascii="宋体" w:hAnsi="宋体"/>
                <w:sz w:val="18"/>
                <w:szCs w:val="18"/>
                <w:u w:val="single"/>
              </w:rPr>
              <w:t>0.0</w:t>
            </w:r>
            <w:r>
              <w:rPr>
                <w:rFonts w:hint="eastAsia" w:ascii="宋体" w:hAnsi="宋体"/>
                <w:sz w:val="18"/>
                <w:szCs w:val="18"/>
                <w:u w:val="single"/>
                <w:lang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250.0</w:t>
            </w:r>
          </w:p>
        </w:tc>
        <w:tc>
          <w:tcPr>
            <w:tcW w:w="1105" w:type="dxa"/>
            <w:vAlign w:val="center"/>
          </w:tcPr>
          <w:p>
            <w:pPr>
              <w:spacing w:after="0" w:line="240" w:lineRule="auto"/>
              <w:jc w:val="center"/>
              <w:rPr>
                <w:sz w:val="18"/>
                <w:szCs w:val="18"/>
                <w:u w:val="single"/>
              </w:rPr>
            </w:pPr>
            <w:r>
              <w:rPr>
                <w:rFonts w:ascii="宋体" w:hAnsi="宋体"/>
                <w:sz w:val="18"/>
                <w:szCs w:val="18"/>
                <w:u w:val="single"/>
              </w:rPr>
              <w:t>0.0046</w:t>
            </w:r>
          </w:p>
        </w:tc>
        <w:tc>
          <w:tcPr>
            <w:tcW w:w="992" w:type="dxa"/>
            <w:vAlign w:val="center"/>
          </w:tcPr>
          <w:p>
            <w:pPr>
              <w:spacing w:after="0" w:line="240" w:lineRule="auto"/>
              <w:jc w:val="center"/>
              <w:rPr>
                <w:sz w:val="18"/>
                <w:szCs w:val="18"/>
                <w:u w:val="single"/>
              </w:rPr>
            </w:pPr>
            <w:r>
              <w:rPr>
                <w:rFonts w:ascii="宋体" w:hAnsi="宋体"/>
                <w:sz w:val="18"/>
                <w:szCs w:val="18"/>
                <w:u w:val="single"/>
              </w:rPr>
              <w:t>0.000913</w:t>
            </w:r>
          </w:p>
        </w:tc>
        <w:tc>
          <w:tcPr>
            <w:tcW w:w="1134" w:type="dxa"/>
            <w:vAlign w:val="center"/>
          </w:tcPr>
          <w:p>
            <w:pPr>
              <w:spacing w:after="0" w:line="240" w:lineRule="auto"/>
              <w:jc w:val="center"/>
              <w:rPr>
                <w:sz w:val="18"/>
                <w:szCs w:val="18"/>
                <w:u w:val="single"/>
              </w:rPr>
            </w:pPr>
            <w:r>
              <w:rPr>
                <w:rFonts w:ascii="宋体" w:hAnsi="宋体"/>
                <w:sz w:val="18"/>
                <w:szCs w:val="18"/>
                <w:u w:val="single"/>
              </w:rPr>
              <w:t>0.0228</w:t>
            </w:r>
          </w:p>
        </w:tc>
        <w:tc>
          <w:tcPr>
            <w:tcW w:w="1134" w:type="dxa"/>
            <w:vAlign w:val="center"/>
          </w:tcPr>
          <w:p>
            <w:pPr>
              <w:spacing w:after="0" w:line="240" w:lineRule="auto"/>
              <w:jc w:val="center"/>
              <w:rPr>
                <w:sz w:val="18"/>
                <w:szCs w:val="18"/>
                <w:u w:val="single"/>
              </w:rPr>
            </w:pPr>
            <w:r>
              <w:rPr>
                <w:rFonts w:ascii="宋体" w:hAnsi="宋体"/>
                <w:sz w:val="18"/>
                <w:szCs w:val="18"/>
                <w:u w:val="single"/>
              </w:rPr>
              <w:t>0.009129</w:t>
            </w:r>
          </w:p>
        </w:tc>
        <w:tc>
          <w:tcPr>
            <w:tcW w:w="1134" w:type="dxa"/>
            <w:vAlign w:val="center"/>
          </w:tcPr>
          <w:p>
            <w:pPr>
              <w:spacing w:after="0" w:line="240" w:lineRule="auto"/>
              <w:jc w:val="center"/>
              <w:rPr>
                <w:sz w:val="18"/>
                <w:szCs w:val="18"/>
                <w:u w:val="single"/>
              </w:rPr>
            </w:pPr>
            <w:r>
              <w:rPr>
                <w:rFonts w:ascii="宋体" w:hAnsi="宋体"/>
                <w:sz w:val="18"/>
                <w:szCs w:val="18"/>
                <w:u w:val="single"/>
              </w:rPr>
              <w:t>0.0037</w:t>
            </w:r>
          </w:p>
        </w:tc>
        <w:tc>
          <w:tcPr>
            <w:tcW w:w="1134" w:type="dxa"/>
            <w:vAlign w:val="center"/>
          </w:tcPr>
          <w:p>
            <w:pPr>
              <w:spacing w:after="0" w:line="240" w:lineRule="auto"/>
              <w:jc w:val="center"/>
              <w:rPr>
                <w:sz w:val="18"/>
                <w:szCs w:val="18"/>
                <w:u w:val="single"/>
              </w:rPr>
            </w:pPr>
            <w:r>
              <w:rPr>
                <w:rFonts w:ascii="宋体" w:hAnsi="宋体"/>
                <w:sz w:val="18"/>
                <w:szCs w:val="18"/>
                <w:u w:val="single"/>
              </w:rPr>
              <w:t>0.000811</w:t>
            </w:r>
          </w:p>
        </w:tc>
        <w:tc>
          <w:tcPr>
            <w:tcW w:w="1418" w:type="dxa"/>
            <w:vAlign w:val="center"/>
          </w:tcPr>
          <w:p>
            <w:pPr>
              <w:jc w:val="center"/>
              <w:rPr>
                <w:sz w:val="18"/>
                <w:szCs w:val="18"/>
                <w:u w:val="single"/>
              </w:rPr>
            </w:pPr>
            <w:r>
              <w:rPr>
                <w:rFonts w:ascii="宋体" w:hAnsi="宋体"/>
                <w:sz w:val="18"/>
                <w:szCs w:val="18"/>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0.0770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300.0</w:t>
            </w:r>
          </w:p>
        </w:tc>
        <w:tc>
          <w:tcPr>
            <w:tcW w:w="1105" w:type="dxa"/>
            <w:vAlign w:val="center"/>
          </w:tcPr>
          <w:p>
            <w:pPr>
              <w:spacing w:after="0" w:line="240" w:lineRule="auto"/>
              <w:jc w:val="center"/>
              <w:rPr>
                <w:sz w:val="18"/>
                <w:szCs w:val="18"/>
                <w:u w:val="single"/>
              </w:rPr>
            </w:pPr>
            <w:r>
              <w:rPr>
                <w:rFonts w:ascii="宋体" w:hAnsi="宋体"/>
                <w:sz w:val="18"/>
                <w:szCs w:val="18"/>
                <w:u w:val="single"/>
              </w:rPr>
              <w:t>0.0047</w:t>
            </w:r>
          </w:p>
        </w:tc>
        <w:tc>
          <w:tcPr>
            <w:tcW w:w="992" w:type="dxa"/>
            <w:vAlign w:val="center"/>
          </w:tcPr>
          <w:p>
            <w:pPr>
              <w:spacing w:after="0" w:line="240" w:lineRule="auto"/>
              <w:jc w:val="center"/>
              <w:rPr>
                <w:sz w:val="18"/>
                <w:szCs w:val="18"/>
                <w:u w:val="single"/>
              </w:rPr>
            </w:pPr>
            <w:r>
              <w:rPr>
                <w:rFonts w:ascii="宋体" w:hAnsi="宋体"/>
                <w:sz w:val="18"/>
                <w:szCs w:val="18"/>
                <w:u w:val="single"/>
              </w:rPr>
              <w:t>0.000934</w:t>
            </w:r>
          </w:p>
        </w:tc>
        <w:tc>
          <w:tcPr>
            <w:tcW w:w="1134" w:type="dxa"/>
            <w:vAlign w:val="center"/>
          </w:tcPr>
          <w:p>
            <w:pPr>
              <w:spacing w:after="0" w:line="240" w:lineRule="auto"/>
              <w:jc w:val="center"/>
              <w:rPr>
                <w:sz w:val="18"/>
                <w:szCs w:val="18"/>
                <w:u w:val="single"/>
              </w:rPr>
            </w:pPr>
            <w:r>
              <w:rPr>
                <w:rFonts w:ascii="宋体" w:hAnsi="宋体"/>
                <w:sz w:val="18"/>
                <w:szCs w:val="18"/>
                <w:u w:val="single"/>
              </w:rPr>
              <w:t>0.0234</w:t>
            </w:r>
          </w:p>
        </w:tc>
        <w:tc>
          <w:tcPr>
            <w:tcW w:w="1134" w:type="dxa"/>
            <w:vAlign w:val="center"/>
          </w:tcPr>
          <w:p>
            <w:pPr>
              <w:spacing w:after="0" w:line="240" w:lineRule="auto"/>
              <w:jc w:val="center"/>
              <w:rPr>
                <w:sz w:val="18"/>
                <w:szCs w:val="18"/>
                <w:u w:val="single"/>
              </w:rPr>
            </w:pPr>
            <w:r>
              <w:rPr>
                <w:rFonts w:ascii="宋体" w:hAnsi="宋体"/>
                <w:sz w:val="18"/>
                <w:szCs w:val="18"/>
                <w:u w:val="single"/>
              </w:rPr>
              <w:t>0.009341</w:t>
            </w:r>
          </w:p>
        </w:tc>
        <w:tc>
          <w:tcPr>
            <w:tcW w:w="1134" w:type="dxa"/>
            <w:vAlign w:val="center"/>
          </w:tcPr>
          <w:p>
            <w:pPr>
              <w:spacing w:after="0" w:line="240" w:lineRule="auto"/>
              <w:jc w:val="center"/>
              <w:rPr>
                <w:sz w:val="18"/>
                <w:szCs w:val="18"/>
                <w:u w:val="single"/>
              </w:rPr>
            </w:pPr>
            <w:r>
              <w:rPr>
                <w:rFonts w:ascii="宋体" w:hAnsi="宋体"/>
                <w:sz w:val="18"/>
                <w:szCs w:val="18"/>
                <w:u w:val="single"/>
              </w:rPr>
              <w:t>0.0037</w:t>
            </w:r>
          </w:p>
        </w:tc>
        <w:tc>
          <w:tcPr>
            <w:tcW w:w="1134" w:type="dxa"/>
            <w:vAlign w:val="center"/>
          </w:tcPr>
          <w:p>
            <w:pPr>
              <w:spacing w:after="0" w:line="240" w:lineRule="auto"/>
              <w:jc w:val="center"/>
              <w:rPr>
                <w:sz w:val="18"/>
                <w:szCs w:val="18"/>
                <w:u w:val="single"/>
              </w:rPr>
            </w:pPr>
            <w:r>
              <w:rPr>
                <w:rFonts w:ascii="宋体" w:hAnsi="宋体"/>
                <w:sz w:val="18"/>
                <w:szCs w:val="18"/>
                <w:u w:val="single"/>
              </w:rPr>
              <w:t>0.000830</w:t>
            </w:r>
          </w:p>
        </w:tc>
        <w:tc>
          <w:tcPr>
            <w:tcW w:w="1418" w:type="dxa"/>
            <w:vAlign w:val="center"/>
          </w:tcPr>
          <w:p>
            <w:pPr>
              <w:jc w:val="center"/>
              <w:rPr>
                <w:u w:val="single"/>
              </w:rPr>
            </w:pPr>
            <w:r>
              <w:rPr>
                <w:rFonts w:ascii="宋体" w:hAnsi="宋体"/>
                <w:sz w:val="23"/>
                <w:szCs w:val="23"/>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0.0844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350.0</w:t>
            </w:r>
          </w:p>
        </w:tc>
        <w:tc>
          <w:tcPr>
            <w:tcW w:w="1105" w:type="dxa"/>
            <w:vAlign w:val="center"/>
          </w:tcPr>
          <w:p>
            <w:pPr>
              <w:spacing w:after="0" w:line="240" w:lineRule="auto"/>
              <w:jc w:val="center"/>
              <w:rPr>
                <w:sz w:val="18"/>
                <w:szCs w:val="18"/>
                <w:u w:val="single"/>
              </w:rPr>
            </w:pPr>
            <w:r>
              <w:rPr>
                <w:rFonts w:ascii="宋体" w:hAnsi="宋体"/>
                <w:sz w:val="18"/>
                <w:szCs w:val="18"/>
                <w:u w:val="single"/>
              </w:rPr>
              <w:t>0.0053</w:t>
            </w:r>
          </w:p>
        </w:tc>
        <w:tc>
          <w:tcPr>
            <w:tcW w:w="992" w:type="dxa"/>
            <w:vAlign w:val="center"/>
          </w:tcPr>
          <w:p>
            <w:pPr>
              <w:spacing w:after="0" w:line="240" w:lineRule="auto"/>
              <w:jc w:val="center"/>
              <w:rPr>
                <w:sz w:val="18"/>
                <w:szCs w:val="18"/>
                <w:u w:val="single"/>
              </w:rPr>
            </w:pPr>
            <w:r>
              <w:rPr>
                <w:rFonts w:ascii="宋体" w:hAnsi="宋体"/>
                <w:sz w:val="18"/>
                <w:szCs w:val="18"/>
                <w:u w:val="single"/>
              </w:rPr>
              <w:t>0.001052</w:t>
            </w:r>
          </w:p>
        </w:tc>
        <w:tc>
          <w:tcPr>
            <w:tcW w:w="1134" w:type="dxa"/>
            <w:vAlign w:val="center"/>
          </w:tcPr>
          <w:p>
            <w:pPr>
              <w:spacing w:after="0" w:line="240" w:lineRule="auto"/>
              <w:jc w:val="center"/>
              <w:rPr>
                <w:sz w:val="18"/>
                <w:szCs w:val="18"/>
                <w:u w:val="single"/>
              </w:rPr>
            </w:pPr>
            <w:r>
              <w:rPr>
                <w:rFonts w:ascii="宋体" w:hAnsi="宋体"/>
                <w:sz w:val="18"/>
                <w:szCs w:val="18"/>
                <w:u w:val="single"/>
              </w:rPr>
              <w:t>0.0263</w:t>
            </w:r>
          </w:p>
        </w:tc>
        <w:tc>
          <w:tcPr>
            <w:tcW w:w="1134" w:type="dxa"/>
            <w:vAlign w:val="center"/>
          </w:tcPr>
          <w:p>
            <w:pPr>
              <w:spacing w:after="0" w:line="240" w:lineRule="auto"/>
              <w:jc w:val="center"/>
              <w:rPr>
                <w:sz w:val="18"/>
                <w:szCs w:val="18"/>
                <w:u w:val="single"/>
              </w:rPr>
            </w:pPr>
            <w:r>
              <w:rPr>
                <w:rFonts w:ascii="宋体" w:hAnsi="宋体"/>
                <w:sz w:val="18"/>
                <w:szCs w:val="18"/>
                <w:u w:val="single"/>
              </w:rPr>
              <w:t>0.010515</w:t>
            </w:r>
          </w:p>
        </w:tc>
        <w:tc>
          <w:tcPr>
            <w:tcW w:w="1134" w:type="dxa"/>
            <w:vAlign w:val="center"/>
          </w:tcPr>
          <w:p>
            <w:pPr>
              <w:spacing w:after="0" w:line="240" w:lineRule="auto"/>
              <w:jc w:val="center"/>
              <w:rPr>
                <w:sz w:val="18"/>
                <w:szCs w:val="18"/>
                <w:u w:val="single"/>
              </w:rPr>
            </w:pPr>
            <w:r>
              <w:rPr>
                <w:rFonts w:ascii="宋体" w:hAnsi="宋体"/>
                <w:sz w:val="18"/>
                <w:szCs w:val="18"/>
                <w:u w:val="single"/>
              </w:rPr>
              <w:t>0.0042</w:t>
            </w:r>
          </w:p>
        </w:tc>
        <w:tc>
          <w:tcPr>
            <w:tcW w:w="1134" w:type="dxa"/>
            <w:vAlign w:val="center"/>
          </w:tcPr>
          <w:p>
            <w:pPr>
              <w:spacing w:after="0" w:line="240" w:lineRule="auto"/>
              <w:jc w:val="center"/>
              <w:rPr>
                <w:sz w:val="18"/>
                <w:szCs w:val="18"/>
                <w:u w:val="single"/>
              </w:rPr>
            </w:pPr>
            <w:r>
              <w:rPr>
                <w:rFonts w:ascii="宋体" w:hAnsi="宋体"/>
                <w:sz w:val="18"/>
                <w:szCs w:val="18"/>
                <w:u w:val="single"/>
              </w:rPr>
              <w:t>0.000935</w:t>
            </w:r>
          </w:p>
        </w:tc>
        <w:tc>
          <w:tcPr>
            <w:tcW w:w="1418" w:type="dxa"/>
            <w:vAlign w:val="center"/>
          </w:tcPr>
          <w:p>
            <w:pPr>
              <w:jc w:val="center"/>
              <w:rPr>
                <w:u w:val="single"/>
              </w:rPr>
            </w:pPr>
            <w:r>
              <w:rPr>
                <w:rFonts w:ascii="宋体" w:hAnsi="宋体"/>
                <w:sz w:val="23"/>
                <w:szCs w:val="23"/>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0.0921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400.0</w:t>
            </w:r>
          </w:p>
        </w:tc>
        <w:tc>
          <w:tcPr>
            <w:tcW w:w="1105" w:type="dxa"/>
            <w:vAlign w:val="center"/>
          </w:tcPr>
          <w:p>
            <w:pPr>
              <w:spacing w:after="0" w:line="240" w:lineRule="auto"/>
              <w:jc w:val="center"/>
              <w:rPr>
                <w:sz w:val="18"/>
                <w:szCs w:val="18"/>
                <w:u w:val="single"/>
              </w:rPr>
            </w:pPr>
            <w:r>
              <w:rPr>
                <w:rFonts w:ascii="宋体" w:hAnsi="宋体"/>
                <w:sz w:val="18"/>
                <w:szCs w:val="18"/>
                <w:u w:val="single"/>
              </w:rPr>
              <w:t>0.0062</w:t>
            </w:r>
          </w:p>
        </w:tc>
        <w:tc>
          <w:tcPr>
            <w:tcW w:w="992" w:type="dxa"/>
            <w:vAlign w:val="center"/>
          </w:tcPr>
          <w:p>
            <w:pPr>
              <w:spacing w:after="0" w:line="240" w:lineRule="auto"/>
              <w:jc w:val="center"/>
              <w:rPr>
                <w:sz w:val="18"/>
                <w:szCs w:val="18"/>
                <w:u w:val="single"/>
              </w:rPr>
            </w:pPr>
            <w:r>
              <w:rPr>
                <w:rFonts w:ascii="宋体" w:hAnsi="宋体"/>
                <w:sz w:val="18"/>
                <w:szCs w:val="18"/>
                <w:u w:val="single"/>
              </w:rPr>
              <w:t>0.001234</w:t>
            </w:r>
          </w:p>
        </w:tc>
        <w:tc>
          <w:tcPr>
            <w:tcW w:w="1134" w:type="dxa"/>
            <w:vAlign w:val="center"/>
          </w:tcPr>
          <w:p>
            <w:pPr>
              <w:spacing w:after="0" w:line="240" w:lineRule="auto"/>
              <w:jc w:val="center"/>
              <w:rPr>
                <w:sz w:val="18"/>
                <w:szCs w:val="18"/>
                <w:u w:val="single"/>
              </w:rPr>
            </w:pPr>
            <w:r>
              <w:rPr>
                <w:rFonts w:ascii="宋体" w:hAnsi="宋体"/>
                <w:sz w:val="18"/>
                <w:szCs w:val="18"/>
                <w:u w:val="single"/>
              </w:rPr>
              <w:t>0.0308</w:t>
            </w:r>
          </w:p>
        </w:tc>
        <w:tc>
          <w:tcPr>
            <w:tcW w:w="1134" w:type="dxa"/>
            <w:vAlign w:val="center"/>
          </w:tcPr>
          <w:p>
            <w:pPr>
              <w:spacing w:after="0" w:line="240" w:lineRule="auto"/>
              <w:jc w:val="center"/>
              <w:rPr>
                <w:sz w:val="18"/>
                <w:szCs w:val="18"/>
                <w:u w:val="single"/>
              </w:rPr>
            </w:pPr>
            <w:r>
              <w:rPr>
                <w:rFonts w:ascii="宋体" w:hAnsi="宋体"/>
                <w:sz w:val="18"/>
                <w:szCs w:val="18"/>
                <w:u w:val="single"/>
              </w:rPr>
              <w:t>0.012338</w:t>
            </w:r>
          </w:p>
        </w:tc>
        <w:tc>
          <w:tcPr>
            <w:tcW w:w="1134" w:type="dxa"/>
            <w:vAlign w:val="center"/>
          </w:tcPr>
          <w:p>
            <w:pPr>
              <w:spacing w:after="0" w:line="240" w:lineRule="auto"/>
              <w:jc w:val="center"/>
              <w:rPr>
                <w:sz w:val="18"/>
                <w:szCs w:val="18"/>
                <w:u w:val="single"/>
              </w:rPr>
            </w:pPr>
            <w:r>
              <w:rPr>
                <w:rFonts w:ascii="宋体" w:hAnsi="宋体"/>
                <w:sz w:val="18"/>
                <w:szCs w:val="18"/>
                <w:u w:val="single"/>
              </w:rPr>
              <w:t>0.0049</w:t>
            </w:r>
          </w:p>
        </w:tc>
        <w:tc>
          <w:tcPr>
            <w:tcW w:w="1134" w:type="dxa"/>
            <w:vAlign w:val="center"/>
          </w:tcPr>
          <w:p>
            <w:pPr>
              <w:spacing w:after="0" w:line="240" w:lineRule="auto"/>
              <w:jc w:val="center"/>
              <w:rPr>
                <w:sz w:val="18"/>
                <w:szCs w:val="18"/>
                <w:u w:val="single"/>
              </w:rPr>
            </w:pPr>
            <w:r>
              <w:rPr>
                <w:rFonts w:ascii="宋体" w:hAnsi="宋体"/>
                <w:sz w:val="18"/>
                <w:szCs w:val="18"/>
                <w:u w:val="single"/>
              </w:rPr>
              <w:t>0.001097</w:t>
            </w:r>
          </w:p>
        </w:tc>
        <w:tc>
          <w:tcPr>
            <w:tcW w:w="1418" w:type="dxa"/>
            <w:vAlign w:val="center"/>
          </w:tcPr>
          <w:p>
            <w:pPr>
              <w:jc w:val="center"/>
              <w:rPr>
                <w:u w:val="single"/>
              </w:rPr>
            </w:pPr>
            <w:r>
              <w:rPr>
                <w:rFonts w:ascii="宋体" w:hAnsi="宋体"/>
                <w:sz w:val="23"/>
                <w:szCs w:val="23"/>
                <w:u w:val="single"/>
              </w:rPr>
              <w:t>3×10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0.0937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450.0</w:t>
            </w:r>
          </w:p>
        </w:tc>
        <w:tc>
          <w:tcPr>
            <w:tcW w:w="1105" w:type="dxa"/>
            <w:vAlign w:val="center"/>
          </w:tcPr>
          <w:p>
            <w:pPr>
              <w:spacing w:after="0" w:line="240" w:lineRule="auto"/>
              <w:jc w:val="center"/>
              <w:rPr>
                <w:sz w:val="18"/>
                <w:szCs w:val="18"/>
                <w:u w:val="single"/>
              </w:rPr>
            </w:pPr>
            <w:r>
              <w:rPr>
                <w:rFonts w:ascii="宋体" w:hAnsi="宋体"/>
                <w:sz w:val="18"/>
                <w:szCs w:val="18"/>
                <w:u w:val="single"/>
              </w:rPr>
              <w:t>0.0066</w:t>
            </w:r>
          </w:p>
        </w:tc>
        <w:tc>
          <w:tcPr>
            <w:tcW w:w="992" w:type="dxa"/>
            <w:vAlign w:val="center"/>
          </w:tcPr>
          <w:p>
            <w:pPr>
              <w:spacing w:after="0" w:line="240" w:lineRule="auto"/>
              <w:jc w:val="center"/>
              <w:rPr>
                <w:sz w:val="18"/>
                <w:szCs w:val="18"/>
                <w:u w:val="single"/>
              </w:rPr>
            </w:pPr>
            <w:r>
              <w:rPr>
                <w:rFonts w:ascii="宋体" w:hAnsi="宋体"/>
                <w:sz w:val="18"/>
                <w:szCs w:val="18"/>
                <w:u w:val="single"/>
              </w:rPr>
              <w:t>0.001319</w:t>
            </w:r>
          </w:p>
        </w:tc>
        <w:tc>
          <w:tcPr>
            <w:tcW w:w="1134" w:type="dxa"/>
            <w:vAlign w:val="center"/>
          </w:tcPr>
          <w:p>
            <w:pPr>
              <w:spacing w:after="0" w:line="240" w:lineRule="auto"/>
              <w:jc w:val="center"/>
              <w:rPr>
                <w:sz w:val="18"/>
                <w:szCs w:val="18"/>
                <w:u w:val="single"/>
              </w:rPr>
            </w:pPr>
            <w:r>
              <w:rPr>
                <w:rFonts w:ascii="宋体" w:hAnsi="宋体"/>
                <w:sz w:val="18"/>
                <w:szCs w:val="18"/>
                <w:u w:val="single"/>
              </w:rPr>
              <w:t>0.0330</w:t>
            </w:r>
          </w:p>
        </w:tc>
        <w:tc>
          <w:tcPr>
            <w:tcW w:w="1134" w:type="dxa"/>
            <w:vAlign w:val="center"/>
          </w:tcPr>
          <w:p>
            <w:pPr>
              <w:spacing w:after="0" w:line="240" w:lineRule="auto"/>
              <w:jc w:val="center"/>
              <w:rPr>
                <w:sz w:val="18"/>
                <w:szCs w:val="18"/>
                <w:u w:val="single"/>
              </w:rPr>
            </w:pPr>
            <w:r>
              <w:rPr>
                <w:rFonts w:ascii="宋体" w:hAnsi="宋体"/>
                <w:sz w:val="18"/>
                <w:szCs w:val="18"/>
                <w:u w:val="single"/>
              </w:rPr>
              <w:t>0.013186</w:t>
            </w:r>
          </w:p>
        </w:tc>
        <w:tc>
          <w:tcPr>
            <w:tcW w:w="1134" w:type="dxa"/>
            <w:vAlign w:val="center"/>
          </w:tcPr>
          <w:p>
            <w:pPr>
              <w:spacing w:after="0" w:line="240" w:lineRule="auto"/>
              <w:jc w:val="center"/>
              <w:rPr>
                <w:sz w:val="18"/>
                <w:szCs w:val="18"/>
                <w:u w:val="single"/>
              </w:rPr>
            </w:pPr>
            <w:r>
              <w:rPr>
                <w:rFonts w:ascii="宋体" w:hAnsi="宋体"/>
                <w:sz w:val="18"/>
                <w:szCs w:val="18"/>
                <w:u w:val="single"/>
              </w:rPr>
              <w:t>0.0053</w:t>
            </w:r>
          </w:p>
        </w:tc>
        <w:tc>
          <w:tcPr>
            <w:tcW w:w="1134" w:type="dxa"/>
            <w:vAlign w:val="center"/>
          </w:tcPr>
          <w:p>
            <w:pPr>
              <w:spacing w:after="0" w:line="240" w:lineRule="auto"/>
              <w:jc w:val="center"/>
              <w:rPr>
                <w:sz w:val="18"/>
                <w:szCs w:val="18"/>
                <w:u w:val="single"/>
              </w:rPr>
            </w:pPr>
            <w:r>
              <w:rPr>
                <w:rFonts w:ascii="宋体" w:hAnsi="宋体"/>
                <w:sz w:val="18"/>
                <w:szCs w:val="18"/>
                <w:u w:val="single"/>
              </w:rPr>
              <w:t>0.001172</w:t>
            </w:r>
          </w:p>
        </w:tc>
        <w:tc>
          <w:tcPr>
            <w:tcW w:w="1418" w:type="dxa"/>
            <w:vAlign w:val="center"/>
          </w:tcPr>
          <w:p>
            <w:pPr>
              <w:jc w:val="center"/>
              <w:rPr>
                <w:u w:val="single"/>
              </w:rPr>
            </w:pPr>
            <w:r>
              <w:rPr>
                <w:rFonts w:ascii="宋体" w:hAnsi="宋体"/>
                <w:sz w:val="23"/>
                <w:szCs w:val="23"/>
                <w:u w:val="single"/>
              </w:rPr>
              <w:t>4×10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0.1015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500.0</w:t>
            </w:r>
          </w:p>
        </w:tc>
        <w:tc>
          <w:tcPr>
            <w:tcW w:w="1105" w:type="dxa"/>
            <w:vAlign w:val="center"/>
          </w:tcPr>
          <w:p>
            <w:pPr>
              <w:spacing w:after="0" w:line="240" w:lineRule="auto"/>
              <w:jc w:val="center"/>
              <w:rPr>
                <w:sz w:val="18"/>
                <w:szCs w:val="18"/>
                <w:u w:val="single"/>
              </w:rPr>
            </w:pPr>
            <w:r>
              <w:rPr>
                <w:rFonts w:ascii="宋体" w:hAnsi="宋体"/>
                <w:sz w:val="18"/>
                <w:szCs w:val="18"/>
                <w:u w:val="single"/>
              </w:rPr>
              <w:t>0.0068</w:t>
            </w:r>
          </w:p>
        </w:tc>
        <w:tc>
          <w:tcPr>
            <w:tcW w:w="992" w:type="dxa"/>
            <w:vAlign w:val="center"/>
          </w:tcPr>
          <w:p>
            <w:pPr>
              <w:spacing w:after="0" w:line="240" w:lineRule="auto"/>
              <w:jc w:val="center"/>
              <w:rPr>
                <w:sz w:val="18"/>
                <w:szCs w:val="18"/>
                <w:u w:val="single"/>
              </w:rPr>
            </w:pPr>
            <w:r>
              <w:rPr>
                <w:rFonts w:ascii="宋体" w:hAnsi="宋体"/>
                <w:sz w:val="18"/>
                <w:szCs w:val="18"/>
                <w:u w:val="single"/>
              </w:rPr>
              <w:t>0.001359</w:t>
            </w:r>
          </w:p>
        </w:tc>
        <w:tc>
          <w:tcPr>
            <w:tcW w:w="1134" w:type="dxa"/>
            <w:vAlign w:val="center"/>
          </w:tcPr>
          <w:p>
            <w:pPr>
              <w:spacing w:after="0" w:line="240" w:lineRule="auto"/>
              <w:jc w:val="center"/>
              <w:rPr>
                <w:sz w:val="18"/>
                <w:szCs w:val="18"/>
                <w:u w:val="single"/>
              </w:rPr>
            </w:pPr>
            <w:r>
              <w:rPr>
                <w:rFonts w:ascii="宋体" w:hAnsi="宋体"/>
                <w:sz w:val="18"/>
                <w:szCs w:val="18"/>
                <w:u w:val="single"/>
              </w:rPr>
              <w:t>0.0340</w:t>
            </w:r>
          </w:p>
        </w:tc>
        <w:tc>
          <w:tcPr>
            <w:tcW w:w="1134" w:type="dxa"/>
            <w:vAlign w:val="center"/>
          </w:tcPr>
          <w:p>
            <w:pPr>
              <w:spacing w:after="0" w:line="240" w:lineRule="auto"/>
              <w:jc w:val="center"/>
              <w:rPr>
                <w:sz w:val="18"/>
                <w:szCs w:val="18"/>
                <w:u w:val="single"/>
              </w:rPr>
            </w:pPr>
            <w:r>
              <w:rPr>
                <w:rFonts w:ascii="宋体" w:hAnsi="宋体"/>
                <w:sz w:val="18"/>
                <w:szCs w:val="18"/>
                <w:u w:val="single"/>
              </w:rPr>
              <w:t>0.013583</w:t>
            </w:r>
          </w:p>
        </w:tc>
        <w:tc>
          <w:tcPr>
            <w:tcW w:w="1134" w:type="dxa"/>
            <w:vAlign w:val="center"/>
          </w:tcPr>
          <w:p>
            <w:pPr>
              <w:spacing w:after="0" w:line="240" w:lineRule="auto"/>
              <w:jc w:val="center"/>
              <w:rPr>
                <w:sz w:val="18"/>
                <w:szCs w:val="18"/>
                <w:u w:val="single"/>
              </w:rPr>
            </w:pPr>
            <w:r>
              <w:rPr>
                <w:rFonts w:ascii="宋体" w:hAnsi="宋体"/>
                <w:sz w:val="18"/>
                <w:szCs w:val="18"/>
                <w:u w:val="single"/>
              </w:rPr>
              <w:t>0.0054</w:t>
            </w:r>
          </w:p>
        </w:tc>
        <w:tc>
          <w:tcPr>
            <w:tcW w:w="1134" w:type="dxa"/>
            <w:vAlign w:val="center"/>
          </w:tcPr>
          <w:p>
            <w:pPr>
              <w:spacing w:after="0" w:line="240" w:lineRule="auto"/>
              <w:jc w:val="center"/>
              <w:rPr>
                <w:sz w:val="18"/>
                <w:szCs w:val="18"/>
                <w:u w:val="single"/>
              </w:rPr>
            </w:pPr>
            <w:r>
              <w:rPr>
                <w:rFonts w:ascii="宋体" w:hAnsi="宋体"/>
                <w:sz w:val="18"/>
                <w:szCs w:val="18"/>
                <w:u w:val="single"/>
              </w:rPr>
              <w:t>0.001207</w:t>
            </w:r>
          </w:p>
        </w:tc>
        <w:tc>
          <w:tcPr>
            <w:tcW w:w="1418" w:type="dxa"/>
            <w:vAlign w:val="center"/>
          </w:tcPr>
          <w:p>
            <w:pPr>
              <w:jc w:val="center"/>
              <w:rPr>
                <w:u w:val="single"/>
              </w:rPr>
            </w:pPr>
            <w:r>
              <w:rPr>
                <w:rFonts w:ascii="宋体" w:hAnsi="宋体"/>
                <w:sz w:val="23"/>
                <w:szCs w:val="23"/>
                <w:u w:val="single"/>
              </w:rPr>
              <w:t>4×10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0.1085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600.0</w:t>
            </w:r>
          </w:p>
        </w:tc>
        <w:tc>
          <w:tcPr>
            <w:tcW w:w="1105" w:type="dxa"/>
            <w:vAlign w:val="center"/>
          </w:tcPr>
          <w:p>
            <w:pPr>
              <w:spacing w:after="0" w:line="240" w:lineRule="auto"/>
              <w:jc w:val="center"/>
              <w:rPr>
                <w:sz w:val="18"/>
                <w:szCs w:val="18"/>
                <w:u w:val="single"/>
              </w:rPr>
            </w:pPr>
            <w:r>
              <w:rPr>
                <w:rFonts w:ascii="宋体" w:hAnsi="宋体"/>
                <w:sz w:val="18"/>
                <w:szCs w:val="18"/>
                <w:u w:val="single"/>
              </w:rPr>
              <w:t>0.0085</w:t>
            </w:r>
          </w:p>
        </w:tc>
        <w:tc>
          <w:tcPr>
            <w:tcW w:w="992" w:type="dxa"/>
            <w:vAlign w:val="center"/>
          </w:tcPr>
          <w:p>
            <w:pPr>
              <w:spacing w:after="0" w:line="240" w:lineRule="auto"/>
              <w:jc w:val="center"/>
              <w:rPr>
                <w:sz w:val="18"/>
                <w:szCs w:val="18"/>
                <w:u w:val="single"/>
              </w:rPr>
            </w:pPr>
            <w:r>
              <w:rPr>
                <w:rFonts w:ascii="宋体" w:hAnsi="宋体"/>
                <w:sz w:val="18"/>
                <w:szCs w:val="18"/>
                <w:u w:val="single"/>
              </w:rPr>
              <w:t>0.001707</w:t>
            </w:r>
          </w:p>
        </w:tc>
        <w:tc>
          <w:tcPr>
            <w:tcW w:w="1134" w:type="dxa"/>
            <w:vAlign w:val="center"/>
          </w:tcPr>
          <w:p>
            <w:pPr>
              <w:spacing w:after="0" w:line="240" w:lineRule="auto"/>
              <w:jc w:val="center"/>
              <w:rPr>
                <w:sz w:val="18"/>
                <w:szCs w:val="18"/>
                <w:u w:val="single"/>
              </w:rPr>
            </w:pPr>
            <w:r>
              <w:rPr>
                <w:rFonts w:ascii="宋体" w:hAnsi="宋体"/>
                <w:sz w:val="18"/>
                <w:szCs w:val="18"/>
                <w:u w:val="single"/>
              </w:rPr>
              <w:t>0.0426</w:t>
            </w:r>
          </w:p>
        </w:tc>
        <w:tc>
          <w:tcPr>
            <w:tcW w:w="1134" w:type="dxa"/>
            <w:vAlign w:val="center"/>
          </w:tcPr>
          <w:p>
            <w:pPr>
              <w:spacing w:after="0" w:line="240" w:lineRule="auto"/>
              <w:jc w:val="center"/>
              <w:rPr>
                <w:sz w:val="18"/>
                <w:szCs w:val="18"/>
                <w:u w:val="single"/>
              </w:rPr>
            </w:pPr>
            <w:r>
              <w:rPr>
                <w:rFonts w:ascii="宋体" w:hAnsi="宋体"/>
                <w:sz w:val="18"/>
                <w:szCs w:val="18"/>
                <w:u w:val="single"/>
              </w:rPr>
              <w:t>0.017059</w:t>
            </w:r>
          </w:p>
        </w:tc>
        <w:tc>
          <w:tcPr>
            <w:tcW w:w="1134" w:type="dxa"/>
            <w:vAlign w:val="center"/>
          </w:tcPr>
          <w:p>
            <w:pPr>
              <w:spacing w:after="0" w:line="240" w:lineRule="auto"/>
              <w:jc w:val="center"/>
              <w:rPr>
                <w:sz w:val="18"/>
                <w:szCs w:val="18"/>
                <w:u w:val="single"/>
              </w:rPr>
            </w:pPr>
            <w:r>
              <w:rPr>
                <w:rFonts w:ascii="宋体" w:hAnsi="宋体"/>
                <w:sz w:val="18"/>
                <w:szCs w:val="18"/>
                <w:u w:val="single"/>
              </w:rPr>
              <w:t>0.0068</w:t>
            </w:r>
          </w:p>
        </w:tc>
        <w:tc>
          <w:tcPr>
            <w:tcW w:w="1134" w:type="dxa"/>
            <w:vAlign w:val="center"/>
          </w:tcPr>
          <w:p>
            <w:pPr>
              <w:spacing w:after="0" w:line="240" w:lineRule="auto"/>
              <w:jc w:val="center"/>
              <w:rPr>
                <w:sz w:val="18"/>
                <w:szCs w:val="18"/>
                <w:u w:val="single"/>
              </w:rPr>
            </w:pPr>
            <w:r>
              <w:rPr>
                <w:rFonts w:ascii="宋体" w:hAnsi="宋体"/>
                <w:sz w:val="18"/>
                <w:szCs w:val="18"/>
                <w:u w:val="single"/>
              </w:rPr>
              <w:t>0.001516</w:t>
            </w:r>
          </w:p>
        </w:tc>
        <w:tc>
          <w:tcPr>
            <w:tcW w:w="1418" w:type="dxa"/>
            <w:vAlign w:val="center"/>
          </w:tcPr>
          <w:p>
            <w:pPr>
              <w:jc w:val="center"/>
              <w:rPr>
                <w:u w:val="single"/>
              </w:rPr>
            </w:pPr>
            <w:r>
              <w:rPr>
                <w:rFonts w:ascii="宋体" w:hAnsi="宋体"/>
                <w:sz w:val="23"/>
                <w:szCs w:val="23"/>
                <w:u w:val="single"/>
              </w:rPr>
              <w:t>5×10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0.1411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700.0</w:t>
            </w:r>
          </w:p>
        </w:tc>
        <w:tc>
          <w:tcPr>
            <w:tcW w:w="1105" w:type="dxa"/>
            <w:vAlign w:val="center"/>
          </w:tcPr>
          <w:p>
            <w:pPr>
              <w:spacing w:after="0" w:line="240" w:lineRule="auto"/>
              <w:jc w:val="center"/>
              <w:rPr>
                <w:sz w:val="18"/>
                <w:szCs w:val="18"/>
                <w:u w:val="single"/>
              </w:rPr>
            </w:pPr>
            <w:r>
              <w:rPr>
                <w:rFonts w:ascii="宋体" w:hAnsi="宋体"/>
                <w:sz w:val="18"/>
                <w:szCs w:val="18"/>
                <w:u w:val="single"/>
              </w:rPr>
              <w:t>0.0097</w:t>
            </w:r>
          </w:p>
        </w:tc>
        <w:tc>
          <w:tcPr>
            <w:tcW w:w="992" w:type="dxa"/>
            <w:vAlign w:val="center"/>
          </w:tcPr>
          <w:p>
            <w:pPr>
              <w:spacing w:after="0" w:line="240" w:lineRule="auto"/>
              <w:jc w:val="center"/>
              <w:rPr>
                <w:sz w:val="18"/>
                <w:szCs w:val="18"/>
                <w:u w:val="single"/>
              </w:rPr>
            </w:pPr>
            <w:r>
              <w:rPr>
                <w:rFonts w:ascii="宋体" w:hAnsi="宋体"/>
                <w:sz w:val="18"/>
                <w:szCs w:val="18"/>
                <w:u w:val="single"/>
              </w:rPr>
              <w:t>0.001943</w:t>
            </w:r>
          </w:p>
        </w:tc>
        <w:tc>
          <w:tcPr>
            <w:tcW w:w="1134" w:type="dxa"/>
            <w:vAlign w:val="center"/>
          </w:tcPr>
          <w:p>
            <w:pPr>
              <w:spacing w:after="0" w:line="240" w:lineRule="auto"/>
              <w:jc w:val="center"/>
              <w:rPr>
                <w:sz w:val="18"/>
                <w:szCs w:val="18"/>
                <w:u w:val="single"/>
              </w:rPr>
            </w:pPr>
            <w:r>
              <w:rPr>
                <w:rFonts w:ascii="宋体" w:hAnsi="宋体"/>
                <w:sz w:val="18"/>
                <w:szCs w:val="18"/>
                <w:u w:val="single"/>
              </w:rPr>
              <w:t>0.0486</w:t>
            </w:r>
          </w:p>
        </w:tc>
        <w:tc>
          <w:tcPr>
            <w:tcW w:w="1134" w:type="dxa"/>
            <w:vAlign w:val="center"/>
          </w:tcPr>
          <w:p>
            <w:pPr>
              <w:spacing w:after="0" w:line="240" w:lineRule="auto"/>
              <w:jc w:val="center"/>
              <w:rPr>
                <w:sz w:val="18"/>
                <w:szCs w:val="18"/>
                <w:u w:val="single"/>
              </w:rPr>
            </w:pPr>
            <w:r>
              <w:rPr>
                <w:rFonts w:ascii="宋体" w:hAnsi="宋体"/>
                <w:sz w:val="18"/>
                <w:szCs w:val="18"/>
                <w:u w:val="single"/>
              </w:rPr>
              <w:t>0.019427</w:t>
            </w:r>
          </w:p>
        </w:tc>
        <w:tc>
          <w:tcPr>
            <w:tcW w:w="1134" w:type="dxa"/>
            <w:vAlign w:val="center"/>
          </w:tcPr>
          <w:p>
            <w:pPr>
              <w:spacing w:after="0" w:line="240" w:lineRule="auto"/>
              <w:jc w:val="center"/>
              <w:rPr>
                <w:sz w:val="18"/>
                <w:szCs w:val="18"/>
                <w:u w:val="single"/>
              </w:rPr>
            </w:pPr>
            <w:r>
              <w:rPr>
                <w:rFonts w:ascii="宋体" w:hAnsi="宋体"/>
                <w:sz w:val="18"/>
                <w:szCs w:val="18"/>
                <w:u w:val="single"/>
              </w:rPr>
              <w:t>0.0078</w:t>
            </w:r>
          </w:p>
        </w:tc>
        <w:tc>
          <w:tcPr>
            <w:tcW w:w="1134" w:type="dxa"/>
            <w:vAlign w:val="center"/>
          </w:tcPr>
          <w:p>
            <w:pPr>
              <w:spacing w:after="0" w:line="240" w:lineRule="auto"/>
              <w:jc w:val="center"/>
              <w:rPr>
                <w:sz w:val="18"/>
                <w:szCs w:val="18"/>
                <w:u w:val="single"/>
              </w:rPr>
            </w:pPr>
            <w:r>
              <w:rPr>
                <w:rFonts w:ascii="宋体" w:hAnsi="宋体"/>
                <w:sz w:val="18"/>
                <w:szCs w:val="18"/>
                <w:u w:val="single"/>
              </w:rPr>
              <w:t>0.001727</w:t>
            </w:r>
          </w:p>
        </w:tc>
        <w:tc>
          <w:tcPr>
            <w:tcW w:w="1418" w:type="dxa"/>
            <w:vAlign w:val="center"/>
          </w:tcPr>
          <w:p>
            <w:pPr>
              <w:jc w:val="center"/>
              <w:rPr>
                <w:u w:val="single"/>
              </w:rPr>
            </w:pPr>
            <w:r>
              <w:rPr>
                <w:rFonts w:ascii="宋体" w:hAnsi="宋体"/>
                <w:sz w:val="18"/>
                <w:szCs w:val="18"/>
                <w:u w:val="single"/>
              </w:rPr>
              <w:t>6×10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0.1613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800.0</w:t>
            </w:r>
          </w:p>
        </w:tc>
        <w:tc>
          <w:tcPr>
            <w:tcW w:w="1105" w:type="dxa"/>
            <w:vAlign w:val="center"/>
          </w:tcPr>
          <w:p>
            <w:pPr>
              <w:spacing w:after="0" w:line="240" w:lineRule="auto"/>
              <w:jc w:val="center"/>
              <w:rPr>
                <w:sz w:val="18"/>
                <w:szCs w:val="18"/>
                <w:u w:val="single"/>
              </w:rPr>
            </w:pPr>
            <w:r>
              <w:rPr>
                <w:rFonts w:ascii="宋体" w:hAnsi="宋体"/>
                <w:sz w:val="18"/>
                <w:szCs w:val="18"/>
                <w:u w:val="single"/>
              </w:rPr>
              <w:t>0.0102</w:t>
            </w:r>
          </w:p>
        </w:tc>
        <w:tc>
          <w:tcPr>
            <w:tcW w:w="992" w:type="dxa"/>
            <w:vAlign w:val="center"/>
          </w:tcPr>
          <w:p>
            <w:pPr>
              <w:spacing w:after="0" w:line="240" w:lineRule="auto"/>
              <w:jc w:val="center"/>
              <w:rPr>
                <w:sz w:val="18"/>
                <w:szCs w:val="18"/>
                <w:u w:val="single"/>
              </w:rPr>
            </w:pPr>
            <w:r>
              <w:rPr>
                <w:rFonts w:ascii="宋体" w:hAnsi="宋体"/>
                <w:sz w:val="18"/>
                <w:szCs w:val="18"/>
                <w:u w:val="single"/>
              </w:rPr>
              <w:t>0.002049</w:t>
            </w:r>
          </w:p>
        </w:tc>
        <w:tc>
          <w:tcPr>
            <w:tcW w:w="1134" w:type="dxa"/>
            <w:vAlign w:val="center"/>
          </w:tcPr>
          <w:p>
            <w:pPr>
              <w:spacing w:after="0" w:line="240" w:lineRule="auto"/>
              <w:jc w:val="center"/>
              <w:rPr>
                <w:sz w:val="18"/>
                <w:szCs w:val="18"/>
                <w:u w:val="single"/>
              </w:rPr>
            </w:pPr>
            <w:r>
              <w:rPr>
                <w:rFonts w:ascii="宋体" w:hAnsi="宋体"/>
                <w:sz w:val="18"/>
                <w:szCs w:val="18"/>
                <w:u w:val="single"/>
              </w:rPr>
              <w:t>0.0512</w:t>
            </w:r>
          </w:p>
        </w:tc>
        <w:tc>
          <w:tcPr>
            <w:tcW w:w="1134" w:type="dxa"/>
            <w:vAlign w:val="center"/>
          </w:tcPr>
          <w:p>
            <w:pPr>
              <w:spacing w:after="0" w:line="240" w:lineRule="auto"/>
              <w:jc w:val="center"/>
              <w:rPr>
                <w:sz w:val="18"/>
                <w:szCs w:val="18"/>
                <w:u w:val="single"/>
              </w:rPr>
            </w:pPr>
            <w:r>
              <w:rPr>
                <w:rFonts w:ascii="宋体" w:hAnsi="宋体"/>
                <w:sz w:val="18"/>
                <w:szCs w:val="18"/>
                <w:u w:val="single"/>
              </w:rPr>
              <w:t>0.020487</w:t>
            </w:r>
          </w:p>
        </w:tc>
        <w:tc>
          <w:tcPr>
            <w:tcW w:w="1134" w:type="dxa"/>
            <w:vAlign w:val="center"/>
          </w:tcPr>
          <w:p>
            <w:pPr>
              <w:spacing w:after="0" w:line="240" w:lineRule="auto"/>
              <w:jc w:val="center"/>
              <w:rPr>
                <w:sz w:val="18"/>
                <w:szCs w:val="18"/>
                <w:u w:val="single"/>
              </w:rPr>
            </w:pPr>
            <w:r>
              <w:rPr>
                <w:rFonts w:ascii="宋体" w:hAnsi="宋体"/>
                <w:sz w:val="18"/>
                <w:szCs w:val="18"/>
                <w:u w:val="single"/>
              </w:rPr>
              <w:t>0.0082</w:t>
            </w:r>
          </w:p>
        </w:tc>
        <w:tc>
          <w:tcPr>
            <w:tcW w:w="1134" w:type="dxa"/>
            <w:vAlign w:val="center"/>
          </w:tcPr>
          <w:p>
            <w:pPr>
              <w:spacing w:after="0" w:line="240" w:lineRule="auto"/>
              <w:jc w:val="center"/>
              <w:rPr>
                <w:sz w:val="18"/>
                <w:szCs w:val="18"/>
                <w:u w:val="single"/>
              </w:rPr>
            </w:pPr>
            <w:r>
              <w:rPr>
                <w:rFonts w:ascii="宋体" w:hAnsi="宋体"/>
                <w:sz w:val="18"/>
                <w:szCs w:val="18"/>
                <w:u w:val="single"/>
              </w:rPr>
              <w:t>0.001821</w:t>
            </w:r>
          </w:p>
        </w:tc>
        <w:tc>
          <w:tcPr>
            <w:tcW w:w="1418" w:type="dxa"/>
            <w:vAlign w:val="center"/>
          </w:tcPr>
          <w:p>
            <w:pPr>
              <w:jc w:val="center"/>
              <w:rPr>
                <w:u w:val="single"/>
              </w:rPr>
            </w:pPr>
            <w:r>
              <w:rPr>
                <w:rFonts w:ascii="宋体" w:hAnsi="宋体"/>
                <w:sz w:val="18"/>
                <w:szCs w:val="18"/>
                <w:u w:val="single"/>
              </w:rPr>
              <w:t>6×10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0.1733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900.0</w:t>
            </w:r>
          </w:p>
        </w:tc>
        <w:tc>
          <w:tcPr>
            <w:tcW w:w="1105" w:type="dxa"/>
            <w:vAlign w:val="center"/>
          </w:tcPr>
          <w:p>
            <w:pPr>
              <w:spacing w:after="0" w:line="240" w:lineRule="auto"/>
              <w:jc w:val="center"/>
              <w:rPr>
                <w:sz w:val="18"/>
                <w:szCs w:val="18"/>
                <w:u w:val="single"/>
              </w:rPr>
            </w:pPr>
            <w:r>
              <w:rPr>
                <w:rFonts w:ascii="宋体" w:hAnsi="宋体"/>
                <w:sz w:val="18"/>
                <w:szCs w:val="18"/>
                <w:u w:val="single"/>
              </w:rPr>
              <w:t>0.0103</w:t>
            </w:r>
          </w:p>
        </w:tc>
        <w:tc>
          <w:tcPr>
            <w:tcW w:w="992" w:type="dxa"/>
            <w:vAlign w:val="center"/>
          </w:tcPr>
          <w:p>
            <w:pPr>
              <w:spacing w:after="0" w:line="240" w:lineRule="auto"/>
              <w:jc w:val="center"/>
              <w:rPr>
                <w:sz w:val="18"/>
                <w:szCs w:val="18"/>
                <w:u w:val="single"/>
              </w:rPr>
            </w:pPr>
            <w:r>
              <w:rPr>
                <w:rFonts w:ascii="宋体" w:hAnsi="宋体"/>
                <w:sz w:val="18"/>
                <w:szCs w:val="18"/>
                <w:u w:val="single"/>
              </w:rPr>
              <w:t>0.002069</w:t>
            </w:r>
          </w:p>
        </w:tc>
        <w:tc>
          <w:tcPr>
            <w:tcW w:w="1134" w:type="dxa"/>
            <w:vAlign w:val="center"/>
          </w:tcPr>
          <w:p>
            <w:pPr>
              <w:spacing w:after="0" w:line="240" w:lineRule="auto"/>
              <w:jc w:val="center"/>
              <w:rPr>
                <w:sz w:val="18"/>
                <w:szCs w:val="18"/>
                <w:u w:val="single"/>
              </w:rPr>
            </w:pPr>
            <w:r>
              <w:rPr>
                <w:rFonts w:ascii="宋体" w:hAnsi="宋体"/>
                <w:sz w:val="18"/>
                <w:szCs w:val="18"/>
                <w:u w:val="single"/>
              </w:rPr>
              <w:t>0.0517</w:t>
            </w:r>
          </w:p>
        </w:tc>
        <w:tc>
          <w:tcPr>
            <w:tcW w:w="1134" w:type="dxa"/>
            <w:vAlign w:val="center"/>
          </w:tcPr>
          <w:p>
            <w:pPr>
              <w:spacing w:after="0" w:line="240" w:lineRule="auto"/>
              <w:jc w:val="center"/>
              <w:rPr>
                <w:sz w:val="18"/>
                <w:szCs w:val="18"/>
                <w:u w:val="single"/>
              </w:rPr>
            </w:pPr>
            <w:r>
              <w:rPr>
                <w:rFonts w:ascii="宋体" w:hAnsi="宋体"/>
                <w:sz w:val="18"/>
                <w:szCs w:val="18"/>
                <w:u w:val="single"/>
              </w:rPr>
              <w:t>0.020685</w:t>
            </w:r>
          </w:p>
        </w:tc>
        <w:tc>
          <w:tcPr>
            <w:tcW w:w="1134" w:type="dxa"/>
            <w:vAlign w:val="center"/>
          </w:tcPr>
          <w:p>
            <w:pPr>
              <w:spacing w:after="0" w:line="240" w:lineRule="auto"/>
              <w:jc w:val="center"/>
              <w:rPr>
                <w:sz w:val="18"/>
                <w:szCs w:val="18"/>
                <w:u w:val="single"/>
              </w:rPr>
            </w:pPr>
            <w:r>
              <w:rPr>
                <w:rFonts w:ascii="宋体" w:hAnsi="宋体"/>
                <w:sz w:val="18"/>
                <w:szCs w:val="18"/>
                <w:u w:val="single"/>
              </w:rPr>
              <w:t>0.0083</w:t>
            </w:r>
          </w:p>
        </w:tc>
        <w:tc>
          <w:tcPr>
            <w:tcW w:w="1134" w:type="dxa"/>
            <w:vAlign w:val="center"/>
          </w:tcPr>
          <w:p>
            <w:pPr>
              <w:spacing w:after="0" w:line="240" w:lineRule="auto"/>
              <w:jc w:val="center"/>
              <w:rPr>
                <w:sz w:val="18"/>
                <w:szCs w:val="18"/>
                <w:u w:val="single"/>
              </w:rPr>
            </w:pPr>
            <w:r>
              <w:rPr>
                <w:rFonts w:ascii="宋体" w:hAnsi="宋体"/>
                <w:sz w:val="18"/>
                <w:szCs w:val="18"/>
                <w:u w:val="single"/>
              </w:rPr>
              <w:t>0.001838</w:t>
            </w:r>
          </w:p>
        </w:tc>
        <w:tc>
          <w:tcPr>
            <w:tcW w:w="1418" w:type="dxa"/>
            <w:vAlign w:val="center"/>
          </w:tcPr>
          <w:p>
            <w:pPr>
              <w:jc w:val="center"/>
              <w:rPr>
                <w:u w:val="single"/>
              </w:rPr>
            </w:pPr>
            <w:r>
              <w:rPr>
                <w:rFonts w:ascii="宋体" w:hAnsi="宋体"/>
                <w:sz w:val="18"/>
                <w:szCs w:val="18"/>
                <w:u w:val="single"/>
              </w:rPr>
              <w:t>7×10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0.1873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1000.0</w:t>
            </w:r>
          </w:p>
        </w:tc>
        <w:tc>
          <w:tcPr>
            <w:tcW w:w="1105" w:type="dxa"/>
            <w:vAlign w:val="center"/>
          </w:tcPr>
          <w:p>
            <w:pPr>
              <w:spacing w:after="0" w:line="240" w:lineRule="auto"/>
              <w:jc w:val="center"/>
              <w:rPr>
                <w:sz w:val="18"/>
                <w:szCs w:val="18"/>
                <w:u w:val="single"/>
              </w:rPr>
            </w:pPr>
            <w:r>
              <w:rPr>
                <w:rFonts w:ascii="宋体" w:hAnsi="宋体"/>
                <w:sz w:val="18"/>
                <w:szCs w:val="18"/>
                <w:u w:val="single"/>
              </w:rPr>
              <w:t>0.0104</w:t>
            </w:r>
          </w:p>
        </w:tc>
        <w:tc>
          <w:tcPr>
            <w:tcW w:w="992" w:type="dxa"/>
            <w:vAlign w:val="center"/>
          </w:tcPr>
          <w:p>
            <w:pPr>
              <w:spacing w:after="0" w:line="240" w:lineRule="auto"/>
              <w:jc w:val="center"/>
              <w:rPr>
                <w:sz w:val="18"/>
                <w:szCs w:val="18"/>
                <w:u w:val="single"/>
              </w:rPr>
            </w:pPr>
            <w:r>
              <w:rPr>
                <w:rFonts w:ascii="宋体" w:hAnsi="宋体"/>
                <w:sz w:val="18"/>
                <w:szCs w:val="18"/>
                <w:u w:val="single"/>
              </w:rPr>
              <w:t>0.002071</w:t>
            </w:r>
          </w:p>
        </w:tc>
        <w:tc>
          <w:tcPr>
            <w:tcW w:w="1134" w:type="dxa"/>
            <w:vAlign w:val="center"/>
          </w:tcPr>
          <w:p>
            <w:pPr>
              <w:spacing w:after="0" w:line="240" w:lineRule="auto"/>
              <w:jc w:val="center"/>
              <w:rPr>
                <w:sz w:val="18"/>
                <w:szCs w:val="18"/>
                <w:u w:val="single"/>
              </w:rPr>
            </w:pPr>
            <w:r>
              <w:rPr>
                <w:rFonts w:ascii="宋体" w:hAnsi="宋体"/>
                <w:sz w:val="18"/>
                <w:szCs w:val="18"/>
                <w:u w:val="single"/>
              </w:rPr>
              <w:t>0.0517</w:t>
            </w:r>
          </w:p>
        </w:tc>
        <w:tc>
          <w:tcPr>
            <w:tcW w:w="1134" w:type="dxa"/>
            <w:vAlign w:val="center"/>
          </w:tcPr>
          <w:p>
            <w:pPr>
              <w:spacing w:after="0" w:line="240" w:lineRule="auto"/>
              <w:jc w:val="center"/>
              <w:rPr>
                <w:sz w:val="18"/>
                <w:szCs w:val="18"/>
                <w:u w:val="single"/>
              </w:rPr>
            </w:pPr>
            <w:r>
              <w:rPr>
                <w:rFonts w:ascii="宋体" w:hAnsi="宋体"/>
                <w:sz w:val="18"/>
                <w:szCs w:val="18"/>
                <w:u w:val="single"/>
              </w:rPr>
              <w:t>0.020699</w:t>
            </w:r>
          </w:p>
        </w:tc>
        <w:tc>
          <w:tcPr>
            <w:tcW w:w="1134" w:type="dxa"/>
            <w:vAlign w:val="center"/>
          </w:tcPr>
          <w:p>
            <w:pPr>
              <w:spacing w:after="0" w:line="240" w:lineRule="auto"/>
              <w:jc w:val="center"/>
              <w:rPr>
                <w:sz w:val="18"/>
                <w:szCs w:val="18"/>
                <w:u w:val="single"/>
              </w:rPr>
            </w:pPr>
            <w:r>
              <w:rPr>
                <w:rFonts w:ascii="宋体" w:hAnsi="宋体"/>
                <w:sz w:val="18"/>
                <w:szCs w:val="18"/>
                <w:u w:val="single"/>
              </w:rPr>
              <w:t>0.0083</w:t>
            </w:r>
          </w:p>
        </w:tc>
        <w:tc>
          <w:tcPr>
            <w:tcW w:w="1134" w:type="dxa"/>
            <w:vAlign w:val="center"/>
          </w:tcPr>
          <w:p>
            <w:pPr>
              <w:spacing w:after="0" w:line="240" w:lineRule="auto"/>
              <w:jc w:val="center"/>
              <w:rPr>
                <w:sz w:val="18"/>
                <w:szCs w:val="18"/>
                <w:u w:val="single"/>
              </w:rPr>
            </w:pPr>
            <w:r>
              <w:rPr>
                <w:rFonts w:ascii="宋体" w:hAnsi="宋体"/>
                <w:sz w:val="18"/>
                <w:szCs w:val="18"/>
                <w:u w:val="single"/>
              </w:rPr>
              <w:t>0.001840</w:t>
            </w:r>
          </w:p>
        </w:tc>
        <w:tc>
          <w:tcPr>
            <w:tcW w:w="1418" w:type="dxa"/>
            <w:vAlign w:val="center"/>
          </w:tcPr>
          <w:p>
            <w:pPr>
              <w:jc w:val="center"/>
              <w:rPr>
                <w:u w:val="single"/>
              </w:rPr>
            </w:pPr>
            <w:r>
              <w:rPr>
                <w:rFonts w:hint="eastAsia" w:ascii="宋体" w:hAnsi="宋体"/>
                <w:sz w:val="18"/>
                <w:szCs w:val="18"/>
                <w:u w:val="single"/>
                <w:lang w:eastAsia="zh-CN"/>
              </w:rPr>
              <w:t>8</w:t>
            </w:r>
            <w:r>
              <w:rPr>
                <w:rFonts w:ascii="宋体" w:hAnsi="宋体"/>
                <w:sz w:val="18"/>
                <w:szCs w:val="18"/>
                <w:u w:val="single"/>
              </w:rPr>
              <w:t>×10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0.2006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1100.0</w:t>
            </w:r>
          </w:p>
        </w:tc>
        <w:tc>
          <w:tcPr>
            <w:tcW w:w="1105" w:type="dxa"/>
            <w:vAlign w:val="center"/>
          </w:tcPr>
          <w:p>
            <w:pPr>
              <w:spacing w:after="0" w:line="240" w:lineRule="auto"/>
              <w:jc w:val="center"/>
              <w:rPr>
                <w:sz w:val="18"/>
                <w:szCs w:val="18"/>
                <w:u w:val="single"/>
              </w:rPr>
            </w:pPr>
            <w:r>
              <w:rPr>
                <w:rFonts w:ascii="宋体" w:hAnsi="宋体"/>
                <w:sz w:val="18"/>
                <w:szCs w:val="18"/>
                <w:u w:val="single"/>
              </w:rPr>
              <w:t>0.0121</w:t>
            </w:r>
          </w:p>
        </w:tc>
        <w:tc>
          <w:tcPr>
            <w:tcW w:w="992" w:type="dxa"/>
            <w:vAlign w:val="center"/>
          </w:tcPr>
          <w:p>
            <w:pPr>
              <w:spacing w:after="0" w:line="240" w:lineRule="auto"/>
              <w:jc w:val="center"/>
              <w:rPr>
                <w:sz w:val="18"/>
                <w:szCs w:val="18"/>
                <w:u w:val="single"/>
              </w:rPr>
            </w:pPr>
            <w:r>
              <w:rPr>
                <w:rFonts w:ascii="宋体" w:hAnsi="宋体"/>
                <w:sz w:val="18"/>
                <w:szCs w:val="18"/>
                <w:u w:val="single"/>
              </w:rPr>
              <w:t>0.002429</w:t>
            </w:r>
          </w:p>
        </w:tc>
        <w:tc>
          <w:tcPr>
            <w:tcW w:w="1134" w:type="dxa"/>
            <w:vAlign w:val="center"/>
          </w:tcPr>
          <w:p>
            <w:pPr>
              <w:spacing w:after="0" w:line="240" w:lineRule="auto"/>
              <w:jc w:val="center"/>
              <w:rPr>
                <w:sz w:val="18"/>
                <w:szCs w:val="18"/>
                <w:u w:val="single"/>
              </w:rPr>
            </w:pPr>
            <w:r>
              <w:rPr>
                <w:rFonts w:ascii="宋体" w:hAnsi="宋体"/>
                <w:sz w:val="18"/>
                <w:szCs w:val="18"/>
                <w:u w:val="single"/>
              </w:rPr>
              <w:t>0.0607</w:t>
            </w:r>
          </w:p>
        </w:tc>
        <w:tc>
          <w:tcPr>
            <w:tcW w:w="1134" w:type="dxa"/>
            <w:vAlign w:val="center"/>
          </w:tcPr>
          <w:p>
            <w:pPr>
              <w:spacing w:after="0" w:line="240" w:lineRule="auto"/>
              <w:jc w:val="center"/>
              <w:rPr>
                <w:sz w:val="18"/>
                <w:szCs w:val="18"/>
                <w:u w:val="single"/>
              </w:rPr>
            </w:pPr>
            <w:r>
              <w:rPr>
                <w:rFonts w:ascii="宋体" w:hAnsi="宋体"/>
                <w:sz w:val="18"/>
                <w:szCs w:val="18"/>
                <w:u w:val="single"/>
              </w:rPr>
              <w:t>0.024285</w:t>
            </w:r>
          </w:p>
        </w:tc>
        <w:tc>
          <w:tcPr>
            <w:tcW w:w="1134" w:type="dxa"/>
            <w:vAlign w:val="center"/>
          </w:tcPr>
          <w:p>
            <w:pPr>
              <w:spacing w:after="0" w:line="240" w:lineRule="auto"/>
              <w:jc w:val="center"/>
              <w:rPr>
                <w:sz w:val="18"/>
                <w:szCs w:val="18"/>
                <w:u w:val="single"/>
              </w:rPr>
            </w:pPr>
            <w:r>
              <w:rPr>
                <w:rFonts w:ascii="宋体" w:hAnsi="宋体"/>
                <w:sz w:val="18"/>
                <w:szCs w:val="18"/>
                <w:u w:val="single"/>
              </w:rPr>
              <w:t>0.0097</w:t>
            </w:r>
          </w:p>
        </w:tc>
        <w:tc>
          <w:tcPr>
            <w:tcW w:w="1134" w:type="dxa"/>
            <w:vAlign w:val="center"/>
          </w:tcPr>
          <w:p>
            <w:pPr>
              <w:spacing w:after="0" w:line="240" w:lineRule="auto"/>
              <w:jc w:val="center"/>
              <w:rPr>
                <w:sz w:val="18"/>
                <w:szCs w:val="18"/>
                <w:u w:val="single"/>
              </w:rPr>
            </w:pPr>
            <w:r>
              <w:rPr>
                <w:rFonts w:ascii="宋体" w:hAnsi="宋体"/>
                <w:sz w:val="18"/>
                <w:szCs w:val="18"/>
                <w:u w:val="single"/>
              </w:rPr>
              <w:t>0.002159</w:t>
            </w:r>
          </w:p>
        </w:tc>
        <w:tc>
          <w:tcPr>
            <w:tcW w:w="1418" w:type="dxa"/>
            <w:vAlign w:val="center"/>
          </w:tcPr>
          <w:p>
            <w:pPr>
              <w:jc w:val="center"/>
              <w:rPr>
                <w:u w:val="single"/>
              </w:rPr>
            </w:pPr>
            <w:r>
              <w:rPr>
                <w:rFonts w:ascii="宋体" w:hAnsi="宋体"/>
                <w:sz w:val="18"/>
                <w:szCs w:val="18"/>
                <w:u w:val="single"/>
              </w:rPr>
              <w:t>9×10</w:t>
            </w:r>
            <w:r>
              <w:rPr>
                <w:rFonts w:ascii="宋体" w:hAnsi="宋体"/>
                <w:sz w:val="32"/>
                <w:szCs w:val="32"/>
                <w:u w:val="single"/>
                <w:vertAlign w:val="superscript"/>
              </w:rPr>
              <w:t>-9</w:t>
            </w:r>
          </w:p>
        </w:tc>
        <w:tc>
          <w:tcPr>
            <w:tcW w:w="1399" w:type="dxa"/>
            <w:vAlign w:val="center"/>
          </w:tcPr>
          <w:p>
            <w:pPr>
              <w:jc w:val="center"/>
              <w:rPr>
                <w:sz w:val="18"/>
                <w:szCs w:val="18"/>
                <w:u w:val="single"/>
              </w:rPr>
            </w:pPr>
            <w:r>
              <w:rPr>
                <w:rFonts w:ascii="宋体" w:hAnsi="宋体"/>
                <w:sz w:val="18"/>
                <w:szCs w:val="18"/>
                <w:u w:val="single"/>
              </w:rPr>
              <w:t>0.2405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1200.0</w:t>
            </w:r>
          </w:p>
        </w:tc>
        <w:tc>
          <w:tcPr>
            <w:tcW w:w="1105" w:type="dxa"/>
            <w:vAlign w:val="center"/>
          </w:tcPr>
          <w:p>
            <w:pPr>
              <w:spacing w:after="0" w:line="240" w:lineRule="auto"/>
              <w:jc w:val="center"/>
              <w:rPr>
                <w:sz w:val="18"/>
                <w:szCs w:val="18"/>
                <w:u w:val="single"/>
              </w:rPr>
            </w:pPr>
            <w:r>
              <w:rPr>
                <w:rFonts w:ascii="宋体" w:hAnsi="宋体"/>
                <w:sz w:val="18"/>
                <w:szCs w:val="18"/>
                <w:u w:val="single"/>
              </w:rPr>
              <w:t>0.0141</w:t>
            </w:r>
          </w:p>
        </w:tc>
        <w:tc>
          <w:tcPr>
            <w:tcW w:w="992" w:type="dxa"/>
            <w:vAlign w:val="center"/>
          </w:tcPr>
          <w:p>
            <w:pPr>
              <w:spacing w:after="0" w:line="240" w:lineRule="auto"/>
              <w:jc w:val="center"/>
              <w:rPr>
                <w:sz w:val="18"/>
                <w:szCs w:val="18"/>
                <w:u w:val="single"/>
              </w:rPr>
            </w:pPr>
            <w:r>
              <w:rPr>
                <w:rFonts w:ascii="宋体" w:hAnsi="宋体"/>
                <w:sz w:val="18"/>
                <w:szCs w:val="18"/>
                <w:u w:val="single"/>
              </w:rPr>
              <w:t>0.002811</w:t>
            </w:r>
          </w:p>
        </w:tc>
        <w:tc>
          <w:tcPr>
            <w:tcW w:w="1134" w:type="dxa"/>
            <w:vAlign w:val="center"/>
          </w:tcPr>
          <w:p>
            <w:pPr>
              <w:spacing w:after="0" w:line="240" w:lineRule="auto"/>
              <w:jc w:val="center"/>
              <w:rPr>
                <w:sz w:val="18"/>
                <w:szCs w:val="18"/>
                <w:u w:val="single"/>
              </w:rPr>
            </w:pPr>
            <w:r>
              <w:rPr>
                <w:rFonts w:ascii="宋体" w:hAnsi="宋体"/>
                <w:sz w:val="18"/>
                <w:szCs w:val="18"/>
                <w:u w:val="single"/>
              </w:rPr>
              <w:t>0.0702</w:t>
            </w:r>
          </w:p>
        </w:tc>
        <w:tc>
          <w:tcPr>
            <w:tcW w:w="1134" w:type="dxa"/>
            <w:vAlign w:val="center"/>
          </w:tcPr>
          <w:p>
            <w:pPr>
              <w:spacing w:after="0" w:line="240" w:lineRule="auto"/>
              <w:jc w:val="center"/>
              <w:rPr>
                <w:sz w:val="18"/>
                <w:szCs w:val="18"/>
                <w:u w:val="single"/>
              </w:rPr>
            </w:pPr>
            <w:r>
              <w:rPr>
                <w:rFonts w:ascii="宋体" w:hAnsi="宋体"/>
                <w:sz w:val="18"/>
                <w:szCs w:val="18"/>
                <w:u w:val="single"/>
              </w:rPr>
              <w:t>0.028096</w:t>
            </w:r>
          </w:p>
        </w:tc>
        <w:tc>
          <w:tcPr>
            <w:tcW w:w="1134" w:type="dxa"/>
            <w:vAlign w:val="center"/>
          </w:tcPr>
          <w:p>
            <w:pPr>
              <w:spacing w:after="0" w:line="240" w:lineRule="auto"/>
              <w:jc w:val="center"/>
              <w:rPr>
                <w:sz w:val="18"/>
                <w:szCs w:val="18"/>
                <w:u w:val="single"/>
              </w:rPr>
            </w:pPr>
            <w:r>
              <w:rPr>
                <w:rFonts w:ascii="宋体" w:hAnsi="宋体"/>
                <w:sz w:val="18"/>
                <w:szCs w:val="18"/>
                <w:u w:val="single"/>
              </w:rPr>
              <w:t>0.0112</w:t>
            </w:r>
          </w:p>
        </w:tc>
        <w:tc>
          <w:tcPr>
            <w:tcW w:w="1134" w:type="dxa"/>
            <w:vAlign w:val="center"/>
          </w:tcPr>
          <w:p>
            <w:pPr>
              <w:spacing w:after="0" w:line="240" w:lineRule="auto"/>
              <w:jc w:val="center"/>
              <w:rPr>
                <w:sz w:val="18"/>
                <w:szCs w:val="18"/>
                <w:u w:val="single"/>
              </w:rPr>
            </w:pPr>
            <w:r>
              <w:rPr>
                <w:rFonts w:ascii="宋体" w:hAnsi="宋体"/>
                <w:sz w:val="18"/>
                <w:szCs w:val="18"/>
                <w:u w:val="single"/>
              </w:rPr>
              <w:t>0.002497</w:t>
            </w:r>
          </w:p>
        </w:tc>
        <w:tc>
          <w:tcPr>
            <w:tcW w:w="1418" w:type="dxa"/>
            <w:vAlign w:val="center"/>
          </w:tcPr>
          <w:p>
            <w:pPr>
              <w:jc w:val="center"/>
              <w:rPr>
                <w:u w:val="single"/>
              </w:rPr>
            </w:pPr>
            <w:r>
              <w:rPr>
                <w:rFonts w:ascii="宋体" w:hAnsi="宋体"/>
                <w:sz w:val="18"/>
                <w:szCs w:val="18"/>
                <w:u w:val="single"/>
              </w:rPr>
              <w:t>1.</w:t>
            </w:r>
            <w:r>
              <w:rPr>
                <w:rFonts w:hint="eastAsia" w:ascii="宋体" w:hAnsi="宋体"/>
                <w:sz w:val="18"/>
                <w:szCs w:val="18"/>
                <w:u w:val="single"/>
                <w:lang w:eastAsia="zh-CN"/>
              </w:rPr>
              <w:t>2</w:t>
            </w:r>
            <w:r>
              <w:rPr>
                <w:rFonts w:ascii="宋体" w:hAnsi="宋体"/>
                <w:sz w:val="18"/>
                <w:szCs w:val="18"/>
                <w:u w:val="single"/>
              </w:rPr>
              <w:t>×10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w:t>
            </w:r>
            <w:r>
              <w:rPr>
                <w:rFonts w:hint="eastAsia" w:ascii="宋体" w:hAnsi="宋体"/>
                <w:sz w:val="18"/>
                <w:szCs w:val="18"/>
                <w:u w:val="single"/>
                <w:lang w:eastAsia="zh-CN"/>
              </w:rPr>
              <w:t>3328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1300.0</w:t>
            </w:r>
          </w:p>
        </w:tc>
        <w:tc>
          <w:tcPr>
            <w:tcW w:w="1105" w:type="dxa"/>
            <w:vAlign w:val="center"/>
          </w:tcPr>
          <w:p>
            <w:pPr>
              <w:spacing w:after="0" w:line="240" w:lineRule="auto"/>
              <w:jc w:val="center"/>
              <w:rPr>
                <w:sz w:val="18"/>
                <w:szCs w:val="18"/>
                <w:u w:val="single"/>
              </w:rPr>
            </w:pPr>
            <w:r>
              <w:rPr>
                <w:rFonts w:ascii="宋体" w:hAnsi="宋体"/>
                <w:sz w:val="18"/>
                <w:szCs w:val="18"/>
                <w:u w:val="single"/>
              </w:rPr>
              <w:t>0.0157</w:t>
            </w:r>
          </w:p>
        </w:tc>
        <w:tc>
          <w:tcPr>
            <w:tcW w:w="992" w:type="dxa"/>
            <w:vAlign w:val="center"/>
          </w:tcPr>
          <w:p>
            <w:pPr>
              <w:spacing w:after="0" w:line="240" w:lineRule="auto"/>
              <w:jc w:val="center"/>
              <w:rPr>
                <w:sz w:val="18"/>
                <w:szCs w:val="18"/>
                <w:u w:val="single"/>
              </w:rPr>
            </w:pPr>
            <w:r>
              <w:rPr>
                <w:rFonts w:ascii="宋体" w:hAnsi="宋体"/>
                <w:sz w:val="18"/>
                <w:szCs w:val="18"/>
                <w:u w:val="single"/>
              </w:rPr>
              <w:t>0.003133</w:t>
            </w:r>
          </w:p>
        </w:tc>
        <w:tc>
          <w:tcPr>
            <w:tcW w:w="1134" w:type="dxa"/>
            <w:vAlign w:val="center"/>
          </w:tcPr>
          <w:p>
            <w:pPr>
              <w:spacing w:after="0" w:line="240" w:lineRule="auto"/>
              <w:jc w:val="center"/>
              <w:rPr>
                <w:sz w:val="18"/>
                <w:szCs w:val="18"/>
                <w:u w:val="single"/>
              </w:rPr>
            </w:pPr>
            <w:r>
              <w:rPr>
                <w:rFonts w:ascii="宋体" w:hAnsi="宋体"/>
                <w:sz w:val="18"/>
                <w:szCs w:val="18"/>
                <w:u w:val="single"/>
              </w:rPr>
              <w:t>0.0783</w:t>
            </w:r>
          </w:p>
        </w:tc>
        <w:tc>
          <w:tcPr>
            <w:tcW w:w="1134" w:type="dxa"/>
            <w:vAlign w:val="center"/>
          </w:tcPr>
          <w:p>
            <w:pPr>
              <w:spacing w:after="0" w:line="240" w:lineRule="auto"/>
              <w:jc w:val="center"/>
              <w:rPr>
                <w:sz w:val="18"/>
                <w:szCs w:val="18"/>
                <w:u w:val="single"/>
              </w:rPr>
            </w:pPr>
            <w:r>
              <w:rPr>
                <w:rFonts w:ascii="宋体" w:hAnsi="宋体"/>
                <w:sz w:val="18"/>
                <w:szCs w:val="18"/>
                <w:u w:val="single"/>
              </w:rPr>
              <w:t>0.031315</w:t>
            </w:r>
          </w:p>
        </w:tc>
        <w:tc>
          <w:tcPr>
            <w:tcW w:w="1134" w:type="dxa"/>
            <w:vAlign w:val="center"/>
          </w:tcPr>
          <w:p>
            <w:pPr>
              <w:spacing w:after="0" w:line="240" w:lineRule="auto"/>
              <w:jc w:val="center"/>
              <w:rPr>
                <w:sz w:val="18"/>
                <w:szCs w:val="18"/>
                <w:u w:val="single"/>
              </w:rPr>
            </w:pPr>
            <w:r>
              <w:rPr>
                <w:rFonts w:ascii="宋体" w:hAnsi="宋体"/>
                <w:sz w:val="18"/>
                <w:szCs w:val="18"/>
                <w:u w:val="single"/>
              </w:rPr>
              <w:t>0.0125</w:t>
            </w:r>
          </w:p>
        </w:tc>
        <w:tc>
          <w:tcPr>
            <w:tcW w:w="1134" w:type="dxa"/>
            <w:vAlign w:val="center"/>
          </w:tcPr>
          <w:p>
            <w:pPr>
              <w:spacing w:after="0" w:line="240" w:lineRule="auto"/>
              <w:jc w:val="center"/>
              <w:rPr>
                <w:sz w:val="18"/>
                <w:szCs w:val="18"/>
                <w:u w:val="single"/>
              </w:rPr>
            </w:pPr>
            <w:r>
              <w:rPr>
                <w:rFonts w:ascii="宋体" w:hAnsi="宋体"/>
                <w:sz w:val="18"/>
                <w:szCs w:val="18"/>
                <w:u w:val="single"/>
              </w:rPr>
              <w:t>0.002783</w:t>
            </w:r>
          </w:p>
        </w:tc>
        <w:tc>
          <w:tcPr>
            <w:tcW w:w="1418" w:type="dxa"/>
            <w:vAlign w:val="center"/>
          </w:tcPr>
          <w:p>
            <w:pPr>
              <w:jc w:val="center"/>
              <w:rPr>
                <w:u w:val="single"/>
              </w:rPr>
            </w:pPr>
            <w:r>
              <w:rPr>
                <w:rFonts w:ascii="宋体" w:hAnsi="宋体"/>
                <w:sz w:val="18"/>
                <w:szCs w:val="18"/>
                <w:u w:val="single"/>
              </w:rPr>
              <w:t>1.4×10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0.3</w:t>
            </w:r>
            <w:r>
              <w:rPr>
                <w:rFonts w:hint="eastAsia" w:ascii="宋体" w:hAnsi="宋体"/>
                <w:sz w:val="18"/>
                <w:szCs w:val="18"/>
                <w:u w:val="single"/>
                <w:lang w:eastAsia="zh-CN"/>
              </w:rPr>
              <w:t>9</w:t>
            </w:r>
            <w:r>
              <w:rPr>
                <w:rFonts w:ascii="宋体" w:hAnsi="宋体"/>
                <w:sz w:val="18"/>
                <w:szCs w:val="18"/>
                <w:u w:val="single"/>
              </w:rPr>
              <w:t>83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1400.0</w:t>
            </w:r>
          </w:p>
        </w:tc>
        <w:tc>
          <w:tcPr>
            <w:tcW w:w="1105" w:type="dxa"/>
            <w:vAlign w:val="center"/>
          </w:tcPr>
          <w:p>
            <w:pPr>
              <w:spacing w:after="0" w:line="240" w:lineRule="auto"/>
              <w:jc w:val="center"/>
              <w:rPr>
                <w:sz w:val="18"/>
                <w:szCs w:val="18"/>
                <w:u w:val="single"/>
              </w:rPr>
            </w:pPr>
            <w:r>
              <w:rPr>
                <w:rFonts w:ascii="宋体" w:hAnsi="宋体"/>
                <w:sz w:val="18"/>
                <w:szCs w:val="18"/>
                <w:u w:val="single"/>
              </w:rPr>
              <w:t>0.0169</w:t>
            </w:r>
          </w:p>
        </w:tc>
        <w:tc>
          <w:tcPr>
            <w:tcW w:w="992" w:type="dxa"/>
            <w:vAlign w:val="center"/>
          </w:tcPr>
          <w:p>
            <w:pPr>
              <w:spacing w:after="0" w:line="240" w:lineRule="auto"/>
              <w:jc w:val="center"/>
              <w:rPr>
                <w:sz w:val="18"/>
                <w:szCs w:val="18"/>
                <w:u w:val="single"/>
              </w:rPr>
            </w:pPr>
            <w:r>
              <w:rPr>
                <w:rFonts w:ascii="宋体" w:hAnsi="宋体"/>
                <w:sz w:val="18"/>
                <w:szCs w:val="18"/>
                <w:u w:val="single"/>
              </w:rPr>
              <w:t>0.003383</w:t>
            </w:r>
          </w:p>
        </w:tc>
        <w:tc>
          <w:tcPr>
            <w:tcW w:w="1134" w:type="dxa"/>
            <w:vAlign w:val="center"/>
          </w:tcPr>
          <w:p>
            <w:pPr>
              <w:spacing w:after="0" w:line="240" w:lineRule="auto"/>
              <w:jc w:val="center"/>
              <w:rPr>
                <w:sz w:val="18"/>
                <w:szCs w:val="18"/>
                <w:u w:val="single"/>
              </w:rPr>
            </w:pPr>
            <w:r>
              <w:rPr>
                <w:rFonts w:ascii="宋体" w:hAnsi="宋体"/>
                <w:sz w:val="18"/>
                <w:szCs w:val="18"/>
                <w:u w:val="single"/>
              </w:rPr>
              <w:t>0.0846</w:t>
            </w:r>
          </w:p>
        </w:tc>
        <w:tc>
          <w:tcPr>
            <w:tcW w:w="1134" w:type="dxa"/>
            <w:vAlign w:val="center"/>
          </w:tcPr>
          <w:p>
            <w:pPr>
              <w:spacing w:after="0" w:line="240" w:lineRule="auto"/>
              <w:jc w:val="center"/>
              <w:rPr>
                <w:sz w:val="18"/>
                <w:szCs w:val="18"/>
                <w:u w:val="single"/>
              </w:rPr>
            </w:pPr>
            <w:r>
              <w:rPr>
                <w:rFonts w:ascii="宋体" w:hAnsi="宋体"/>
                <w:sz w:val="18"/>
                <w:szCs w:val="18"/>
                <w:u w:val="single"/>
              </w:rPr>
              <w:t>0.033822</w:t>
            </w:r>
          </w:p>
        </w:tc>
        <w:tc>
          <w:tcPr>
            <w:tcW w:w="1134" w:type="dxa"/>
            <w:vAlign w:val="center"/>
          </w:tcPr>
          <w:p>
            <w:pPr>
              <w:spacing w:after="0" w:line="240" w:lineRule="auto"/>
              <w:jc w:val="center"/>
              <w:rPr>
                <w:sz w:val="18"/>
                <w:szCs w:val="18"/>
                <w:u w:val="single"/>
              </w:rPr>
            </w:pPr>
            <w:r>
              <w:rPr>
                <w:rFonts w:ascii="宋体" w:hAnsi="宋体"/>
                <w:sz w:val="18"/>
                <w:szCs w:val="18"/>
                <w:u w:val="single"/>
              </w:rPr>
              <w:t>0.0135</w:t>
            </w:r>
          </w:p>
        </w:tc>
        <w:tc>
          <w:tcPr>
            <w:tcW w:w="1134" w:type="dxa"/>
            <w:vAlign w:val="center"/>
          </w:tcPr>
          <w:p>
            <w:pPr>
              <w:spacing w:after="0" w:line="240" w:lineRule="auto"/>
              <w:jc w:val="center"/>
              <w:rPr>
                <w:sz w:val="18"/>
                <w:szCs w:val="18"/>
                <w:u w:val="single"/>
              </w:rPr>
            </w:pPr>
            <w:r>
              <w:rPr>
                <w:rFonts w:ascii="宋体" w:hAnsi="宋体"/>
                <w:sz w:val="18"/>
                <w:szCs w:val="18"/>
                <w:u w:val="single"/>
              </w:rPr>
              <w:t>0.003006</w:t>
            </w:r>
          </w:p>
        </w:tc>
        <w:tc>
          <w:tcPr>
            <w:tcW w:w="1418" w:type="dxa"/>
            <w:vAlign w:val="center"/>
          </w:tcPr>
          <w:p>
            <w:pPr>
              <w:jc w:val="center"/>
              <w:rPr>
                <w:u w:val="single"/>
              </w:rPr>
            </w:pPr>
            <w:r>
              <w:rPr>
                <w:rFonts w:ascii="宋体" w:hAnsi="宋体"/>
                <w:sz w:val="18"/>
                <w:szCs w:val="18"/>
                <w:u w:val="single"/>
              </w:rPr>
              <w:t>1.</w:t>
            </w:r>
            <w:r>
              <w:rPr>
                <w:rFonts w:hint="eastAsia" w:ascii="宋体" w:hAnsi="宋体"/>
                <w:sz w:val="18"/>
                <w:szCs w:val="18"/>
                <w:u w:val="single"/>
                <w:lang w:eastAsia="zh-CN"/>
              </w:rPr>
              <w:t>7</w:t>
            </w:r>
            <w:r>
              <w:rPr>
                <w:rFonts w:ascii="宋体" w:hAnsi="宋体"/>
                <w:sz w:val="18"/>
                <w:szCs w:val="18"/>
                <w:u w:val="single"/>
              </w:rPr>
              <w:t>×10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w:t>
            </w:r>
            <w:r>
              <w:rPr>
                <w:rFonts w:hint="eastAsia" w:ascii="宋体" w:hAnsi="宋体"/>
                <w:sz w:val="18"/>
                <w:szCs w:val="18"/>
                <w:u w:val="single"/>
                <w:lang w:eastAsia="zh-CN"/>
              </w:rPr>
              <w:t>45</w:t>
            </w:r>
            <w:r>
              <w:rPr>
                <w:rFonts w:ascii="宋体" w:hAnsi="宋体"/>
                <w:sz w:val="18"/>
                <w:szCs w:val="18"/>
                <w:u w:val="single"/>
              </w:rPr>
              <w:t>83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1500.0</w:t>
            </w:r>
          </w:p>
        </w:tc>
        <w:tc>
          <w:tcPr>
            <w:tcW w:w="1105" w:type="dxa"/>
            <w:vAlign w:val="center"/>
          </w:tcPr>
          <w:p>
            <w:pPr>
              <w:spacing w:after="0" w:line="240" w:lineRule="auto"/>
              <w:jc w:val="center"/>
              <w:rPr>
                <w:sz w:val="18"/>
                <w:szCs w:val="18"/>
                <w:u w:val="single"/>
              </w:rPr>
            </w:pPr>
            <w:r>
              <w:rPr>
                <w:rFonts w:ascii="宋体" w:hAnsi="宋体"/>
                <w:sz w:val="18"/>
                <w:szCs w:val="18"/>
                <w:u w:val="single"/>
              </w:rPr>
              <w:t>0.0179</w:t>
            </w:r>
          </w:p>
        </w:tc>
        <w:tc>
          <w:tcPr>
            <w:tcW w:w="992" w:type="dxa"/>
            <w:vAlign w:val="center"/>
          </w:tcPr>
          <w:p>
            <w:pPr>
              <w:spacing w:after="0" w:line="240" w:lineRule="auto"/>
              <w:jc w:val="center"/>
              <w:rPr>
                <w:sz w:val="18"/>
                <w:szCs w:val="18"/>
                <w:u w:val="single"/>
              </w:rPr>
            </w:pPr>
            <w:r>
              <w:rPr>
                <w:rFonts w:ascii="宋体" w:hAnsi="宋体"/>
                <w:sz w:val="18"/>
                <w:szCs w:val="18"/>
                <w:u w:val="single"/>
              </w:rPr>
              <w:t>0.003585</w:t>
            </w:r>
          </w:p>
        </w:tc>
        <w:tc>
          <w:tcPr>
            <w:tcW w:w="1134" w:type="dxa"/>
            <w:vAlign w:val="center"/>
          </w:tcPr>
          <w:p>
            <w:pPr>
              <w:spacing w:after="0" w:line="240" w:lineRule="auto"/>
              <w:jc w:val="center"/>
              <w:rPr>
                <w:sz w:val="18"/>
                <w:szCs w:val="18"/>
                <w:u w:val="single"/>
              </w:rPr>
            </w:pPr>
            <w:r>
              <w:rPr>
                <w:rFonts w:ascii="宋体" w:hAnsi="宋体"/>
                <w:sz w:val="18"/>
                <w:szCs w:val="18"/>
                <w:u w:val="single"/>
              </w:rPr>
              <w:t>0.0896</w:t>
            </w:r>
          </w:p>
        </w:tc>
        <w:tc>
          <w:tcPr>
            <w:tcW w:w="1134" w:type="dxa"/>
            <w:vAlign w:val="center"/>
          </w:tcPr>
          <w:p>
            <w:pPr>
              <w:spacing w:after="0" w:line="240" w:lineRule="auto"/>
              <w:jc w:val="center"/>
              <w:rPr>
                <w:sz w:val="18"/>
                <w:szCs w:val="18"/>
                <w:u w:val="single"/>
              </w:rPr>
            </w:pPr>
            <w:r>
              <w:rPr>
                <w:rFonts w:ascii="宋体" w:hAnsi="宋体"/>
                <w:sz w:val="18"/>
                <w:szCs w:val="18"/>
                <w:u w:val="single"/>
              </w:rPr>
              <w:t>0.035839</w:t>
            </w:r>
          </w:p>
        </w:tc>
        <w:tc>
          <w:tcPr>
            <w:tcW w:w="1134" w:type="dxa"/>
            <w:vAlign w:val="center"/>
          </w:tcPr>
          <w:p>
            <w:pPr>
              <w:spacing w:after="0" w:line="240" w:lineRule="auto"/>
              <w:jc w:val="center"/>
              <w:rPr>
                <w:sz w:val="18"/>
                <w:szCs w:val="18"/>
                <w:u w:val="single"/>
              </w:rPr>
            </w:pPr>
            <w:r>
              <w:rPr>
                <w:rFonts w:ascii="宋体" w:hAnsi="宋体"/>
                <w:sz w:val="18"/>
                <w:szCs w:val="18"/>
                <w:u w:val="single"/>
              </w:rPr>
              <w:t>0.0143</w:t>
            </w:r>
          </w:p>
        </w:tc>
        <w:tc>
          <w:tcPr>
            <w:tcW w:w="1134" w:type="dxa"/>
            <w:vAlign w:val="center"/>
          </w:tcPr>
          <w:p>
            <w:pPr>
              <w:spacing w:after="0" w:line="240" w:lineRule="auto"/>
              <w:jc w:val="center"/>
              <w:rPr>
                <w:sz w:val="18"/>
                <w:szCs w:val="18"/>
                <w:u w:val="single"/>
              </w:rPr>
            </w:pPr>
            <w:r>
              <w:rPr>
                <w:rFonts w:ascii="宋体" w:hAnsi="宋体"/>
                <w:sz w:val="18"/>
                <w:szCs w:val="18"/>
                <w:u w:val="single"/>
              </w:rPr>
              <w:t>0.003185</w:t>
            </w:r>
          </w:p>
        </w:tc>
        <w:tc>
          <w:tcPr>
            <w:tcW w:w="1418" w:type="dxa"/>
            <w:vAlign w:val="center"/>
          </w:tcPr>
          <w:p>
            <w:pPr>
              <w:jc w:val="center"/>
              <w:rPr>
                <w:rFonts w:hint="eastAsia"/>
                <w:u w:val="single"/>
                <w:lang w:eastAsia="zh-CN"/>
              </w:rPr>
            </w:pPr>
            <w:r>
              <w:rPr>
                <w:rFonts w:hint="eastAsia" w:ascii="宋体" w:hAnsi="宋体"/>
                <w:sz w:val="18"/>
                <w:szCs w:val="18"/>
                <w:u w:val="single"/>
                <w:lang w:eastAsia="zh-CN"/>
              </w:rPr>
              <w:t>1.9</w:t>
            </w:r>
            <w:r>
              <w:rPr>
                <w:rFonts w:ascii="宋体" w:hAnsi="宋体"/>
                <w:sz w:val="18"/>
                <w:szCs w:val="18"/>
                <w:u w:val="single"/>
              </w:rPr>
              <w:t>×10</w:t>
            </w:r>
            <w:r>
              <w:rPr>
                <w:rFonts w:ascii="宋体" w:hAnsi="宋体"/>
                <w:sz w:val="32"/>
                <w:szCs w:val="32"/>
                <w:u w:val="single"/>
                <w:vertAlign w:val="superscript"/>
              </w:rPr>
              <w:t>-</w:t>
            </w:r>
            <w:r>
              <w:rPr>
                <w:rFonts w:hint="eastAsia" w:ascii="宋体" w:hAnsi="宋体"/>
                <w:sz w:val="32"/>
                <w:szCs w:val="32"/>
                <w:u w:val="single"/>
                <w:vertAlign w:val="superscript"/>
                <w:lang w:eastAsia="zh-CN"/>
              </w:rPr>
              <w:t>8</w:t>
            </w:r>
          </w:p>
        </w:tc>
        <w:tc>
          <w:tcPr>
            <w:tcW w:w="1399" w:type="dxa"/>
            <w:vAlign w:val="center"/>
          </w:tcPr>
          <w:p>
            <w:pPr>
              <w:jc w:val="center"/>
              <w:rPr>
                <w:rFonts w:hint="eastAsia"/>
                <w:sz w:val="18"/>
                <w:szCs w:val="18"/>
                <w:u w:val="single"/>
                <w:lang w:eastAsia="zh-CN"/>
              </w:rPr>
            </w:pPr>
            <w:r>
              <w:rPr>
                <w:rFonts w:ascii="宋体" w:hAnsi="宋体"/>
                <w:sz w:val="18"/>
                <w:szCs w:val="18"/>
                <w:u w:val="single"/>
              </w:rPr>
              <w:t>0.</w:t>
            </w:r>
            <w:r>
              <w:rPr>
                <w:rFonts w:hint="eastAsia" w:ascii="宋体" w:hAnsi="宋体"/>
                <w:sz w:val="18"/>
                <w:szCs w:val="18"/>
                <w:u w:val="single"/>
                <w:lang w:eastAsia="zh-CN"/>
              </w:rPr>
              <w:t>5208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1600.0</w:t>
            </w:r>
          </w:p>
        </w:tc>
        <w:tc>
          <w:tcPr>
            <w:tcW w:w="1105" w:type="dxa"/>
            <w:vAlign w:val="center"/>
          </w:tcPr>
          <w:p>
            <w:pPr>
              <w:spacing w:after="0" w:line="240" w:lineRule="auto"/>
              <w:jc w:val="center"/>
              <w:rPr>
                <w:sz w:val="18"/>
                <w:szCs w:val="18"/>
                <w:u w:val="single"/>
              </w:rPr>
            </w:pPr>
            <w:r>
              <w:rPr>
                <w:rFonts w:ascii="宋体" w:hAnsi="宋体"/>
                <w:sz w:val="18"/>
                <w:szCs w:val="18"/>
                <w:u w:val="single"/>
              </w:rPr>
              <w:t>0.0187</w:t>
            </w:r>
          </w:p>
        </w:tc>
        <w:tc>
          <w:tcPr>
            <w:tcW w:w="992" w:type="dxa"/>
            <w:vAlign w:val="center"/>
          </w:tcPr>
          <w:p>
            <w:pPr>
              <w:spacing w:after="0" w:line="240" w:lineRule="auto"/>
              <w:jc w:val="center"/>
              <w:rPr>
                <w:sz w:val="18"/>
                <w:szCs w:val="18"/>
                <w:u w:val="single"/>
              </w:rPr>
            </w:pPr>
            <w:r>
              <w:rPr>
                <w:rFonts w:ascii="宋体" w:hAnsi="宋体"/>
                <w:sz w:val="18"/>
                <w:szCs w:val="18"/>
                <w:u w:val="single"/>
              </w:rPr>
              <w:t>0.003742</w:t>
            </w:r>
          </w:p>
        </w:tc>
        <w:tc>
          <w:tcPr>
            <w:tcW w:w="1134" w:type="dxa"/>
            <w:vAlign w:val="center"/>
          </w:tcPr>
          <w:p>
            <w:pPr>
              <w:spacing w:after="0" w:line="240" w:lineRule="auto"/>
              <w:jc w:val="center"/>
              <w:rPr>
                <w:sz w:val="18"/>
                <w:szCs w:val="18"/>
                <w:u w:val="single"/>
              </w:rPr>
            </w:pPr>
            <w:r>
              <w:rPr>
                <w:rFonts w:ascii="宋体" w:hAnsi="宋体"/>
                <w:sz w:val="18"/>
                <w:szCs w:val="18"/>
                <w:u w:val="single"/>
              </w:rPr>
              <w:t>0.0935</w:t>
            </w:r>
          </w:p>
        </w:tc>
        <w:tc>
          <w:tcPr>
            <w:tcW w:w="1134" w:type="dxa"/>
            <w:vAlign w:val="center"/>
          </w:tcPr>
          <w:p>
            <w:pPr>
              <w:spacing w:after="0" w:line="240" w:lineRule="auto"/>
              <w:jc w:val="center"/>
              <w:rPr>
                <w:sz w:val="18"/>
                <w:szCs w:val="18"/>
                <w:u w:val="single"/>
              </w:rPr>
            </w:pPr>
            <w:r>
              <w:rPr>
                <w:rFonts w:ascii="宋体" w:hAnsi="宋体"/>
                <w:sz w:val="18"/>
                <w:szCs w:val="18"/>
                <w:u w:val="single"/>
              </w:rPr>
              <w:t>0.037403</w:t>
            </w:r>
          </w:p>
        </w:tc>
        <w:tc>
          <w:tcPr>
            <w:tcW w:w="1134" w:type="dxa"/>
            <w:vAlign w:val="center"/>
          </w:tcPr>
          <w:p>
            <w:pPr>
              <w:spacing w:after="0" w:line="240" w:lineRule="auto"/>
              <w:jc w:val="center"/>
              <w:rPr>
                <w:sz w:val="18"/>
                <w:szCs w:val="18"/>
                <w:u w:val="single"/>
              </w:rPr>
            </w:pPr>
            <w:r>
              <w:rPr>
                <w:rFonts w:ascii="宋体" w:hAnsi="宋体"/>
                <w:sz w:val="18"/>
                <w:szCs w:val="18"/>
                <w:u w:val="single"/>
              </w:rPr>
              <w:t>0.0150</w:t>
            </w:r>
          </w:p>
        </w:tc>
        <w:tc>
          <w:tcPr>
            <w:tcW w:w="1134" w:type="dxa"/>
            <w:vAlign w:val="center"/>
          </w:tcPr>
          <w:p>
            <w:pPr>
              <w:spacing w:after="0" w:line="240" w:lineRule="auto"/>
              <w:jc w:val="center"/>
              <w:rPr>
                <w:sz w:val="18"/>
                <w:szCs w:val="18"/>
                <w:u w:val="single"/>
              </w:rPr>
            </w:pPr>
            <w:r>
              <w:rPr>
                <w:rFonts w:ascii="宋体" w:hAnsi="宋体"/>
                <w:sz w:val="18"/>
                <w:szCs w:val="18"/>
                <w:u w:val="single"/>
              </w:rPr>
              <w:t>0.003324</w:t>
            </w:r>
          </w:p>
        </w:tc>
        <w:tc>
          <w:tcPr>
            <w:tcW w:w="1418" w:type="dxa"/>
            <w:vAlign w:val="center"/>
          </w:tcPr>
          <w:p>
            <w:pPr>
              <w:jc w:val="center"/>
              <w:rPr>
                <w:rFonts w:hint="eastAsia"/>
                <w:u w:val="single"/>
                <w:lang w:eastAsia="zh-CN"/>
              </w:rPr>
            </w:pPr>
            <w:r>
              <w:rPr>
                <w:rFonts w:hint="eastAsia" w:ascii="宋体" w:hAnsi="宋体"/>
                <w:sz w:val="18"/>
                <w:szCs w:val="18"/>
                <w:u w:val="single"/>
                <w:lang w:eastAsia="zh-CN"/>
              </w:rPr>
              <w:t>1.9</w:t>
            </w:r>
            <w:r>
              <w:rPr>
                <w:rFonts w:ascii="宋体" w:hAnsi="宋体"/>
                <w:sz w:val="18"/>
                <w:szCs w:val="18"/>
                <w:u w:val="single"/>
              </w:rPr>
              <w:t>×10</w:t>
            </w:r>
            <w:r>
              <w:rPr>
                <w:rFonts w:ascii="宋体" w:hAnsi="宋体"/>
                <w:sz w:val="32"/>
                <w:szCs w:val="32"/>
                <w:u w:val="single"/>
                <w:vertAlign w:val="superscript"/>
              </w:rPr>
              <w:t>-</w:t>
            </w:r>
            <w:r>
              <w:rPr>
                <w:rFonts w:hint="eastAsia" w:ascii="宋体" w:hAnsi="宋体"/>
                <w:sz w:val="32"/>
                <w:szCs w:val="32"/>
                <w:u w:val="single"/>
                <w:vertAlign w:val="superscript"/>
                <w:lang w:eastAsia="zh-CN"/>
              </w:rPr>
              <w:t>8</w:t>
            </w:r>
          </w:p>
        </w:tc>
        <w:tc>
          <w:tcPr>
            <w:tcW w:w="1399" w:type="dxa"/>
            <w:vAlign w:val="center"/>
          </w:tcPr>
          <w:p>
            <w:pPr>
              <w:jc w:val="center"/>
              <w:rPr>
                <w:rFonts w:hint="eastAsia"/>
                <w:sz w:val="18"/>
                <w:szCs w:val="18"/>
                <w:u w:val="single"/>
                <w:lang w:eastAsia="zh-CN"/>
              </w:rPr>
            </w:pPr>
            <w:r>
              <w:rPr>
                <w:rFonts w:ascii="宋体" w:hAnsi="宋体"/>
                <w:sz w:val="18"/>
                <w:szCs w:val="18"/>
                <w:u w:val="single"/>
              </w:rPr>
              <w:t>0.</w:t>
            </w:r>
            <w:r>
              <w:rPr>
                <w:rFonts w:hint="eastAsia" w:ascii="宋体" w:hAnsi="宋体"/>
                <w:sz w:val="18"/>
                <w:szCs w:val="18"/>
                <w:u w:val="single"/>
                <w:lang w:eastAsia="zh-CN"/>
              </w:rPr>
              <w:t>5208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1700.0</w:t>
            </w:r>
          </w:p>
        </w:tc>
        <w:tc>
          <w:tcPr>
            <w:tcW w:w="1105" w:type="dxa"/>
            <w:vAlign w:val="center"/>
          </w:tcPr>
          <w:p>
            <w:pPr>
              <w:spacing w:after="0" w:line="240" w:lineRule="auto"/>
              <w:jc w:val="center"/>
              <w:rPr>
                <w:sz w:val="18"/>
                <w:szCs w:val="18"/>
                <w:u w:val="single"/>
              </w:rPr>
            </w:pPr>
            <w:r>
              <w:rPr>
                <w:rFonts w:ascii="宋体" w:hAnsi="宋体"/>
                <w:sz w:val="18"/>
                <w:szCs w:val="18"/>
                <w:u w:val="single"/>
              </w:rPr>
              <w:t>0.0193</w:t>
            </w:r>
          </w:p>
        </w:tc>
        <w:tc>
          <w:tcPr>
            <w:tcW w:w="992" w:type="dxa"/>
            <w:vAlign w:val="center"/>
          </w:tcPr>
          <w:p>
            <w:pPr>
              <w:spacing w:after="0" w:line="240" w:lineRule="auto"/>
              <w:jc w:val="center"/>
              <w:rPr>
                <w:sz w:val="18"/>
                <w:szCs w:val="18"/>
                <w:u w:val="single"/>
              </w:rPr>
            </w:pPr>
            <w:r>
              <w:rPr>
                <w:rFonts w:ascii="宋体" w:hAnsi="宋体"/>
                <w:sz w:val="18"/>
                <w:szCs w:val="18"/>
                <w:u w:val="single"/>
              </w:rPr>
              <w:t>0.003854</w:t>
            </w:r>
          </w:p>
        </w:tc>
        <w:tc>
          <w:tcPr>
            <w:tcW w:w="1134" w:type="dxa"/>
            <w:vAlign w:val="center"/>
          </w:tcPr>
          <w:p>
            <w:pPr>
              <w:spacing w:after="0" w:line="240" w:lineRule="auto"/>
              <w:jc w:val="center"/>
              <w:rPr>
                <w:sz w:val="18"/>
                <w:szCs w:val="18"/>
                <w:u w:val="single"/>
              </w:rPr>
            </w:pPr>
            <w:r>
              <w:rPr>
                <w:rFonts w:ascii="宋体" w:hAnsi="宋体"/>
                <w:sz w:val="18"/>
                <w:szCs w:val="18"/>
                <w:u w:val="single"/>
              </w:rPr>
              <w:t>0.0963</w:t>
            </w:r>
          </w:p>
        </w:tc>
        <w:tc>
          <w:tcPr>
            <w:tcW w:w="1134" w:type="dxa"/>
            <w:vAlign w:val="center"/>
          </w:tcPr>
          <w:p>
            <w:pPr>
              <w:spacing w:after="0" w:line="240" w:lineRule="auto"/>
              <w:jc w:val="center"/>
              <w:rPr>
                <w:sz w:val="18"/>
                <w:szCs w:val="18"/>
                <w:u w:val="single"/>
              </w:rPr>
            </w:pPr>
            <w:r>
              <w:rPr>
                <w:rFonts w:ascii="宋体" w:hAnsi="宋体"/>
                <w:sz w:val="18"/>
                <w:szCs w:val="18"/>
                <w:u w:val="single"/>
              </w:rPr>
              <w:t>0.038525</w:t>
            </w:r>
          </w:p>
        </w:tc>
        <w:tc>
          <w:tcPr>
            <w:tcW w:w="1134" w:type="dxa"/>
            <w:vAlign w:val="center"/>
          </w:tcPr>
          <w:p>
            <w:pPr>
              <w:spacing w:after="0" w:line="240" w:lineRule="auto"/>
              <w:jc w:val="center"/>
              <w:rPr>
                <w:sz w:val="18"/>
                <w:szCs w:val="18"/>
                <w:u w:val="single"/>
              </w:rPr>
            </w:pPr>
            <w:r>
              <w:rPr>
                <w:rFonts w:ascii="宋体" w:hAnsi="宋体"/>
                <w:sz w:val="18"/>
                <w:szCs w:val="18"/>
                <w:u w:val="single"/>
              </w:rPr>
              <w:t>0.0154</w:t>
            </w:r>
          </w:p>
        </w:tc>
        <w:tc>
          <w:tcPr>
            <w:tcW w:w="1134" w:type="dxa"/>
            <w:vAlign w:val="center"/>
          </w:tcPr>
          <w:p>
            <w:pPr>
              <w:spacing w:after="0" w:line="240" w:lineRule="auto"/>
              <w:jc w:val="center"/>
              <w:rPr>
                <w:sz w:val="18"/>
                <w:szCs w:val="18"/>
                <w:u w:val="single"/>
              </w:rPr>
            </w:pPr>
            <w:r>
              <w:rPr>
                <w:rFonts w:ascii="宋体" w:hAnsi="宋体"/>
                <w:sz w:val="18"/>
                <w:szCs w:val="18"/>
                <w:u w:val="single"/>
              </w:rPr>
              <w:t>0.003424</w:t>
            </w:r>
          </w:p>
        </w:tc>
        <w:tc>
          <w:tcPr>
            <w:tcW w:w="1418" w:type="dxa"/>
            <w:vAlign w:val="center"/>
          </w:tcPr>
          <w:p>
            <w:pPr>
              <w:jc w:val="center"/>
              <w:rPr>
                <w:u w:val="single"/>
              </w:rPr>
            </w:pPr>
            <w:r>
              <w:rPr>
                <w:rFonts w:hint="eastAsia" w:ascii="宋体" w:hAnsi="宋体"/>
                <w:sz w:val="18"/>
                <w:szCs w:val="18"/>
                <w:u w:val="single"/>
                <w:lang w:eastAsia="zh-CN"/>
              </w:rPr>
              <w:t>2.0</w:t>
            </w:r>
            <w:r>
              <w:rPr>
                <w:rFonts w:ascii="宋体" w:hAnsi="宋体"/>
                <w:sz w:val="18"/>
                <w:szCs w:val="18"/>
                <w:u w:val="single"/>
              </w:rPr>
              <w:t>×10</w:t>
            </w:r>
            <w:r>
              <w:rPr>
                <w:rFonts w:ascii="宋体" w:hAnsi="宋体"/>
                <w:sz w:val="32"/>
                <w:szCs w:val="32"/>
                <w:u w:val="single"/>
                <w:vertAlign w:val="superscript"/>
              </w:rPr>
              <w:t>-9</w:t>
            </w:r>
          </w:p>
        </w:tc>
        <w:tc>
          <w:tcPr>
            <w:tcW w:w="1399" w:type="dxa"/>
            <w:vAlign w:val="center"/>
          </w:tcPr>
          <w:p>
            <w:pPr>
              <w:jc w:val="center"/>
              <w:rPr>
                <w:rFonts w:hint="eastAsia"/>
                <w:sz w:val="18"/>
                <w:szCs w:val="18"/>
                <w:u w:val="single"/>
                <w:lang w:eastAsia="zh-CN"/>
              </w:rPr>
            </w:pPr>
            <w:r>
              <w:rPr>
                <w:rFonts w:hint="eastAsia" w:ascii="宋体" w:hAnsi="宋体"/>
                <w:sz w:val="18"/>
                <w:szCs w:val="18"/>
                <w:u w:val="single"/>
                <w:lang w:eastAsia="zh-CN"/>
              </w:rPr>
              <w:t>0.5517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1800.0</w:t>
            </w:r>
          </w:p>
        </w:tc>
        <w:tc>
          <w:tcPr>
            <w:tcW w:w="1105" w:type="dxa"/>
            <w:vAlign w:val="center"/>
          </w:tcPr>
          <w:p>
            <w:pPr>
              <w:spacing w:after="0" w:line="240" w:lineRule="auto"/>
              <w:jc w:val="center"/>
              <w:rPr>
                <w:sz w:val="18"/>
                <w:szCs w:val="18"/>
                <w:u w:val="single"/>
              </w:rPr>
            </w:pPr>
            <w:r>
              <w:rPr>
                <w:rFonts w:ascii="宋体" w:hAnsi="宋体"/>
                <w:sz w:val="18"/>
                <w:szCs w:val="18"/>
                <w:u w:val="single"/>
              </w:rPr>
              <w:t>0.0196</w:t>
            </w:r>
          </w:p>
        </w:tc>
        <w:tc>
          <w:tcPr>
            <w:tcW w:w="992" w:type="dxa"/>
            <w:vAlign w:val="center"/>
          </w:tcPr>
          <w:p>
            <w:pPr>
              <w:spacing w:after="0" w:line="240" w:lineRule="auto"/>
              <w:jc w:val="center"/>
              <w:rPr>
                <w:sz w:val="18"/>
                <w:szCs w:val="18"/>
                <w:u w:val="single"/>
              </w:rPr>
            </w:pPr>
            <w:r>
              <w:rPr>
                <w:rFonts w:ascii="宋体" w:hAnsi="宋体"/>
                <w:sz w:val="18"/>
                <w:szCs w:val="18"/>
                <w:u w:val="single"/>
              </w:rPr>
              <w:t>0.003921</w:t>
            </w:r>
          </w:p>
        </w:tc>
        <w:tc>
          <w:tcPr>
            <w:tcW w:w="1134" w:type="dxa"/>
            <w:vAlign w:val="center"/>
          </w:tcPr>
          <w:p>
            <w:pPr>
              <w:spacing w:after="0" w:line="240" w:lineRule="auto"/>
              <w:jc w:val="center"/>
              <w:rPr>
                <w:sz w:val="18"/>
                <w:szCs w:val="18"/>
                <w:u w:val="single"/>
              </w:rPr>
            </w:pPr>
            <w:r>
              <w:rPr>
                <w:rFonts w:ascii="宋体" w:hAnsi="宋体"/>
                <w:sz w:val="18"/>
                <w:szCs w:val="18"/>
                <w:u w:val="single"/>
              </w:rPr>
              <w:t>0.0980</w:t>
            </w:r>
          </w:p>
        </w:tc>
        <w:tc>
          <w:tcPr>
            <w:tcW w:w="1134" w:type="dxa"/>
            <w:vAlign w:val="center"/>
          </w:tcPr>
          <w:p>
            <w:pPr>
              <w:spacing w:after="0" w:line="240" w:lineRule="auto"/>
              <w:jc w:val="center"/>
              <w:rPr>
                <w:sz w:val="18"/>
                <w:szCs w:val="18"/>
                <w:u w:val="single"/>
              </w:rPr>
            </w:pPr>
            <w:r>
              <w:rPr>
                <w:rFonts w:ascii="宋体" w:hAnsi="宋体"/>
                <w:sz w:val="18"/>
                <w:szCs w:val="18"/>
                <w:u w:val="single"/>
              </w:rPr>
              <w:t>0.039200</w:t>
            </w:r>
          </w:p>
        </w:tc>
        <w:tc>
          <w:tcPr>
            <w:tcW w:w="1134" w:type="dxa"/>
            <w:vAlign w:val="center"/>
          </w:tcPr>
          <w:p>
            <w:pPr>
              <w:spacing w:after="0" w:line="240" w:lineRule="auto"/>
              <w:jc w:val="center"/>
              <w:rPr>
                <w:sz w:val="18"/>
                <w:szCs w:val="18"/>
                <w:u w:val="single"/>
              </w:rPr>
            </w:pPr>
            <w:r>
              <w:rPr>
                <w:rFonts w:ascii="宋体" w:hAnsi="宋体"/>
                <w:sz w:val="18"/>
                <w:szCs w:val="18"/>
                <w:u w:val="single"/>
              </w:rPr>
              <w:t>0.0157</w:t>
            </w:r>
          </w:p>
        </w:tc>
        <w:tc>
          <w:tcPr>
            <w:tcW w:w="1134" w:type="dxa"/>
            <w:vAlign w:val="center"/>
          </w:tcPr>
          <w:p>
            <w:pPr>
              <w:spacing w:after="0" w:line="240" w:lineRule="auto"/>
              <w:jc w:val="center"/>
              <w:rPr>
                <w:sz w:val="18"/>
                <w:szCs w:val="18"/>
                <w:u w:val="single"/>
              </w:rPr>
            </w:pPr>
            <w:r>
              <w:rPr>
                <w:rFonts w:ascii="宋体" w:hAnsi="宋体"/>
                <w:sz w:val="18"/>
                <w:szCs w:val="18"/>
                <w:u w:val="single"/>
              </w:rPr>
              <w:t>0.003484</w:t>
            </w:r>
          </w:p>
        </w:tc>
        <w:tc>
          <w:tcPr>
            <w:tcW w:w="1418" w:type="dxa"/>
            <w:vAlign w:val="center"/>
          </w:tcPr>
          <w:p>
            <w:pPr>
              <w:jc w:val="center"/>
              <w:rPr>
                <w:rFonts w:hint="eastAsia"/>
                <w:u w:val="single"/>
                <w:lang w:eastAsia="zh-CN"/>
              </w:rPr>
            </w:pPr>
            <w:r>
              <w:rPr>
                <w:rFonts w:hint="eastAsia" w:ascii="宋体" w:hAnsi="宋体"/>
                <w:sz w:val="18"/>
                <w:szCs w:val="18"/>
                <w:u w:val="single"/>
                <w:lang w:eastAsia="zh-CN"/>
              </w:rPr>
              <w:t>2.2</w:t>
            </w:r>
            <w:r>
              <w:rPr>
                <w:rFonts w:ascii="宋体" w:hAnsi="宋体"/>
                <w:sz w:val="18"/>
                <w:szCs w:val="18"/>
                <w:u w:val="single"/>
              </w:rPr>
              <w:t>×10</w:t>
            </w:r>
            <w:r>
              <w:rPr>
                <w:rFonts w:ascii="宋体" w:hAnsi="宋体"/>
                <w:sz w:val="32"/>
                <w:szCs w:val="32"/>
                <w:u w:val="single"/>
                <w:vertAlign w:val="superscript"/>
              </w:rPr>
              <w:t>-</w:t>
            </w:r>
            <w:r>
              <w:rPr>
                <w:rFonts w:hint="eastAsia" w:ascii="宋体" w:hAnsi="宋体"/>
                <w:sz w:val="32"/>
                <w:szCs w:val="32"/>
                <w:u w:val="single"/>
                <w:vertAlign w:val="superscript"/>
                <w:lang w:eastAsia="zh-CN"/>
              </w:rPr>
              <w:t>8</w:t>
            </w:r>
          </w:p>
        </w:tc>
        <w:tc>
          <w:tcPr>
            <w:tcW w:w="1399" w:type="dxa"/>
            <w:vAlign w:val="center"/>
          </w:tcPr>
          <w:p>
            <w:pPr>
              <w:jc w:val="center"/>
              <w:rPr>
                <w:rFonts w:hint="eastAsia"/>
                <w:sz w:val="18"/>
                <w:szCs w:val="18"/>
                <w:u w:val="single"/>
                <w:lang w:eastAsia="zh-CN"/>
              </w:rPr>
            </w:pPr>
            <w:r>
              <w:rPr>
                <w:rFonts w:hint="eastAsia" w:ascii="宋体" w:hAnsi="宋体"/>
                <w:sz w:val="18"/>
                <w:szCs w:val="18"/>
                <w:u w:val="single"/>
                <w:lang w:eastAsia="zh-CN"/>
              </w:rPr>
              <w:t>0.6107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1900.0</w:t>
            </w:r>
          </w:p>
        </w:tc>
        <w:tc>
          <w:tcPr>
            <w:tcW w:w="1105" w:type="dxa"/>
            <w:vAlign w:val="center"/>
          </w:tcPr>
          <w:p>
            <w:pPr>
              <w:spacing w:after="0" w:line="240" w:lineRule="auto"/>
              <w:jc w:val="center"/>
              <w:rPr>
                <w:sz w:val="18"/>
                <w:szCs w:val="18"/>
                <w:u w:val="single"/>
              </w:rPr>
            </w:pPr>
            <w:r>
              <w:rPr>
                <w:rFonts w:ascii="宋体" w:hAnsi="宋体"/>
                <w:sz w:val="18"/>
                <w:szCs w:val="18"/>
                <w:u w:val="single"/>
              </w:rPr>
              <w:t>0.0197</w:t>
            </w:r>
          </w:p>
        </w:tc>
        <w:tc>
          <w:tcPr>
            <w:tcW w:w="992" w:type="dxa"/>
            <w:vAlign w:val="center"/>
          </w:tcPr>
          <w:p>
            <w:pPr>
              <w:spacing w:after="0" w:line="240" w:lineRule="auto"/>
              <w:jc w:val="center"/>
              <w:rPr>
                <w:sz w:val="18"/>
                <w:szCs w:val="18"/>
                <w:u w:val="single"/>
              </w:rPr>
            </w:pPr>
            <w:r>
              <w:rPr>
                <w:rFonts w:ascii="宋体" w:hAnsi="宋体"/>
                <w:sz w:val="18"/>
                <w:szCs w:val="18"/>
                <w:u w:val="single"/>
              </w:rPr>
              <w:t>0.003946</w:t>
            </w:r>
          </w:p>
        </w:tc>
        <w:tc>
          <w:tcPr>
            <w:tcW w:w="1134" w:type="dxa"/>
            <w:vAlign w:val="center"/>
          </w:tcPr>
          <w:p>
            <w:pPr>
              <w:spacing w:after="0" w:line="240" w:lineRule="auto"/>
              <w:jc w:val="center"/>
              <w:rPr>
                <w:sz w:val="18"/>
                <w:szCs w:val="18"/>
                <w:u w:val="single"/>
              </w:rPr>
            </w:pPr>
            <w:r>
              <w:rPr>
                <w:rFonts w:ascii="宋体" w:hAnsi="宋体"/>
                <w:sz w:val="18"/>
                <w:szCs w:val="18"/>
                <w:u w:val="single"/>
              </w:rPr>
              <w:t>0.0986</w:t>
            </w:r>
          </w:p>
        </w:tc>
        <w:tc>
          <w:tcPr>
            <w:tcW w:w="1134" w:type="dxa"/>
            <w:vAlign w:val="center"/>
          </w:tcPr>
          <w:p>
            <w:pPr>
              <w:spacing w:after="0" w:line="240" w:lineRule="auto"/>
              <w:jc w:val="center"/>
              <w:rPr>
                <w:sz w:val="18"/>
                <w:szCs w:val="18"/>
                <w:u w:val="single"/>
              </w:rPr>
            </w:pPr>
            <w:r>
              <w:rPr>
                <w:rFonts w:ascii="宋体" w:hAnsi="宋体"/>
                <w:sz w:val="18"/>
                <w:szCs w:val="18"/>
                <w:u w:val="single"/>
              </w:rPr>
              <w:t>0.039442</w:t>
            </w:r>
          </w:p>
        </w:tc>
        <w:tc>
          <w:tcPr>
            <w:tcW w:w="1134" w:type="dxa"/>
            <w:vAlign w:val="center"/>
          </w:tcPr>
          <w:p>
            <w:pPr>
              <w:spacing w:after="0" w:line="240" w:lineRule="auto"/>
              <w:jc w:val="center"/>
              <w:rPr>
                <w:sz w:val="18"/>
                <w:szCs w:val="18"/>
                <w:u w:val="single"/>
              </w:rPr>
            </w:pPr>
            <w:r>
              <w:rPr>
                <w:rFonts w:ascii="宋体" w:hAnsi="宋体"/>
                <w:sz w:val="18"/>
                <w:szCs w:val="18"/>
                <w:u w:val="single"/>
              </w:rPr>
              <w:t>0.0158</w:t>
            </w:r>
          </w:p>
        </w:tc>
        <w:tc>
          <w:tcPr>
            <w:tcW w:w="1134" w:type="dxa"/>
            <w:vAlign w:val="center"/>
          </w:tcPr>
          <w:p>
            <w:pPr>
              <w:spacing w:after="0" w:line="240" w:lineRule="auto"/>
              <w:jc w:val="center"/>
              <w:rPr>
                <w:sz w:val="18"/>
                <w:szCs w:val="18"/>
                <w:u w:val="single"/>
              </w:rPr>
            </w:pPr>
            <w:r>
              <w:rPr>
                <w:rFonts w:ascii="宋体" w:hAnsi="宋体"/>
                <w:sz w:val="18"/>
                <w:szCs w:val="18"/>
                <w:u w:val="single"/>
              </w:rPr>
              <w:t>0.003506</w:t>
            </w:r>
          </w:p>
        </w:tc>
        <w:tc>
          <w:tcPr>
            <w:tcW w:w="1418" w:type="dxa"/>
            <w:vAlign w:val="center"/>
          </w:tcPr>
          <w:p>
            <w:pPr>
              <w:jc w:val="center"/>
              <w:rPr>
                <w:u w:val="single"/>
              </w:rPr>
            </w:pPr>
            <w:r>
              <w:rPr>
                <w:rFonts w:ascii="宋体" w:hAnsi="宋体"/>
                <w:sz w:val="18"/>
                <w:szCs w:val="18"/>
                <w:u w:val="single"/>
              </w:rPr>
              <w:t>2.3×10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0.6408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1950.0</w:t>
            </w:r>
          </w:p>
        </w:tc>
        <w:tc>
          <w:tcPr>
            <w:tcW w:w="1105" w:type="dxa"/>
            <w:vAlign w:val="center"/>
          </w:tcPr>
          <w:p>
            <w:pPr>
              <w:spacing w:after="0" w:line="240" w:lineRule="auto"/>
              <w:jc w:val="center"/>
              <w:rPr>
                <w:sz w:val="18"/>
                <w:szCs w:val="18"/>
                <w:u w:val="single"/>
              </w:rPr>
            </w:pPr>
            <w:r>
              <w:rPr>
                <w:rFonts w:ascii="宋体" w:hAnsi="宋体"/>
                <w:sz w:val="18"/>
                <w:szCs w:val="18"/>
                <w:u w:val="single"/>
              </w:rPr>
              <w:t>0.0197</w:t>
            </w:r>
          </w:p>
        </w:tc>
        <w:tc>
          <w:tcPr>
            <w:tcW w:w="992" w:type="dxa"/>
            <w:vAlign w:val="center"/>
          </w:tcPr>
          <w:p>
            <w:pPr>
              <w:spacing w:after="0" w:line="240" w:lineRule="auto"/>
              <w:jc w:val="center"/>
              <w:rPr>
                <w:sz w:val="18"/>
                <w:szCs w:val="18"/>
                <w:u w:val="single"/>
              </w:rPr>
            </w:pPr>
            <w:r>
              <w:rPr>
                <w:rFonts w:ascii="宋体" w:hAnsi="宋体"/>
                <w:sz w:val="18"/>
                <w:szCs w:val="18"/>
                <w:u w:val="single"/>
              </w:rPr>
              <w:t>0.003949</w:t>
            </w:r>
          </w:p>
        </w:tc>
        <w:tc>
          <w:tcPr>
            <w:tcW w:w="1134" w:type="dxa"/>
            <w:vAlign w:val="center"/>
          </w:tcPr>
          <w:p>
            <w:pPr>
              <w:spacing w:after="0" w:line="240" w:lineRule="auto"/>
              <w:jc w:val="center"/>
              <w:rPr>
                <w:sz w:val="18"/>
                <w:szCs w:val="18"/>
                <w:u w:val="single"/>
              </w:rPr>
            </w:pPr>
            <w:r>
              <w:rPr>
                <w:rFonts w:ascii="宋体" w:hAnsi="宋体"/>
                <w:sz w:val="18"/>
                <w:szCs w:val="18"/>
                <w:u w:val="single"/>
              </w:rPr>
              <w:t>0.0987</w:t>
            </w:r>
          </w:p>
        </w:tc>
        <w:tc>
          <w:tcPr>
            <w:tcW w:w="1134" w:type="dxa"/>
            <w:vAlign w:val="center"/>
          </w:tcPr>
          <w:p>
            <w:pPr>
              <w:spacing w:after="0" w:line="240" w:lineRule="auto"/>
              <w:jc w:val="center"/>
              <w:rPr>
                <w:sz w:val="18"/>
                <w:szCs w:val="18"/>
                <w:u w:val="single"/>
              </w:rPr>
            </w:pPr>
            <w:r>
              <w:rPr>
                <w:rFonts w:ascii="宋体" w:hAnsi="宋体"/>
                <w:sz w:val="18"/>
                <w:szCs w:val="18"/>
                <w:u w:val="single"/>
              </w:rPr>
              <w:t>0.039480</w:t>
            </w:r>
          </w:p>
        </w:tc>
        <w:tc>
          <w:tcPr>
            <w:tcW w:w="1134" w:type="dxa"/>
            <w:vAlign w:val="center"/>
          </w:tcPr>
          <w:p>
            <w:pPr>
              <w:spacing w:after="0" w:line="240" w:lineRule="auto"/>
              <w:jc w:val="center"/>
              <w:rPr>
                <w:sz w:val="18"/>
                <w:szCs w:val="18"/>
                <w:u w:val="single"/>
              </w:rPr>
            </w:pPr>
            <w:r>
              <w:rPr>
                <w:rFonts w:ascii="宋体" w:hAnsi="宋体"/>
                <w:sz w:val="18"/>
                <w:szCs w:val="18"/>
                <w:u w:val="single"/>
              </w:rPr>
              <w:t>0.0158</w:t>
            </w:r>
          </w:p>
        </w:tc>
        <w:tc>
          <w:tcPr>
            <w:tcW w:w="1134" w:type="dxa"/>
            <w:vAlign w:val="center"/>
          </w:tcPr>
          <w:p>
            <w:pPr>
              <w:spacing w:after="0" w:line="240" w:lineRule="auto"/>
              <w:jc w:val="center"/>
              <w:rPr>
                <w:sz w:val="18"/>
                <w:szCs w:val="18"/>
                <w:u w:val="single"/>
              </w:rPr>
            </w:pPr>
            <w:r>
              <w:rPr>
                <w:rFonts w:ascii="宋体" w:hAnsi="宋体"/>
                <w:sz w:val="18"/>
                <w:szCs w:val="18"/>
                <w:u w:val="single"/>
              </w:rPr>
              <w:t>0.003509</w:t>
            </w:r>
          </w:p>
        </w:tc>
        <w:tc>
          <w:tcPr>
            <w:tcW w:w="1418" w:type="dxa"/>
            <w:vAlign w:val="center"/>
          </w:tcPr>
          <w:p>
            <w:pPr>
              <w:jc w:val="center"/>
              <w:rPr>
                <w:u w:val="single"/>
              </w:rPr>
            </w:pPr>
            <w:r>
              <w:rPr>
                <w:rFonts w:ascii="宋体" w:hAnsi="宋体"/>
                <w:sz w:val="18"/>
                <w:szCs w:val="18"/>
                <w:u w:val="single"/>
              </w:rPr>
              <w:t>2.4×10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0.6631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1975.0</w:t>
            </w:r>
          </w:p>
        </w:tc>
        <w:tc>
          <w:tcPr>
            <w:tcW w:w="1105" w:type="dxa"/>
            <w:vAlign w:val="center"/>
          </w:tcPr>
          <w:p>
            <w:pPr>
              <w:spacing w:after="0" w:line="240" w:lineRule="auto"/>
              <w:jc w:val="center"/>
              <w:rPr>
                <w:sz w:val="18"/>
                <w:szCs w:val="18"/>
                <w:u w:val="single"/>
              </w:rPr>
            </w:pPr>
            <w:r>
              <w:rPr>
                <w:rFonts w:ascii="宋体" w:hAnsi="宋体"/>
                <w:sz w:val="18"/>
                <w:szCs w:val="18"/>
                <w:u w:val="single"/>
              </w:rPr>
              <w:t>0.0197</w:t>
            </w:r>
          </w:p>
        </w:tc>
        <w:tc>
          <w:tcPr>
            <w:tcW w:w="992" w:type="dxa"/>
            <w:vAlign w:val="center"/>
          </w:tcPr>
          <w:p>
            <w:pPr>
              <w:spacing w:after="0" w:line="240" w:lineRule="auto"/>
              <w:jc w:val="center"/>
              <w:rPr>
                <w:sz w:val="18"/>
                <w:szCs w:val="18"/>
                <w:u w:val="single"/>
              </w:rPr>
            </w:pPr>
            <w:r>
              <w:rPr>
                <w:rFonts w:ascii="宋体" w:hAnsi="宋体"/>
                <w:sz w:val="18"/>
                <w:szCs w:val="18"/>
                <w:u w:val="single"/>
              </w:rPr>
              <w:t>0.003950</w:t>
            </w:r>
          </w:p>
        </w:tc>
        <w:tc>
          <w:tcPr>
            <w:tcW w:w="1134" w:type="dxa"/>
            <w:vAlign w:val="center"/>
          </w:tcPr>
          <w:p>
            <w:pPr>
              <w:spacing w:after="0" w:line="240" w:lineRule="auto"/>
              <w:jc w:val="center"/>
              <w:rPr>
                <w:sz w:val="18"/>
                <w:szCs w:val="18"/>
                <w:u w:val="single"/>
              </w:rPr>
            </w:pPr>
            <w:r>
              <w:rPr>
                <w:rFonts w:ascii="宋体" w:hAnsi="宋体"/>
                <w:sz w:val="18"/>
                <w:szCs w:val="18"/>
                <w:u w:val="single"/>
              </w:rPr>
              <w:t>0.0987</w:t>
            </w:r>
          </w:p>
        </w:tc>
        <w:tc>
          <w:tcPr>
            <w:tcW w:w="1134" w:type="dxa"/>
            <w:vAlign w:val="center"/>
          </w:tcPr>
          <w:p>
            <w:pPr>
              <w:spacing w:after="0" w:line="240" w:lineRule="auto"/>
              <w:jc w:val="center"/>
              <w:rPr>
                <w:sz w:val="18"/>
                <w:szCs w:val="18"/>
                <w:u w:val="single"/>
              </w:rPr>
            </w:pPr>
            <w:r>
              <w:rPr>
                <w:rFonts w:ascii="宋体" w:hAnsi="宋体"/>
                <w:sz w:val="18"/>
                <w:szCs w:val="18"/>
                <w:u w:val="single"/>
              </w:rPr>
              <w:t>0.039484</w:t>
            </w:r>
          </w:p>
        </w:tc>
        <w:tc>
          <w:tcPr>
            <w:tcW w:w="1134" w:type="dxa"/>
            <w:vAlign w:val="center"/>
          </w:tcPr>
          <w:p>
            <w:pPr>
              <w:spacing w:after="0" w:line="240" w:lineRule="auto"/>
              <w:jc w:val="center"/>
              <w:rPr>
                <w:sz w:val="18"/>
                <w:szCs w:val="18"/>
                <w:u w:val="single"/>
              </w:rPr>
            </w:pPr>
            <w:r>
              <w:rPr>
                <w:rFonts w:ascii="宋体" w:hAnsi="宋体"/>
                <w:sz w:val="18"/>
                <w:szCs w:val="18"/>
                <w:u w:val="single"/>
              </w:rPr>
              <w:t>0.0158</w:t>
            </w:r>
          </w:p>
        </w:tc>
        <w:tc>
          <w:tcPr>
            <w:tcW w:w="1134" w:type="dxa"/>
            <w:vAlign w:val="center"/>
          </w:tcPr>
          <w:p>
            <w:pPr>
              <w:spacing w:after="0" w:line="240" w:lineRule="auto"/>
              <w:jc w:val="center"/>
              <w:rPr>
                <w:sz w:val="18"/>
                <w:szCs w:val="18"/>
                <w:u w:val="single"/>
              </w:rPr>
            </w:pPr>
            <w:r>
              <w:rPr>
                <w:rFonts w:ascii="宋体" w:hAnsi="宋体"/>
                <w:sz w:val="18"/>
                <w:szCs w:val="18"/>
                <w:u w:val="single"/>
              </w:rPr>
              <w:t>0.003509</w:t>
            </w:r>
          </w:p>
        </w:tc>
        <w:tc>
          <w:tcPr>
            <w:tcW w:w="1418" w:type="dxa"/>
            <w:vAlign w:val="bottom"/>
          </w:tcPr>
          <w:p>
            <w:pPr>
              <w:jc w:val="center"/>
              <w:rPr>
                <w:sz w:val="18"/>
                <w:szCs w:val="18"/>
                <w:u w:val="single"/>
              </w:rPr>
            </w:pPr>
            <w:r>
              <w:rPr>
                <w:rFonts w:ascii="宋体" w:hAnsi="宋体"/>
                <w:sz w:val="18"/>
                <w:szCs w:val="18"/>
                <w:u w:val="single"/>
              </w:rPr>
              <w:t>2.6×10</w:t>
            </w:r>
            <w:r>
              <w:rPr>
                <w:rFonts w:ascii="宋体" w:hAnsi="宋体"/>
                <w:sz w:val="32"/>
                <w:szCs w:val="32"/>
                <w:u w:val="single"/>
                <w:vertAlign w:val="superscript"/>
              </w:rPr>
              <w:t>-8</w:t>
            </w:r>
          </w:p>
        </w:tc>
        <w:tc>
          <w:tcPr>
            <w:tcW w:w="1399" w:type="dxa"/>
            <w:vAlign w:val="bottom"/>
          </w:tcPr>
          <w:p>
            <w:pPr>
              <w:jc w:val="center"/>
              <w:rPr>
                <w:sz w:val="18"/>
                <w:szCs w:val="18"/>
                <w:u w:val="single"/>
              </w:rPr>
            </w:pPr>
            <w:r>
              <w:rPr>
                <w:rFonts w:ascii="宋体" w:hAnsi="宋体"/>
                <w:sz w:val="18"/>
                <w:szCs w:val="18"/>
                <w:u w:val="single"/>
              </w:rPr>
              <w:t>0.7255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2000.0</w:t>
            </w:r>
          </w:p>
        </w:tc>
        <w:tc>
          <w:tcPr>
            <w:tcW w:w="1105" w:type="dxa"/>
            <w:vAlign w:val="center"/>
          </w:tcPr>
          <w:p>
            <w:pPr>
              <w:spacing w:after="0" w:line="240" w:lineRule="auto"/>
              <w:jc w:val="center"/>
              <w:rPr>
                <w:sz w:val="18"/>
                <w:szCs w:val="18"/>
                <w:u w:val="single"/>
              </w:rPr>
            </w:pPr>
            <w:r>
              <w:rPr>
                <w:rFonts w:ascii="宋体" w:hAnsi="宋体"/>
                <w:sz w:val="18"/>
                <w:szCs w:val="18"/>
                <w:u w:val="single"/>
              </w:rPr>
              <w:t>0.0197</w:t>
            </w:r>
          </w:p>
        </w:tc>
        <w:tc>
          <w:tcPr>
            <w:tcW w:w="992" w:type="dxa"/>
            <w:vAlign w:val="center"/>
          </w:tcPr>
          <w:p>
            <w:pPr>
              <w:spacing w:after="0" w:line="240" w:lineRule="auto"/>
              <w:jc w:val="center"/>
              <w:rPr>
                <w:sz w:val="18"/>
                <w:szCs w:val="18"/>
                <w:u w:val="single"/>
              </w:rPr>
            </w:pPr>
            <w:r>
              <w:rPr>
                <w:rFonts w:ascii="宋体" w:hAnsi="宋体"/>
                <w:sz w:val="18"/>
                <w:szCs w:val="18"/>
                <w:u w:val="single"/>
              </w:rPr>
              <w:t>0.003950</w:t>
            </w:r>
          </w:p>
        </w:tc>
        <w:tc>
          <w:tcPr>
            <w:tcW w:w="1134" w:type="dxa"/>
            <w:vAlign w:val="center"/>
          </w:tcPr>
          <w:p>
            <w:pPr>
              <w:spacing w:after="0" w:line="240" w:lineRule="auto"/>
              <w:jc w:val="center"/>
              <w:rPr>
                <w:sz w:val="18"/>
                <w:szCs w:val="18"/>
                <w:u w:val="single"/>
              </w:rPr>
            </w:pPr>
            <w:r>
              <w:rPr>
                <w:rFonts w:ascii="宋体" w:hAnsi="宋体"/>
                <w:sz w:val="18"/>
                <w:szCs w:val="18"/>
                <w:u w:val="single"/>
              </w:rPr>
              <w:t>0.0987</w:t>
            </w:r>
          </w:p>
        </w:tc>
        <w:tc>
          <w:tcPr>
            <w:tcW w:w="1134" w:type="dxa"/>
            <w:vAlign w:val="center"/>
          </w:tcPr>
          <w:p>
            <w:pPr>
              <w:spacing w:after="0" w:line="240" w:lineRule="auto"/>
              <w:jc w:val="center"/>
              <w:rPr>
                <w:sz w:val="18"/>
                <w:szCs w:val="18"/>
                <w:u w:val="single"/>
              </w:rPr>
            </w:pPr>
            <w:r>
              <w:rPr>
                <w:rFonts w:ascii="宋体" w:hAnsi="宋体"/>
                <w:sz w:val="18"/>
                <w:szCs w:val="18"/>
                <w:u w:val="single"/>
              </w:rPr>
              <w:t>0.039482</w:t>
            </w:r>
          </w:p>
        </w:tc>
        <w:tc>
          <w:tcPr>
            <w:tcW w:w="1134" w:type="dxa"/>
            <w:vAlign w:val="center"/>
          </w:tcPr>
          <w:p>
            <w:pPr>
              <w:spacing w:after="0" w:line="240" w:lineRule="auto"/>
              <w:jc w:val="center"/>
              <w:rPr>
                <w:sz w:val="18"/>
                <w:szCs w:val="18"/>
                <w:u w:val="single"/>
              </w:rPr>
            </w:pPr>
            <w:r>
              <w:rPr>
                <w:rFonts w:ascii="宋体" w:hAnsi="宋体"/>
                <w:sz w:val="18"/>
                <w:szCs w:val="18"/>
                <w:u w:val="single"/>
              </w:rPr>
              <w:t>0.0158</w:t>
            </w:r>
          </w:p>
        </w:tc>
        <w:tc>
          <w:tcPr>
            <w:tcW w:w="1134" w:type="dxa"/>
            <w:vAlign w:val="center"/>
          </w:tcPr>
          <w:p>
            <w:pPr>
              <w:spacing w:after="0" w:line="240" w:lineRule="auto"/>
              <w:jc w:val="center"/>
              <w:rPr>
                <w:sz w:val="18"/>
                <w:szCs w:val="18"/>
                <w:u w:val="single"/>
              </w:rPr>
            </w:pPr>
            <w:r>
              <w:rPr>
                <w:rFonts w:ascii="宋体" w:hAnsi="宋体"/>
                <w:sz w:val="18"/>
                <w:szCs w:val="18"/>
                <w:u w:val="single"/>
              </w:rPr>
              <w:t>0.003509</w:t>
            </w:r>
          </w:p>
        </w:tc>
        <w:tc>
          <w:tcPr>
            <w:tcW w:w="1418" w:type="dxa"/>
            <w:vAlign w:val="center"/>
          </w:tcPr>
          <w:p>
            <w:pPr>
              <w:jc w:val="center"/>
              <w:rPr>
                <w:u w:val="single"/>
              </w:rPr>
            </w:pPr>
            <w:r>
              <w:rPr>
                <w:rFonts w:ascii="宋体" w:hAnsi="宋体"/>
                <w:sz w:val="18"/>
                <w:szCs w:val="18"/>
                <w:u w:val="single"/>
              </w:rPr>
              <w:t>2.4×10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0.6631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2100.0</w:t>
            </w:r>
          </w:p>
        </w:tc>
        <w:tc>
          <w:tcPr>
            <w:tcW w:w="1105" w:type="dxa"/>
            <w:vAlign w:val="center"/>
          </w:tcPr>
          <w:p>
            <w:pPr>
              <w:spacing w:after="0" w:line="240" w:lineRule="auto"/>
              <w:jc w:val="center"/>
              <w:rPr>
                <w:sz w:val="18"/>
                <w:szCs w:val="18"/>
                <w:u w:val="single"/>
              </w:rPr>
            </w:pPr>
            <w:r>
              <w:rPr>
                <w:rFonts w:ascii="宋体" w:hAnsi="宋体"/>
                <w:sz w:val="18"/>
                <w:szCs w:val="18"/>
                <w:u w:val="single"/>
              </w:rPr>
              <w:t>0.0197</w:t>
            </w:r>
          </w:p>
        </w:tc>
        <w:tc>
          <w:tcPr>
            <w:tcW w:w="992" w:type="dxa"/>
            <w:vAlign w:val="center"/>
          </w:tcPr>
          <w:p>
            <w:pPr>
              <w:spacing w:after="0" w:line="240" w:lineRule="auto"/>
              <w:jc w:val="center"/>
              <w:rPr>
                <w:sz w:val="18"/>
                <w:szCs w:val="18"/>
                <w:u w:val="single"/>
              </w:rPr>
            </w:pPr>
            <w:r>
              <w:rPr>
                <w:rFonts w:ascii="宋体" w:hAnsi="宋体"/>
                <w:sz w:val="18"/>
                <w:szCs w:val="18"/>
                <w:u w:val="single"/>
              </w:rPr>
              <w:t>0.003940</w:t>
            </w:r>
          </w:p>
        </w:tc>
        <w:tc>
          <w:tcPr>
            <w:tcW w:w="1134" w:type="dxa"/>
            <w:vAlign w:val="center"/>
          </w:tcPr>
          <w:p>
            <w:pPr>
              <w:spacing w:after="0" w:line="240" w:lineRule="auto"/>
              <w:jc w:val="center"/>
              <w:rPr>
                <w:sz w:val="18"/>
                <w:szCs w:val="18"/>
                <w:u w:val="single"/>
              </w:rPr>
            </w:pPr>
            <w:r>
              <w:rPr>
                <w:rFonts w:ascii="宋体" w:hAnsi="宋体"/>
                <w:sz w:val="18"/>
                <w:szCs w:val="18"/>
                <w:u w:val="single"/>
              </w:rPr>
              <w:t>0.0985</w:t>
            </w:r>
          </w:p>
        </w:tc>
        <w:tc>
          <w:tcPr>
            <w:tcW w:w="1134" w:type="dxa"/>
            <w:vAlign w:val="center"/>
          </w:tcPr>
          <w:p>
            <w:pPr>
              <w:spacing w:after="0" w:line="240" w:lineRule="auto"/>
              <w:jc w:val="center"/>
              <w:rPr>
                <w:sz w:val="18"/>
                <w:szCs w:val="18"/>
                <w:u w:val="single"/>
              </w:rPr>
            </w:pPr>
            <w:r>
              <w:rPr>
                <w:rFonts w:ascii="宋体" w:hAnsi="宋体"/>
                <w:sz w:val="18"/>
                <w:szCs w:val="18"/>
                <w:u w:val="single"/>
              </w:rPr>
              <w:t>0.039386</w:t>
            </w:r>
          </w:p>
        </w:tc>
        <w:tc>
          <w:tcPr>
            <w:tcW w:w="1134" w:type="dxa"/>
            <w:vAlign w:val="center"/>
          </w:tcPr>
          <w:p>
            <w:pPr>
              <w:spacing w:after="0" w:line="240" w:lineRule="auto"/>
              <w:jc w:val="center"/>
              <w:rPr>
                <w:sz w:val="18"/>
                <w:szCs w:val="18"/>
                <w:u w:val="single"/>
              </w:rPr>
            </w:pPr>
            <w:r>
              <w:rPr>
                <w:rFonts w:ascii="宋体" w:hAnsi="宋体"/>
                <w:sz w:val="18"/>
                <w:szCs w:val="18"/>
                <w:u w:val="single"/>
              </w:rPr>
              <w:t>0.0158</w:t>
            </w:r>
          </w:p>
        </w:tc>
        <w:tc>
          <w:tcPr>
            <w:tcW w:w="1134" w:type="dxa"/>
            <w:vAlign w:val="center"/>
          </w:tcPr>
          <w:p>
            <w:pPr>
              <w:spacing w:after="0" w:line="240" w:lineRule="auto"/>
              <w:jc w:val="center"/>
              <w:rPr>
                <w:sz w:val="18"/>
                <w:szCs w:val="18"/>
                <w:u w:val="single"/>
              </w:rPr>
            </w:pPr>
            <w:r>
              <w:rPr>
                <w:rFonts w:ascii="宋体" w:hAnsi="宋体"/>
                <w:sz w:val="18"/>
                <w:szCs w:val="18"/>
                <w:u w:val="single"/>
              </w:rPr>
              <w:t>0.003501</w:t>
            </w:r>
          </w:p>
        </w:tc>
        <w:tc>
          <w:tcPr>
            <w:tcW w:w="1418" w:type="dxa"/>
            <w:vAlign w:val="center"/>
          </w:tcPr>
          <w:p>
            <w:pPr>
              <w:jc w:val="center"/>
              <w:rPr>
                <w:u w:val="single"/>
              </w:rPr>
            </w:pPr>
            <w:r>
              <w:rPr>
                <w:rFonts w:ascii="宋体" w:hAnsi="宋体"/>
                <w:sz w:val="18"/>
                <w:szCs w:val="18"/>
                <w:u w:val="single"/>
              </w:rPr>
              <w:t>2.3×10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0.6408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2200.0</w:t>
            </w:r>
          </w:p>
        </w:tc>
        <w:tc>
          <w:tcPr>
            <w:tcW w:w="1105" w:type="dxa"/>
            <w:vAlign w:val="center"/>
          </w:tcPr>
          <w:p>
            <w:pPr>
              <w:spacing w:after="0" w:line="240" w:lineRule="auto"/>
              <w:jc w:val="center"/>
              <w:rPr>
                <w:sz w:val="18"/>
                <w:szCs w:val="18"/>
                <w:u w:val="single"/>
              </w:rPr>
            </w:pPr>
            <w:r>
              <w:rPr>
                <w:rFonts w:ascii="宋体" w:hAnsi="宋体"/>
                <w:sz w:val="18"/>
                <w:szCs w:val="18"/>
                <w:u w:val="single"/>
              </w:rPr>
              <w:t>0.0196</w:t>
            </w:r>
          </w:p>
        </w:tc>
        <w:tc>
          <w:tcPr>
            <w:tcW w:w="992" w:type="dxa"/>
            <w:vAlign w:val="center"/>
          </w:tcPr>
          <w:p>
            <w:pPr>
              <w:spacing w:after="0" w:line="240" w:lineRule="auto"/>
              <w:jc w:val="center"/>
              <w:rPr>
                <w:sz w:val="18"/>
                <w:szCs w:val="18"/>
                <w:u w:val="single"/>
              </w:rPr>
            </w:pPr>
            <w:r>
              <w:rPr>
                <w:rFonts w:ascii="宋体" w:hAnsi="宋体"/>
                <w:sz w:val="18"/>
                <w:szCs w:val="18"/>
                <w:u w:val="single"/>
              </w:rPr>
              <w:t>0.003918</w:t>
            </w:r>
          </w:p>
        </w:tc>
        <w:tc>
          <w:tcPr>
            <w:tcW w:w="1134" w:type="dxa"/>
            <w:vAlign w:val="center"/>
          </w:tcPr>
          <w:p>
            <w:pPr>
              <w:spacing w:after="0" w:line="240" w:lineRule="auto"/>
              <w:jc w:val="center"/>
              <w:rPr>
                <w:sz w:val="18"/>
                <w:szCs w:val="18"/>
                <w:u w:val="single"/>
              </w:rPr>
            </w:pPr>
            <w:r>
              <w:rPr>
                <w:rFonts w:ascii="宋体" w:hAnsi="宋体"/>
                <w:sz w:val="18"/>
                <w:szCs w:val="18"/>
                <w:u w:val="single"/>
              </w:rPr>
              <w:t>0.0979</w:t>
            </w:r>
          </w:p>
        </w:tc>
        <w:tc>
          <w:tcPr>
            <w:tcW w:w="1134" w:type="dxa"/>
            <w:vAlign w:val="center"/>
          </w:tcPr>
          <w:p>
            <w:pPr>
              <w:spacing w:after="0" w:line="240" w:lineRule="auto"/>
              <w:jc w:val="center"/>
              <w:rPr>
                <w:sz w:val="18"/>
                <w:szCs w:val="18"/>
                <w:u w:val="single"/>
              </w:rPr>
            </w:pPr>
            <w:r>
              <w:rPr>
                <w:rFonts w:ascii="宋体" w:hAnsi="宋体"/>
                <w:sz w:val="18"/>
                <w:szCs w:val="18"/>
                <w:u w:val="single"/>
              </w:rPr>
              <w:t>0.039166</w:t>
            </w:r>
          </w:p>
        </w:tc>
        <w:tc>
          <w:tcPr>
            <w:tcW w:w="1134" w:type="dxa"/>
            <w:vAlign w:val="center"/>
          </w:tcPr>
          <w:p>
            <w:pPr>
              <w:spacing w:after="0" w:line="240" w:lineRule="auto"/>
              <w:jc w:val="center"/>
              <w:rPr>
                <w:sz w:val="18"/>
                <w:szCs w:val="18"/>
                <w:u w:val="single"/>
              </w:rPr>
            </w:pPr>
            <w:r>
              <w:rPr>
                <w:rFonts w:ascii="宋体" w:hAnsi="宋体"/>
                <w:sz w:val="18"/>
                <w:szCs w:val="18"/>
                <w:u w:val="single"/>
              </w:rPr>
              <w:t>0.0157</w:t>
            </w:r>
          </w:p>
        </w:tc>
        <w:tc>
          <w:tcPr>
            <w:tcW w:w="1134" w:type="dxa"/>
            <w:vAlign w:val="center"/>
          </w:tcPr>
          <w:p>
            <w:pPr>
              <w:spacing w:after="0" w:line="240" w:lineRule="auto"/>
              <w:jc w:val="center"/>
              <w:rPr>
                <w:sz w:val="18"/>
                <w:szCs w:val="18"/>
                <w:u w:val="single"/>
              </w:rPr>
            </w:pPr>
            <w:r>
              <w:rPr>
                <w:rFonts w:ascii="宋体" w:hAnsi="宋体"/>
                <w:sz w:val="18"/>
                <w:szCs w:val="18"/>
                <w:u w:val="single"/>
              </w:rPr>
              <w:t>0.003481</w:t>
            </w:r>
          </w:p>
        </w:tc>
        <w:tc>
          <w:tcPr>
            <w:tcW w:w="1418" w:type="dxa"/>
            <w:vAlign w:val="center"/>
          </w:tcPr>
          <w:p>
            <w:pPr>
              <w:jc w:val="center"/>
              <w:rPr>
                <w:u w:val="single"/>
              </w:rPr>
            </w:pPr>
            <w:r>
              <w:rPr>
                <w:rFonts w:hint="eastAsia" w:ascii="宋体" w:hAnsi="宋体"/>
                <w:sz w:val="18"/>
                <w:szCs w:val="18"/>
                <w:u w:val="single"/>
                <w:lang w:eastAsia="zh-CN"/>
              </w:rPr>
              <w:t>2.1</w:t>
            </w:r>
            <w:r>
              <w:rPr>
                <w:rFonts w:ascii="宋体" w:hAnsi="宋体"/>
                <w:sz w:val="18"/>
                <w:szCs w:val="18"/>
                <w:u w:val="single"/>
              </w:rPr>
              <w:t>×10</w:t>
            </w:r>
            <w:r>
              <w:rPr>
                <w:rFonts w:ascii="宋体" w:hAnsi="宋体"/>
                <w:sz w:val="32"/>
                <w:szCs w:val="32"/>
                <w:u w:val="single"/>
                <w:vertAlign w:val="superscript"/>
              </w:rPr>
              <w:t>-8</w:t>
            </w:r>
          </w:p>
        </w:tc>
        <w:tc>
          <w:tcPr>
            <w:tcW w:w="1399" w:type="dxa"/>
            <w:vAlign w:val="center"/>
          </w:tcPr>
          <w:p>
            <w:pPr>
              <w:jc w:val="center"/>
              <w:rPr>
                <w:rFonts w:hint="eastAsia"/>
                <w:sz w:val="18"/>
                <w:szCs w:val="18"/>
                <w:u w:val="single"/>
                <w:lang w:eastAsia="zh-CN"/>
              </w:rPr>
            </w:pPr>
            <w:r>
              <w:rPr>
                <w:rFonts w:ascii="宋体" w:hAnsi="宋体"/>
                <w:sz w:val="18"/>
                <w:szCs w:val="18"/>
                <w:u w:val="single"/>
              </w:rPr>
              <w:t>0.</w:t>
            </w:r>
            <w:r>
              <w:rPr>
                <w:rFonts w:hint="eastAsia" w:ascii="宋体" w:hAnsi="宋体"/>
                <w:sz w:val="18"/>
                <w:szCs w:val="18"/>
                <w:u w:val="single"/>
                <w:lang w:eastAsia="zh-CN"/>
              </w:rPr>
              <w:t>5816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2"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2300.0</w:t>
            </w:r>
          </w:p>
        </w:tc>
        <w:tc>
          <w:tcPr>
            <w:tcW w:w="1105" w:type="dxa"/>
            <w:vAlign w:val="center"/>
          </w:tcPr>
          <w:p>
            <w:pPr>
              <w:spacing w:after="0" w:line="240" w:lineRule="auto"/>
              <w:jc w:val="center"/>
              <w:rPr>
                <w:sz w:val="18"/>
                <w:szCs w:val="18"/>
                <w:u w:val="single"/>
              </w:rPr>
            </w:pPr>
            <w:r>
              <w:rPr>
                <w:rFonts w:ascii="宋体" w:hAnsi="宋体"/>
                <w:sz w:val="18"/>
                <w:szCs w:val="18"/>
                <w:u w:val="single"/>
              </w:rPr>
              <w:t>0.0194</w:t>
            </w:r>
          </w:p>
        </w:tc>
        <w:tc>
          <w:tcPr>
            <w:tcW w:w="992" w:type="dxa"/>
            <w:vAlign w:val="center"/>
          </w:tcPr>
          <w:p>
            <w:pPr>
              <w:spacing w:after="0" w:line="240" w:lineRule="auto"/>
              <w:jc w:val="center"/>
              <w:rPr>
                <w:sz w:val="18"/>
                <w:szCs w:val="18"/>
                <w:u w:val="single"/>
              </w:rPr>
            </w:pPr>
            <w:r>
              <w:rPr>
                <w:rFonts w:ascii="宋体" w:hAnsi="宋体"/>
                <w:sz w:val="18"/>
                <w:szCs w:val="18"/>
                <w:u w:val="single"/>
              </w:rPr>
              <w:t>0.003888</w:t>
            </w:r>
          </w:p>
        </w:tc>
        <w:tc>
          <w:tcPr>
            <w:tcW w:w="1134" w:type="dxa"/>
            <w:vAlign w:val="center"/>
          </w:tcPr>
          <w:p>
            <w:pPr>
              <w:spacing w:after="0" w:line="240" w:lineRule="auto"/>
              <w:jc w:val="center"/>
              <w:rPr>
                <w:sz w:val="18"/>
                <w:szCs w:val="18"/>
                <w:u w:val="single"/>
              </w:rPr>
            </w:pPr>
            <w:r>
              <w:rPr>
                <w:rFonts w:ascii="宋体" w:hAnsi="宋体"/>
                <w:sz w:val="18"/>
                <w:szCs w:val="18"/>
                <w:u w:val="single"/>
              </w:rPr>
              <w:t>0.0972</w:t>
            </w:r>
          </w:p>
        </w:tc>
        <w:tc>
          <w:tcPr>
            <w:tcW w:w="1134" w:type="dxa"/>
            <w:vAlign w:val="center"/>
          </w:tcPr>
          <w:p>
            <w:pPr>
              <w:spacing w:after="0" w:line="240" w:lineRule="auto"/>
              <w:jc w:val="center"/>
              <w:rPr>
                <w:sz w:val="18"/>
                <w:szCs w:val="18"/>
                <w:u w:val="single"/>
              </w:rPr>
            </w:pPr>
            <w:r>
              <w:rPr>
                <w:rFonts w:ascii="宋体" w:hAnsi="宋体"/>
                <w:sz w:val="18"/>
                <w:szCs w:val="18"/>
                <w:u w:val="single"/>
              </w:rPr>
              <w:t>0.038868</w:t>
            </w:r>
          </w:p>
        </w:tc>
        <w:tc>
          <w:tcPr>
            <w:tcW w:w="1134" w:type="dxa"/>
            <w:vAlign w:val="center"/>
          </w:tcPr>
          <w:p>
            <w:pPr>
              <w:spacing w:after="0" w:line="240" w:lineRule="auto"/>
              <w:jc w:val="center"/>
              <w:rPr>
                <w:sz w:val="18"/>
                <w:szCs w:val="18"/>
                <w:u w:val="single"/>
              </w:rPr>
            </w:pPr>
            <w:r>
              <w:rPr>
                <w:rFonts w:ascii="宋体" w:hAnsi="宋体"/>
                <w:sz w:val="18"/>
                <w:szCs w:val="18"/>
                <w:u w:val="single"/>
              </w:rPr>
              <w:t>0.0155</w:t>
            </w:r>
          </w:p>
        </w:tc>
        <w:tc>
          <w:tcPr>
            <w:tcW w:w="1134" w:type="dxa"/>
            <w:vAlign w:val="center"/>
          </w:tcPr>
          <w:p>
            <w:pPr>
              <w:spacing w:after="0" w:line="240" w:lineRule="auto"/>
              <w:jc w:val="center"/>
              <w:rPr>
                <w:sz w:val="18"/>
                <w:szCs w:val="18"/>
                <w:u w:val="single"/>
              </w:rPr>
            </w:pPr>
            <w:r>
              <w:rPr>
                <w:rFonts w:ascii="宋体" w:hAnsi="宋体"/>
                <w:sz w:val="18"/>
                <w:szCs w:val="18"/>
                <w:u w:val="single"/>
              </w:rPr>
              <w:t>0.003455</w:t>
            </w:r>
          </w:p>
        </w:tc>
        <w:tc>
          <w:tcPr>
            <w:tcW w:w="1418" w:type="dxa"/>
            <w:vAlign w:val="center"/>
          </w:tcPr>
          <w:p>
            <w:pPr>
              <w:jc w:val="center"/>
              <w:rPr>
                <w:rFonts w:hint="eastAsia"/>
                <w:u w:val="single"/>
                <w:lang w:eastAsia="zh-CN"/>
              </w:rPr>
            </w:pPr>
            <w:r>
              <w:rPr>
                <w:rFonts w:hint="eastAsia" w:ascii="宋体" w:hAnsi="宋体"/>
                <w:sz w:val="18"/>
                <w:szCs w:val="18"/>
                <w:u w:val="single"/>
                <w:lang w:eastAsia="zh-CN"/>
              </w:rPr>
              <w:t>1.9</w:t>
            </w:r>
            <w:r>
              <w:rPr>
                <w:rFonts w:ascii="宋体" w:hAnsi="宋体"/>
                <w:sz w:val="18"/>
                <w:szCs w:val="18"/>
                <w:u w:val="single"/>
              </w:rPr>
              <w:t>×10</w:t>
            </w:r>
            <w:r>
              <w:rPr>
                <w:rFonts w:ascii="宋体" w:hAnsi="宋体"/>
                <w:sz w:val="32"/>
                <w:szCs w:val="32"/>
                <w:u w:val="single"/>
                <w:vertAlign w:val="superscript"/>
              </w:rPr>
              <w:t>-</w:t>
            </w:r>
            <w:r>
              <w:rPr>
                <w:rFonts w:hint="eastAsia" w:ascii="宋体" w:hAnsi="宋体"/>
                <w:sz w:val="32"/>
                <w:szCs w:val="32"/>
                <w:u w:val="single"/>
                <w:vertAlign w:val="superscript"/>
                <w:lang w:eastAsia="zh-CN"/>
              </w:rPr>
              <w:t>8</w:t>
            </w:r>
          </w:p>
        </w:tc>
        <w:tc>
          <w:tcPr>
            <w:tcW w:w="1399" w:type="dxa"/>
            <w:vAlign w:val="center"/>
          </w:tcPr>
          <w:p>
            <w:pPr>
              <w:jc w:val="center"/>
              <w:rPr>
                <w:rFonts w:hint="eastAsia"/>
                <w:sz w:val="18"/>
                <w:szCs w:val="18"/>
                <w:u w:val="single"/>
                <w:lang w:eastAsia="zh-CN"/>
              </w:rPr>
            </w:pPr>
            <w:r>
              <w:rPr>
                <w:rFonts w:ascii="宋体" w:hAnsi="宋体"/>
                <w:sz w:val="18"/>
                <w:szCs w:val="18"/>
                <w:u w:val="single"/>
              </w:rPr>
              <w:t>0.</w:t>
            </w:r>
            <w:r>
              <w:rPr>
                <w:rFonts w:hint="eastAsia" w:ascii="宋体" w:hAnsi="宋体"/>
                <w:sz w:val="18"/>
                <w:szCs w:val="18"/>
                <w:u w:val="single"/>
                <w:lang w:eastAsia="zh-CN"/>
              </w:rPr>
              <w:t>5208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2"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2400.0</w:t>
            </w:r>
          </w:p>
        </w:tc>
        <w:tc>
          <w:tcPr>
            <w:tcW w:w="1105" w:type="dxa"/>
            <w:vAlign w:val="center"/>
          </w:tcPr>
          <w:p>
            <w:pPr>
              <w:spacing w:after="0" w:line="240" w:lineRule="auto"/>
              <w:jc w:val="center"/>
              <w:rPr>
                <w:sz w:val="18"/>
                <w:szCs w:val="18"/>
                <w:u w:val="single"/>
              </w:rPr>
            </w:pPr>
            <w:r>
              <w:rPr>
                <w:rFonts w:ascii="宋体" w:hAnsi="宋体"/>
                <w:sz w:val="18"/>
                <w:szCs w:val="18"/>
                <w:u w:val="single"/>
              </w:rPr>
              <w:t>0.0192</w:t>
            </w:r>
          </w:p>
        </w:tc>
        <w:tc>
          <w:tcPr>
            <w:tcW w:w="992" w:type="dxa"/>
            <w:vAlign w:val="center"/>
          </w:tcPr>
          <w:p>
            <w:pPr>
              <w:spacing w:after="0" w:line="240" w:lineRule="auto"/>
              <w:jc w:val="center"/>
              <w:rPr>
                <w:sz w:val="18"/>
                <w:szCs w:val="18"/>
                <w:u w:val="single"/>
              </w:rPr>
            </w:pPr>
            <w:r>
              <w:rPr>
                <w:rFonts w:ascii="宋体" w:hAnsi="宋体"/>
                <w:sz w:val="18"/>
                <w:szCs w:val="18"/>
                <w:u w:val="single"/>
              </w:rPr>
              <w:t>0.003850</w:t>
            </w:r>
          </w:p>
        </w:tc>
        <w:tc>
          <w:tcPr>
            <w:tcW w:w="1134" w:type="dxa"/>
            <w:vAlign w:val="center"/>
          </w:tcPr>
          <w:p>
            <w:pPr>
              <w:spacing w:after="0" w:line="240" w:lineRule="auto"/>
              <w:jc w:val="center"/>
              <w:rPr>
                <w:sz w:val="18"/>
                <w:szCs w:val="18"/>
                <w:u w:val="single"/>
              </w:rPr>
            </w:pPr>
            <w:r>
              <w:rPr>
                <w:rFonts w:ascii="宋体" w:hAnsi="宋体"/>
                <w:sz w:val="18"/>
                <w:szCs w:val="18"/>
                <w:u w:val="single"/>
              </w:rPr>
              <w:t>0.0962</w:t>
            </w:r>
          </w:p>
        </w:tc>
        <w:tc>
          <w:tcPr>
            <w:tcW w:w="1134" w:type="dxa"/>
            <w:vAlign w:val="center"/>
          </w:tcPr>
          <w:p>
            <w:pPr>
              <w:spacing w:after="0" w:line="240" w:lineRule="auto"/>
              <w:jc w:val="center"/>
              <w:rPr>
                <w:sz w:val="18"/>
                <w:szCs w:val="18"/>
                <w:u w:val="single"/>
              </w:rPr>
            </w:pPr>
            <w:r>
              <w:rPr>
                <w:rFonts w:ascii="宋体" w:hAnsi="宋体"/>
                <w:sz w:val="18"/>
                <w:szCs w:val="18"/>
                <w:u w:val="single"/>
              </w:rPr>
              <w:t>0.038483</w:t>
            </w:r>
          </w:p>
        </w:tc>
        <w:tc>
          <w:tcPr>
            <w:tcW w:w="1134" w:type="dxa"/>
            <w:vAlign w:val="center"/>
          </w:tcPr>
          <w:p>
            <w:pPr>
              <w:spacing w:after="0" w:line="240" w:lineRule="auto"/>
              <w:jc w:val="center"/>
              <w:rPr>
                <w:sz w:val="18"/>
                <w:szCs w:val="18"/>
                <w:u w:val="single"/>
              </w:rPr>
            </w:pPr>
            <w:r>
              <w:rPr>
                <w:rFonts w:ascii="宋体" w:hAnsi="宋体"/>
                <w:sz w:val="18"/>
                <w:szCs w:val="18"/>
                <w:u w:val="single"/>
              </w:rPr>
              <w:t>0.0154</w:t>
            </w:r>
          </w:p>
        </w:tc>
        <w:tc>
          <w:tcPr>
            <w:tcW w:w="1134" w:type="dxa"/>
            <w:vAlign w:val="center"/>
          </w:tcPr>
          <w:p>
            <w:pPr>
              <w:spacing w:after="0" w:line="240" w:lineRule="auto"/>
              <w:jc w:val="center"/>
              <w:rPr>
                <w:sz w:val="18"/>
                <w:szCs w:val="18"/>
                <w:u w:val="single"/>
              </w:rPr>
            </w:pPr>
            <w:r>
              <w:rPr>
                <w:rFonts w:ascii="宋体" w:hAnsi="宋体"/>
                <w:sz w:val="18"/>
                <w:szCs w:val="18"/>
                <w:u w:val="single"/>
              </w:rPr>
              <w:t>0.003420</w:t>
            </w:r>
          </w:p>
        </w:tc>
        <w:tc>
          <w:tcPr>
            <w:tcW w:w="1418" w:type="dxa"/>
            <w:vAlign w:val="center"/>
          </w:tcPr>
          <w:p>
            <w:pPr>
              <w:jc w:val="center"/>
              <w:rPr>
                <w:u w:val="single"/>
              </w:rPr>
            </w:pPr>
            <w:r>
              <w:rPr>
                <w:rFonts w:ascii="宋体" w:hAnsi="宋体"/>
                <w:sz w:val="18"/>
                <w:szCs w:val="18"/>
                <w:u w:val="single"/>
              </w:rPr>
              <w:t>1.7×10</w:t>
            </w:r>
            <w:r>
              <w:rPr>
                <w:rFonts w:ascii="宋体" w:hAnsi="宋体"/>
                <w:sz w:val="32"/>
                <w:szCs w:val="32"/>
                <w:u w:val="single"/>
                <w:vertAlign w:val="superscript"/>
              </w:rPr>
              <w:t>-8</w:t>
            </w:r>
          </w:p>
        </w:tc>
        <w:tc>
          <w:tcPr>
            <w:tcW w:w="1399" w:type="dxa"/>
            <w:vAlign w:val="center"/>
          </w:tcPr>
          <w:p>
            <w:pPr>
              <w:jc w:val="center"/>
              <w:rPr>
                <w:sz w:val="18"/>
                <w:szCs w:val="18"/>
                <w:u w:val="single"/>
              </w:rPr>
            </w:pPr>
            <w:r>
              <w:rPr>
                <w:rFonts w:ascii="宋体" w:hAnsi="宋体"/>
                <w:sz w:val="18"/>
                <w:szCs w:val="18"/>
                <w:u w:val="single"/>
              </w:rPr>
              <w:t>0.4617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46" w:type="dxa"/>
            <w:vAlign w:val="center"/>
          </w:tcPr>
          <w:p>
            <w:pPr>
              <w:spacing w:after="0" w:line="240" w:lineRule="auto"/>
              <w:jc w:val="center"/>
              <w:rPr>
                <w:sz w:val="21"/>
                <w:szCs w:val="21"/>
                <w:u w:val="single"/>
              </w:rPr>
            </w:pPr>
            <w:r>
              <w:rPr>
                <w:rFonts w:ascii="宋体" w:hAnsi="宋体"/>
                <w:sz w:val="21"/>
                <w:szCs w:val="21"/>
                <w:u w:val="single"/>
              </w:rPr>
              <w:t>2500.0</w:t>
            </w:r>
          </w:p>
        </w:tc>
        <w:tc>
          <w:tcPr>
            <w:tcW w:w="1105" w:type="dxa"/>
            <w:vAlign w:val="center"/>
          </w:tcPr>
          <w:p>
            <w:pPr>
              <w:spacing w:after="0" w:line="240" w:lineRule="auto"/>
              <w:jc w:val="center"/>
              <w:rPr>
                <w:sz w:val="18"/>
                <w:szCs w:val="18"/>
                <w:u w:val="single"/>
              </w:rPr>
            </w:pPr>
            <w:r>
              <w:rPr>
                <w:rFonts w:ascii="宋体" w:hAnsi="宋体"/>
                <w:sz w:val="18"/>
                <w:szCs w:val="18"/>
                <w:u w:val="single"/>
              </w:rPr>
              <w:t>0.0190</w:t>
            </w:r>
          </w:p>
        </w:tc>
        <w:tc>
          <w:tcPr>
            <w:tcW w:w="992" w:type="dxa"/>
            <w:vAlign w:val="center"/>
          </w:tcPr>
          <w:p>
            <w:pPr>
              <w:spacing w:after="0" w:line="240" w:lineRule="auto"/>
              <w:jc w:val="center"/>
              <w:rPr>
                <w:sz w:val="18"/>
                <w:szCs w:val="18"/>
                <w:u w:val="single"/>
              </w:rPr>
            </w:pPr>
            <w:r>
              <w:rPr>
                <w:rFonts w:ascii="宋体" w:hAnsi="宋体"/>
                <w:sz w:val="18"/>
                <w:szCs w:val="18"/>
                <w:u w:val="single"/>
              </w:rPr>
              <w:t>0.003805</w:t>
            </w:r>
          </w:p>
        </w:tc>
        <w:tc>
          <w:tcPr>
            <w:tcW w:w="1134" w:type="dxa"/>
            <w:vAlign w:val="center"/>
          </w:tcPr>
          <w:p>
            <w:pPr>
              <w:spacing w:after="0" w:line="240" w:lineRule="auto"/>
              <w:jc w:val="center"/>
              <w:rPr>
                <w:sz w:val="18"/>
                <w:szCs w:val="18"/>
                <w:u w:val="single"/>
              </w:rPr>
            </w:pPr>
            <w:r>
              <w:rPr>
                <w:rFonts w:ascii="宋体" w:hAnsi="宋体"/>
                <w:sz w:val="18"/>
                <w:szCs w:val="18"/>
                <w:u w:val="single"/>
              </w:rPr>
              <w:t>0.0951</w:t>
            </w:r>
          </w:p>
        </w:tc>
        <w:tc>
          <w:tcPr>
            <w:tcW w:w="1134" w:type="dxa"/>
            <w:vAlign w:val="center"/>
          </w:tcPr>
          <w:p>
            <w:pPr>
              <w:spacing w:after="0" w:line="240" w:lineRule="auto"/>
              <w:jc w:val="center"/>
              <w:rPr>
                <w:sz w:val="18"/>
                <w:szCs w:val="18"/>
                <w:u w:val="single"/>
              </w:rPr>
            </w:pPr>
            <w:r>
              <w:rPr>
                <w:rFonts w:ascii="宋体" w:hAnsi="宋体"/>
                <w:sz w:val="18"/>
                <w:szCs w:val="18"/>
                <w:u w:val="single"/>
              </w:rPr>
              <w:t>0.038039</w:t>
            </w:r>
          </w:p>
        </w:tc>
        <w:tc>
          <w:tcPr>
            <w:tcW w:w="1134" w:type="dxa"/>
            <w:vAlign w:val="center"/>
          </w:tcPr>
          <w:p>
            <w:pPr>
              <w:spacing w:after="0" w:line="240" w:lineRule="auto"/>
              <w:jc w:val="center"/>
              <w:rPr>
                <w:sz w:val="18"/>
                <w:szCs w:val="18"/>
                <w:u w:val="single"/>
              </w:rPr>
            </w:pPr>
            <w:r>
              <w:rPr>
                <w:rFonts w:ascii="宋体" w:hAnsi="宋体"/>
                <w:sz w:val="18"/>
                <w:szCs w:val="18"/>
                <w:u w:val="single"/>
              </w:rPr>
              <w:t>0.0152</w:t>
            </w:r>
          </w:p>
        </w:tc>
        <w:tc>
          <w:tcPr>
            <w:tcW w:w="1134" w:type="dxa"/>
            <w:vAlign w:val="center"/>
          </w:tcPr>
          <w:p>
            <w:pPr>
              <w:spacing w:after="0" w:line="240" w:lineRule="auto"/>
              <w:jc w:val="center"/>
              <w:rPr>
                <w:sz w:val="18"/>
                <w:szCs w:val="18"/>
                <w:u w:val="single"/>
              </w:rPr>
            </w:pPr>
            <w:r>
              <w:rPr>
                <w:rFonts w:ascii="宋体" w:hAnsi="宋体"/>
                <w:sz w:val="18"/>
                <w:szCs w:val="18"/>
                <w:u w:val="single"/>
              </w:rPr>
              <w:t>0.003381</w:t>
            </w:r>
          </w:p>
        </w:tc>
        <w:tc>
          <w:tcPr>
            <w:tcW w:w="1418" w:type="dxa"/>
            <w:vAlign w:val="center"/>
          </w:tcPr>
          <w:p>
            <w:pPr>
              <w:jc w:val="center"/>
              <w:rPr>
                <w:u w:val="single"/>
              </w:rPr>
            </w:pPr>
            <w:r>
              <w:rPr>
                <w:rFonts w:hint="eastAsia" w:ascii="宋体" w:hAnsi="宋体"/>
                <w:sz w:val="18"/>
                <w:szCs w:val="18"/>
                <w:u w:val="single"/>
                <w:lang w:eastAsia="zh-CN"/>
              </w:rPr>
              <w:t>1</w:t>
            </w:r>
            <w:r>
              <w:rPr>
                <w:rFonts w:ascii="宋体" w:hAnsi="宋体"/>
                <w:sz w:val="18"/>
                <w:szCs w:val="18"/>
                <w:u w:val="single"/>
              </w:rPr>
              <w:t>.4×10</w:t>
            </w:r>
            <w:r>
              <w:rPr>
                <w:rFonts w:ascii="宋体" w:hAnsi="宋体"/>
                <w:sz w:val="32"/>
                <w:szCs w:val="32"/>
                <w:u w:val="single"/>
                <w:vertAlign w:val="superscript"/>
              </w:rPr>
              <w:t>-8</w:t>
            </w:r>
          </w:p>
        </w:tc>
        <w:tc>
          <w:tcPr>
            <w:tcW w:w="1399" w:type="dxa"/>
            <w:vAlign w:val="center"/>
          </w:tcPr>
          <w:p>
            <w:pPr>
              <w:jc w:val="center"/>
              <w:rPr>
                <w:rFonts w:hint="eastAsia"/>
                <w:sz w:val="18"/>
                <w:szCs w:val="18"/>
                <w:u w:val="single"/>
                <w:lang w:eastAsia="zh-CN"/>
              </w:rPr>
            </w:pPr>
            <w:r>
              <w:rPr>
                <w:rFonts w:ascii="宋体" w:hAnsi="宋体"/>
                <w:sz w:val="18"/>
                <w:szCs w:val="18"/>
                <w:u w:val="single"/>
              </w:rPr>
              <w:t>0.</w:t>
            </w:r>
            <w:r>
              <w:rPr>
                <w:rFonts w:hint="eastAsia" w:ascii="宋体" w:hAnsi="宋体"/>
                <w:sz w:val="18"/>
                <w:szCs w:val="18"/>
                <w:u w:val="single"/>
                <w:lang w:eastAsia="zh-CN"/>
              </w:rPr>
              <w:t>3783</w:t>
            </w:r>
          </w:p>
        </w:tc>
      </w:tr>
    </w:tbl>
    <w:p>
      <w:pPr>
        <w:rPr>
          <w:lang w:eastAsia="zh-CN"/>
        </w:rPr>
      </w:pPr>
    </w:p>
    <w:p>
      <w:pPr>
        <w:pStyle w:val="6"/>
        <w:spacing w:before="0" w:line="360" w:lineRule="auto"/>
        <w:rPr>
          <w:rFonts w:ascii="宋体" w:hAnsi="宋体" w:eastAsia="宋体" w:cstheme="majorEastAsia"/>
          <w:color w:val="000000" w:themeColor="text1"/>
          <w:sz w:val="26"/>
          <w:szCs w:val="26"/>
          <w:lang w:eastAsia="zh-CN"/>
        </w:rPr>
      </w:pPr>
      <w:bookmarkStart w:id="527" w:name="_Toc24969768"/>
      <w:r>
        <w:rPr>
          <w:rFonts w:hint="eastAsia" w:ascii="宋体" w:hAnsi="宋体" w:eastAsia="宋体" w:cstheme="majorEastAsia"/>
          <w:color w:val="000000" w:themeColor="text1"/>
          <w:sz w:val="26"/>
          <w:szCs w:val="26"/>
          <w:lang w:eastAsia="zh-CN"/>
        </w:rPr>
        <w:t>5.2.1.4汞及其化合物大气环境影响</w:t>
      </w:r>
      <w:bookmarkEnd w:id="527"/>
    </w:p>
    <w:p>
      <w:pPr>
        <w:pStyle w:val="13"/>
        <w:spacing w:after="0" w:line="360" w:lineRule="auto"/>
        <w:ind w:left="110" w:right="153"/>
        <w:jc w:val="both"/>
        <w:rPr>
          <w:sz w:val="24"/>
          <w:szCs w:val="24"/>
          <w:lang w:eastAsia="zh-CN"/>
        </w:rPr>
      </w:pPr>
      <w:r>
        <w:rPr>
          <w:rFonts w:hint="eastAsia"/>
          <w:sz w:val="24"/>
          <w:szCs w:val="24"/>
          <w:lang w:eastAsia="zh-CN"/>
        </w:rPr>
        <w:t xml:space="preserve">         本项目掺烧污泥（生物质重金属含量比污泥更低，故只讨论污泥掺烧情况）</w:t>
      </w:r>
      <w:r>
        <w:rPr>
          <w:rFonts w:hint="eastAsia" w:ascii="宋体" w:hAnsi="宋体"/>
          <w:spacing w:val="-10"/>
          <w:sz w:val="24"/>
          <w:szCs w:val="24"/>
          <w:lang w:eastAsia="zh-CN"/>
        </w:rPr>
        <w:t>总汞0.38mg/kg，掺烧污泥100t/d，年掺烧按340天计，则年增加汞及其化合物12.92kg，汞及其化合物经脱硫脱硝除尘后，脱除效率以50%计，则增加汞及其化合物6.46kg，排放浓度增加8.7x10</w:t>
      </w:r>
      <w:r>
        <w:rPr>
          <w:rFonts w:hint="eastAsia" w:ascii="宋体" w:hAnsi="宋体"/>
          <w:spacing w:val="-10"/>
          <w:sz w:val="32"/>
          <w:szCs w:val="32"/>
          <w:vertAlign w:val="superscript"/>
          <w:lang w:eastAsia="zh-CN"/>
        </w:rPr>
        <w:t>-4</w:t>
      </w:r>
      <w:r>
        <w:rPr>
          <w:rFonts w:hint="eastAsia" w:ascii="宋体" w:hAnsi="宋体"/>
          <w:spacing w:val="-10"/>
          <w:sz w:val="24"/>
          <w:szCs w:val="24"/>
          <w:lang w:eastAsia="zh-CN"/>
        </w:rPr>
        <w:t>mg/Nm</w:t>
      </w:r>
      <w:r>
        <w:rPr>
          <w:rFonts w:hint="eastAsia" w:ascii="宋体" w:hAnsi="宋体"/>
          <w:spacing w:val="-10"/>
          <w:sz w:val="32"/>
          <w:szCs w:val="32"/>
          <w:vertAlign w:val="superscript"/>
          <w:lang w:eastAsia="zh-CN"/>
        </w:rPr>
        <w:t>3</w:t>
      </w:r>
      <w:r>
        <w:rPr>
          <w:rFonts w:hint="eastAsia" w:ascii="宋体" w:hAnsi="宋体"/>
          <w:spacing w:val="-10"/>
          <w:sz w:val="24"/>
          <w:szCs w:val="24"/>
          <w:lang w:eastAsia="zh-CN"/>
        </w:rPr>
        <w:t>，三期工程6#锅炉现状排放浓度1.4x10</w:t>
      </w:r>
      <w:r>
        <w:rPr>
          <w:rFonts w:hint="eastAsia" w:ascii="宋体" w:hAnsi="宋体"/>
          <w:spacing w:val="-10"/>
          <w:sz w:val="32"/>
          <w:szCs w:val="24"/>
          <w:vertAlign w:val="superscript"/>
          <w:lang w:eastAsia="zh-CN"/>
        </w:rPr>
        <w:t>-4</w:t>
      </w:r>
      <w:r>
        <w:rPr>
          <w:rFonts w:hint="eastAsia" w:ascii="宋体" w:hAnsi="宋体"/>
          <w:spacing w:val="-10"/>
          <w:sz w:val="24"/>
          <w:szCs w:val="24"/>
          <w:lang w:eastAsia="zh-CN"/>
        </w:rPr>
        <w:t>mg/Nm</w:t>
      </w:r>
      <w:r>
        <w:rPr>
          <w:rFonts w:hint="eastAsia" w:ascii="宋体" w:hAnsi="宋体"/>
          <w:spacing w:val="-10"/>
          <w:sz w:val="32"/>
          <w:szCs w:val="32"/>
          <w:vertAlign w:val="superscript"/>
          <w:lang w:eastAsia="zh-CN"/>
        </w:rPr>
        <w:t>3</w:t>
      </w:r>
      <w:r>
        <w:rPr>
          <w:rFonts w:hint="eastAsia" w:ascii="宋体" w:hAnsi="宋体"/>
          <w:spacing w:val="-10"/>
          <w:sz w:val="32"/>
          <w:szCs w:val="32"/>
          <w:lang w:eastAsia="zh-CN"/>
        </w:rPr>
        <w:t>，</w:t>
      </w:r>
      <w:r>
        <w:rPr>
          <w:rFonts w:hint="eastAsia" w:ascii="宋体" w:hAnsi="宋体"/>
          <w:spacing w:val="-10"/>
          <w:sz w:val="24"/>
          <w:szCs w:val="24"/>
          <w:lang w:eastAsia="zh-CN"/>
        </w:rPr>
        <w:t>现状排放浓度加预计增加排放浓度为1.01×10</w:t>
      </w:r>
      <w:r>
        <w:rPr>
          <w:rFonts w:hint="eastAsia" w:ascii="宋体" w:hAnsi="宋体"/>
          <w:spacing w:val="-10"/>
          <w:sz w:val="32"/>
          <w:szCs w:val="24"/>
          <w:vertAlign w:val="superscript"/>
          <w:lang w:eastAsia="zh-CN"/>
        </w:rPr>
        <w:t>-3</w:t>
      </w:r>
      <w:r>
        <w:rPr>
          <w:rFonts w:hint="eastAsia" w:ascii="宋体" w:hAnsi="宋体"/>
          <w:spacing w:val="-10"/>
          <w:sz w:val="24"/>
          <w:szCs w:val="24"/>
          <w:lang w:eastAsia="zh-CN"/>
        </w:rPr>
        <w:t>mg/Nm</w:t>
      </w:r>
      <w:r>
        <w:rPr>
          <w:rFonts w:hint="eastAsia" w:ascii="宋体" w:hAnsi="宋体"/>
          <w:spacing w:val="-10"/>
          <w:sz w:val="32"/>
          <w:szCs w:val="32"/>
          <w:vertAlign w:val="superscript"/>
          <w:lang w:eastAsia="zh-CN"/>
        </w:rPr>
        <w:t>3</w:t>
      </w:r>
      <w:r>
        <w:rPr>
          <w:rFonts w:hint="eastAsia" w:ascii="宋体" w:hAnsi="宋体"/>
          <w:spacing w:val="-10"/>
          <w:sz w:val="24"/>
          <w:szCs w:val="24"/>
          <w:lang w:eastAsia="zh-CN"/>
        </w:rPr>
        <w:t>，仍远低于</w:t>
      </w:r>
      <w:r>
        <w:rPr>
          <w:rFonts w:hint="eastAsia" w:ascii="宋体" w:hAnsi="宋体" w:cs="宋体"/>
          <w:sz w:val="24"/>
          <w:szCs w:val="24"/>
          <w:lang w:eastAsia="zh-CN"/>
        </w:rPr>
        <w:t>《火电厂大气污染物排放标准》（GB13223-2011）要求的0.03</w:t>
      </w:r>
      <w:r>
        <w:rPr>
          <w:rFonts w:hint="eastAsia" w:ascii="宋体" w:hAnsi="宋体"/>
          <w:spacing w:val="-10"/>
          <w:sz w:val="24"/>
          <w:szCs w:val="24"/>
          <w:lang w:eastAsia="zh-CN"/>
        </w:rPr>
        <w:t xml:space="preserve"> mg/Nm</w:t>
      </w:r>
      <w:r>
        <w:rPr>
          <w:rFonts w:hint="eastAsia" w:ascii="宋体" w:hAnsi="宋体"/>
          <w:spacing w:val="-10"/>
          <w:sz w:val="32"/>
          <w:szCs w:val="32"/>
          <w:vertAlign w:val="superscript"/>
          <w:lang w:eastAsia="zh-CN"/>
        </w:rPr>
        <w:t>3</w:t>
      </w:r>
      <w:r>
        <w:rPr>
          <w:rFonts w:hint="eastAsia" w:ascii="宋体" w:hAnsi="宋体"/>
          <w:spacing w:val="-10"/>
          <w:sz w:val="32"/>
          <w:szCs w:val="32"/>
          <w:lang w:eastAsia="zh-CN"/>
        </w:rPr>
        <w:t>。</w:t>
      </w:r>
      <w:r>
        <w:rPr>
          <w:rFonts w:hint="eastAsia" w:ascii="宋体" w:hAnsi="宋体"/>
          <w:spacing w:val="-10"/>
          <w:sz w:val="24"/>
          <w:szCs w:val="24"/>
          <w:lang w:eastAsia="zh-CN"/>
        </w:rPr>
        <w:t>因此三期工程锅炉掺烧污泥100t/d，</w:t>
      </w:r>
      <w:r>
        <w:rPr>
          <w:rFonts w:hint="eastAsia" w:ascii="宋体" w:hAnsi="宋体" w:cstheme="majorEastAsia"/>
          <w:color w:val="000000" w:themeColor="text1"/>
          <w:sz w:val="26"/>
          <w:szCs w:val="26"/>
          <w:lang w:eastAsia="zh-CN"/>
        </w:rPr>
        <w:t>汞及其化合物对大气环境质量影响很小，在可接受范围。</w:t>
      </w:r>
    </w:p>
    <w:p>
      <w:pPr>
        <w:pStyle w:val="6"/>
        <w:spacing w:before="0" w:line="360" w:lineRule="auto"/>
        <w:rPr>
          <w:rFonts w:ascii="宋体" w:hAnsi="宋体" w:eastAsia="宋体" w:cstheme="majorEastAsia"/>
          <w:color w:val="000000" w:themeColor="text1"/>
          <w:sz w:val="26"/>
          <w:szCs w:val="26"/>
          <w:lang w:eastAsia="zh-CN"/>
        </w:rPr>
      </w:pPr>
      <w:bookmarkStart w:id="528" w:name="_Toc24969769"/>
      <w:r>
        <w:rPr>
          <w:rFonts w:hint="eastAsia" w:ascii="宋体" w:hAnsi="宋体" w:eastAsia="宋体" w:cstheme="majorEastAsia"/>
          <w:color w:val="000000" w:themeColor="text1"/>
          <w:sz w:val="26"/>
          <w:szCs w:val="26"/>
          <w:lang w:eastAsia="zh-CN"/>
        </w:rPr>
        <w:t>5.2.1.5非正常工况大气环境影响</w:t>
      </w:r>
      <w:bookmarkEnd w:id="528"/>
    </w:p>
    <w:p>
      <w:pPr>
        <w:spacing w:after="0" w:line="360" w:lineRule="auto"/>
        <w:ind w:firstLine="465"/>
        <w:rPr>
          <w:rFonts w:ascii="宋体" w:hAnsi="宋体"/>
          <w:sz w:val="24"/>
          <w:szCs w:val="24"/>
          <w:lang w:eastAsia="zh-CN"/>
        </w:rPr>
      </w:pPr>
      <w:r>
        <w:rPr>
          <w:rFonts w:hint="eastAsia" w:ascii="宋体" w:hAnsi="宋体"/>
          <w:sz w:val="24"/>
          <w:szCs w:val="24"/>
          <w:lang w:eastAsia="zh-CN"/>
        </w:rPr>
        <w:t>根据国电环境保护研究院在华能岳阳电厂环评资料指出在一台脱硫设施出现故障而停运的情况下，SO</w:t>
      </w:r>
      <w:r>
        <w:rPr>
          <w:rFonts w:hint="eastAsia" w:ascii="宋体" w:hAnsi="宋体"/>
          <w:sz w:val="24"/>
          <w:szCs w:val="24"/>
          <w:vertAlign w:val="subscript"/>
          <w:lang w:eastAsia="zh-CN"/>
        </w:rPr>
        <w:t>2</w:t>
      </w:r>
      <w:r>
        <w:rPr>
          <w:rFonts w:hint="eastAsia" w:ascii="宋体" w:hAnsi="宋体"/>
          <w:sz w:val="24"/>
          <w:szCs w:val="24"/>
          <w:lang w:eastAsia="zh-CN"/>
        </w:rPr>
        <w:t xml:space="preserve"> 排放速率仍可满足 GB13223-2003 的要求；SO</w:t>
      </w:r>
      <w:r>
        <w:rPr>
          <w:rFonts w:hint="eastAsia" w:ascii="宋体" w:hAnsi="宋体"/>
          <w:sz w:val="24"/>
          <w:szCs w:val="24"/>
          <w:vertAlign w:val="subscript"/>
          <w:lang w:eastAsia="zh-CN"/>
        </w:rPr>
        <w:t>2</w:t>
      </w:r>
      <w:r>
        <w:rPr>
          <w:rFonts w:hint="eastAsia" w:ascii="宋体" w:hAnsi="宋体"/>
          <w:sz w:val="24"/>
          <w:szCs w:val="24"/>
          <w:lang w:eastAsia="zh-CN"/>
        </w:rPr>
        <w:t>排放浓度、烟尘排放浓度已不能满足 GB13223-2003 的要求；并对周围环境 SO</w:t>
      </w:r>
      <w:r>
        <w:rPr>
          <w:rFonts w:hint="eastAsia" w:ascii="宋体" w:hAnsi="宋体"/>
          <w:sz w:val="24"/>
          <w:szCs w:val="24"/>
          <w:vertAlign w:val="subscript"/>
          <w:lang w:eastAsia="zh-CN"/>
        </w:rPr>
        <w:t>2</w:t>
      </w:r>
      <w:r>
        <w:rPr>
          <w:rFonts w:hint="eastAsia" w:ascii="宋体" w:hAnsi="宋体"/>
          <w:sz w:val="24"/>
          <w:szCs w:val="24"/>
          <w:lang w:eastAsia="zh-CN"/>
        </w:rPr>
        <w:t>日均浓度有一定影响，此时 SO</w:t>
      </w:r>
      <w:r>
        <w:rPr>
          <w:rFonts w:hint="eastAsia" w:ascii="宋体" w:hAnsi="宋体"/>
          <w:sz w:val="24"/>
          <w:szCs w:val="24"/>
          <w:vertAlign w:val="subscript"/>
          <w:lang w:eastAsia="zh-CN"/>
        </w:rPr>
        <w:t>2</w:t>
      </w:r>
      <w:r>
        <w:rPr>
          <w:rFonts w:hint="eastAsia" w:ascii="宋体" w:hAnsi="宋体"/>
          <w:sz w:val="24"/>
          <w:szCs w:val="24"/>
          <w:lang w:eastAsia="zh-CN"/>
        </w:rPr>
        <w:t xml:space="preserve"> 最大小时平均浓度、最大日均浓度分别占二级标准限值的40.2%、26.3 %；PM10 最大日均浓度占二级标准限值 2.3%。烟气除尘装置可能出现的故障是其中有 1 个电场不能正常运行，除尘效率将下降至 99.4%，综合除尘效率下降至 99.7%。所造成的PM10 最大日均浓度为 0.0070mg/Nm</w:t>
      </w:r>
      <w:r>
        <w:rPr>
          <w:rFonts w:ascii="宋体" w:hAnsi="宋体"/>
          <w:sz w:val="24"/>
          <w:szCs w:val="24"/>
          <w:vertAlign w:val="superscript"/>
          <w:lang w:eastAsia="zh-CN"/>
        </w:rPr>
        <w:t>3</w:t>
      </w:r>
      <w:r>
        <w:rPr>
          <w:rFonts w:hint="eastAsia" w:ascii="宋体" w:hAnsi="宋体"/>
          <w:sz w:val="24"/>
          <w:szCs w:val="24"/>
          <w:lang w:eastAsia="zh-CN"/>
        </w:rPr>
        <w:t>，占二级标准 4.67%，对PM10地面浓度的影响仍不大。此时的烟尘排放浓度已超过GB13223-2003的限值。因此,对除尘器必须定期进行检修，尽量避免此类故障的发生。</w:t>
      </w:r>
    </w:p>
    <w:p>
      <w:pPr>
        <w:pStyle w:val="6"/>
        <w:spacing w:before="0" w:line="360" w:lineRule="auto"/>
        <w:rPr>
          <w:rFonts w:ascii="宋体" w:hAnsi="宋体" w:eastAsia="宋体" w:cstheme="majorEastAsia"/>
          <w:color w:val="000000" w:themeColor="text1"/>
          <w:sz w:val="26"/>
          <w:szCs w:val="26"/>
          <w:lang w:eastAsia="zh-CN"/>
        </w:rPr>
      </w:pPr>
      <w:r>
        <w:rPr>
          <w:rFonts w:hint="eastAsia" w:ascii="宋体" w:hAnsi="宋体" w:eastAsia="宋体" w:cstheme="majorEastAsia"/>
          <w:color w:val="000000" w:themeColor="text1"/>
          <w:sz w:val="26"/>
          <w:szCs w:val="26"/>
          <w:lang w:eastAsia="zh-CN"/>
        </w:rPr>
        <w:t>5.2.1.6二噁英对环境的影响分析</w:t>
      </w:r>
    </w:p>
    <w:p>
      <w:pPr>
        <w:pStyle w:val="27"/>
        <w:shd w:val="clear" w:color="auto" w:fill="FFFFFF"/>
        <w:spacing w:before="0" w:beforeAutospacing="0" w:line="360" w:lineRule="auto"/>
        <w:ind w:left="-142" w:firstLine="480"/>
        <w:rPr>
          <w:rFonts w:ascii="宋体" w:hAnsi="宋体" w:eastAsia="宋体" w:cs="宋体"/>
          <w:color w:val="000000" w:themeColor="text1"/>
          <w:u w:val="single"/>
          <w:lang w:eastAsia="zh-CN"/>
        </w:rPr>
      </w:pPr>
      <w:r>
        <w:rPr>
          <w:rFonts w:ascii="宋体" w:hAnsi="宋体" w:eastAsia="宋体" w:cs="宋体"/>
          <w:color w:val="000000" w:themeColor="text1"/>
          <w:u w:val="single"/>
          <w:lang w:eastAsia="zh-CN"/>
        </w:rPr>
        <w:t>研究表明二噁英是由含氯有机物不完全燃烧通过复杂热反应形成的，当燃烧温度高于 800℃、停留时间超过 2S 时不会形成二噁英。本</w:t>
      </w:r>
      <w:r>
        <w:rPr>
          <w:rFonts w:hint="eastAsia" w:ascii="宋体" w:hAnsi="宋体" w:eastAsia="宋体" w:cs="宋体"/>
          <w:color w:val="000000" w:themeColor="text1"/>
          <w:u w:val="single"/>
          <w:lang w:eastAsia="zh-CN"/>
        </w:rPr>
        <w:t>项目燃烧温度高于1100、停留时间超过3s，因此应该不会产生大量二噁英。在现状调查中检测出锅炉烟气中二噁英含量为0.006ngTEQ/m</w:t>
      </w:r>
      <w:r>
        <w:rPr>
          <w:rFonts w:hint="eastAsia" w:ascii="宋体" w:hAnsi="宋体" w:eastAsia="宋体" w:cs="宋体"/>
          <w:color w:val="000000" w:themeColor="text1"/>
          <w:u w:val="single"/>
          <w:vertAlign w:val="superscript"/>
          <w:lang w:eastAsia="zh-CN"/>
        </w:rPr>
        <w:t>3</w:t>
      </w:r>
      <w:r>
        <w:rPr>
          <w:rFonts w:hint="eastAsia" w:ascii="宋体" w:hAnsi="宋体" w:eastAsia="宋体" w:cs="宋体"/>
          <w:color w:val="000000" w:themeColor="text1"/>
          <w:u w:val="single"/>
          <w:lang w:eastAsia="zh-CN"/>
        </w:rPr>
        <w:t>，日掺烧100t/d（4~5t/h），一体化机出口二噁英含量为0.0076ngTEQ/m</w:t>
      </w:r>
      <w:r>
        <w:rPr>
          <w:rFonts w:hint="eastAsia" w:ascii="宋体" w:hAnsi="宋体" w:eastAsia="宋体" w:cs="宋体"/>
          <w:color w:val="000000" w:themeColor="text1"/>
          <w:u w:val="single"/>
          <w:vertAlign w:val="superscript"/>
          <w:lang w:eastAsia="zh-CN"/>
        </w:rPr>
        <w:t>3</w:t>
      </w:r>
      <w:r>
        <w:rPr>
          <w:rFonts w:hint="eastAsia" w:ascii="宋体" w:hAnsi="宋体" w:eastAsia="宋体" w:cs="宋体"/>
          <w:color w:val="000000" w:themeColor="text1"/>
          <w:u w:val="single"/>
          <w:lang w:eastAsia="zh-CN"/>
        </w:rPr>
        <w:t>，锅炉烟气总排口中二噁英含量为0.0094ngTEQ/m</w:t>
      </w:r>
      <w:r>
        <w:rPr>
          <w:rFonts w:hint="eastAsia" w:ascii="宋体" w:hAnsi="宋体" w:eastAsia="宋体" w:cs="宋体"/>
          <w:color w:val="000000" w:themeColor="text1"/>
          <w:u w:val="single"/>
          <w:vertAlign w:val="superscript"/>
          <w:lang w:eastAsia="zh-CN"/>
        </w:rPr>
        <w:t>3</w:t>
      </w:r>
      <w:r>
        <w:rPr>
          <w:rFonts w:hint="eastAsia" w:ascii="宋体" w:hAnsi="宋体" w:eastAsia="宋体" w:cs="宋体"/>
          <w:color w:val="000000" w:themeColor="text1"/>
          <w:u w:val="single"/>
          <w:lang w:eastAsia="zh-CN"/>
        </w:rPr>
        <w:t>。远低于标准要求的0.</w:t>
      </w:r>
      <w:r>
        <w:rPr>
          <w:rFonts w:hint="eastAsia" w:ascii="宋体" w:hAnsi="宋体" w:eastAsia="宋体" w:cs="宋体"/>
          <w:color w:val="000000" w:themeColor="text1"/>
          <w:u w:val="single"/>
          <w:lang w:val="en-US" w:eastAsia="zh-CN"/>
        </w:rPr>
        <w:t>1</w:t>
      </w:r>
      <w:r>
        <w:rPr>
          <w:rFonts w:hint="eastAsia" w:ascii="宋体" w:hAnsi="宋体" w:eastAsia="宋体" w:cs="宋体"/>
          <w:color w:val="000000" w:themeColor="text1"/>
          <w:u w:val="single"/>
          <w:lang w:eastAsia="zh-CN"/>
        </w:rPr>
        <w:t xml:space="preserve"> ngTEQ/m</w:t>
      </w:r>
      <w:r>
        <w:rPr>
          <w:rFonts w:hint="eastAsia" w:ascii="宋体" w:hAnsi="宋体" w:eastAsia="宋体" w:cs="宋体"/>
          <w:color w:val="000000" w:themeColor="text1"/>
          <w:u w:val="single"/>
          <w:vertAlign w:val="superscript"/>
          <w:lang w:eastAsia="zh-CN"/>
        </w:rPr>
        <w:t>3</w:t>
      </w:r>
      <w:r>
        <w:rPr>
          <w:rFonts w:hint="eastAsia" w:ascii="宋体" w:hAnsi="宋体" w:eastAsia="宋体" w:cs="宋体"/>
          <w:color w:val="000000" w:themeColor="text1"/>
          <w:u w:val="single"/>
          <w:lang w:eastAsia="zh-CN"/>
        </w:rPr>
        <w:t>。由于二噁英形成机理尚不完全清楚，项目运营后继续加强对二噁英含量的跟踪检测，密切关注二噁英的产生情况。</w:t>
      </w:r>
      <w:bookmarkStart w:id="529" w:name="_Toc24969770"/>
    </w:p>
    <w:p>
      <w:pPr>
        <w:pStyle w:val="6"/>
        <w:spacing w:before="0" w:line="360" w:lineRule="auto"/>
        <w:rPr>
          <w:rFonts w:ascii="宋体" w:hAnsi="宋体" w:eastAsia="宋体" w:cstheme="majorEastAsia"/>
          <w:color w:val="000000" w:themeColor="text1"/>
          <w:sz w:val="26"/>
          <w:szCs w:val="26"/>
          <w:lang w:eastAsia="zh-CN"/>
        </w:rPr>
      </w:pPr>
      <w:r>
        <w:rPr>
          <w:rFonts w:hint="eastAsia" w:ascii="宋体" w:hAnsi="宋体" w:eastAsia="宋体" w:cstheme="majorEastAsia"/>
          <w:color w:val="000000" w:themeColor="text1"/>
          <w:sz w:val="26"/>
          <w:szCs w:val="26"/>
          <w:lang w:eastAsia="zh-CN"/>
        </w:rPr>
        <w:t>5.2.1.7脱硫脱硝除尘等烟气净化工艺对环境的影响分析</w:t>
      </w:r>
      <w:bookmarkEnd w:id="529"/>
    </w:p>
    <w:p>
      <w:pPr>
        <w:spacing w:after="0" w:line="360" w:lineRule="auto"/>
        <w:rPr>
          <w:rFonts w:ascii="宋体" w:hAnsi="宋体" w:cs="宋体"/>
          <w:color w:val="000000" w:themeColor="text1"/>
          <w:sz w:val="24"/>
          <w:szCs w:val="24"/>
          <w:lang w:eastAsia="zh-CN"/>
        </w:rPr>
      </w:pPr>
      <w:r>
        <w:rPr>
          <w:rFonts w:hint="eastAsia" w:ascii="宋体" w:hAnsi="宋体" w:cs="宋体"/>
          <w:color w:val="000000" w:themeColor="text1"/>
          <w:sz w:val="24"/>
          <w:szCs w:val="24"/>
          <w:lang w:eastAsia="zh-CN"/>
        </w:rPr>
        <w:t xml:space="preserve">    脱硫环境影响分析：（1）全厂的脱硫石膏的年产生量按设计煤种计约为 13 万 t。已签订石膏的综合利用协议；脱硫石膏主要用作水泥缓凝剂、制石膏板；全部脱硫石膏均综合利用。未综合利用的石膏送至灰场碾压贮存。（2）脱硫废水：排放的废水中总悬浮固体（SS）浓度较高、呈弱酸性，经单独处理后作干灰调湿或灰场防尘用水。（3）对脱硫运行设备采用隔声墙、隔声罩、消声器等措施隔声；对设备声级高的采用室内布置加隔声罩措施隔声。（4）石灰石浆液制备系统采用密闭设置、负压等严格的措施，技术是成熟的;可有效防止扬尘污染。（5）脱硫后清洁烟气排入 240m 烟囱以保持烟气有效高度并降低环境影响。（6）脱硫石膏化学性质稳定、不溶于水、具有粘性，不会污染地下水；灰场碾压贮存后不会产生二次扬尘污染。</w:t>
      </w:r>
    </w:p>
    <w:p>
      <w:pPr>
        <w:spacing w:after="0" w:line="360" w:lineRule="auto"/>
        <w:ind w:firstLine="480"/>
        <w:rPr>
          <w:rFonts w:ascii="宋体" w:hAnsi="宋体"/>
          <w:sz w:val="24"/>
          <w:szCs w:val="24"/>
          <w:lang w:eastAsia="zh-CN"/>
        </w:rPr>
      </w:pPr>
      <w:r>
        <w:rPr>
          <w:rFonts w:hint="eastAsia" w:ascii="宋体" w:hAnsi="宋体" w:cs="宋体"/>
          <w:color w:val="000000" w:themeColor="text1"/>
          <w:sz w:val="24"/>
          <w:szCs w:val="24"/>
          <w:lang w:eastAsia="zh-CN"/>
        </w:rPr>
        <w:t>脱硝环境影响分析（1）超超临界锅炉 SCR 烟气脱硝系统运行脱硝效率 70％以上。（2）SCR 烟气脱硝系统运行无副产品，无废水排放，氨逃逸指标 3～5ppm，因此， SCR 烟气脱硝系统运行不会影响环境。（3）SCR 烟气脱硝系统需用液氨作还原剂，液氨有毒、易挥发，贮存液氨必须采用合格的压力容器，液氨贮存罐、液氨输送管道及控制阀门必须采用耐腐蚀材料，经常检查并严防液氨泄漏。（4）催化剂催化剂再生处理由供货业主负责。催化剂最大寿命约 10 年，10</w:t>
      </w:r>
      <w:r>
        <w:rPr>
          <w:rFonts w:hint="eastAsia" w:ascii="宋体" w:hAnsi="宋体"/>
          <w:sz w:val="24"/>
          <w:szCs w:val="24"/>
          <w:lang w:eastAsia="zh-CN"/>
        </w:rPr>
        <w:t xml:space="preserve"> 年后催化剂由供给公司收回重新处理回收。催化剂再生处理会产生少量废水，废水处理由催化剂供货业主负责。不在电厂区域排放废水。不会影响电厂区域水体环境。</w:t>
      </w:r>
    </w:p>
    <w:p>
      <w:pPr>
        <w:spacing w:after="0" w:line="360" w:lineRule="auto"/>
        <w:ind w:firstLine="480"/>
        <w:rPr>
          <w:rFonts w:ascii="宋体" w:hAnsi="宋体"/>
          <w:sz w:val="24"/>
          <w:szCs w:val="24"/>
          <w:lang w:eastAsia="zh-CN"/>
        </w:rPr>
      </w:pPr>
      <w:r>
        <w:rPr>
          <w:rFonts w:hint="eastAsia" w:ascii="宋体" w:hAnsi="宋体"/>
          <w:sz w:val="24"/>
          <w:szCs w:val="24"/>
          <w:lang w:eastAsia="zh-CN"/>
        </w:rPr>
        <w:t>除尘环境影响分析 电除尘场产生细灰全部外售给商品混凝土公司和水泥构件厂，采用水泥罐车运送。不会对土壤环境产生影响，也不会对环境空气质量产生影响。</w:t>
      </w:r>
    </w:p>
    <w:p>
      <w:pPr>
        <w:spacing w:after="0" w:line="360" w:lineRule="auto"/>
        <w:ind w:firstLine="480"/>
        <w:rPr>
          <w:rFonts w:ascii="宋体" w:hAnsi="宋体"/>
          <w:sz w:val="24"/>
          <w:szCs w:val="24"/>
          <w:lang w:eastAsia="zh-CN"/>
        </w:rPr>
      </w:pPr>
      <w:r>
        <w:rPr>
          <w:rFonts w:hint="eastAsia" w:ascii="宋体" w:hAnsi="宋体"/>
          <w:sz w:val="24"/>
          <w:szCs w:val="24"/>
          <w:lang w:eastAsia="zh-CN"/>
        </w:rPr>
        <w:t>考虑到用户对灰渣需求的不均衡性或当灰渣暂无综合利用时，可将灰渣汽车运至灰场堆放。</w:t>
      </w:r>
    </w:p>
    <w:p>
      <w:pPr>
        <w:pStyle w:val="6"/>
        <w:spacing w:before="0" w:line="360" w:lineRule="auto"/>
        <w:rPr>
          <w:rFonts w:ascii="宋体" w:hAnsi="宋体"/>
          <w:b w:val="0"/>
          <w:sz w:val="24"/>
          <w:szCs w:val="24"/>
          <w:lang w:eastAsia="zh-CN"/>
        </w:rPr>
      </w:pPr>
      <w:bookmarkStart w:id="530" w:name="_Toc22202765"/>
      <w:bookmarkStart w:id="531" w:name="_Toc24969771"/>
      <w:r>
        <w:rPr>
          <w:rFonts w:hint="eastAsia" w:ascii="宋体" w:hAnsi="宋体" w:eastAsia="宋体" w:cstheme="majorEastAsia"/>
          <w:color w:val="000000" w:themeColor="text1"/>
          <w:sz w:val="26"/>
          <w:szCs w:val="26"/>
          <w:lang w:eastAsia="zh-CN"/>
        </w:rPr>
        <w:t>5.2.2地表水环境影响分析与评价</w:t>
      </w:r>
      <w:bookmarkEnd w:id="530"/>
      <w:bookmarkEnd w:id="531"/>
    </w:p>
    <w:p>
      <w:pPr>
        <w:spacing w:after="0" w:line="360" w:lineRule="auto"/>
        <w:ind w:firstLine="465"/>
        <w:rPr>
          <w:rFonts w:ascii="宋体" w:hAnsi="宋体"/>
          <w:sz w:val="24"/>
          <w:szCs w:val="24"/>
          <w:lang w:eastAsia="zh-CN"/>
        </w:rPr>
      </w:pPr>
      <w:r>
        <w:rPr>
          <w:rFonts w:hint="eastAsia" w:ascii="宋体" w:hAnsi="宋体"/>
          <w:sz w:val="24"/>
          <w:szCs w:val="24"/>
          <w:lang w:eastAsia="zh-CN"/>
        </w:rPr>
        <w:t xml:space="preserve">本项目依托华能岳阳电厂现有超超临界锅炉对燃煤电厂污泥及生物质干燥炭化输送一体化关键技术进行研究，只增加少量污泥储罐及储罐区地表冲洗水，进入华能岳阳电厂污水处理场处理后回用，不外排，不对受纳水体产生污染，因此本项目一般排水不再作预测评价。 </w:t>
      </w:r>
    </w:p>
    <w:p>
      <w:pPr>
        <w:pStyle w:val="6"/>
        <w:spacing w:before="0" w:line="360" w:lineRule="auto"/>
        <w:rPr>
          <w:rFonts w:ascii="宋体" w:hAnsi="宋体" w:eastAsia="宋体" w:cstheme="majorEastAsia"/>
          <w:color w:val="000000" w:themeColor="text1"/>
          <w:sz w:val="26"/>
          <w:szCs w:val="26"/>
          <w:lang w:eastAsia="zh-CN"/>
        </w:rPr>
      </w:pPr>
      <w:bookmarkStart w:id="532" w:name="_Toc24969772"/>
      <w:bookmarkStart w:id="533" w:name="_Toc22202766"/>
      <w:r>
        <w:rPr>
          <w:rFonts w:hint="eastAsia" w:ascii="宋体" w:hAnsi="宋体" w:eastAsia="宋体" w:cstheme="majorEastAsia"/>
          <w:color w:val="000000" w:themeColor="text1"/>
          <w:sz w:val="26"/>
          <w:szCs w:val="26"/>
          <w:lang w:eastAsia="zh-CN"/>
        </w:rPr>
        <w:t>5.2.3地下水环境影响分析与评价</w:t>
      </w:r>
      <w:bookmarkEnd w:id="532"/>
      <w:bookmarkEnd w:id="533"/>
    </w:p>
    <w:p>
      <w:pPr>
        <w:spacing w:after="0" w:line="360" w:lineRule="auto"/>
        <w:ind w:firstLine="465"/>
        <w:rPr>
          <w:rFonts w:ascii="宋体" w:hAnsi="宋体"/>
          <w:sz w:val="24"/>
          <w:szCs w:val="24"/>
          <w:lang w:eastAsia="zh-CN"/>
        </w:rPr>
      </w:pPr>
      <w:r>
        <w:rPr>
          <w:rFonts w:hint="eastAsia" w:ascii="宋体" w:hAnsi="宋体"/>
          <w:sz w:val="24"/>
          <w:szCs w:val="24"/>
          <w:lang w:eastAsia="zh-CN"/>
        </w:rPr>
        <w:t xml:space="preserve">本项目依托华能岳阳电厂现有超超临界锅炉对燃煤电厂污泥及生物质干燥炭化输送一体化处理系统关键技术进行研究，在华能岳阳电厂建设有污泥储罐，为防止污泥散落以及储罐下料管污水通过地表渗入地下水，污泥储罐库房应做地面防渗，四周建设围堰，防止污泥水分渗入地下污染地下水。污泥下料管污水以及冲洗污泥运输车辆储罐及地面产生的污水进华能岳阳电厂污水处理场处理后回用。在采取上述措施后，本项目基本不对地下水产生影响，因此本项目不再作地下水预测评价。 </w:t>
      </w:r>
    </w:p>
    <w:p>
      <w:pPr>
        <w:pStyle w:val="6"/>
        <w:spacing w:before="0" w:line="360" w:lineRule="auto"/>
        <w:rPr>
          <w:rFonts w:ascii="宋体" w:hAnsi="宋体" w:eastAsia="宋体" w:cstheme="majorEastAsia"/>
          <w:color w:val="000000" w:themeColor="text1"/>
          <w:sz w:val="26"/>
          <w:szCs w:val="26"/>
          <w:lang w:eastAsia="zh-CN"/>
        </w:rPr>
      </w:pPr>
      <w:bookmarkStart w:id="534" w:name="_Toc24969773"/>
      <w:bookmarkStart w:id="535" w:name="_Toc21814369"/>
      <w:bookmarkStart w:id="536" w:name="_Toc21814237"/>
      <w:bookmarkStart w:id="537" w:name="_Toc22202051"/>
      <w:bookmarkStart w:id="538" w:name="_Toc22151001"/>
      <w:bookmarkStart w:id="539" w:name="_Toc22151178"/>
      <w:bookmarkStart w:id="540" w:name="_Toc22200338"/>
      <w:bookmarkStart w:id="541" w:name="_Toc22202767"/>
      <w:bookmarkStart w:id="542" w:name="_Toc22202351"/>
      <w:bookmarkStart w:id="543" w:name="_Toc22201004"/>
      <w:bookmarkStart w:id="544" w:name="_Toc22199694"/>
      <w:bookmarkStart w:id="545" w:name="_Toc22199204"/>
      <w:bookmarkStart w:id="546" w:name="_Toc22198840"/>
      <w:bookmarkStart w:id="547" w:name="_Toc22198335"/>
      <w:bookmarkStart w:id="548" w:name="_Toc22198441"/>
      <w:bookmarkStart w:id="549" w:name="_Toc22198544"/>
      <w:bookmarkStart w:id="550" w:name="_Toc22198217"/>
      <w:bookmarkStart w:id="551" w:name="_Toc21815024"/>
      <w:bookmarkStart w:id="552" w:name="_Toc21814416"/>
      <w:r>
        <w:rPr>
          <w:rFonts w:hint="eastAsia" w:ascii="宋体" w:hAnsi="宋体" w:eastAsia="宋体" w:cstheme="majorEastAsia"/>
          <w:color w:val="000000" w:themeColor="text1"/>
          <w:sz w:val="26"/>
          <w:szCs w:val="26"/>
          <w:lang w:eastAsia="zh-CN"/>
        </w:rPr>
        <w:t>5.2.4土壤环境影响分析与评价</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2"/>
        <w:spacing w:after="0" w:line="360" w:lineRule="auto"/>
        <w:ind w:left="0" w:firstLine="0"/>
        <w:rPr>
          <w:sz w:val="24"/>
          <w:lang w:eastAsia="zh-CN"/>
        </w:rPr>
      </w:pPr>
      <w:r>
        <w:rPr>
          <w:rFonts w:hint="eastAsia"/>
          <w:sz w:val="24"/>
          <w:lang w:eastAsia="zh-CN"/>
        </w:rPr>
        <w:t xml:space="preserve">        本项目运行期将锅炉烟气净化系统产生的固废有少量增加但全部混合在华能岳阳电厂原有的固废中，不需单独处理。华能岳阳电厂年产生灰、渣、石膏量约为 125 万 t，粗灰主要供应各水泥厂作掺合料或用于建材，其中水泥厂用量约占 80%，公路建设用量约占 20%。电除尘场细灰的主要用户为商品混凝土公司和水泥构件厂，采用水泥罐车运送,电厂炉底渣则主要供应砖瓦厂和用于筑路，并且一直供不应求。脱硫石膏已全部签订综合利用协议，灰、渣、脱硫石膏可以 100%综合利用。</w:t>
      </w:r>
      <w:r>
        <w:rPr>
          <w:sz w:val="24"/>
          <w:lang w:eastAsia="zh-CN"/>
        </w:rPr>
        <w:t>对周边</w:t>
      </w:r>
      <w:r>
        <w:rPr>
          <w:rFonts w:hint="eastAsia"/>
          <w:sz w:val="24"/>
          <w:lang w:eastAsia="zh-CN"/>
        </w:rPr>
        <w:t>土壤</w:t>
      </w:r>
      <w:r>
        <w:rPr>
          <w:sz w:val="24"/>
          <w:lang w:eastAsia="zh-CN"/>
        </w:rPr>
        <w:t>环境</w:t>
      </w:r>
      <w:r>
        <w:rPr>
          <w:rFonts w:hint="eastAsia"/>
          <w:sz w:val="24"/>
          <w:lang w:eastAsia="zh-CN"/>
        </w:rPr>
        <w:t>不会产生直接</w:t>
      </w:r>
      <w:r>
        <w:rPr>
          <w:sz w:val="24"/>
          <w:lang w:eastAsia="zh-CN"/>
        </w:rPr>
        <w:t>影响</w:t>
      </w:r>
      <w:r>
        <w:rPr>
          <w:rFonts w:hint="eastAsia"/>
          <w:sz w:val="24"/>
          <w:lang w:eastAsia="zh-CN"/>
        </w:rPr>
        <w:t>。</w:t>
      </w:r>
    </w:p>
    <w:p>
      <w:pPr>
        <w:pStyle w:val="2"/>
        <w:spacing w:after="0" w:line="360" w:lineRule="auto"/>
        <w:ind w:left="0" w:firstLine="0"/>
        <w:rPr>
          <w:sz w:val="24"/>
          <w:lang w:eastAsia="zh-CN"/>
        </w:rPr>
      </w:pPr>
      <w:r>
        <w:rPr>
          <w:rFonts w:hint="eastAsia"/>
          <w:sz w:val="24"/>
          <w:lang w:eastAsia="zh-CN"/>
        </w:rPr>
        <w:t xml:space="preserve">        本项目对土壤的污染主要是污泥运输车及污泥储罐冲洗产生的废水。污泥储罐区采取地面防渗，四周建设围堰，冲洗废水进入华能岳阳电厂污水处理场处理后回用。采取上述措施后，基本不会对土壤产生污染。</w:t>
      </w:r>
    </w:p>
    <w:p>
      <w:pPr>
        <w:pStyle w:val="2"/>
        <w:spacing w:after="0" w:line="360" w:lineRule="auto"/>
        <w:ind w:left="0" w:firstLine="0"/>
        <w:rPr>
          <w:rFonts w:hint="eastAsia"/>
          <w:sz w:val="24"/>
          <w:lang w:eastAsia="zh-CN"/>
        </w:rPr>
      </w:pPr>
      <w:r>
        <w:rPr>
          <w:rFonts w:hint="eastAsia"/>
          <w:sz w:val="24"/>
          <w:lang w:eastAsia="zh-CN"/>
        </w:rPr>
        <w:t xml:space="preserve">         总之，本项目是</w:t>
      </w:r>
      <w:r>
        <w:rPr>
          <w:rFonts w:hint="eastAsia" w:ascii="宋体" w:hAnsi="宋体" w:cstheme="minorEastAsia"/>
          <w:sz w:val="24"/>
          <w:szCs w:val="24"/>
          <w:lang w:eastAsia="zh-CN"/>
        </w:rPr>
        <w:t>研究污泥及生物质干燥炭化输送一体化的工艺参数及污泥及生物质干燥炭化输送一体化设备的结构和关键尺寸参数的试验装置</w:t>
      </w:r>
      <w:r>
        <w:rPr>
          <w:rFonts w:hint="eastAsia"/>
          <w:sz w:val="24"/>
          <w:lang w:eastAsia="zh-CN"/>
        </w:rPr>
        <w:t>，项目正常实施对土壤环境质量的影响很小。</w:t>
      </w:r>
      <w:bookmarkStart w:id="553" w:name="_Toc407342433"/>
      <w:bookmarkStart w:id="554" w:name="_Toc324255187"/>
      <w:bookmarkStart w:id="555" w:name="_Toc28634"/>
      <w:bookmarkStart w:id="556" w:name="_Toc30091"/>
      <w:bookmarkStart w:id="557" w:name="_Toc31858"/>
      <w:bookmarkStart w:id="558" w:name="_Toc13786"/>
      <w:bookmarkStart w:id="559" w:name="_Toc27490"/>
      <w:bookmarkStart w:id="560" w:name="_Toc16194"/>
      <w:bookmarkStart w:id="561" w:name="_Toc11767"/>
      <w:bookmarkStart w:id="562" w:name="_Toc27089"/>
      <w:bookmarkStart w:id="563" w:name="_Toc25782"/>
      <w:bookmarkStart w:id="564" w:name="_Toc25029"/>
      <w:bookmarkStart w:id="565" w:name="_Toc24969774"/>
      <w:bookmarkStart w:id="566" w:name="_Toc25561"/>
      <w:bookmarkStart w:id="567" w:name="_Toc27875"/>
      <w:bookmarkStart w:id="568" w:name="_Toc28196"/>
      <w:bookmarkStart w:id="569" w:name="_Toc486403372"/>
      <w:bookmarkStart w:id="570" w:name="_Toc13402"/>
      <w:bookmarkStart w:id="571" w:name="_Toc22202352"/>
      <w:bookmarkStart w:id="572" w:name="_Toc22202052"/>
      <w:bookmarkStart w:id="573" w:name="_Toc22201005"/>
      <w:bookmarkStart w:id="574" w:name="_Toc22202768"/>
      <w:bookmarkStart w:id="575" w:name="_Toc22200339"/>
      <w:bookmarkStart w:id="576" w:name="_Toc22199695"/>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r>
        <w:rPr>
          <w:rFonts w:ascii="宋体" w:hAnsi="宋体" w:eastAsia="宋体"/>
          <w:sz w:val="44"/>
          <w:szCs w:val="44"/>
          <w:lang w:eastAsia="zh-CN"/>
        </w:rPr>
        <w:t>6</w:t>
      </w:r>
      <w:bookmarkEnd w:id="553"/>
      <w:bookmarkEnd w:id="554"/>
      <w:r>
        <w:rPr>
          <w:rFonts w:ascii="宋体" w:hAnsi="宋体" w:eastAsia="宋体"/>
          <w:sz w:val="44"/>
          <w:szCs w:val="44"/>
          <w:lang w:eastAsia="zh-CN"/>
        </w:rPr>
        <w:t>环境风险</w:t>
      </w:r>
      <w:bookmarkEnd w:id="555"/>
      <w:bookmarkEnd w:id="556"/>
      <w:bookmarkEnd w:id="557"/>
      <w:bookmarkEnd w:id="558"/>
      <w:bookmarkEnd w:id="559"/>
      <w:bookmarkEnd w:id="560"/>
      <w:bookmarkEnd w:id="561"/>
      <w:bookmarkEnd w:id="562"/>
      <w:bookmarkEnd w:id="563"/>
      <w:bookmarkEnd w:id="564"/>
      <w:r>
        <w:rPr>
          <w:rFonts w:hint="eastAsia" w:ascii="宋体" w:hAnsi="宋体" w:eastAsia="宋体"/>
          <w:sz w:val="44"/>
          <w:szCs w:val="44"/>
          <w:lang w:eastAsia="zh-CN"/>
        </w:rPr>
        <w:t>评价</w:t>
      </w:r>
      <w:bookmarkEnd w:id="565"/>
      <w:bookmarkEnd w:id="566"/>
      <w:bookmarkEnd w:id="567"/>
      <w:bookmarkEnd w:id="568"/>
      <w:bookmarkEnd w:id="569"/>
      <w:bookmarkEnd w:id="570"/>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577" w:name="_Toc19555"/>
      <w:bookmarkStart w:id="578" w:name="_Toc24969775"/>
      <w:bookmarkStart w:id="579" w:name="_Toc13018"/>
      <w:bookmarkStart w:id="580" w:name="_Toc486403373"/>
      <w:bookmarkStart w:id="581" w:name="_Toc30089"/>
      <w:r>
        <w:rPr>
          <w:rFonts w:ascii="宋体" w:hAnsi="宋体" w:eastAsia="宋体"/>
          <w:color w:val="000000" w:themeColor="text1"/>
          <w:lang w:eastAsia="zh-CN"/>
        </w:rPr>
        <w:t>6. 1</w:t>
      </w:r>
      <w:r>
        <w:rPr>
          <w:rFonts w:hint="eastAsia" w:ascii="宋体" w:hAnsi="宋体" w:eastAsia="宋体"/>
          <w:color w:val="000000" w:themeColor="text1"/>
          <w:lang w:eastAsia="zh-CN"/>
        </w:rPr>
        <w:t>环境风险识别</w:t>
      </w:r>
      <w:bookmarkEnd w:id="577"/>
      <w:bookmarkEnd w:id="578"/>
      <w:bookmarkEnd w:id="579"/>
      <w:bookmarkEnd w:id="580"/>
      <w:bookmarkEnd w:id="581"/>
    </w:p>
    <w:p>
      <w:pPr>
        <w:spacing w:line="360" w:lineRule="auto"/>
        <w:ind w:right="-1283" w:firstLine="567"/>
        <w:rPr>
          <w:sz w:val="24"/>
          <w:lang w:eastAsia="zh-CN"/>
        </w:rPr>
      </w:pPr>
      <w:r>
        <w:rPr>
          <w:rFonts w:hint="eastAsia"/>
          <w:sz w:val="24"/>
          <w:lang w:eastAsia="zh-CN"/>
        </w:rPr>
        <w:t>根据工程分析内容，确定本评价风险识别范围如下：</w:t>
      </w:r>
    </w:p>
    <w:p>
      <w:pPr>
        <w:pStyle w:val="58"/>
        <w:numPr>
          <w:ilvl w:val="0"/>
          <w:numId w:val="12"/>
        </w:numPr>
        <w:spacing w:after="0" w:line="360" w:lineRule="auto"/>
        <w:ind w:firstLineChars="0"/>
        <w:contextualSpacing/>
        <w:rPr>
          <w:sz w:val="24"/>
        </w:rPr>
      </w:pPr>
      <w:r>
        <w:rPr>
          <w:rFonts w:hint="eastAsia"/>
          <w:sz w:val="24"/>
        </w:rPr>
        <w:t>物质风险识别范围</w:t>
      </w:r>
    </w:p>
    <w:p>
      <w:pPr>
        <w:spacing w:line="360" w:lineRule="auto"/>
        <w:ind w:firstLine="480" w:firstLineChars="200"/>
        <w:rPr>
          <w:sz w:val="24"/>
          <w:lang w:eastAsia="zh-CN"/>
        </w:rPr>
      </w:pPr>
      <w:r>
        <w:rPr>
          <w:rFonts w:hint="eastAsia"/>
          <w:sz w:val="24"/>
          <w:lang w:eastAsia="zh-CN"/>
        </w:rPr>
        <w:t>项目不使用其他剧毒、易燃、易爆化学品，项目所处置污泥和生物质为一般固体废物，项目在运行过程中应严格按照</w:t>
      </w:r>
      <w:r>
        <w:rPr>
          <w:lang w:eastAsia="zh-CN"/>
        </w:rPr>
        <w:t>《一般工业固体废物贮存、处置场污染控制标准》（GB18599-2001）及2013年修改清单</w:t>
      </w:r>
      <w:r>
        <w:rPr>
          <w:rFonts w:hint="eastAsia"/>
          <w:lang w:eastAsia="zh-CN"/>
        </w:rPr>
        <w:t>规定</w:t>
      </w:r>
      <w:r>
        <w:rPr>
          <w:rFonts w:hint="eastAsia"/>
          <w:sz w:val="24"/>
          <w:lang w:eastAsia="zh-CN"/>
        </w:rPr>
        <w:t>进行运输、暂存和处置。</w:t>
      </w:r>
    </w:p>
    <w:p>
      <w:pPr>
        <w:spacing w:line="360" w:lineRule="auto"/>
        <w:ind w:firstLine="480" w:firstLineChars="200"/>
        <w:rPr>
          <w:sz w:val="24"/>
          <w:lang w:eastAsia="zh-CN"/>
        </w:rPr>
      </w:pPr>
      <w:r>
        <w:rPr>
          <w:rFonts w:hint="eastAsia"/>
          <w:sz w:val="24"/>
          <w:lang w:eastAsia="zh-CN"/>
        </w:rPr>
        <w:t>该项目物质风险识别范围主要是污泥储存、干燥及燃烧过程中产生的有毒气体，如氨气、硫化氢、二氧化硫等。</w:t>
      </w:r>
    </w:p>
    <w:p>
      <w:pPr>
        <w:pStyle w:val="58"/>
        <w:numPr>
          <w:ilvl w:val="0"/>
          <w:numId w:val="12"/>
        </w:numPr>
        <w:spacing w:after="0" w:line="360" w:lineRule="auto"/>
        <w:ind w:firstLineChars="0"/>
        <w:contextualSpacing/>
        <w:rPr>
          <w:sz w:val="24"/>
        </w:rPr>
      </w:pPr>
      <w:r>
        <w:rPr>
          <w:rFonts w:hint="eastAsia"/>
          <w:sz w:val="24"/>
        </w:rPr>
        <w:t>生产设施风险识别范围</w:t>
      </w:r>
    </w:p>
    <w:p>
      <w:pPr>
        <w:spacing w:line="360" w:lineRule="auto"/>
        <w:ind w:firstLine="480" w:firstLineChars="200"/>
        <w:rPr>
          <w:sz w:val="24"/>
          <w:lang w:eastAsia="zh-CN"/>
        </w:rPr>
      </w:pPr>
      <w:r>
        <w:rPr>
          <w:rFonts w:hint="eastAsia"/>
          <w:sz w:val="24"/>
          <w:lang w:eastAsia="zh-CN"/>
        </w:rPr>
        <w:t>生产设施风险识别范围包污泥储罐、污泥干燥炭化输送一体化处理机和掺烧锅炉等。</w:t>
      </w:r>
    </w:p>
    <w:p>
      <w:pPr>
        <w:pStyle w:val="58"/>
        <w:numPr>
          <w:ilvl w:val="0"/>
          <w:numId w:val="12"/>
        </w:numPr>
        <w:spacing w:after="0" w:line="360" w:lineRule="auto"/>
        <w:ind w:firstLineChars="0"/>
        <w:contextualSpacing/>
        <w:rPr>
          <w:sz w:val="24"/>
        </w:rPr>
      </w:pPr>
      <w:r>
        <w:rPr>
          <w:rFonts w:hint="eastAsia"/>
          <w:sz w:val="24"/>
        </w:rPr>
        <w:t>产过程风险识别范围</w:t>
      </w:r>
    </w:p>
    <w:p>
      <w:pPr>
        <w:spacing w:line="360" w:lineRule="auto"/>
        <w:ind w:firstLine="480" w:firstLineChars="200"/>
        <w:rPr>
          <w:sz w:val="24"/>
          <w:lang w:eastAsia="zh-CN"/>
        </w:rPr>
      </w:pPr>
      <w:r>
        <w:rPr>
          <w:rFonts w:hint="eastAsia"/>
          <w:sz w:val="24"/>
          <w:lang w:eastAsia="zh-CN"/>
        </w:rPr>
        <w:t>拟建项目有害气体主要在污泥装卸、污泥干燥炭化输送一体化处理及掺烧过程中产生，应加强对污泥运输管理，防止有害气体逸散，加强对污泥装卸管理及储罐维护，保障试验装置的掺烧正常运行。</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582" w:name="_Toc23161"/>
      <w:bookmarkStart w:id="583" w:name="_Toc486403374"/>
      <w:bookmarkStart w:id="584" w:name="_Toc7171"/>
      <w:bookmarkStart w:id="585" w:name="_Toc24969776"/>
      <w:bookmarkStart w:id="586" w:name="_Toc11421"/>
      <w:r>
        <w:rPr>
          <w:rFonts w:ascii="宋体" w:hAnsi="宋体" w:eastAsia="宋体"/>
          <w:color w:val="000000" w:themeColor="text1"/>
          <w:lang w:eastAsia="zh-CN"/>
        </w:rPr>
        <w:t>6.</w:t>
      </w:r>
      <w:r>
        <w:rPr>
          <w:rFonts w:hint="eastAsia" w:ascii="宋体" w:hAnsi="宋体" w:eastAsia="宋体"/>
          <w:color w:val="000000" w:themeColor="text1"/>
          <w:lang w:eastAsia="zh-CN"/>
        </w:rPr>
        <w:t xml:space="preserve"> 2物质危险性识别</w:t>
      </w:r>
      <w:bookmarkEnd w:id="582"/>
      <w:bookmarkEnd w:id="583"/>
      <w:bookmarkEnd w:id="584"/>
      <w:bookmarkEnd w:id="585"/>
      <w:bookmarkEnd w:id="586"/>
    </w:p>
    <w:p>
      <w:pPr>
        <w:spacing w:line="360" w:lineRule="auto"/>
        <w:ind w:firstLine="480" w:firstLineChars="200"/>
        <w:rPr>
          <w:sz w:val="24"/>
          <w:lang w:eastAsia="zh-CN"/>
        </w:rPr>
      </w:pPr>
      <w:r>
        <w:rPr>
          <w:rFonts w:hint="eastAsia"/>
          <w:sz w:val="24"/>
          <w:lang w:eastAsia="zh-CN"/>
        </w:rPr>
        <w:t>根据物质风险识别范围主要包括主要原材料及辅助材料、燃料、中间产品、最终产品以及生产过程排放的“三废”污染物等。</w:t>
      </w:r>
    </w:p>
    <w:p>
      <w:pPr>
        <w:spacing w:line="360" w:lineRule="auto"/>
        <w:ind w:firstLine="480" w:firstLineChars="200"/>
        <w:rPr>
          <w:sz w:val="24"/>
          <w:lang w:eastAsia="zh-CN"/>
        </w:rPr>
      </w:pPr>
      <w:r>
        <w:rPr>
          <w:rFonts w:hint="eastAsia"/>
          <w:sz w:val="24"/>
          <w:lang w:eastAsia="zh-CN"/>
        </w:rPr>
        <w:t>拟建项目生产所涉及到的主要危险物质包括氨气、硫化氢、二氧化硫，其主要化学理化性质如</w:t>
      </w:r>
      <w:r>
        <w:rPr>
          <w:rFonts w:hint="eastAsia"/>
          <w:b/>
          <w:sz w:val="24"/>
          <w:lang w:eastAsia="zh-CN"/>
        </w:rPr>
        <w:t>表6.2-1</w:t>
      </w:r>
      <w:r>
        <w:rPr>
          <w:rFonts w:hint="eastAsia"/>
          <w:sz w:val="24"/>
          <w:lang w:eastAsia="zh-CN"/>
        </w:rPr>
        <w:t>和</w:t>
      </w:r>
      <w:r>
        <w:rPr>
          <w:rFonts w:hint="eastAsia"/>
          <w:b/>
          <w:sz w:val="24"/>
          <w:lang w:eastAsia="zh-CN"/>
        </w:rPr>
        <w:t>表6.2-2</w:t>
      </w:r>
      <w:r>
        <w:rPr>
          <w:rFonts w:hint="eastAsia"/>
          <w:sz w:val="24"/>
          <w:lang w:eastAsia="zh-CN"/>
        </w:rPr>
        <w:t>。</w:t>
      </w:r>
    </w:p>
    <w:p>
      <w:pPr>
        <w:pStyle w:val="72"/>
        <w:spacing w:line="240" w:lineRule="auto"/>
        <w:ind w:firstLine="0" w:firstLineChars="0"/>
        <w:jc w:val="center"/>
        <w:rPr>
          <w:rFonts w:ascii="Times New Roman"/>
          <w:b/>
          <w:bCs/>
          <w:szCs w:val="24"/>
          <w:lang w:eastAsia="zh-CN"/>
        </w:rPr>
      </w:pPr>
      <w:r>
        <w:rPr>
          <w:rFonts w:ascii="Times New Roman"/>
          <w:b/>
          <w:bCs/>
          <w:szCs w:val="24"/>
          <w:lang w:eastAsia="zh-CN"/>
        </w:rPr>
        <w:t>表</w:t>
      </w:r>
      <w:r>
        <w:rPr>
          <w:rFonts w:hint="eastAsia" w:ascii="Times New Roman"/>
          <w:b/>
          <w:bCs/>
          <w:szCs w:val="24"/>
          <w:lang w:eastAsia="zh-CN"/>
        </w:rPr>
        <w:t>6.1</w:t>
      </w:r>
      <w:r>
        <w:rPr>
          <w:rFonts w:ascii="Times New Roman"/>
          <w:b/>
          <w:bCs/>
          <w:szCs w:val="24"/>
          <w:lang w:eastAsia="zh-CN"/>
        </w:rPr>
        <w:t>-1  氨的危害特性及安全技术分析一览表</w:t>
      </w:r>
    </w:p>
    <w:p>
      <w:pPr>
        <w:pStyle w:val="72"/>
        <w:spacing w:line="240" w:lineRule="auto"/>
        <w:ind w:firstLine="0" w:firstLineChars="0"/>
        <w:jc w:val="center"/>
        <w:rPr>
          <w:rFonts w:ascii="Times New Roman"/>
          <w:b/>
          <w:bCs/>
          <w:szCs w:val="24"/>
          <w:lang w:eastAsia="zh-CN"/>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7" w:type="dxa"/>
          <w:left w:w="108" w:type="dxa"/>
          <w:bottom w:w="17" w:type="dxa"/>
          <w:right w:w="108" w:type="dxa"/>
        </w:tblCellMar>
      </w:tblPr>
      <w:tblGrid>
        <w:gridCol w:w="1296"/>
        <w:gridCol w:w="1550"/>
        <w:gridCol w:w="549"/>
        <w:gridCol w:w="1711"/>
        <w:gridCol w:w="1711"/>
        <w:gridCol w:w="2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Align w:val="center"/>
          </w:tcPr>
          <w:p>
            <w:pPr>
              <w:spacing w:after="0" w:line="240" w:lineRule="auto"/>
              <w:jc w:val="center"/>
              <w:rPr>
                <w:b/>
                <w:bCs/>
                <w:szCs w:val="21"/>
              </w:rPr>
            </w:pPr>
            <w:r>
              <w:rPr>
                <w:b/>
                <w:bCs/>
                <w:szCs w:val="21"/>
              </w:rPr>
              <w:t>品名</w:t>
            </w:r>
          </w:p>
        </w:tc>
        <w:tc>
          <w:tcPr>
            <w:tcW w:w="7806" w:type="dxa"/>
            <w:gridSpan w:val="5"/>
            <w:vAlign w:val="center"/>
          </w:tcPr>
          <w:p>
            <w:pPr>
              <w:spacing w:after="0" w:line="240" w:lineRule="auto"/>
              <w:ind w:firstLine="360"/>
              <w:jc w:val="center"/>
              <w:rPr>
                <w:b/>
                <w:bCs/>
                <w:szCs w:val="21"/>
              </w:rPr>
            </w:pPr>
            <w:r>
              <w:rPr>
                <w:b/>
                <w:bCs/>
                <w:szCs w:val="21"/>
              </w:rPr>
              <w:t>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物理性质</w:t>
            </w:r>
          </w:p>
        </w:tc>
        <w:tc>
          <w:tcPr>
            <w:tcW w:w="2099" w:type="dxa"/>
            <w:gridSpan w:val="2"/>
            <w:vAlign w:val="center"/>
          </w:tcPr>
          <w:p>
            <w:pPr>
              <w:spacing w:after="0" w:line="240" w:lineRule="auto"/>
              <w:jc w:val="center"/>
              <w:rPr>
                <w:szCs w:val="21"/>
              </w:rPr>
            </w:pPr>
            <w:r>
              <w:rPr>
                <w:szCs w:val="21"/>
              </w:rPr>
              <w:t>熔点</w:t>
            </w:r>
          </w:p>
        </w:tc>
        <w:tc>
          <w:tcPr>
            <w:tcW w:w="1711" w:type="dxa"/>
            <w:vAlign w:val="center"/>
          </w:tcPr>
          <w:p>
            <w:pPr>
              <w:spacing w:after="0" w:line="240" w:lineRule="auto"/>
              <w:jc w:val="center"/>
              <w:rPr>
                <w:szCs w:val="21"/>
              </w:rPr>
            </w:pPr>
            <w:r>
              <w:rPr>
                <w:szCs w:val="21"/>
              </w:rPr>
              <w:t>-77.7</w:t>
            </w:r>
            <w:r>
              <w:rPr>
                <w:rFonts w:hint="eastAsia" w:hAnsi="宋体" w:cs="宋体"/>
                <w:szCs w:val="21"/>
              </w:rPr>
              <w:t>℃</w:t>
            </w:r>
          </w:p>
        </w:tc>
        <w:tc>
          <w:tcPr>
            <w:tcW w:w="1711" w:type="dxa"/>
            <w:vAlign w:val="center"/>
          </w:tcPr>
          <w:p>
            <w:pPr>
              <w:spacing w:after="0" w:line="240" w:lineRule="auto"/>
              <w:jc w:val="center"/>
              <w:rPr>
                <w:szCs w:val="21"/>
              </w:rPr>
            </w:pPr>
            <w:r>
              <w:rPr>
                <w:szCs w:val="21"/>
              </w:rPr>
              <w:t>沸点</w:t>
            </w:r>
          </w:p>
        </w:tc>
        <w:tc>
          <w:tcPr>
            <w:tcW w:w="2285" w:type="dxa"/>
            <w:vAlign w:val="center"/>
          </w:tcPr>
          <w:p>
            <w:pPr>
              <w:spacing w:after="0" w:line="240" w:lineRule="auto"/>
              <w:jc w:val="center"/>
              <w:rPr>
                <w:szCs w:val="21"/>
              </w:rPr>
            </w:pPr>
            <w:r>
              <w:rPr>
                <w:szCs w:val="21"/>
              </w:rPr>
              <w:t>-33.5</w:t>
            </w:r>
            <w:r>
              <w:rPr>
                <w:rFonts w:hint="eastAsia"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2099" w:type="dxa"/>
            <w:gridSpan w:val="2"/>
            <w:vAlign w:val="center"/>
          </w:tcPr>
          <w:p>
            <w:pPr>
              <w:spacing w:after="0" w:line="240" w:lineRule="auto"/>
              <w:jc w:val="center"/>
              <w:rPr>
                <w:szCs w:val="21"/>
              </w:rPr>
            </w:pPr>
            <w:r>
              <w:rPr>
                <w:szCs w:val="21"/>
              </w:rPr>
              <w:t>凝固点</w:t>
            </w:r>
          </w:p>
        </w:tc>
        <w:tc>
          <w:tcPr>
            <w:tcW w:w="1711" w:type="dxa"/>
            <w:vAlign w:val="center"/>
          </w:tcPr>
          <w:p>
            <w:pPr>
              <w:spacing w:after="0" w:line="240" w:lineRule="auto"/>
              <w:jc w:val="center"/>
              <w:rPr>
                <w:szCs w:val="21"/>
              </w:rPr>
            </w:pPr>
            <w:r>
              <w:rPr>
                <w:szCs w:val="21"/>
              </w:rPr>
              <w:t>-</w:t>
            </w:r>
          </w:p>
        </w:tc>
        <w:tc>
          <w:tcPr>
            <w:tcW w:w="1711" w:type="dxa"/>
            <w:vAlign w:val="center"/>
          </w:tcPr>
          <w:p>
            <w:pPr>
              <w:spacing w:after="0" w:line="240" w:lineRule="auto"/>
              <w:jc w:val="center"/>
              <w:rPr>
                <w:szCs w:val="21"/>
              </w:rPr>
            </w:pPr>
            <w:r>
              <w:rPr>
                <w:szCs w:val="21"/>
              </w:rPr>
              <w:t>相对密度</w:t>
            </w:r>
          </w:p>
        </w:tc>
        <w:tc>
          <w:tcPr>
            <w:tcW w:w="2285" w:type="dxa"/>
            <w:vAlign w:val="center"/>
          </w:tcPr>
          <w:p>
            <w:pPr>
              <w:spacing w:after="0" w:line="240" w:lineRule="auto"/>
              <w:jc w:val="center"/>
              <w:rPr>
                <w:szCs w:val="21"/>
              </w:rPr>
            </w:pPr>
            <w:r>
              <w:rPr>
                <w:szCs w:val="21"/>
              </w:rPr>
              <w:t>(水=1)0.82(-79</w:t>
            </w:r>
            <w:r>
              <w:rPr>
                <w:rFonts w:hint="eastAsia" w:hAnsi="宋体" w:cs="宋体"/>
                <w:szCs w:val="21"/>
              </w:rPr>
              <w:t>℃</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2099" w:type="dxa"/>
            <w:gridSpan w:val="2"/>
            <w:vAlign w:val="center"/>
          </w:tcPr>
          <w:p>
            <w:pPr>
              <w:spacing w:after="0" w:line="240" w:lineRule="auto"/>
              <w:jc w:val="center"/>
              <w:rPr>
                <w:szCs w:val="21"/>
              </w:rPr>
            </w:pPr>
            <w:r>
              <w:rPr>
                <w:szCs w:val="21"/>
              </w:rPr>
              <w:t>外观气味</w:t>
            </w:r>
          </w:p>
        </w:tc>
        <w:tc>
          <w:tcPr>
            <w:tcW w:w="5707" w:type="dxa"/>
            <w:gridSpan w:val="3"/>
            <w:vAlign w:val="center"/>
          </w:tcPr>
          <w:p>
            <w:pPr>
              <w:spacing w:after="0" w:line="240" w:lineRule="auto"/>
              <w:jc w:val="center"/>
              <w:rPr>
                <w:szCs w:val="21"/>
                <w:lang w:eastAsia="zh-CN"/>
              </w:rPr>
            </w:pPr>
            <w:r>
              <w:rPr>
                <w:szCs w:val="21"/>
                <w:lang w:eastAsia="zh-CN"/>
              </w:rPr>
              <w:t>无色有刺激性恶臭的气体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2099" w:type="dxa"/>
            <w:gridSpan w:val="2"/>
            <w:vAlign w:val="center"/>
          </w:tcPr>
          <w:p>
            <w:pPr>
              <w:spacing w:after="0" w:line="240" w:lineRule="auto"/>
              <w:jc w:val="center"/>
              <w:rPr>
                <w:szCs w:val="21"/>
              </w:rPr>
            </w:pPr>
            <w:r>
              <w:rPr>
                <w:szCs w:val="21"/>
              </w:rPr>
              <w:t>溶解性</w:t>
            </w:r>
          </w:p>
        </w:tc>
        <w:tc>
          <w:tcPr>
            <w:tcW w:w="5707" w:type="dxa"/>
            <w:gridSpan w:val="3"/>
            <w:vAlign w:val="center"/>
          </w:tcPr>
          <w:p>
            <w:pPr>
              <w:spacing w:after="0" w:line="240" w:lineRule="auto"/>
              <w:jc w:val="center"/>
              <w:rPr>
                <w:szCs w:val="21"/>
              </w:rPr>
            </w:pPr>
            <w:r>
              <w:rPr>
                <w:szCs w:val="21"/>
              </w:rPr>
              <w:t>易溶于水、乙醇、乙醚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危险货</w:t>
            </w:r>
          </w:p>
          <w:p>
            <w:pPr>
              <w:spacing w:after="0" w:line="240" w:lineRule="auto"/>
              <w:jc w:val="center"/>
              <w:rPr>
                <w:szCs w:val="21"/>
              </w:rPr>
            </w:pPr>
            <w:r>
              <w:rPr>
                <w:szCs w:val="21"/>
              </w:rPr>
              <w:t>物编号</w:t>
            </w:r>
          </w:p>
        </w:tc>
        <w:tc>
          <w:tcPr>
            <w:tcW w:w="2099" w:type="dxa"/>
            <w:gridSpan w:val="2"/>
            <w:vAlign w:val="center"/>
          </w:tcPr>
          <w:p>
            <w:pPr>
              <w:spacing w:after="0" w:line="240" w:lineRule="auto"/>
              <w:jc w:val="center"/>
              <w:rPr>
                <w:szCs w:val="21"/>
              </w:rPr>
            </w:pPr>
            <w:r>
              <w:rPr>
                <w:szCs w:val="21"/>
              </w:rPr>
              <w:t>23003</w:t>
            </w:r>
          </w:p>
        </w:tc>
        <w:tc>
          <w:tcPr>
            <w:tcW w:w="1711" w:type="dxa"/>
            <w:vAlign w:val="center"/>
          </w:tcPr>
          <w:p>
            <w:pPr>
              <w:spacing w:after="0" w:line="240" w:lineRule="auto"/>
              <w:jc w:val="center"/>
              <w:rPr>
                <w:szCs w:val="21"/>
              </w:rPr>
            </w:pPr>
            <w:r>
              <w:rPr>
                <w:szCs w:val="21"/>
              </w:rPr>
              <w:t>物质危害特性</w:t>
            </w:r>
          </w:p>
        </w:tc>
        <w:tc>
          <w:tcPr>
            <w:tcW w:w="3996" w:type="dxa"/>
            <w:gridSpan w:val="2"/>
            <w:vAlign w:val="center"/>
          </w:tcPr>
          <w:p>
            <w:pPr>
              <w:spacing w:after="0" w:line="240" w:lineRule="auto"/>
              <w:jc w:val="center"/>
              <w:rPr>
                <w:szCs w:val="21"/>
              </w:rPr>
            </w:pPr>
            <w:r>
              <w:rPr>
                <w:szCs w:val="21"/>
              </w:rPr>
              <w:t>有毒气体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危险特性</w:t>
            </w:r>
          </w:p>
        </w:tc>
        <w:tc>
          <w:tcPr>
            <w:tcW w:w="7806" w:type="dxa"/>
            <w:gridSpan w:val="5"/>
            <w:vAlign w:val="center"/>
          </w:tcPr>
          <w:p>
            <w:pPr>
              <w:spacing w:after="0" w:line="240" w:lineRule="auto"/>
              <w:rPr>
                <w:szCs w:val="21"/>
                <w:lang w:eastAsia="zh-CN"/>
              </w:rPr>
            </w:pPr>
            <w:r>
              <w:rPr>
                <w:szCs w:val="21"/>
                <w:lang w:eastAsia="zh-CN"/>
              </w:rPr>
              <w:t>与空气混合能形成爆炸性混合物。遇明火、高热能引起燃烧爆炸。与氟、氯等接触会发生剧烈的化学反应。若遇高热，容器内压增大，有开裂和爆炸的危险。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毒性</w:t>
            </w:r>
          </w:p>
        </w:tc>
        <w:tc>
          <w:tcPr>
            <w:tcW w:w="7806" w:type="dxa"/>
            <w:gridSpan w:val="5"/>
            <w:vAlign w:val="center"/>
          </w:tcPr>
          <w:p>
            <w:pPr>
              <w:spacing w:after="0" w:line="240" w:lineRule="auto"/>
              <w:rPr>
                <w:szCs w:val="21"/>
              </w:rPr>
            </w:pPr>
            <w:r>
              <w:rPr>
                <w:szCs w:val="21"/>
              </w:rPr>
              <w:t>毒性：低毒类。</w:t>
            </w:r>
            <w:r>
              <w:rPr>
                <w:szCs w:val="21"/>
              </w:rPr>
              <w:br w:type="textWrapping"/>
            </w:r>
            <w:r>
              <w:rPr>
                <w:szCs w:val="21"/>
              </w:rPr>
              <w:t>急性毒性：LD</w:t>
            </w:r>
            <w:r>
              <w:rPr>
                <w:szCs w:val="21"/>
                <w:vertAlign w:val="subscript"/>
              </w:rPr>
              <w:t>50</w:t>
            </w:r>
            <w:r>
              <w:rPr>
                <w:szCs w:val="21"/>
              </w:rPr>
              <w:t>350mg/kg(大鼠经口)；LC</w:t>
            </w:r>
            <w:r>
              <w:rPr>
                <w:szCs w:val="21"/>
                <w:vertAlign w:val="subscript"/>
              </w:rPr>
              <w:t>50</w:t>
            </w:r>
            <w:r>
              <w:rPr>
                <w:szCs w:val="21"/>
              </w:rPr>
              <w:t>1390mg/m</w:t>
            </w:r>
            <w:r>
              <w:rPr>
                <w:szCs w:val="21"/>
                <w:vertAlign w:val="superscript"/>
              </w:rPr>
              <w:t>3</w:t>
            </w:r>
            <w:r>
              <w:rPr>
                <w:szCs w:val="21"/>
              </w:rPr>
              <w:t>，4小时，(大鼠吸入)。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安全防</w:t>
            </w:r>
          </w:p>
          <w:p>
            <w:pPr>
              <w:spacing w:after="0" w:line="240" w:lineRule="auto"/>
              <w:jc w:val="center"/>
              <w:rPr>
                <w:szCs w:val="21"/>
              </w:rPr>
            </w:pPr>
            <w:r>
              <w:rPr>
                <w:szCs w:val="21"/>
              </w:rPr>
              <w:t>护措施</w:t>
            </w:r>
          </w:p>
        </w:tc>
        <w:tc>
          <w:tcPr>
            <w:tcW w:w="1550" w:type="dxa"/>
            <w:vAlign w:val="center"/>
          </w:tcPr>
          <w:p>
            <w:pPr>
              <w:spacing w:after="0" w:line="240" w:lineRule="auto"/>
              <w:jc w:val="center"/>
              <w:rPr>
                <w:szCs w:val="21"/>
              </w:rPr>
            </w:pPr>
            <w:r>
              <w:rPr>
                <w:szCs w:val="21"/>
              </w:rPr>
              <w:t>呼吸系统防护</w:t>
            </w:r>
          </w:p>
        </w:tc>
        <w:tc>
          <w:tcPr>
            <w:tcW w:w="6256" w:type="dxa"/>
            <w:gridSpan w:val="4"/>
            <w:vAlign w:val="center"/>
          </w:tcPr>
          <w:p>
            <w:pPr>
              <w:spacing w:after="0" w:line="240" w:lineRule="auto"/>
              <w:rPr>
                <w:szCs w:val="21"/>
                <w:lang w:eastAsia="zh-CN"/>
              </w:rPr>
            </w:pPr>
            <w:r>
              <w:rPr>
                <w:szCs w:val="21"/>
                <w:lang w:eastAsia="zh-CN"/>
              </w:rPr>
              <w:t>空气中浓度超标时，建议佩戴过滤式防毒面具(半面罩)。紧急事态抢救或撤离时，必须佩戴空气呼吸器。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1550" w:type="dxa"/>
            <w:vAlign w:val="center"/>
          </w:tcPr>
          <w:p>
            <w:pPr>
              <w:spacing w:after="0" w:line="240" w:lineRule="auto"/>
              <w:ind w:firstLine="209" w:firstLineChars="95"/>
              <w:jc w:val="center"/>
              <w:rPr>
                <w:szCs w:val="21"/>
              </w:rPr>
            </w:pPr>
            <w:r>
              <w:rPr>
                <w:szCs w:val="21"/>
              </w:rPr>
              <w:t>眼睛防护</w:t>
            </w:r>
          </w:p>
        </w:tc>
        <w:tc>
          <w:tcPr>
            <w:tcW w:w="6256" w:type="dxa"/>
            <w:gridSpan w:val="4"/>
            <w:vAlign w:val="center"/>
          </w:tcPr>
          <w:p>
            <w:pPr>
              <w:spacing w:after="0" w:line="240" w:lineRule="auto"/>
              <w:rPr>
                <w:szCs w:val="21"/>
                <w:lang w:eastAsia="zh-CN"/>
              </w:rPr>
            </w:pPr>
            <w:r>
              <w:rPr>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1550" w:type="dxa"/>
            <w:vAlign w:val="center"/>
          </w:tcPr>
          <w:p>
            <w:pPr>
              <w:spacing w:after="0" w:line="240" w:lineRule="auto"/>
              <w:ind w:firstLine="209" w:firstLineChars="95"/>
              <w:jc w:val="center"/>
              <w:rPr>
                <w:szCs w:val="21"/>
              </w:rPr>
            </w:pPr>
            <w:r>
              <w:rPr>
                <w:szCs w:val="21"/>
              </w:rPr>
              <w:t>身体防护</w:t>
            </w:r>
          </w:p>
        </w:tc>
        <w:tc>
          <w:tcPr>
            <w:tcW w:w="6256" w:type="dxa"/>
            <w:gridSpan w:val="4"/>
            <w:vAlign w:val="center"/>
          </w:tcPr>
          <w:p>
            <w:pPr>
              <w:spacing w:after="0" w:line="240" w:lineRule="auto"/>
              <w:rPr>
                <w:szCs w:val="21"/>
              </w:rPr>
            </w:pPr>
            <w:r>
              <w:rPr>
                <w:szCs w:val="21"/>
              </w:rPr>
              <w:t>穿防静电工作服。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550" w:type="dxa"/>
            <w:vAlign w:val="center"/>
          </w:tcPr>
          <w:p>
            <w:pPr>
              <w:spacing w:after="0" w:line="240" w:lineRule="auto"/>
              <w:ind w:firstLine="209" w:firstLineChars="95"/>
              <w:jc w:val="center"/>
              <w:rPr>
                <w:szCs w:val="21"/>
              </w:rPr>
            </w:pPr>
            <w:r>
              <w:rPr>
                <w:szCs w:val="21"/>
              </w:rPr>
              <w:t>手防护</w:t>
            </w:r>
          </w:p>
        </w:tc>
        <w:tc>
          <w:tcPr>
            <w:tcW w:w="6256" w:type="dxa"/>
            <w:gridSpan w:val="4"/>
            <w:vAlign w:val="center"/>
          </w:tcPr>
          <w:p>
            <w:pPr>
              <w:spacing w:after="0" w:line="240" w:lineRule="auto"/>
              <w:rPr>
                <w:szCs w:val="21"/>
              </w:rPr>
            </w:pPr>
            <w:r>
              <w:rPr>
                <w:szCs w:val="21"/>
              </w:rPr>
              <w:t>戴橡皮手套。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550" w:type="dxa"/>
            <w:vAlign w:val="center"/>
          </w:tcPr>
          <w:p>
            <w:pPr>
              <w:spacing w:after="0" w:line="240" w:lineRule="auto"/>
              <w:ind w:firstLine="209" w:firstLineChars="95"/>
              <w:jc w:val="center"/>
              <w:rPr>
                <w:szCs w:val="21"/>
              </w:rPr>
            </w:pPr>
            <w:r>
              <w:rPr>
                <w:szCs w:val="21"/>
              </w:rPr>
              <w:t>其他</w:t>
            </w:r>
          </w:p>
        </w:tc>
        <w:tc>
          <w:tcPr>
            <w:tcW w:w="6256" w:type="dxa"/>
            <w:gridSpan w:val="4"/>
            <w:vAlign w:val="center"/>
          </w:tcPr>
          <w:p>
            <w:pPr>
              <w:spacing w:after="0" w:line="240" w:lineRule="auto"/>
              <w:rPr>
                <w:szCs w:val="21"/>
                <w:lang w:eastAsia="zh-CN"/>
              </w:rPr>
            </w:pPr>
            <w:r>
              <w:rPr>
                <w:szCs w:val="21"/>
                <w:lang w:eastAsia="zh-CN"/>
              </w:rPr>
              <w:t>工作现场严禁吸烟、进食和饮水。工作毕，淋浴更衣。保持良好的卫生习惯。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应急措施</w:t>
            </w:r>
          </w:p>
        </w:tc>
        <w:tc>
          <w:tcPr>
            <w:tcW w:w="1550" w:type="dxa"/>
            <w:vMerge w:val="restart"/>
            <w:vAlign w:val="center"/>
          </w:tcPr>
          <w:p>
            <w:pPr>
              <w:spacing w:after="0" w:line="240" w:lineRule="auto"/>
              <w:jc w:val="center"/>
              <w:rPr>
                <w:szCs w:val="21"/>
              </w:rPr>
            </w:pPr>
            <w:r>
              <w:rPr>
                <w:szCs w:val="21"/>
              </w:rPr>
              <w:t>急救措施</w:t>
            </w:r>
          </w:p>
        </w:tc>
        <w:tc>
          <w:tcPr>
            <w:tcW w:w="6256" w:type="dxa"/>
            <w:gridSpan w:val="4"/>
            <w:vAlign w:val="center"/>
          </w:tcPr>
          <w:p>
            <w:pPr>
              <w:spacing w:after="0" w:line="240" w:lineRule="auto"/>
              <w:rPr>
                <w:szCs w:val="21"/>
              </w:rPr>
            </w:pPr>
            <w:r>
              <w:rPr>
                <w:szCs w:val="21"/>
                <w:lang w:eastAsia="zh-CN"/>
              </w:rPr>
              <w:t>皮肤接触：立即脱去被污染的衣着，应用2%硼酸液或大量流动清水彻底冲洗。</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550" w:type="dxa"/>
            <w:vMerge w:val="continue"/>
            <w:vAlign w:val="center"/>
          </w:tcPr>
          <w:p>
            <w:pPr>
              <w:spacing w:after="0" w:line="240" w:lineRule="auto"/>
              <w:ind w:firstLine="360"/>
              <w:jc w:val="center"/>
              <w:rPr>
                <w:szCs w:val="21"/>
              </w:rPr>
            </w:pPr>
          </w:p>
        </w:tc>
        <w:tc>
          <w:tcPr>
            <w:tcW w:w="6256" w:type="dxa"/>
            <w:gridSpan w:val="4"/>
            <w:vAlign w:val="center"/>
          </w:tcPr>
          <w:p>
            <w:pPr>
              <w:spacing w:after="0" w:line="240" w:lineRule="auto"/>
              <w:rPr>
                <w:szCs w:val="21"/>
              </w:rPr>
            </w:pPr>
            <w:r>
              <w:rPr>
                <w:szCs w:val="21"/>
                <w:lang w:eastAsia="zh-CN"/>
              </w:rPr>
              <w:t>眼睛接触：立即提起眼睑，用大量流动清水或生理盐水彻底冲洗至少15分钟。</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550" w:type="dxa"/>
            <w:vMerge w:val="continue"/>
            <w:vAlign w:val="center"/>
          </w:tcPr>
          <w:p>
            <w:pPr>
              <w:spacing w:after="0" w:line="240" w:lineRule="auto"/>
              <w:ind w:firstLine="360"/>
              <w:jc w:val="center"/>
              <w:rPr>
                <w:szCs w:val="21"/>
              </w:rPr>
            </w:pPr>
          </w:p>
        </w:tc>
        <w:tc>
          <w:tcPr>
            <w:tcW w:w="6256" w:type="dxa"/>
            <w:gridSpan w:val="4"/>
            <w:vAlign w:val="center"/>
          </w:tcPr>
          <w:p>
            <w:pPr>
              <w:spacing w:after="0" w:line="240" w:lineRule="auto"/>
              <w:rPr>
                <w:szCs w:val="21"/>
                <w:lang w:eastAsia="zh-CN"/>
              </w:rPr>
            </w:pPr>
            <w:r>
              <w:rPr>
                <w:szCs w:val="21"/>
                <w:lang w:eastAsia="zh-CN"/>
              </w:rPr>
              <w:t>吸入：迅速脱离现场至空气新鲜处。必要时进行人工呼吸。就医。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1550" w:type="dxa"/>
            <w:vMerge w:val="continue"/>
            <w:vAlign w:val="center"/>
          </w:tcPr>
          <w:p>
            <w:pPr>
              <w:spacing w:after="0" w:line="240" w:lineRule="auto"/>
              <w:ind w:firstLine="360"/>
              <w:jc w:val="center"/>
              <w:rPr>
                <w:szCs w:val="21"/>
                <w:lang w:eastAsia="zh-CN"/>
              </w:rPr>
            </w:pPr>
          </w:p>
        </w:tc>
        <w:tc>
          <w:tcPr>
            <w:tcW w:w="6256" w:type="dxa"/>
            <w:gridSpan w:val="4"/>
            <w:vAlign w:val="center"/>
          </w:tcPr>
          <w:p>
            <w:pPr>
              <w:spacing w:after="0" w:line="240" w:lineRule="auto"/>
              <w:rPr>
                <w:szCs w:val="21"/>
              </w:rPr>
            </w:pPr>
            <w:r>
              <w:rPr>
                <w:szCs w:val="21"/>
                <w:lang w:eastAsia="zh-CN"/>
              </w:rPr>
              <w:t>食入：迅速脱离现场至空气新鲜处。保持呼吸道通畅。如呼吸困难，给输氧。如呼吸停止，立即进行人工呼吸。</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550" w:type="dxa"/>
            <w:vAlign w:val="center"/>
          </w:tcPr>
          <w:p>
            <w:pPr>
              <w:spacing w:after="0" w:line="240" w:lineRule="auto"/>
              <w:jc w:val="center"/>
              <w:rPr>
                <w:szCs w:val="21"/>
              </w:rPr>
            </w:pPr>
            <w:r>
              <w:rPr>
                <w:szCs w:val="21"/>
              </w:rPr>
              <w:t>泄漏措施</w:t>
            </w:r>
          </w:p>
        </w:tc>
        <w:tc>
          <w:tcPr>
            <w:tcW w:w="6256" w:type="dxa"/>
            <w:gridSpan w:val="4"/>
            <w:vAlign w:val="center"/>
          </w:tcPr>
          <w:p>
            <w:pPr>
              <w:spacing w:after="0" w:line="240" w:lineRule="auto"/>
              <w:rPr>
                <w:szCs w:val="21"/>
                <w:lang w:eastAsia="zh-CN"/>
              </w:rPr>
            </w:pPr>
            <w:r>
              <w:rPr>
                <w:szCs w:val="21"/>
                <w:lang w:eastAsia="zh-CN"/>
              </w:rPr>
              <w:t>迅速撤离泄漏污染区人员至上风处，并立即进行隔离150米，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产生途径</w:t>
            </w:r>
          </w:p>
        </w:tc>
        <w:tc>
          <w:tcPr>
            <w:tcW w:w="7806" w:type="dxa"/>
            <w:gridSpan w:val="5"/>
            <w:vAlign w:val="center"/>
          </w:tcPr>
          <w:p>
            <w:pPr>
              <w:spacing w:after="0" w:line="240" w:lineRule="auto"/>
              <w:rPr>
                <w:szCs w:val="21"/>
                <w:lang w:eastAsia="zh-CN"/>
              </w:rPr>
            </w:pPr>
            <w:r>
              <w:rPr>
                <w:szCs w:val="21"/>
                <w:lang w:eastAsia="zh-CN"/>
              </w:rPr>
              <w:t>运输、堆放过程中产生</w:t>
            </w:r>
          </w:p>
        </w:tc>
      </w:tr>
    </w:tbl>
    <w:p>
      <w:pPr>
        <w:pStyle w:val="72"/>
        <w:spacing w:line="240" w:lineRule="auto"/>
        <w:ind w:firstLine="0" w:firstLineChars="0"/>
        <w:jc w:val="center"/>
        <w:rPr>
          <w:rFonts w:ascii="Times New Roman"/>
          <w:szCs w:val="24"/>
          <w:lang w:eastAsia="zh-CN"/>
        </w:rPr>
      </w:pPr>
    </w:p>
    <w:p>
      <w:pPr>
        <w:pStyle w:val="72"/>
        <w:spacing w:line="240" w:lineRule="auto"/>
        <w:ind w:firstLine="0" w:firstLineChars="0"/>
        <w:jc w:val="center"/>
        <w:rPr>
          <w:rFonts w:ascii="Times New Roman"/>
          <w:b/>
          <w:bCs/>
          <w:szCs w:val="24"/>
          <w:lang w:eastAsia="zh-CN"/>
        </w:rPr>
      </w:pPr>
      <w:r>
        <w:rPr>
          <w:rFonts w:ascii="Times New Roman"/>
          <w:b/>
          <w:bCs/>
          <w:szCs w:val="24"/>
          <w:lang w:eastAsia="zh-CN"/>
        </w:rPr>
        <w:t>表</w:t>
      </w:r>
      <w:r>
        <w:rPr>
          <w:rFonts w:hint="eastAsia" w:ascii="Times New Roman"/>
          <w:b/>
          <w:bCs/>
          <w:szCs w:val="24"/>
          <w:lang w:eastAsia="zh-CN"/>
        </w:rPr>
        <w:t>6.2</w:t>
      </w:r>
      <w:r>
        <w:rPr>
          <w:rFonts w:ascii="Times New Roman"/>
          <w:b/>
          <w:bCs/>
          <w:szCs w:val="24"/>
          <w:lang w:eastAsia="zh-CN"/>
        </w:rPr>
        <w:t>-2  硫化氢的危害特性及安全技术分析一览表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7" w:type="dxa"/>
          <w:left w:w="108" w:type="dxa"/>
          <w:bottom w:w="17" w:type="dxa"/>
          <w:right w:w="108" w:type="dxa"/>
        </w:tblCellMar>
      </w:tblPr>
      <w:tblGrid>
        <w:gridCol w:w="1303"/>
        <w:gridCol w:w="1547"/>
        <w:gridCol w:w="549"/>
        <w:gridCol w:w="1709"/>
        <w:gridCol w:w="1709"/>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Align w:val="center"/>
          </w:tcPr>
          <w:p>
            <w:pPr>
              <w:spacing w:after="0" w:line="240" w:lineRule="auto"/>
              <w:jc w:val="center"/>
              <w:rPr>
                <w:b/>
                <w:bCs/>
                <w:szCs w:val="21"/>
              </w:rPr>
            </w:pPr>
            <w:r>
              <w:rPr>
                <w:b/>
                <w:bCs/>
                <w:szCs w:val="21"/>
              </w:rPr>
              <w:t>品名</w:t>
            </w:r>
          </w:p>
        </w:tc>
        <w:tc>
          <w:tcPr>
            <w:tcW w:w="7784" w:type="dxa"/>
            <w:gridSpan w:val="5"/>
            <w:vAlign w:val="center"/>
          </w:tcPr>
          <w:p>
            <w:pPr>
              <w:spacing w:after="0" w:line="240" w:lineRule="auto"/>
              <w:ind w:firstLine="360"/>
              <w:jc w:val="center"/>
              <w:rPr>
                <w:b/>
                <w:bCs/>
                <w:szCs w:val="21"/>
              </w:rPr>
            </w:pPr>
            <w:r>
              <w:rPr>
                <w:b/>
                <w:bCs/>
                <w:szCs w:val="21"/>
              </w:rPr>
              <w:t>硫化氢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restart"/>
            <w:vAlign w:val="center"/>
          </w:tcPr>
          <w:p>
            <w:pPr>
              <w:spacing w:after="0" w:line="240" w:lineRule="auto"/>
              <w:jc w:val="center"/>
              <w:rPr>
                <w:szCs w:val="21"/>
              </w:rPr>
            </w:pPr>
            <w:r>
              <w:rPr>
                <w:szCs w:val="21"/>
              </w:rPr>
              <w:t>物理性质</w:t>
            </w:r>
          </w:p>
        </w:tc>
        <w:tc>
          <w:tcPr>
            <w:tcW w:w="2096" w:type="dxa"/>
            <w:gridSpan w:val="2"/>
            <w:vAlign w:val="center"/>
          </w:tcPr>
          <w:p>
            <w:pPr>
              <w:spacing w:after="0" w:line="240" w:lineRule="auto"/>
              <w:jc w:val="center"/>
              <w:rPr>
                <w:szCs w:val="21"/>
              </w:rPr>
            </w:pPr>
            <w:r>
              <w:rPr>
                <w:szCs w:val="21"/>
              </w:rPr>
              <w:t>熔点</w:t>
            </w:r>
          </w:p>
        </w:tc>
        <w:tc>
          <w:tcPr>
            <w:tcW w:w="1709" w:type="dxa"/>
            <w:vAlign w:val="center"/>
          </w:tcPr>
          <w:p>
            <w:pPr>
              <w:spacing w:after="0" w:line="240" w:lineRule="auto"/>
              <w:jc w:val="center"/>
              <w:rPr>
                <w:szCs w:val="21"/>
              </w:rPr>
            </w:pPr>
            <w:r>
              <w:rPr>
                <w:szCs w:val="21"/>
              </w:rPr>
              <w:t>-85.5</w:t>
            </w:r>
            <w:r>
              <w:rPr>
                <w:rFonts w:hint="eastAsia" w:hAnsi="宋体" w:cs="宋体"/>
                <w:szCs w:val="21"/>
              </w:rPr>
              <w:t>℃</w:t>
            </w:r>
          </w:p>
        </w:tc>
        <w:tc>
          <w:tcPr>
            <w:tcW w:w="1709" w:type="dxa"/>
            <w:vAlign w:val="center"/>
          </w:tcPr>
          <w:p>
            <w:pPr>
              <w:spacing w:after="0" w:line="240" w:lineRule="auto"/>
              <w:jc w:val="center"/>
              <w:rPr>
                <w:szCs w:val="21"/>
              </w:rPr>
            </w:pPr>
            <w:r>
              <w:rPr>
                <w:szCs w:val="21"/>
              </w:rPr>
              <w:t>沸点</w:t>
            </w:r>
          </w:p>
        </w:tc>
        <w:tc>
          <w:tcPr>
            <w:tcW w:w="2270" w:type="dxa"/>
            <w:vAlign w:val="center"/>
          </w:tcPr>
          <w:p>
            <w:pPr>
              <w:spacing w:after="0" w:line="240" w:lineRule="auto"/>
              <w:jc w:val="center"/>
              <w:rPr>
                <w:szCs w:val="21"/>
              </w:rPr>
            </w:pPr>
            <w:r>
              <w:rPr>
                <w:szCs w:val="21"/>
              </w:rPr>
              <w:t>-60.4</w:t>
            </w:r>
            <w:r>
              <w:rPr>
                <w:rFonts w:hint="eastAsia"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2096" w:type="dxa"/>
            <w:gridSpan w:val="2"/>
            <w:vAlign w:val="center"/>
          </w:tcPr>
          <w:p>
            <w:pPr>
              <w:spacing w:after="0" w:line="240" w:lineRule="auto"/>
              <w:jc w:val="center"/>
              <w:rPr>
                <w:szCs w:val="21"/>
              </w:rPr>
            </w:pPr>
            <w:r>
              <w:rPr>
                <w:szCs w:val="21"/>
              </w:rPr>
              <w:t>凝固点</w:t>
            </w:r>
          </w:p>
        </w:tc>
        <w:tc>
          <w:tcPr>
            <w:tcW w:w="1709" w:type="dxa"/>
            <w:vAlign w:val="center"/>
          </w:tcPr>
          <w:p>
            <w:pPr>
              <w:spacing w:after="0" w:line="240" w:lineRule="auto"/>
              <w:jc w:val="center"/>
              <w:rPr>
                <w:szCs w:val="21"/>
              </w:rPr>
            </w:pPr>
            <w:r>
              <w:rPr>
                <w:szCs w:val="21"/>
              </w:rPr>
              <w:t>-</w:t>
            </w:r>
          </w:p>
        </w:tc>
        <w:tc>
          <w:tcPr>
            <w:tcW w:w="1709" w:type="dxa"/>
            <w:vAlign w:val="center"/>
          </w:tcPr>
          <w:p>
            <w:pPr>
              <w:spacing w:after="0" w:line="240" w:lineRule="auto"/>
              <w:jc w:val="center"/>
              <w:rPr>
                <w:szCs w:val="21"/>
              </w:rPr>
            </w:pPr>
            <w:r>
              <w:rPr>
                <w:szCs w:val="21"/>
              </w:rPr>
              <w:t>相对密度</w:t>
            </w:r>
          </w:p>
        </w:tc>
        <w:tc>
          <w:tcPr>
            <w:tcW w:w="2270" w:type="dxa"/>
            <w:vAlign w:val="center"/>
          </w:tcPr>
          <w:p>
            <w:pPr>
              <w:spacing w:after="0" w:line="240" w:lineRule="auto"/>
              <w:jc w:val="center"/>
              <w:rPr>
                <w:szCs w:val="21"/>
              </w:rPr>
            </w:pPr>
            <w:r>
              <w:rPr>
                <w:szCs w:val="21"/>
              </w:rPr>
              <w:t>(空气=1)1.19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2096" w:type="dxa"/>
            <w:gridSpan w:val="2"/>
            <w:vAlign w:val="center"/>
          </w:tcPr>
          <w:p>
            <w:pPr>
              <w:spacing w:after="0" w:line="240" w:lineRule="auto"/>
              <w:jc w:val="center"/>
              <w:rPr>
                <w:szCs w:val="21"/>
              </w:rPr>
            </w:pPr>
            <w:r>
              <w:rPr>
                <w:szCs w:val="21"/>
              </w:rPr>
              <w:t>外观气味</w:t>
            </w:r>
          </w:p>
        </w:tc>
        <w:tc>
          <w:tcPr>
            <w:tcW w:w="5688" w:type="dxa"/>
            <w:gridSpan w:val="3"/>
            <w:vAlign w:val="center"/>
          </w:tcPr>
          <w:p>
            <w:pPr>
              <w:spacing w:after="0" w:line="240" w:lineRule="auto"/>
              <w:jc w:val="center"/>
              <w:rPr>
                <w:szCs w:val="21"/>
              </w:rPr>
            </w:pPr>
            <w:r>
              <w:rPr>
                <w:szCs w:val="21"/>
              </w:rPr>
              <w:t>无色有恶臭气体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2096" w:type="dxa"/>
            <w:gridSpan w:val="2"/>
            <w:vAlign w:val="center"/>
          </w:tcPr>
          <w:p>
            <w:pPr>
              <w:spacing w:after="0" w:line="240" w:lineRule="auto"/>
              <w:jc w:val="center"/>
              <w:rPr>
                <w:szCs w:val="21"/>
              </w:rPr>
            </w:pPr>
            <w:r>
              <w:rPr>
                <w:szCs w:val="21"/>
              </w:rPr>
              <w:t>溶解性</w:t>
            </w:r>
          </w:p>
        </w:tc>
        <w:tc>
          <w:tcPr>
            <w:tcW w:w="5688" w:type="dxa"/>
            <w:gridSpan w:val="3"/>
            <w:vAlign w:val="center"/>
          </w:tcPr>
          <w:p>
            <w:pPr>
              <w:spacing w:after="0" w:line="240" w:lineRule="auto"/>
              <w:jc w:val="center"/>
              <w:rPr>
                <w:szCs w:val="21"/>
              </w:rPr>
            </w:pPr>
            <w:r>
              <w:rPr>
                <w:szCs w:val="21"/>
              </w:rPr>
              <w:t>溶于水、乙醇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Align w:val="center"/>
          </w:tcPr>
          <w:p>
            <w:pPr>
              <w:spacing w:after="0" w:line="240" w:lineRule="auto"/>
              <w:jc w:val="center"/>
              <w:rPr>
                <w:szCs w:val="21"/>
              </w:rPr>
            </w:pPr>
            <w:r>
              <w:rPr>
                <w:szCs w:val="21"/>
              </w:rPr>
              <w:t>危险货</w:t>
            </w:r>
          </w:p>
          <w:p>
            <w:pPr>
              <w:spacing w:after="0" w:line="240" w:lineRule="auto"/>
              <w:jc w:val="center"/>
              <w:rPr>
                <w:szCs w:val="21"/>
              </w:rPr>
            </w:pPr>
            <w:r>
              <w:rPr>
                <w:szCs w:val="21"/>
              </w:rPr>
              <w:t>物编号</w:t>
            </w:r>
          </w:p>
        </w:tc>
        <w:tc>
          <w:tcPr>
            <w:tcW w:w="2096" w:type="dxa"/>
            <w:gridSpan w:val="2"/>
            <w:vAlign w:val="center"/>
          </w:tcPr>
          <w:p>
            <w:pPr>
              <w:spacing w:after="0" w:line="240" w:lineRule="auto"/>
              <w:jc w:val="center"/>
              <w:rPr>
                <w:szCs w:val="21"/>
              </w:rPr>
            </w:pPr>
            <w:r>
              <w:rPr>
                <w:szCs w:val="21"/>
              </w:rPr>
              <w:t>21006</w:t>
            </w:r>
          </w:p>
        </w:tc>
        <w:tc>
          <w:tcPr>
            <w:tcW w:w="1709" w:type="dxa"/>
            <w:vAlign w:val="center"/>
          </w:tcPr>
          <w:p>
            <w:pPr>
              <w:spacing w:after="0" w:line="240" w:lineRule="auto"/>
              <w:jc w:val="center"/>
              <w:rPr>
                <w:szCs w:val="21"/>
              </w:rPr>
            </w:pPr>
            <w:r>
              <w:rPr>
                <w:szCs w:val="21"/>
              </w:rPr>
              <w:t>物质危害特性</w:t>
            </w:r>
          </w:p>
        </w:tc>
        <w:tc>
          <w:tcPr>
            <w:tcW w:w="3979" w:type="dxa"/>
            <w:gridSpan w:val="2"/>
            <w:vAlign w:val="center"/>
          </w:tcPr>
          <w:p>
            <w:pPr>
              <w:spacing w:after="0" w:line="240" w:lineRule="auto"/>
              <w:jc w:val="center"/>
              <w:rPr>
                <w:szCs w:val="21"/>
              </w:rPr>
            </w:pPr>
            <w:r>
              <w:rPr>
                <w:szCs w:val="21"/>
              </w:rPr>
              <w:t>易燃气体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Align w:val="center"/>
          </w:tcPr>
          <w:p>
            <w:pPr>
              <w:spacing w:after="0" w:line="240" w:lineRule="auto"/>
              <w:jc w:val="center"/>
              <w:rPr>
                <w:szCs w:val="21"/>
              </w:rPr>
            </w:pPr>
            <w:r>
              <w:rPr>
                <w:szCs w:val="21"/>
              </w:rPr>
              <w:t>危险特性</w:t>
            </w:r>
          </w:p>
        </w:tc>
        <w:tc>
          <w:tcPr>
            <w:tcW w:w="7784" w:type="dxa"/>
            <w:gridSpan w:val="5"/>
            <w:vAlign w:val="center"/>
          </w:tcPr>
          <w:p>
            <w:pPr>
              <w:spacing w:after="0" w:line="240" w:lineRule="auto"/>
              <w:rPr>
                <w:szCs w:val="21"/>
                <w:lang w:eastAsia="zh-CN"/>
              </w:rPr>
            </w:pPr>
            <w:r>
              <w:rPr>
                <w:szCs w:val="21"/>
                <w:lang w:eastAsia="zh-CN"/>
              </w:rPr>
              <w:t>易燃，与空气混合能形成爆炸性混合物，遇明火、高热能引起燃烧爆炸。与浓硝酸、发烟硫酸或其它强氧化剂剧烈反应，发生爆炸。气体比空气重，能在较低处扩散到相当远的地方，遇明火会引起回燃。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Align w:val="center"/>
          </w:tcPr>
          <w:p>
            <w:pPr>
              <w:spacing w:after="0" w:line="240" w:lineRule="auto"/>
              <w:jc w:val="center"/>
              <w:rPr>
                <w:szCs w:val="21"/>
              </w:rPr>
            </w:pPr>
            <w:r>
              <w:rPr>
                <w:szCs w:val="21"/>
              </w:rPr>
              <w:t>毒性</w:t>
            </w:r>
          </w:p>
        </w:tc>
        <w:tc>
          <w:tcPr>
            <w:tcW w:w="7784" w:type="dxa"/>
            <w:gridSpan w:val="5"/>
            <w:vAlign w:val="center"/>
          </w:tcPr>
          <w:p>
            <w:pPr>
              <w:spacing w:after="0" w:line="240" w:lineRule="auto"/>
              <w:rPr>
                <w:szCs w:val="21"/>
                <w:lang w:eastAsia="zh-CN"/>
              </w:rPr>
            </w:pPr>
            <w:r>
              <w:rPr>
                <w:szCs w:val="21"/>
                <w:lang w:eastAsia="zh-CN"/>
              </w:rPr>
              <w:t>急性毒性：LC</w:t>
            </w:r>
            <w:r>
              <w:rPr>
                <w:szCs w:val="21"/>
                <w:vertAlign w:val="subscript"/>
                <w:lang w:eastAsia="zh-CN"/>
              </w:rPr>
              <w:t>50</w:t>
            </w:r>
            <w:r>
              <w:rPr>
                <w:szCs w:val="21"/>
                <w:lang w:eastAsia="zh-CN"/>
              </w:rPr>
              <w:t>618mg/m</w:t>
            </w:r>
            <w:r>
              <w:rPr>
                <w:szCs w:val="21"/>
                <w:vertAlign w:val="superscript"/>
                <w:lang w:eastAsia="zh-CN"/>
              </w:rPr>
              <w:t>3</w:t>
            </w:r>
            <w:r>
              <w:rPr>
                <w:szCs w:val="21"/>
                <w:lang w:eastAsia="zh-CN"/>
              </w:rPr>
              <w:t>(大鼠吸入)</w:t>
            </w:r>
            <w:r>
              <w:rPr>
                <w:szCs w:val="21"/>
                <w:lang w:eastAsia="zh-CN"/>
              </w:rPr>
              <w:br w:type="textWrapping"/>
            </w:r>
            <w:r>
              <w:rPr>
                <w:szCs w:val="21"/>
                <w:lang w:eastAsia="zh-CN"/>
              </w:rPr>
              <w:t>亚急性和慢性毒性：家兔吸入0.01mg/L，2小时/天，3个月，引起中枢神经系统的机能改变，气管、支气管粘膜刺激症状，大脑皮层出现病理改变。小鼠长期接触低浓度硫化氟，有小气道损害。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restart"/>
            <w:vAlign w:val="center"/>
          </w:tcPr>
          <w:p>
            <w:pPr>
              <w:spacing w:after="0" w:line="240" w:lineRule="auto"/>
              <w:jc w:val="center"/>
              <w:rPr>
                <w:szCs w:val="21"/>
              </w:rPr>
            </w:pPr>
            <w:r>
              <w:rPr>
                <w:szCs w:val="21"/>
              </w:rPr>
              <w:t>安全防护措施</w:t>
            </w:r>
          </w:p>
        </w:tc>
        <w:tc>
          <w:tcPr>
            <w:tcW w:w="1547" w:type="dxa"/>
            <w:vAlign w:val="center"/>
          </w:tcPr>
          <w:p>
            <w:pPr>
              <w:spacing w:after="0" w:line="240" w:lineRule="auto"/>
              <w:jc w:val="center"/>
              <w:rPr>
                <w:szCs w:val="21"/>
              </w:rPr>
            </w:pPr>
            <w:r>
              <w:rPr>
                <w:szCs w:val="21"/>
              </w:rPr>
              <w:t>呼吸系统防护</w:t>
            </w:r>
          </w:p>
        </w:tc>
        <w:tc>
          <w:tcPr>
            <w:tcW w:w="6237" w:type="dxa"/>
            <w:gridSpan w:val="4"/>
            <w:vAlign w:val="center"/>
          </w:tcPr>
          <w:p>
            <w:pPr>
              <w:spacing w:after="0" w:line="240" w:lineRule="auto"/>
              <w:rPr>
                <w:szCs w:val="21"/>
                <w:lang w:eastAsia="zh-CN"/>
              </w:rPr>
            </w:pPr>
            <w:r>
              <w:rPr>
                <w:szCs w:val="21"/>
                <w:lang w:eastAsia="zh-CN"/>
              </w:rPr>
              <w:t>空气中浓度超标时，佩带过渡式防毒面具(半面罩)。紧急事态抢救或撤离时，建议佩带氧气呼吸器或空气呼吸器。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lang w:eastAsia="zh-CN"/>
              </w:rPr>
            </w:pPr>
          </w:p>
        </w:tc>
        <w:tc>
          <w:tcPr>
            <w:tcW w:w="1547" w:type="dxa"/>
            <w:vAlign w:val="center"/>
          </w:tcPr>
          <w:p>
            <w:pPr>
              <w:spacing w:after="0" w:line="240" w:lineRule="auto"/>
              <w:ind w:firstLine="209" w:firstLineChars="95"/>
              <w:jc w:val="center"/>
              <w:rPr>
                <w:szCs w:val="21"/>
              </w:rPr>
            </w:pPr>
            <w:r>
              <w:rPr>
                <w:szCs w:val="21"/>
              </w:rPr>
              <w:t>眼睛防护</w:t>
            </w:r>
          </w:p>
        </w:tc>
        <w:tc>
          <w:tcPr>
            <w:tcW w:w="6237" w:type="dxa"/>
            <w:gridSpan w:val="4"/>
            <w:vAlign w:val="center"/>
          </w:tcPr>
          <w:p>
            <w:pPr>
              <w:spacing w:after="0" w:line="240" w:lineRule="auto"/>
              <w:rPr>
                <w:szCs w:val="21"/>
                <w:lang w:eastAsia="zh-CN"/>
              </w:rPr>
            </w:pPr>
            <w:r>
              <w:rPr>
                <w:szCs w:val="21"/>
                <w:lang w:eastAsia="zh-CN"/>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lang w:eastAsia="zh-CN"/>
              </w:rPr>
            </w:pPr>
          </w:p>
        </w:tc>
        <w:tc>
          <w:tcPr>
            <w:tcW w:w="1547" w:type="dxa"/>
            <w:vAlign w:val="center"/>
          </w:tcPr>
          <w:p>
            <w:pPr>
              <w:spacing w:after="0" w:line="240" w:lineRule="auto"/>
              <w:ind w:firstLine="209" w:firstLineChars="95"/>
              <w:jc w:val="center"/>
              <w:rPr>
                <w:szCs w:val="21"/>
              </w:rPr>
            </w:pPr>
            <w:r>
              <w:rPr>
                <w:szCs w:val="21"/>
              </w:rPr>
              <w:t>身体防护</w:t>
            </w:r>
          </w:p>
        </w:tc>
        <w:tc>
          <w:tcPr>
            <w:tcW w:w="6237" w:type="dxa"/>
            <w:gridSpan w:val="4"/>
            <w:vAlign w:val="center"/>
          </w:tcPr>
          <w:p>
            <w:pPr>
              <w:spacing w:after="0" w:line="240" w:lineRule="auto"/>
              <w:rPr>
                <w:szCs w:val="21"/>
              </w:rPr>
            </w:pPr>
            <w:r>
              <w:rPr>
                <w:szCs w:val="21"/>
              </w:rPr>
              <w:t>穿防静电工作服。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1547" w:type="dxa"/>
            <w:vAlign w:val="center"/>
          </w:tcPr>
          <w:p>
            <w:pPr>
              <w:spacing w:after="0" w:line="240" w:lineRule="auto"/>
              <w:ind w:firstLine="209" w:firstLineChars="95"/>
              <w:jc w:val="center"/>
              <w:rPr>
                <w:szCs w:val="21"/>
              </w:rPr>
            </w:pPr>
            <w:r>
              <w:rPr>
                <w:szCs w:val="21"/>
              </w:rPr>
              <w:t>手防护</w:t>
            </w:r>
          </w:p>
        </w:tc>
        <w:tc>
          <w:tcPr>
            <w:tcW w:w="6237" w:type="dxa"/>
            <w:gridSpan w:val="4"/>
            <w:vAlign w:val="center"/>
          </w:tcPr>
          <w:p>
            <w:pPr>
              <w:spacing w:after="0" w:line="240" w:lineRule="auto"/>
              <w:rPr>
                <w:szCs w:val="21"/>
              </w:rPr>
            </w:pPr>
            <w:r>
              <w:rPr>
                <w:szCs w:val="21"/>
              </w:rPr>
              <w:t>戴防化学品手套。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1547" w:type="dxa"/>
            <w:vAlign w:val="center"/>
          </w:tcPr>
          <w:p>
            <w:pPr>
              <w:spacing w:after="0" w:line="240" w:lineRule="auto"/>
              <w:ind w:firstLine="209" w:firstLineChars="95"/>
              <w:jc w:val="center"/>
              <w:rPr>
                <w:szCs w:val="21"/>
              </w:rPr>
            </w:pPr>
            <w:r>
              <w:rPr>
                <w:szCs w:val="21"/>
              </w:rPr>
              <w:t>其他</w:t>
            </w:r>
          </w:p>
        </w:tc>
        <w:tc>
          <w:tcPr>
            <w:tcW w:w="6237" w:type="dxa"/>
            <w:gridSpan w:val="4"/>
            <w:vAlign w:val="center"/>
          </w:tcPr>
          <w:p>
            <w:pPr>
              <w:spacing w:after="0" w:line="240" w:lineRule="auto"/>
              <w:rPr>
                <w:szCs w:val="21"/>
                <w:lang w:eastAsia="zh-CN"/>
              </w:rPr>
            </w:pPr>
            <w:r>
              <w:rPr>
                <w:szCs w:val="21"/>
                <w:lang w:eastAsia="zh-CN"/>
              </w:rPr>
              <w:t>工作现场严禁吸烟、进食和饮水。工作毕，淋浴更衣。及时换洗工作服。作业人员应学会自救互救。进入罐、限制性空间或其它高浓度区作业，须有人监护。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restart"/>
            <w:vAlign w:val="center"/>
          </w:tcPr>
          <w:p>
            <w:pPr>
              <w:spacing w:after="0" w:line="240" w:lineRule="auto"/>
              <w:jc w:val="center"/>
              <w:rPr>
                <w:szCs w:val="21"/>
              </w:rPr>
            </w:pPr>
            <w:r>
              <w:rPr>
                <w:szCs w:val="21"/>
              </w:rPr>
              <w:t>应急措施</w:t>
            </w:r>
          </w:p>
        </w:tc>
        <w:tc>
          <w:tcPr>
            <w:tcW w:w="1547" w:type="dxa"/>
            <w:vMerge w:val="restart"/>
            <w:vAlign w:val="center"/>
          </w:tcPr>
          <w:p>
            <w:pPr>
              <w:spacing w:after="0" w:line="240" w:lineRule="auto"/>
              <w:jc w:val="center"/>
              <w:rPr>
                <w:szCs w:val="21"/>
              </w:rPr>
            </w:pPr>
            <w:r>
              <w:rPr>
                <w:szCs w:val="21"/>
              </w:rPr>
              <w:t>急救措施</w:t>
            </w:r>
          </w:p>
        </w:tc>
        <w:tc>
          <w:tcPr>
            <w:tcW w:w="6237" w:type="dxa"/>
            <w:gridSpan w:val="4"/>
            <w:vAlign w:val="center"/>
          </w:tcPr>
          <w:p>
            <w:pPr>
              <w:spacing w:after="0" w:line="240" w:lineRule="auto"/>
              <w:rPr>
                <w:szCs w:val="21"/>
              </w:rPr>
            </w:pPr>
            <w:r>
              <w:rPr>
                <w:szCs w:val="21"/>
                <w:lang w:eastAsia="zh-CN"/>
              </w:rPr>
              <w:t>皮肤接触：脱去污染的衣着，用流动清水冲洗。</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1547" w:type="dxa"/>
            <w:vMerge w:val="continue"/>
            <w:vAlign w:val="center"/>
          </w:tcPr>
          <w:p>
            <w:pPr>
              <w:spacing w:after="0" w:line="240" w:lineRule="auto"/>
              <w:ind w:firstLine="360"/>
              <w:jc w:val="center"/>
              <w:rPr>
                <w:szCs w:val="21"/>
              </w:rPr>
            </w:pPr>
          </w:p>
        </w:tc>
        <w:tc>
          <w:tcPr>
            <w:tcW w:w="6237" w:type="dxa"/>
            <w:gridSpan w:val="4"/>
            <w:vAlign w:val="center"/>
          </w:tcPr>
          <w:p>
            <w:pPr>
              <w:spacing w:after="0" w:line="240" w:lineRule="auto"/>
              <w:rPr>
                <w:szCs w:val="21"/>
              </w:rPr>
            </w:pPr>
            <w:r>
              <w:rPr>
                <w:szCs w:val="21"/>
                <w:lang w:eastAsia="zh-CN"/>
              </w:rPr>
              <w:t>眼睛接触：立即提起眼睑，用大量流动清水或生理盐水彻底冲洗至少15分钟。</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rPr>
            </w:pPr>
          </w:p>
        </w:tc>
        <w:tc>
          <w:tcPr>
            <w:tcW w:w="1547" w:type="dxa"/>
            <w:vMerge w:val="continue"/>
            <w:vAlign w:val="center"/>
          </w:tcPr>
          <w:p>
            <w:pPr>
              <w:spacing w:after="0" w:line="240" w:lineRule="auto"/>
              <w:ind w:firstLine="360"/>
              <w:jc w:val="center"/>
              <w:rPr>
                <w:szCs w:val="21"/>
              </w:rPr>
            </w:pPr>
          </w:p>
        </w:tc>
        <w:tc>
          <w:tcPr>
            <w:tcW w:w="6237" w:type="dxa"/>
            <w:gridSpan w:val="4"/>
            <w:vAlign w:val="center"/>
          </w:tcPr>
          <w:p>
            <w:pPr>
              <w:spacing w:after="0" w:line="240" w:lineRule="auto"/>
              <w:rPr>
                <w:szCs w:val="21"/>
                <w:lang w:eastAsia="zh-CN"/>
              </w:rPr>
            </w:pPr>
            <w:r>
              <w:rPr>
                <w:szCs w:val="21"/>
                <w:lang w:eastAsia="zh-CN"/>
              </w:rPr>
              <w:t>吸入：迅速脱离现场至空气新鲜处。必要时进行人工呼吸。就医。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Merge w:val="continue"/>
            <w:vAlign w:val="center"/>
          </w:tcPr>
          <w:p>
            <w:pPr>
              <w:spacing w:after="0" w:line="240" w:lineRule="auto"/>
              <w:ind w:firstLine="360"/>
              <w:jc w:val="center"/>
              <w:rPr>
                <w:szCs w:val="21"/>
                <w:lang w:eastAsia="zh-CN"/>
              </w:rPr>
            </w:pPr>
          </w:p>
        </w:tc>
        <w:tc>
          <w:tcPr>
            <w:tcW w:w="1547" w:type="dxa"/>
            <w:vAlign w:val="center"/>
          </w:tcPr>
          <w:p>
            <w:pPr>
              <w:spacing w:after="0" w:line="240" w:lineRule="auto"/>
              <w:jc w:val="center"/>
              <w:rPr>
                <w:szCs w:val="21"/>
              </w:rPr>
            </w:pPr>
            <w:r>
              <w:rPr>
                <w:szCs w:val="21"/>
              </w:rPr>
              <w:t>泄漏措施</w:t>
            </w:r>
          </w:p>
        </w:tc>
        <w:tc>
          <w:tcPr>
            <w:tcW w:w="6237" w:type="dxa"/>
            <w:gridSpan w:val="4"/>
            <w:vAlign w:val="center"/>
          </w:tcPr>
          <w:p>
            <w:pPr>
              <w:spacing w:after="0" w:line="240" w:lineRule="auto"/>
              <w:rPr>
                <w:szCs w:val="21"/>
              </w:rPr>
            </w:pPr>
            <w:r>
              <w:rPr>
                <w:szCs w:val="21"/>
                <w:lang w:eastAsia="zh-CN"/>
              </w:rPr>
              <w:t>迅速撤离泄漏污染区人员至上风处，并立即进行隔离，小泄漏时隔离150m，大泄漏时隔离300m，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w:t>
            </w:r>
            <w:r>
              <w:rPr>
                <w:szCs w:val="21"/>
              </w:rPr>
              <w:t>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7" w:type="dxa"/>
            <w:left w:w="108" w:type="dxa"/>
            <w:bottom w:w="17" w:type="dxa"/>
            <w:right w:w="108" w:type="dxa"/>
          </w:tblCellMar>
        </w:tblPrEx>
        <w:trPr>
          <w:trHeight w:val="454" w:hRule="atLeast"/>
          <w:jc w:val="center"/>
        </w:trPr>
        <w:tc>
          <w:tcPr>
            <w:tcW w:w="1303" w:type="dxa"/>
            <w:vAlign w:val="center"/>
          </w:tcPr>
          <w:p>
            <w:pPr>
              <w:spacing w:after="0" w:line="240" w:lineRule="auto"/>
              <w:jc w:val="center"/>
              <w:rPr>
                <w:szCs w:val="21"/>
              </w:rPr>
            </w:pPr>
            <w:r>
              <w:rPr>
                <w:szCs w:val="21"/>
              </w:rPr>
              <w:t>产生途径</w:t>
            </w:r>
          </w:p>
        </w:tc>
        <w:tc>
          <w:tcPr>
            <w:tcW w:w="7784" w:type="dxa"/>
            <w:gridSpan w:val="5"/>
            <w:vAlign w:val="center"/>
          </w:tcPr>
          <w:p>
            <w:pPr>
              <w:spacing w:after="0" w:line="240" w:lineRule="auto"/>
              <w:rPr>
                <w:szCs w:val="21"/>
                <w:lang w:eastAsia="zh-CN"/>
              </w:rPr>
            </w:pPr>
            <w:r>
              <w:rPr>
                <w:szCs w:val="21"/>
                <w:lang w:eastAsia="zh-CN"/>
              </w:rPr>
              <w:t>运输、堆放过程中产生</w:t>
            </w:r>
          </w:p>
        </w:tc>
      </w:tr>
    </w:tbl>
    <w:p>
      <w:pPr>
        <w:spacing w:line="360" w:lineRule="auto"/>
        <w:ind w:firstLine="480" w:firstLineChars="200"/>
        <w:rPr>
          <w:sz w:val="24"/>
          <w:lang w:eastAsia="zh-CN"/>
        </w:rPr>
      </w:pPr>
    </w:p>
    <w:p>
      <w:pPr>
        <w:pStyle w:val="72"/>
        <w:spacing w:line="240" w:lineRule="auto"/>
        <w:ind w:firstLine="0" w:firstLineChars="0"/>
        <w:jc w:val="center"/>
        <w:rPr>
          <w:rFonts w:ascii="Times New Roman"/>
          <w:b/>
          <w:bCs/>
          <w:szCs w:val="24"/>
          <w:lang w:eastAsia="zh-CN"/>
        </w:rPr>
      </w:pPr>
      <w:r>
        <w:rPr>
          <w:rFonts w:ascii="Times New Roman"/>
          <w:b/>
          <w:bCs/>
          <w:szCs w:val="24"/>
          <w:lang w:eastAsia="zh-CN"/>
        </w:rPr>
        <w:t>表</w:t>
      </w:r>
      <w:r>
        <w:rPr>
          <w:rFonts w:hint="eastAsia" w:ascii="Times New Roman"/>
          <w:b/>
          <w:bCs/>
          <w:szCs w:val="24"/>
          <w:lang w:eastAsia="zh-CN"/>
        </w:rPr>
        <w:t>6.2-3</w:t>
      </w:r>
      <w:r>
        <w:rPr>
          <w:rFonts w:ascii="Times New Roman"/>
          <w:b/>
          <w:bCs/>
          <w:szCs w:val="24"/>
          <w:lang w:eastAsia="zh-CN"/>
        </w:rPr>
        <w:t xml:space="preserve">  二氧化硫的危害特性及安全技术分析一览表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73"/>
        <w:gridCol w:w="726"/>
        <w:gridCol w:w="1711"/>
        <w:gridCol w:w="1711"/>
        <w:gridCol w:w="2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Align w:val="center"/>
          </w:tcPr>
          <w:p>
            <w:pPr>
              <w:spacing w:after="0" w:line="240" w:lineRule="auto"/>
              <w:jc w:val="center"/>
              <w:rPr>
                <w:b/>
                <w:bCs/>
                <w:szCs w:val="21"/>
              </w:rPr>
            </w:pPr>
            <w:r>
              <w:rPr>
                <w:b/>
                <w:bCs/>
                <w:szCs w:val="21"/>
              </w:rPr>
              <w:t>品名</w:t>
            </w:r>
          </w:p>
        </w:tc>
        <w:tc>
          <w:tcPr>
            <w:tcW w:w="7806" w:type="dxa"/>
            <w:gridSpan w:val="5"/>
            <w:vAlign w:val="center"/>
          </w:tcPr>
          <w:p>
            <w:pPr>
              <w:spacing w:after="0" w:line="240" w:lineRule="auto"/>
              <w:ind w:firstLine="360"/>
              <w:jc w:val="center"/>
              <w:rPr>
                <w:b/>
                <w:bCs/>
                <w:szCs w:val="21"/>
              </w:rPr>
            </w:pPr>
            <w:r>
              <w:rPr>
                <w:b/>
                <w:bCs/>
                <w:szCs w:val="21"/>
              </w:rPr>
              <w:t>二氧化硫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物理性质</w:t>
            </w:r>
          </w:p>
        </w:tc>
        <w:tc>
          <w:tcPr>
            <w:tcW w:w="2099" w:type="dxa"/>
            <w:gridSpan w:val="2"/>
            <w:vAlign w:val="center"/>
          </w:tcPr>
          <w:p>
            <w:pPr>
              <w:spacing w:after="0" w:line="240" w:lineRule="auto"/>
              <w:jc w:val="center"/>
              <w:rPr>
                <w:szCs w:val="21"/>
              </w:rPr>
            </w:pPr>
            <w:r>
              <w:rPr>
                <w:szCs w:val="21"/>
              </w:rPr>
              <w:t>熔点</w:t>
            </w:r>
          </w:p>
        </w:tc>
        <w:tc>
          <w:tcPr>
            <w:tcW w:w="1711" w:type="dxa"/>
            <w:vAlign w:val="center"/>
          </w:tcPr>
          <w:p>
            <w:pPr>
              <w:spacing w:after="0" w:line="240" w:lineRule="auto"/>
              <w:jc w:val="center"/>
              <w:rPr>
                <w:szCs w:val="21"/>
              </w:rPr>
            </w:pPr>
            <w:r>
              <w:rPr>
                <w:szCs w:val="21"/>
              </w:rPr>
              <w:t>-75.5</w:t>
            </w:r>
            <w:r>
              <w:rPr>
                <w:rFonts w:hint="eastAsia" w:hAnsi="宋体" w:cs="宋体"/>
                <w:szCs w:val="21"/>
              </w:rPr>
              <w:t>℃</w:t>
            </w:r>
          </w:p>
        </w:tc>
        <w:tc>
          <w:tcPr>
            <w:tcW w:w="1711" w:type="dxa"/>
            <w:vAlign w:val="center"/>
          </w:tcPr>
          <w:p>
            <w:pPr>
              <w:spacing w:after="0" w:line="240" w:lineRule="auto"/>
              <w:jc w:val="center"/>
              <w:rPr>
                <w:szCs w:val="21"/>
              </w:rPr>
            </w:pPr>
            <w:r>
              <w:rPr>
                <w:szCs w:val="21"/>
              </w:rPr>
              <w:t>沸点</w:t>
            </w:r>
          </w:p>
        </w:tc>
        <w:tc>
          <w:tcPr>
            <w:tcW w:w="2285" w:type="dxa"/>
            <w:vAlign w:val="center"/>
          </w:tcPr>
          <w:p>
            <w:pPr>
              <w:spacing w:after="0" w:line="240" w:lineRule="auto"/>
              <w:jc w:val="center"/>
              <w:rPr>
                <w:szCs w:val="21"/>
              </w:rPr>
            </w:pPr>
            <w:r>
              <w:rPr>
                <w:szCs w:val="21"/>
              </w:rPr>
              <w:t>-10</w:t>
            </w:r>
            <w:r>
              <w:rPr>
                <w:rFonts w:hint="eastAsia"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2099" w:type="dxa"/>
            <w:gridSpan w:val="2"/>
            <w:vAlign w:val="center"/>
          </w:tcPr>
          <w:p>
            <w:pPr>
              <w:spacing w:after="0" w:line="240" w:lineRule="auto"/>
              <w:jc w:val="center"/>
              <w:rPr>
                <w:szCs w:val="21"/>
              </w:rPr>
            </w:pPr>
            <w:r>
              <w:rPr>
                <w:szCs w:val="21"/>
              </w:rPr>
              <w:t>凝固点</w:t>
            </w:r>
          </w:p>
        </w:tc>
        <w:tc>
          <w:tcPr>
            <w:tcW w:w="1711" w:type="dxa"/>
            <w:vAlign w:val="center"/>
          </w:tcPr>
          <w:p>
            <w:pPr>
              <w:spacing w:after="0" w:line="240" w:lineRule="auto"/>
              <w:jc w:val="center"/>
              <w:rPr>
                <w:szCs w:val="21"/>
              </w:rPr>
            </w:pPr>
            <w:r>
              <w:rPr>
                <w:szCs w:val="21"/>
              </w:rPr>
              <w:t>-</w:t>
            </w:r>
          </w:p>
        </w:tc>
        <w:tc>
          <w:tcPr>
            <w:tcW w:w="1711" w:type="dxa"/>
            <w:vAlign w:val="center"/>
          </w:tcPr>
          <w:p>
            <w:pPr>
              <w:spacing w:after="0" w:line="240" w:lineRule="auto"/>
              <w:jc w:val="center"/>
              <w:rPr>
                <w:szCs w:val="21"/>
              </w:rPr>
            </w:pPr>
            <w:r>
              <w:rPr>
                <w:szCs w:val="21"/>
              </w:rPr>
              <w:t>相对密度</w:t>
            </w:r>
          </w:p>
        </w:tc>
        <w:tc>
          <w:tcPr>
            <w:tcW w:w="2285" w:type="dxa"/>
            <w:vAlign w:val="center"/>
          </w:tcPr>
          <w:p>
            <w:pPr>
              <w:spacing w:after="0" w:line="240" w:lineRule="auto"/>
              <w:jc w:val="center"/>
              <w:rPr>
                <w:szCs w:val="21"/>
              </w:rPr>
            </w:pPr>
            <w:r>
              <w:rPr>
                <w:szCs w:val="21"/>
              </w:rPr>
              <w:t>(空气=1)2.26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2099" w:type="dxa"/>
            <w:gridSpan w:val="2"/>
            <w:vAlign w:val="center"/>
          </w:tcPr>
          <w:p>
            <w:pPr>
              <w:spacing w:after="0" w:line="240" w:lineRule="auto"/>
              <w:jc w:val="center"/>
              <w:rPr>
                <w:szCs w:val="21"/>
              </w:rPr>
            </w:pPr>
            <w:r>
              <w:rPr>
                <w:szCs w:val="21"/>
              </w:rPr>
              <w:t>外观气味</w:t>
            </w:r>
          </w:p>
        </w:tc>
        <w:tc>
          <w:tcPr>
            <w:tcW w:w="5707" w:type="dxa"/>
            <w:gridSpan w:val="3"/>
            <w:vAlign w:val="center"/>
          </w:tcPr>
          <w:p>
            <w:pPr>
              <w:spacing w:after="0" w:line="240" w:lineRule="auto"/>
              <w:jc w:val="center"/>
              <w:rPr>
                <w:szCs w:val="21"/>
              </w:rPr>
            </w:pPr>
            <w:r>
              <w:rPr>
                <w:szCs w:val="21"/>
              </w:rPr>
              <w:t>无色气体，特臭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2099" w:type="dxa"/>
            <w:gridSpan w:val="2"/>
            <w:vAlign w:val="center"/>
          </w:tcPr>
          <w:p>
            <w:pPr>
              <w:spacing w:after="0" w:line="240" w:lineRule="auto"/>
              <w:jc w:val="center"/>
              <w:rPr>
                <w:szCs w:val="21"/>
              </w:rPr>
            </w:pPr>
            <w:r>
              <w:rPr>
                <w:szCs w:val="21"/>
              </w:rPr>
              <w:t>溶解性</w:t>
            </w:r>
          </w:p>
        </w:tc>
        <w:tc>
          <w:tcPr>
            <w:tcW w:w="5707" w:type="dxa"/>
            <w:gridSpan w:val="3"/>
            <w:vAlign w:val="center"/>
          </w:tcPr>
          <w:p>
            <w:pPr>
              <w:spacing w:after="0" w:line="240" w:lineRule="auto"/>
              <w:jc w:val="center"/>
              <w:rPr>
                <w:szCs w:val="21"/>
              </w:rPr>
            </w:pPr>
            <w:r>
              <w:rPr>
                <w:szCs w:val="21"/>
              </w:rPr>
              <w:t>溶于水、乙醇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危险货物编号</w:t>
            </w:r>
          </w:p>
        </w:tc>
        <w:tc>
          <w:tcPr>
            <w:tcW w:w="2099" w:type="dxa"/>
            <w:gridSpan w:val="2"/>
            <w:vAlign w:val="center"/>
          </w:tcPr>
          <w:p>
            <w:pPr>
              <w:spacing w:after="0" w:line="240" w:lineRule="auto"/>
              <w:jc w:val="center"/>
              <w:rPr>
                <w:szCs w:val="21"/>
              </w:rPr>
            </w:pPr>
            <w:r>
              <w:rPr>
                <w:szCs w:val="21"/>
              </w:rPr>
              <w:t>23013</w:t>
            </w:r>
          </w:p>
        </w:tc>
        <w:tc>
          <w:tcPr>
            <w:tcW w:w="1711" w:type="dxa"/>
            <w:vAlign w:val="center"/>
          </w:tcPr>
          <w:p>
            <w:pPr>
              <w:spacing w:after="0" w:line="240" w:lineRule="auto"/>
              <w:jc w:val="center"/>
              <w:rPr>
                <w:szCs w:val="21"/>
              </w:rPr>
            </w:pPr>
            <w:r>
              <w:rPr>
                <w:szCs w:val="21"/>
              </w:rPr>
              <w:t>物质危害特性</w:t>
            </w:r>
          </w:p>
        </w:tc>
        <w:tc>
          <w:tcPr>
            <w:tcW w:w="3996" w:type="dxa"/>
            <w:gridSpan w:val="2"/>
            <w:vAlign w:val="center"/>
          </w:tcPr>
          <w:p>
            <w:pPr>
              <w:spacing w:after="0" w:line="240" w:lineRule="auto"/>
              <w:jc w:val="center"/>
              <w:rPr>
                <w:szCs w:val="21"/>
              </w:rPr>
            </w:pPr>
            <w:r>
              <w:rPr>
                <w:szCs w:val="21"/>
              </w:rPr>
              <w:t>有毒气体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危险特性</w:t>
            </w:r>
          </w:p>
        </w:tc>
        <w:tc>
          <w:tcPr>
            <w:tcW w:w="7806" w:type="dxa"/>
            <w:gridSpan w:val="5"/>
            <w:vAlign w:val="center"/>
          </w:tcPr>
          <w:p>
            <w:pPr>
              <w:spacing w:after="0" w:line="240" w:lineRule="auto"/>
              <w:rPr>
                <w:szCs w:val="21"/>
                <w:lang w:eastAsia="zh-CN"/>
              </w:rPr>
            </w:pPr>
            <w:r>
              <w:rPr>
                <w:szCs w:val="21"/>
                <w:lang w:eastAsia="zh-CN"/>
              </w:rPr>
              <w:t>不燃。若遇高热，容器内压增大，有开裂和爆炸的危险。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毒性</w:t>
            </w:r>
          </w:p>
        </w:tc>
        <w:tc>
          <w:tcPr>
            <w:tcW w:w="7806" w:type="dxa"/>
            <w:gridSpan w:val="5"/>
            <w:vAlign w:val="center"/>
          </w:tcPr>
          <w:p>
            <w:pPr>
              <w:spacing w:after="0" w:line="240" w:lineRule="auto"/>
              <w:rPr>
                <w:szCs w:val="21"/>
                <w:lang w:eastAsia="zh-CN"/>
              </w:rPr>
            </w:pPr>
            <w:r>
              <w:rPr>
                <w:szCs w:val="21"/>
                <w:lang w:eastAsia="zh-CN"/>
              </w:rPr>
              <w:t>LD50：无资料 </w:t>
            </w:r>
          </w:p>
          <w:p>
            <w:pPr>
              <w:spacing w:after="0" w:line="240" w:lineRule="auto"/>
              <w:rPr>
                <w:szCs w:val="21"/>
                <w:lang w:eastAsia="zh-CN"/>
              </w:rPr>
            </w:pPr>
            <w:r>
              <w:rPr>
                <w:szCs w:val="21"/>
                <w:lang w:eastAsia="zh-CN"/>
              </w:rPr>
              <w:t>LC50：6600mg/m</w:t>
            </w:r>
            <w:r>
              <w:rPr>
                <w:szCs w:val="21"/>
                <w:vertAlign w:val="superscript"/>
                <w:lang w:eastAsia="zh-CN"/>
              </w:rPr>
              <w:t>3</w:t>
            </w:r>
            <w:r>
              <w:rPr>
                <w:szCs w:val="21"/>
                <w:lang w:eastAsia="zh-CN"/>
              </w:rPr>
              <w:t>，1小时（大鼠吸入）</w:t>
            </w:r>
          </w:p>
          <w:p>
            <w:pPr>
              <w:spacing w:after="0" w:line="240" w:lineRule="auto"/>
              <w:rPr>
                <w:szCs w:val="21"/>
              </w:rPr>
            </w:pPr>
            <w:r>
              <w:rPr>
                <w:szCs w:val="21"/>
                <w:lang w:eastAsia="zh-CN"/>
              </w:rPr>
              <w:t>易被湿润的粘膜表面吸收生成亚硫酸、硫酸。对眼及呼吸道粘膜有强烈的刺激作用。大量吸入可引起肺水肿、喉水肿、声带痉挛而致窒息。 急性中毒：轻度中毒时，发生流泪、畏光、咳嗽，咽、喉灼痛等；严重中毒可在数小时内发生肺水肿；极高浓度吸入可引起反射性声门痉挛而致窒息。皮肤或眼接触发生炎症或灼伤。 慢性影响：长期低浓度接触，可有头痛、头昏、乏力等全身症状以及慢性鼻炎、咽喉炎、支气管炎、嗅觉及味觉减退等。</w:t>
            </w:r>
            <w:r>
              <w:rPr>
                <w:szCs w:val="21"/>
              </w:rPr>
              <w:t>少数工人有牙齿酸蚀症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安全防护措施</w:t>
            </w:r>
          </w:p>
        </w:tc>
        <w:tc>
          <w:tcPr>
            <w:tcW w:w="1373" w:type="dxa"/>
            <w:vAlign w:val="center"/>
          </w:tcPr>
          <w:p>
            <w:pPr>
              <w:spacing w:after="0" w:line="240" w:lineRule="auto"/>
              <w:jc w:val="center"/>
              <w:rPr>
                <w:szCs w:val="21"/>
              </w:rPr>
            </w:pPr>
            <w:r>
              <w:rPr>
                <w:szCs w:val="21"/>
              </w:rPr>
              <w:t>工程控制</w:t>
            </w:r>
          </w:p>
        </w:tc>
        <w:tc>
          <w:tcPr>
            <w:tcW w:w="6433" w:type="dxa"/>
            <w:gridSpan w:val="4"/>
            <w:vAlign w:val="center"/>
          </w:tcPr>
          <w:p>
            <w:pPr>
              <w:spacing w:after="0" w:line="240" w:lineRule="auto"/>
              <w:rPr>
                <w:szCs w:val="21"/>
                <w:lang w:eastAsia="zh-CN"/>
              </w:rPr>
            </w:pPr>
            <w:r>
              <w:rPr>
                <w:szCs w:val="21"/>
                <w:lang w:eastAsia="zh-CN"/>
              </w:rPr>
              <w:t>严加密闭，提供充分的局部排风和全面通风。提供安全淋浴和洗眼设备。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1373" w:type="dxa"/>
            <w:vAlign w:val="center"/>
          </w:tcPr>
          <w:p>
            <w:pPr>
              <w:spacing w:after="0" w:line="240" w:lineRule="auto"/>
              <w:jc w:val="center"/>
              <w:rPr>
                <w:szCs w:val="21"/>
              </w:rPr>
            </w:pPr>
            <w:r>
              <w:rPr>
                <w:szCs w:val="21"/>
              </w:rPr>
              <w:t>呼吸系统防护</w:t>
            </w:r>
          </w:p>
        </w:tc>
        <w:tc>
          <w:tcPr>
            <w:tcW w:w="6433" w:type="dxa"/>
            <w:gridSpan w:val="4"/>
            <w:vAlign w:val="center"/>
          </w:tcPr>
          <w:p>
            <w:pPr>
              <w:spacing w:after="0" w:line="240" w:lineRule="auto"/>
              <w:rPr>
                <w:szCs w:val="21"/>
                <w:lang w:eastAsia="zh-CN"/>
              </w:rPr>
            </w:pPr>
            <w:r>
              <w:rPr>
                <w:szCs w:val="21"/>
                <w:lang w:eastAsia="zh-CN"/>
              </w:rPr>
              <w:t>空气中浓度超标时，佩戴自吸过滤式防毒面具（全面罩）。紧急事态</w:t>
            </w:r>
          </w:p>
          <w:p>
            <w:pPr>
              <w:spacing w:after="0" w:line="240" w:lineRule="auto"/>
              <w:rPr>
                <w:szCs w:val="21"/>
                <w:lang w:eastAsia="zh-CN"/>
              </w:rPr>
            </w:pPr>
            <w:r>
              <w:rPr>
                <w:szCs w:val="21"/>
                <w:lang w:eastAsia="zh-CN"/>
              </w:rPr>
              <w:t>抢救或撤离时，建议佩戴正压自给式呼吸器。眼睛防护：呼吸系统防护中已作防护。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lang w:eastAsia="zh-CN"/>
              </w:rPr>
            </w:pPr>
          </w:p>
        </w:tc>
        <w:tc>
          <w:tcPr>
            <w:tcW w:w="1373" w:type="dxa"/>
            <w:vAlign w:val="center"/>
          </w:tcPr>
          <w:p>
            <w:pPr>
              <w:spacing w:after="0" w:line="240" w:lineRule="auto"/>
              <w:ind w:firstLine="209" w:firstLineChars="95"/>
              <w:jc w:val="center"/>
              <w:rPr>
                <w:szCs w:val="21"/>
              </w:rPr>
            </w:pPr>
            <w:r>
              <w:rPr>
                <w:szCs w:val="21"/>
              </w:rPr>
              <w:t>身体防护</w:t>
            </w:r>
          </w:p>
        </w:tc>
        <w:tc>
          <w:tcPr>
            <w:tcW w:w="6433" w:type="dxa"/>
            <w:gridSpan w:val="4"/>
            <w:vAlign w:val="center"/>
          </w:tcPr>
          <w:p>
            <w:pPr>
              <w:spacing w:after="0" w:line="240" w:lineRule="auto"/>
              <w:rPr>
                <w:szCs w:val="21"/>
              </w:rPr>
            </w:pPr>
            <w:r>
              <w:rPr>
                <w:szCs w:val="21"/>
              </w:rPr>
              <w:t>穿聚乙烯防毒服。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373" w:type="dxa"/>
            <w:vAlign w:val="center"/>
          </w:tcPr>
          <w:p>
            <w:pPr>
              <w:spacing w:after="0" w:line="240" w:lineRule="auto"/>
              <w:ind w:firstLine="209" w:firstLineChars="95"/>
              <w:jc w:val="center"/>
              <w:rPr>
                <w:szCs w:val="21"/>
              </w:rPr>
            </w:pPr>
            <w:r>
              <w:rPr>
                <w:szCs w:val="21"/>
              </w:rPr>
              <w:t>手防护</w:t>
            </w:r>
          </w:p>
        </w:tc>
        <w:tc>
          <w:tcPr>
            <w:tcW w:w="6433" w:type="dxa"/>
            <w:gridSpan w:val="4"/>
            <w:vAlign w:val="center"/>
          </w:tcPr>
          <w:p>
            <w:pPr>
              <w:spacing w:after="0" w:line="240" w:lineRule="auto"/>
              <w:rPr>
                <w:szCs w:val="21"/>
              </w:rPr>
            </w:pPr>
            <w:r>
              <w:rPr>
                <w:szCs w:val="21"/>
              </w:rPr>
              <w:t>戴橡胶手套。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373" w:type="dxa"/>
            <w:vAlign w:val="center"/>
          </w:tcPr>
          <w:p>
            <w:pPr>
              <w:spacing w:after="0" w:line="240" w:lineRule="auto"/>
              <w:ind w:firstLine="209" w:firstLineChars="95"/>
              <w:jc w:val="center"/>
              <w:rPr>
                <w:szCs w:val="21"/>
              </w:rPr>
            </w:pPr>
            <w:r>
              <w:rPr>
                <w:szCs w:val="21"/>
              </w:rPr>
              <w:t>其他</w:t>
            </w:r>
          </w:p>
        </w:tc>
        <w:tc>
          <w:tcPr>
            <w:tcW w:w="6433" w:type="dxa"/>
            <w:gridSpan w:val="4"/>
            <w:vAlign w:val="center"/>
          </w:tcPr>
          <w:p>
            <w:pPr>
              <w:spacing w:after="0" w:line="240" w:lineRule="auto"/>
              <w:rPr>
                <w:szCs w:val="21"/>
                <w:lang w:eastAsia="zh-CN"/>
              </w:rPr>
            </w:pPr>
            <w:r>
              <w:rPr>
                <w:szCs w:val="21"/>
                <w:lang w:eastAsia="zh-CN"/>
              </w:rPr>
              <w:t>工作现场禁止吸烟、进食和饮水。工作完毕，淋浴更衣。保持良好的卫生习惯。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restart"/>
            <w:vAlign w:val="center"/>
          </w:tcPr>
          <w:p>
            <w:pPr>
              <w:spacing w:after="0" w:line="240" w:lineRule="auto"/>
              <w:jc w:val="center"/>
              <w:rPr>
                <w:szCs w:val="21"/>
              </w:rPr>
            </w:pPr>
            <w:r>
              <w:rPr>
                <w:szCs w:val="21"/>
              </w:rPr>
              <w:t>应急措施</w:t>
            </w:r>
          </w:p>
        </w:tc>
        <w:tc>
          <w:tcPr>
            <w:tcW w:w="1373" w:type="dxa"/>
            <w:vMerge w:val="restart"/>
            <w:vAlign w:val="center"/>
          </w:tcPr>
          <w:p>
            <w:pPr>
              <w:spacing w:after="0" w:line="240" w:lineRule="auto"/>
              <w:jc w:val="center"/>
              <w:rPr>
                <w:szCs w:val="21"/>
              </w:rPr>
            </w:pPr>
            <w:r>
              <w:rPr>
                <w:szCs w:val="21"/>
              </w:rPr>
              <w:t>急救措施</w:t>
            </w:r>
          </w:p>
        </w:tc>
        <w:tc>
          <w:tcPr>
            <w:tcW w:w="6433" w:type="dxa"/>
            <w:gridSpan w:val="4"/>
            <w:vAlign w:val="center"/>
          </w:tcPr>
          <w:p>
            <w:pPr>
              <w:spacing w:after="0" w:line="240" w:lineRule="auto"/>
              <w:rPr>
                <w:szCs w:val="21"/>
              </w:rPr>
            </w:pPr>
            <w:r>
              <w:rPr>
                <w:szCs w:val="21"/>
                <w:lang w:eastAsia="zh-CN"/>
              </w:rPr>
              <w:t>皮肤接触：立即脱去污染的衣着，用大量流动清水冲洗。</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373" w:type="dxa"/>
            <w:vMerge w:val="continue"/>
            <w:vAlign w:val="center"/>
          </w:tcPr>
          <w:p>
            <w:pPr>
              <w:spacing w:after="0" w:line="240" w:lineRule="auto"/>
              <w:ind w:firstLine="360"/>
              <w:jc w:val="center"/>
              <w:rPr>
                <w:szCs w:val="21"/>
              </w:rPr>
            </w:pPr>
          </w:p>
        </w:tc>
        <w:tc>
          <w:tcPr>
            <w:tcW w:w="6433" w:type="dxa"/>
            <w:gridSpan w:val="4"/>
            <w:vAlign w:val="center"/>
          </w:tcPr>
          <w:p>
            <w:pPr>
              <w:spacing w:after="0" w:line="240" w:lineRule="auto"/>
              <w:rPr>
                <w:szCs w:val="21"/>
              </w:rPr>
            </w:pPr>
            <w:r>
              <w:rPr>
                <w:szCs w:val="21"/>
                <w:lang w:eastAsia="zh-CN"/>
              </w:rPr>
              <w:t>眼睛接触：提起眼睑，用流动清水或生理盐水冲洗。</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373" w:type="dxa"/>
            <w:vMerge w:val="continue"/>
            <w:vAlign w:val="center"/>
          </w:tcPr>
          <w:p>
            <w:pPr>
              <w:spacing w:after="0" w:line="240" w:lineRule="auto"/>
              <w:ind w:firstLine="360"/>
              <w:jc w:val="center"/>
              <w:rPr>
                <w:szCs w:val="21"/>
              </w:rPr>
            </w:pPr>
          </w:p>
        </w:tc>
        <w:tc>
          <w:tcPr>
            <w:tcW w:w="6433" w:type="dxa"/>
            <w:gridSpan w:val="4"/>
            <w:vAlign w:val="center"/>
          </w:tcPr>
          <w:p>
            <w:pPr>
              <w:spacing w:after="0" w:line="240" w:lineRule="auto"/>
              <w:rPr>
                <w:szCs w:val="21"/>
              </w:rPr>
            </w:pPr>
            <w:r>
              <w:rPr>
                <w:szCs w:val="21"/>
                <w:lang w:eastAsia="zh-CN"/>
              </w:rPr>
              <w:t>吸入：迅速脱离现场至空气新鲜处。保持呼吸道通畅。如呼吸困难，给输氧。如呼吸停止，立即进行人工呼吸。</w:t>
            </w:r>
            <w:r>
              <w:rPr>
                <w:szCs w:val="21"/>
              </w:rPr>
              <w:t>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Merge w:val="continue"/>
            <w:vAlign w:val="center"/>
          </w:tcPr>
          <w:p>
            <w:pPr>
              <w:spacing w:after="0" w:line="240" w:lineRule="auto"/>
              <w:ind w:firstLine="360"/>
              <w:jc w:val="center"/>
              <w:rPr>
                <w:szCs w:val="21"/>
              </w:rPr>
            </w:pPr>
          </w:p>
        </w:tc>
        <w:tc>
          <w:tcPr>
            <w:tcW w:w="1373" w:type="dxa"/>
            <w:vAlign w:val="center"/>
          </w:tcPr>
          <w:p>
            <w:pPr>
              <w:spacing w:after="0" w:line="240" w:lineRule="auto"/>
              <w:jc w:val="center"/>
              <w:rPr>
                <w:szCs w:val="21"/>
              </w:rPr>
            </w:pPr>
            <w:r>
              <w:rPr>
                <w:szCs w:val="21"/>
              </w:rPr>
              <w:t>泄漏措施</w:t>
            </w:r>
          </w:p>
        </w:tc>
        <w:tc>
          <w:tcPr>
            <w:tcW w:w="6433" w:type="dxa"/>
            <w:gridSpan w:val="4"/>
            <w:vAlign w:val="center"/>
          </w:tcPr>
          <w:p>
            <w:pPr>
              <w:spacing w:after="0" w:line="240" w:lineRule="auto"/>
              <w:rPr>
                <w:szCs w:val="21"/>
              </w:rPr>
            </w:pPr>
            <w:r>
              <w:rPr>
                <w:szCs w:val="21"/>
                <w:lang w:eastAsia="zh-CN"/>
              </w:rPr>
              <w:t>迅速撤离泄漏污染区人员至上风处，并立即进行隔离，小泄漏时隔离150m，大泄漏时隔离450m，严格限制出入。建议应急处理人员戴自给正压式呼吸器，穿防毒服。从上风处进入现场。尽可能切断泄漏源。用工业覆盖层或吸附/ 吸收剂盖住泄漏点附近的下水道等地方，防止气体进入。合理通风，加速扩散。喷雾状水稀释、溶解。构筑围堤或挖坑收容产生的大量废水。如有可能，用一捉捕器使气体通过次氯酸钠溶液。</w:t>
            </w:r>
            <w:r>
              <w:rPr>
                <w:szCs w:val="21"/>
              </w:rPr>
              <w:t>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6" w:type="dxa"/>
            <w:vAlign w:val="center"/>
          </w:tcPr>
          <w:p>
            <w:pPr>
              <w:spacing w:after="0" w:line="240" w:lineRule="auto"/>
              <w:jc w:val="center"/>
              <w:rPr>
                <w:szCs w:val="21"/>
              </w:rPr>
            </w:pPr>
            <w:r>
              <w:rPr>
                <w:szCs w:val="21"/>
              </w:rPr>
              <w:t>产生途径</w:t>
            </w:r>
          </w:p>
        </w:tc>
        <w:tc>
          <w:tcPr>
            <w:tcW w:w="7806" w:type="dxa"/>
            <w:gridSpan w:val="5"/>
            <w:vAlign w:val="center"/>
          </w:tcPr>
          <w:p>
            <w:pPr>
              <w:spacing w:after="0" w:line="240" w:lineRule="auto"/>
              <w:rPr>
                <w:szCs w:val="21"/>
              </w:rPr>
            </w:pPr>
            <w:r>
              <w:rPr>
                <w:szCs w:val="21"/>
              </w:rPr>
              <w:t>焚烧过程中产生</w:t>
            </w:r>
          </w:p>
        </w:tc>
      </w:tr>
    </w:tbl>
    <w:p>
      <w:pPr>
        <w:pStyle w:val="72"/>
        <w:spacing w:line="240" w:lineRule="auto"/>
        <w:ind w:firstLine="0" w:firstLineChars="0"/>
        <w:jc w:val="center"/>
        <w:rPr>
          <w:rFonts w:ascii="Times New Roman"/>
          <w:b/>
          <w:szCs w:val="24"/>
        </w:rPr>
      </w:pPr>
    </w:p>
    <w:p>
      <w:pPr>
        <w:spacing w:before="240" w:line="360" w:lineRule="auto"/>
        <w:ind w:firstLine="480" w:firstLineChars="200"/>
        <w:rPr>
          <w:sz w:val="24"/>
          <w:szCs w:val="24"/>
          <w:lang w:eastAsia="zh-CN"/>
        </w:rPr>
      </w:pPr>
      <w:r>
        <w:rPr>
          <w:sz w:val="24"/>
          <w:szCs w:val="24"/>
          <w:lang w:eastAsia="zh-CN"/>
        </w:rPr>
        <w:t>根据《建设项目环境风险评价技术导则》及附录A表1物质危险性标准，并结合主要危险品的化学理化性质，判定结果如下表。</w:t>
      </w:r>
    </w:p>
    <w:p>
      <w:pPr>
        <w:pStyle w:val="72"/>
        <w:spacing w:line="240" w:lineRule="auto"/>
        <w:ind w:firstLine="0" w:firstLineChars="0"/>
        <w:jc w:val="center"/>
        <w:rPr>
          <w:rFonts w:ascii="Times New Roman"/>
          <w:b/>
          <w:bCs/>
          <w:szCs w:val="24"/>
        </w:rPr>
      </w:pPr>
      <w:r>
        <w:rPr>
          <w:rFonts w:ascii="Times New Roman"/>
          <w:b/>
          <w:bCs/>
          <w:szCs w:val="24"/>
        </w:rPr>
        <w:t>表</w:t>
      </w:r>
      <w:r>
        <w:rPr>
          <w:rFonts w:hint="eastAsia" w:ascii="Times New Roman"/>
          <w:b/>
          <w:bCs/>
          <w:szCs w:val="24"/>
        </w:rPr>
        <w:t>6.</w:t>
      </w:r>
      <w:r>
        <w:rPr>
          <w:rFonts w:hint="eastAsia" w:ascii="Times New Roman"/>
          <w:b/>
          <w:bCs/>
          <w:szCs w:val="24"/>
          <w:lang w:eastAsia="zh-CN"/>
        </w:rPr>
        <w:t>2-4</w:t>
      </w:r>
      <w:r>
        <w:rPr>
          <w:rFonts w:ascii="Times New Roman"/>
          <w:b/>
          <w:bCs/>
          <w:szCs w:val="24"/>
        </w:rPr>
        <w:t xml:space="preserve">  物质危险性标准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35"/>
        <w:gridCol w:w="2219"/>
        <w:gridCol w:w="2202"/>
        <w:gridCol w:w="3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1" w:type="dxa"/>
            <w:gridSpan w:val="2"/>
            <w:vAlign w:val="center"/>
          </w:tcPr>
          <w:p>
            <w:pPr>
              <w:spacing w:after="0" w:line="240" w:lineRule="auto"/>
              <w:jc w:val="center"/>
              <w:rPr>
                <w:b/>
                <w:bCs/>
                <w:szCs w:val="21"/>
              </w:rPr>
            </w:pPr>
            <w:r>
              <w:rPr>
                <w:b/>
                <w:bCs/>
                <w:szCs w:val="21"/>
              </w:rPr>
              <w:t>项目</w:t>
            </w:r>
          </w:p>
        </w:tc>
        <w:tc>
          <w:tcPr>
            <w:tcW w:w="2219" w:type="dxa"/>
            <w:vAlign w:val="center"/>
          </w:tcPr>
          <w:p>
            <w:pPr>
              <w:spacing w:after="0" w:line="240" w:lineRule="auto"/>
              <w:jc w:val="center"/>
              <w:rPr>
                <w:b/>
                <w:bCs/>
                <w:szCs w:val="21"/>
              </w:rPr>
            </w:pPr>
            <w:r>
              <w:rPr>
                <w:b/>
                <w:bCs/>
                <w:szCs w:val="21"/>
              </w:rPr>
              <w:t>LD</w:t>
            </w:r>
            <w:r>
              <w:rPr>
                <w:b/>
                <w:bCs/>
                <w:szCs w:val="21"/>
                <w:vertAlign w:val="subscript"/>
              </w:rPr>
              <w:t>50</w:t>
            </w:r>
            <w:r>
              <w:rPr>
                <w:b/>
                <w:bCs/>
                <w:szCs w:val="21"/>
              </w:rPr>
              <w:t>(大鼠经口) mg/kg</w:t>
            </w:r>
          </w:p>
        </w:tc>
        <w:tc>
          <w:tcPr>
            <w:tcW w:w="2202" w:type="dxa"/>
            <w:vAlign w:val="center"/>
          </w:tcPr>
          <w:p>
            <w:pPr>
              <w:spacing w:after="0" w:line="240" w:lineRule="auto"/>
              <w:jc w:val="center"/>
              <w:rPr>
                <w:b/>
                <w:bCs/>
                <w:szCs w:val="21"/>
              </w:rPr>
            </w:pPr>
            <w:r>
              <w:rPr>
                <w:b/>
                <w:bCs/>
                <w:szCs w:val="21"/>
              </w:rPr>
              <w:t>LD</w:t>
            </w:r>
            <w:r>
              <w:rPr>
                <w:b/>
                <w:bCs/>
                <w:szCs w:val="21"/>
                <w:vertAlign w:val="subscript"/>
              </w:rPr>
              <w:t>50</w:t>
            </w:r>
            <w:r>
              <w:rPr>
                <w:b/>
                <w:bCs/>
                <w:szCs w:val="21"/>
              </w:rPr>
              <w:t>(大鼠经皮)mg/kg</w:t>
            </w:r>
          </w:p>
        </w:tc>
        <w:tc>
          <w:tcPr>
            <w:tcW w:w="3191" w:type="dxa"/>
            <w:vAlign w:val="center"/>
          </w:tcPr>
          <w:p>
            <w:pPr>
              <w:spacing w:after="0" w:line="240" w:lineRule="auto"/>
              <w:jc w:val="center"/>
              <w:rPr>
                <w:b/>
                <w:bCs/>
                <w:szCs w:val="21"/>
              </w:rPr>
            </w:pPr>
            <w:r>
              <w:rPr>
                <w:b/>
                <w:bCs/>
                <w:szCs w:val="21"/>
              </w:rPr>
              <w:t>LC</w:t>
            </w:r>
            <w:r>
              <w:rPr>
                <w:b/>
                <w:bCs/>
                <w:szCs w:val="21"/>
                <w:vertAlign w:val="subscript"/>
              </w:rPr>
              <w:t>50</w:t>
            </w:r>
            <w:r>
              <w:rPr>
                <w:b/>
                <w:bCs/>
                <w:szCs w:val="21"/>
              </w:rPr>
              <w:t>(小鼠吸入，4小时)mg/L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restart"/>
            <w:vAlign w:val="center"/>
          </w:tcPr>
          <w:p>
            <w:pPr>
              <w:spacing w:after="0" w:line="240" w:lineRule="auto"/>
              <w:jc w:val="center"/>
              <w:rPr>
                <w:szCs w:val="21"/>
              </w:rPr>
            </w:pPr>
            <w:r>
              <w:rPr>
                <w:szCs w:val="21"/>
              </w:rPr>
              <w:t>有毒</w:t>
            </w:r>
          </w:p>
          <w:p>
            <w:pPr>
              <w:spacing w:after="0" w:line="240" w:lineRule="auto"/>
              <w:jc w:val="center"/>
              <w:rPr>
                <w:szCs w:val="21"/>
              </w:rPr>
            </w:pPr>
            <w:r>
              <w:rPr>
                <w:szCs w:val="21"/>
              </w:rPr>
              <w:t>物质</w:t>
            </w:r>
          </w:p>
        </w:tc>
        <w:tc>
          <w:tcPr>
            <w:tcW w:w="735" w:type="dxa"/>
            <w:vAlign w:val="center"/>
          </w:tcPr>
          <w:p>
            <w:pPr>
              <w:spacing w:after="0" w:line="240" w:lineRule="auto"/>
              <w:jc w:val="center"/>
              <w:rPr>
                <w:szCs w:val="21"/>
              </w:rPr>
            </w:pPr>
            <w:r>
              <w:rPr>
                <w:szCs w:val="21"/>
              </w:rPr>
              <w:t>1</w:t>
            </w:r>
          </w:p>
        </w:tc>
        <w:tc>
          <w:tcPr>
            <w:tcW w:w="2219" w:type="dxa"/>
            <w:vAlign w:val="center"/>
          </w:tcPr>
          <w:p>
            <w:pPr>
              <w:spacing w:after="0" w:line="240" w:lineRule="auto"/>
              <w:jc w:val="center"/>
              <w:rPr>
                <w:szCs w:val="21"/>
              </w:rPr>
            </w:pPr>
            <w:r>
              <w:rPr>
                <w:szCs w:val="21"/>
              </w:rPr>
              <w:t>&lt;5</w:t>
            </w:r>
          </w:p>
        </w:tc>
        <w:tc>
          <w:tcPr>
            <w:tcW w:w="2202" w:type="dxa"/>
            <w:vAlign w:val="center"/>
          </w:tcPr>
          <w:p>
            <w:pPr>
              <w:spacing w:after="0" w:line="240" w:lineRule="auto"/>
              <w:jc w:val="center"/>
              <w:rPr>
                <w:szCs w:val="21"/>
              </w:rPr>
            </w:pPr>
            <w:r>
              <w:rPr>
                <w:szCs w:val="21"/>
              </w:rPr>
              <w:t>&lt;1</w:t>
            </w:r>
          </w:p>
        </w:tc>
        <w:tc>
          <w:tcPr>
            <w:tcW w:w="3191" w:type="dxa"/>
            <w:vAlign w:val="center"/>
          </w:tcPr>
          <w:p>
            <w:pPr>
              <w:spacing w:after="0" w:line="240" w:lineRule="auto"/>
              <w:jc w:val="center"/>
              <w:rPr>
                <w:szCs w:val="21"/>
              </w:rPr>
            </w:pPr>
            <w:r>
              <w:rPr>
                <w:szCs w:val="21"/>
              </w:rPr>
              <w:t>&lt;0.01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pPr>
              <w:spacing w:after="0" w:line="240" w:lineRule="auto"/>
              <w:jc w:val="center"/>
              <w:rPr>
                <w:szCs w:val="21"/>
              </w:rPr>
            </w:pPr>
          </w:p>
        </w:tc>
        <w:tc>
          <w:tcPr>
            <w:tcW w:w="735" w:type="dxa"/>
            <w:vAlign w:val="center"/>
          </w:tcPr>
          <w:p>
            <w:pPr>
              <w:spacing w:after="0" w:line="240" w:lineRule="auto"/>
              <w:jc w:val="center"/>
              <w:rPr>
                <w:szCs w:val="21"/>
              </w:rPr>
            </w:pPr>
            <w:r>
              <w:rPr>
                <w:szCs w:val="21"/>
              </w:rPr>
              <w:t>2</w:t>
            </w:r>
          </w:p>
        </w:tc>
        <w:tc>
          <w:tcPr>
            <w:tcW w:w="2219" w:type="dxa"/>
            <w:vAlign w:val="center"/>
          </w:tcPr>
          <w:p>
            <w:pPr>
              <w:spacing w:after="0" w:line="240" w:lineRule="auto"/>
              <w:jc w:val="center"/>
              <w:rPr>
                <w:szCs w:val="21"/>
              </w:rPr>
            </w:pPr>
            <w:r>
              <w:rPr>
                <w:szCs w:val="21"/>
              </w:rPr>
              <w:t>5&lt;LD</w:t>
            </w:r>
            <w:r>
              <w:rPr>
                <w:szCs w:val="21"/>
                <w:vertAlign w:val="subscript"/>
              </w:rPr>
              <w:t>50</w:t>
            </w:r>
            <w:r>
              <w:rPr>
                <w:szCs w:val="21"/>
              </w:rPr>
              <w:t>&lt;25</w:t>
            </w:r>
          </w:p>
        </w:tc>
        <w:tc>
          <w:tcPr>
            <w:tcW w:w="2202" w:type="dxa"/>
            <w:vAlign w:val="center"/>
          </w:tcPr>
          <w:p>
            <w:pPr>
              <w:spacing w:after="0" w:line="240" w:lineRule="auto"/>
              <w:jc w:val="center"/>
              <w:rPr>
                <w:szCs w:val="21"/>
              </w:rPr>
            </w:pPr>
            <w:r>
              <w:rPr>
                <w:szCs w:val="21"/>
              </w:rPr>
              <w:t>10&lt;LD</w:t>
            </w:r>
            <w:r>
              <w:rPr>
                <w:szCs w:val="21"/>
                <w:vertAlign w:val="subscript"/>
              </w:rPr>
              <w:t>50</w:t>
            </w:r>
            <w:r>
              <w:rPr>
                <w:szCs w:val="21"/>
              </w:rPr>
              <w:t>&lt;50</w:t>
            </w:r>
          </w:p>
        </w:tc>
        <w:tc>
          <w:tcPr>
            <w:tcW w:w="3191" w:type="dxa"/>
            <w:vAlign w:val="center"/>
          </w:tcPr>
          <w:p>
            <w:pPr>
              <w:spacing w:after="0" w:line="240" w:lineRule="auto"/>
              <w:jc w:val="center"/>
              <w:rPr>
                <w:szCs w:val="21"/>
              </w:rPr>
            </w:pPr>
            <w:r>
              <w:rPr>
                <w:szCs w:val="21"/>
              </w:rPr>
              <w:t>0.1&lt;LC</w:t>
            </w:r>
            <w:r>
              <w:rPr>
                <w:szCs w:val="21"/>
                <w:vertAlign w:val="subscript"/>
              </w:rPr>
              <w:t>50</w:t>
            </w:r>
            <w:r>
              <w:rPr>
                <w:szCs w:val="21"/>
              </w:rPr>
              <w:t>&lt;0.5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pPr>
              <w:spacing w:after="0" w:line="240" w:lineRule="auto"/>
              <w:jc w:val="center"/>
              <w:rPr>
                <w:szCs w:val="21"/>
              </w:rPr>
            </w:pPr>
          </w:p>
        </w:tc>
        <w:tc>
          <w:tcPr>
            <w:tcW w:w="735" w:type="dxa"/>
            <w:vAlign w:val="center"/>
          </w:tcPr>
          <w:p>
            <w:pPr>
              <w:spacing w:after="0" w:line="240" w:lineRule="auto"/>
              <w:jc w:val="center"/>
              <w:rPr>
                <w:szCs w:val="21"/>
              </w:rPr>
            </w:pPr>
            <w:r>
              <w:rPr>
                <w:szCs w:val="21"/>
              </w:rPr>
              <w:t>3</w:t>
            </w:r>
          </w:p>
        </w:tc>
        <w:tc>
          <w:tcPr>
            <w:tcW w:w="2219" w:type="dxa"/>
            <w:vAlign w:val="center"/>
          </w:tcPr>
          <w:p>
            <w:pPr>
              <w:spacing w:after="0" w:line="240" w:lineRule="auto"/>
              <w:jc w:val="center"/>
              <w:rPr>
                <w:szCs w:val="21"/>
              </w:rPr>
            </w:pPr>
            <w:r>
              <w:rPr>
                <w:szCs w:val="21"/>
              </w:rPr>
              <w:t>25&lt;LD</w:t>
            </w:r>
            <w:r>
              <w:rPr>
                <w:szCs w:val="21"/>
                <w:vertAlign w:val="subscript"/>
              </w:rPr>
              <w:t>50</w:t>
            </w:r>
            <w:r>
              <w:rPr>
                <w:szCs w:val="21"/>
              </w:rPr>
              <w:t>&lt;200</w:t>
            </w:r>
          </w:p>
        </w:tc>
        <w:tc>
          <w:tcPr>
            <w:tcW w:w="2202" w:type="dxa"/>
            <w:vAlign w:val="center"/>
          </w:tcPr>
          <w:p>
            <w:pPr>
              <w:spacing w:after="0" w:line="240" w:lineRule="auto"/>
              <w:jc w:val="center"/>
              <w:rPr>
                <w:szCs w:val="21"/>
              </w:rPr>
            </w:pPr>
            <w:r>
              <w:rPr>
                <w:szCs w:val="21"/>
              </w:rPr>
              <w:t>50&lt;LD</w:t>
            </w:r>
            <w:r>
              <w:rPr>
                <w:szCs w:val="21"/>
                <w:vertAlign w:val="subscript"/>
              </w:rPr>
              <w:t>50</w:t>
            </w:r>
            <w:r>
              <w:rPr>
                <w:szCs w:val="21"/>
              </w:rPr>
              <w:t>&lt;400</w:t>
            </w:r>
          </w:p>
        </w:tc>
        <w:tc>
          <w:tcPr>
            <w:tcW w:w="3191" w:type="dxa"/>
            <w:vAlign w:val="center"/>
          </w:tcPr>
          <w:p>
            <w:pPr>
              <w:spacing w:after="0" w:line="240" w:lineRule="auto"/>
              <w:jc w:val="center"/>
              <w:rPr>
                <w:szCs w:val="21"/>
              </w:rPr>
            </w:pPr>
            <w:r>
              <w:rPr>
                <w:szCs w:val="21"/>
              </w:rPr>
              <w:t>0.5&lt;LC</w:t>
            </w:r>
            <w:r>
              <w:rPr>
                <w:szCs w:val="21"/>
                <w:vertAlign w:val="subscript"/>
              </w:rPr>
              <w:t>50</w:t>
            </w:r>
            <w:r>
              <w:rPr>
                <w:szCs w:val="21"/>
              </w:rPr>
              <w:t>&lt;2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restart"/>
            <w:vAlign w:val="center"/>
          </w:tcPr>
          <w:p>
            <w:pPr>
              <w:spacing w:after="0" w:line="240" w:lineRule="auto"/>
              <w:jc w:val="center"/>
              <w:rPr>
                <w:szCs w:val="21"/>
              </w:rPr>
            </w:pPr>
            <w:r>
              <w:rPr>
                <w:szCs w:val="21"/>
              </w:rPr>
              <w:t>易燃</w:t>
            </w:r>
          </w:p>
          <w:p>
            <w:pPr>
              <w:spacing w:after="0" w:line="240" w:lineRule="auto"/>
              <w:jc w:val="center"/>
              <w:rPr>
                <w:szCs w:val="21"/>
              </w:rPr>
            </w:pPr>
            <w:r>
              <w:rPr>
                <w:szCs w:val="21"/>
              </w:rPr>
              <w:t>物质</w:t>
            </w:r>
          </w:p>
        </w:tc>
        <w:tc>
          <w:tcPr>
            <w:tcW w:w="735" w:type="dxa"/>
            <w:vAlign w:val="center"/>
          </w:tcPr>
          <w:p>
            <w:pPr>
              <w:spacing w:after="0" w:line="240" w:lineRule="auto"/>
              <w:jc w:val="center"/>
              <w:rPr>
                <w:szCs w:val="21"/>
              </w:rPr>
            </w:pPr>
            <w:r>
              <w:rPr>
                <w:szCs w:val="21"/>
              </w:rPr>
              <w:t>1</w:t>
            </w:r>
          </w:p>
        </w:tc>
        <w:tc>
          <w:tcPr>
            <w:tcW w:w="7612" w:type="dxa"/>
            <w:gridSpan w:val="3"/>
            <w:vAlign w:val="center"/>
          </w:tcPr>
          <w:p>
            <w:pPr>
              <w:spacing w:after="0" w:line="240" w:lineRule="auto"/>
              <w:rPr>
                <w:szCs w:val="21"/>
                <w:lang w:eastAsia="zh-CN"/>
              </w:rPr>
            </w:pPr>
            <w:r>
              <w:rPr>
                <w:szCs w:val="21"/>
                <w:lang w:eastAsia="zh-CN"/>
              </w:rPr>
              <w:t>可燃气体—在常压下以气态存在并与空气混合形成可燃混合物；其沸点（常压下）是200</w:t>
            </w:r>
            <w:r>
              <w:rPr>
                <w:rFonts w:hint="eastAsia" w:hAnsi="宋体" w:cs="宋体"/>
                <w:szCs w:val="21"/>
                <w:lang w:eastAsia="zh-CN"/>
              </w:rPr>
              <w:t>℃</w:t>
            </w:r>
            <w:r>
              <w:rPr>
                <w:szCs w:val="21"/>
                <w:lang w:eastAsia="zh-CN"/>
              </w:rPr>
              <w:t>或200</w:t>
            </w:r>
            <w:r>
              <w:rPr>
                <w:rFonts w:hint="eastAsia" w:hAnsi="宋体" w:cs="宋体"/>
                <w:szCs w:val="21"/>
                <w:lang w:eastAsia="zh-CN"/>
              </w:rPr>
              <w:t>℃</w:t>
            </w:r>
            <w:r>
              <w:rPr>
                <w:szCs w:val="21"/>
                <w:lang w:eastAsia="zh-CN"/>
              </w:rPr>
              <w:t>以下的物质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pPr>
              <w:spacing w:after="0" w:line="240" w:lineRule="auto"/>
              <w:jc w:val="center"/>
              <w:rPr>
                <w:szCs w:val="21"/>
                <w:lang w:eastAsia="zh-CN"/>
              </w:rPr>
            </w:pPr>
          </w:p>
        </w:tc>
        <w:tc>
          <w:tcPr>
            <w:tcW w:w="735" w:type="dxa"/>
            <w:vAlign w:val="center"/>
          </w:tcPr>
          <w:p>
            <w:pPr>
              <w:spacing w:after="0" w:line="240" w:lineRule="auto"/>
              <w:jc w:val="center"/>
              <w:rPr>
                <w:szCs w:val="21"/>
              </w:rPr>
            </w:pPr>
            <w:r>
              <w:rPr>
                <w:szCs w:val="21"/>
              </w:rPr>
              <w:t>2</w:t>
            </w:r>
          </w:p>
        </w:tc>
        <w:tc>
          <w:tcPr>
            <w:tcW w:w="7612" w:type="dxa"/>
            <w:gridSpan w:val="3"/>
            <w:vAlign w:val="center"/>
          </w:tcPr>
          <w:p>
            <w:pPr>
              <w:spacing w:after="0" w:line="240" w:lineRule="auto"/>
              <w:rPr>
                <w:szCs w:val="21"/>
                <w:lang w:eastAsia="zh-CN"/>
              </w:rPr>
            </w:pPr>
            <w:r>
              <w:rPr>
                <w:szCs w:val="21"/>
                <w:lang w:eastAsia="zh-CN"/>
              </w:rPr>
              <w:t>易燃液体—闪点低于210C，沸点高于200</w:t>
            </w:r>
            <w:r>
              <w:rPr>
                <w:rFonts w:hint="eastAsia" w:hAnsi="宋体" w:cs="宋体"/>
                <w:szCs w:val="21"/>
                <w:lang w:eastAsia="zh-CN"/>
              </w:rPr>
              <w:t>℃</w:t>
            </w:r>
            <w:r>
              <w:rPr>
                <w:szCs w:val="21"/>
                <w:lang w:eastAsia="zh-CN"/>
              </w:rPr>
              <w:t>的物质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pPr>
              <w:spacing w:after="0" w:line="240" w:lineRule="auto"/>
              <w:jc w:val="center"/>
              <w:rPr>
                <w:szCs w:val="21"/>
                <w:lang w:eastAsia="zh-CN"/>
              </w:rPr>
            </w:pPr>
          </w:p>
        </w:tc>
        <w:tc>
          <w:tcPr>
            <w:tcW w:w="735" w:type="dxa"/>
            <w:vAlign w:val="center"/>
          </w:tcPr>
          <w:p>
            <w:pPr>
              <w:spacing w:after="0" w:line="240" w:lineRule="auto"/>
              <w:jc w:val="center"/>
              <w:rPr>
                <w:szCs w:val="21"/>
              </w:rPr>
            </w:pPr>
            <w:r>
              <w:rPr>
                <w:szCs w:val="21"/>
              </w:rPr>
              <w:t>3</w:t>
            </w:r>
          </w:p>
        </w:tc>
        <w:tc>
          <w:tcPr>
            <w:tcW w:w="7612" w:type="dxa"/>
            <w:gridSpan w:val="3"/>
            <w:vAlign w:val="center"/>
          </w:tcPr>
          <w:p>
            <w:pPr>
              <w:spacing w:after="0" w:line="240" w:lineRule="auto"/>
              <w:rPr>
                <w:szCs w:val="21"/>
                <w:lang w:eastAsia="zh-CN"/>
              </w:rPr>
            </w:pPr>
            <w:r>
              <w:rPr>
                <w:szCs w:val="21"/>
                <w:lang w:eastAsia="zh-CN"/>
              </w:rPr>
              <w:t>可燃液体—闪点低于550</w:t>
            </w:r>
            <w:r>
              <w:rPr>
                <w:rFonts w:hint="eastAsia" w:hAnsi="宋体" w:cs="宋体"/>
                <w:szCs w:val="21"/>
                <w:lang w:eastAsia="zh-CN"/>
              </w:rPr>
              <w:t>℃</w:t>
            </w:r>
            <w:r>
              <w:rPr>
                <w:szCs w:val="21"/>
                <w:lang w:eastAsia="zh-CN"/>
              </w:rPr>
              <w:t>，压力下保持液态，在实际操作条件下（如高温高压）可以引起重大事故的物质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1" w:type="dxa"/>
            <w:gridSpan w:val="2"/>
            <w:vAlign w:val="center"/>
          </w:tcPr>
          <w:p>
            <w:pPr>
              <w:spacing w:after="0" w:line="240" w:lineRule="auto"/>
              <w:jc w:val="center"/>
              <w:rPr>
                <w:szCs w:val="21"/>
              </w:rPr>
            </w:pPr>
            <w:r>
              <w:rPr>
                <w:szCs w:val="21"/>
              </w:rPr>
              <w:t>爆炸性物质</w:t>
            </w:r>
          </w:p>
        </w:tc>
        <w:tc>
          <w:tcPr>
            <w:tcW w:w="7612" w:type="dxa"/>
            <w:gridSpan w:val="3"/>
            <w:vAlign w:val="center"/>
          </w:tcPr>
          <w:p>
            <w:pPr>
              <w:spacing w:after="0" w:line="240" w:lineRule="auto"/>
              <w:rPr>
                <w:szCs w:val="21"/>
                <w:lang w:eastAsia="zh-CN"/>
              </w:rPr>
            </w:pPr>
            <w:r>
              <w:rPr>
                <w:szCs w:val="21"/>
                <w:lang w:eastAsia="zh-CN"/>
              </w:rPr>
              <w:t>在火焰影响下可以爆炸，或者对冲击、摩擦比硝基苯更为敏感的物质</w:t>
            </w:r>
          </w:p>
        </w:tc>
      </w:tr>
    </w:tbl>
    <w:p>
      <w:pPr>
        <w:pStyle w:val="70"/>
        <w:spacing w:line="240" w:lineRule="auto"/>
        <w:ind w:right="-119" w:firstLine="420" w:firstLineChars="200"/>
        <w:jc w:val="left"/>
        <w:rPr>
          <w:rFonts w:ascii="Times New Roman" w:hAnsi="Times New Roman"/>
          <w:b w:val="0"/>
          <w:color w:val="auto"/>
          <w:sz w:val="21"/>
          <w:szCs w:val="21"/>
          <w:lang w:eastAsia="zh-CN"/>
        </w:rPr>
      </w:pPr>
      <w:r>
        <w:rPr>
          <w:rFonts w:ascii="Times New Roman" w:hAnsi="Times New Roman"/>
          <w:b w:val="0"/>
          <w:color w:val="auto"/>
          <w:sz w:val="21"/>
          <w:szCs w:val="21"/>
          <w:lang w:eastAsia="zh-CN"/>
        </w:rPr>
        <w:t>注：1.凡符合表中有毒物质判定标准序号１、２的物质，属于剧毒物质；符合有毒物质判定标准序号</w:t>
      </w:r>
      <w:r>
        <w:rPr>
          <w:rFonts w:hint="eastAsia" w:ascii="Times New Roman" w:hAnsi="Times New Roman"/>
          <w:b w:val="0"/>
          <w:color w:val="auto"/>
          <w:sz w:val="21"/>
          <w:szCs w:val="21"/>
          <w:lang w:eastAsia="zh-CN"/>
        </w:rPr>
        <w:t>3</w:t>
      </w:r>
      <w:r>
        <w:rPr>
          <w:rFonts w:ascii="Times New Roman" w:hAnsi="Times New Roman"/>
          <w:b w:val="0"/>
          <w:color w:val="auto"/>
          <w:sz w:val="21"/>
          <w:szCs w:val="21"/>
          <w:lang w:eastAsia="zh-CN"/>
        </w:rPr>
        <w:t>的属于一般毒物。2.凡符合表中易燃物质和爆炸性物质标准的物质，均视为火灾、爆炸危险物质。</w:t>
      </w:r>
    </w:p>
    <w:p>
      <w:pPr>
        <w:pStyle w:val="72"/>
        <w:spacing w:line="240" w:lineRule="auto"/>
        <w:ind w:firstLine="0" w:firstLineChars="0"/>
        <w:jc w:val="center"/>
        <w:rPr>
          <w:rFonts w:ascii="Times New Roman"/>
          <w:b/>
          <w:bCs/>
          <w:szCs w:val="24"/>
          <w:lang w:eastAsia="zh-CN"/>
        </w:rPr>
      </w:pPr>
    </w:p>
    <w:p>
      <w:pPr>
        <w:pStyle w:val="72"/>
        <w:spacing w:line="240" w:lineRule="auto"/>
        <w:ind w:firstLine="0" w:firstLineChars="0"/>
        <w:jc w:val="center"/>
        <w:rPr>
          <w:rFonts w:ascii="Times New Roman"/>
          <w:b/>
          <w:bCs/>
          <w:szCs w:val="24"/>
          <w:lang w:eastAsia="zh-CN"/>
        </w:rPr>
      </w:pPr>
      <w:r>
        <w:rPr>
          <w:rFonts w:ascii="Times New Roman"/>
          <w:b/>
          <w:bCs/>
          <w:szCs w:val="24"/>
          <w:lang w:eastAsia="zh-CN"/>
        </w:rPr>
        <w:t>表</w:t>
      </w:r>
      <w:r>
        <w:rPr>
          <w:rFonts w:hint="eastAsia" w:ascii="Times New Roman"/>
          <w:b/>
          <w:bCs/>
          <w:szCs w:val="24"/>
          <w:lang w:eastAsia="zh-CN"/>
        </w:rPr>
        <w:t>6.2-5</w:t>
      </w:r>
      <w:r>
        <w:rPr>
          <w:rFonts w:ascii="Times New Roman"/>
          <w:b/>
          <w:bCs/>
          <w:szCs w:val="24"/>
          <w:lang w:eastAsia="zh-CN"/>
        </w:rPr>
        <w:t xml:space="preserve">  物质危险性判定结果一览表</w:t>
      </w:r>
    </w:p>
    <w:tbl>
      <w:tblPr>
        <w:tblStyle w:val="3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7" w:type="dxa"/>
          <w:left w:w="108" w:type="dxa"/>
          <w:bottom w:w="17" w:type="dxa"/>
          <w:right w:w="108" w:type="dxa"/>
        </w:tblCellMar>
      </w:tblPr>
      <w:tblGrid>
        <w:gridCol w:w="1712"/>
        <w:gridCol w:w="2166"/>
        <w:gridCol w:w="2216"/>
        <w:gridCol w:w="24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108" w:type="dxa"/>
            <w:bottom w:w="17" w:type="dxa"/>
            <w:right w:w="108" w:type="dxa"/>
          </w:tblCellMar>
        </w:tblPrEx>
        <w:trPr>
          <w:trHeight w:val="454" w:hRule="atLeast"/>
          <w:jc w:val="center"/>
        </w:trPr>
        <w:tc>
          <w:tcPr>
            <w:tcW w:w="1712" w:type="dxa"/>
            <w:vAlign w:val="center"/>
          </w:tcPr>
          <w:p>
            <w:pPr>
              <w:pStyle w:val="70"/>
              <w:spacing w:line="240" w:lineRule="exact"/>
              <w:ind w:right="-119"/>
              <w:rPr>
                <w:rFonts w:ascii="Times New Roman" w:hAnsi="Times New Roman"/>
                <w:bCs/>
                <w:color w:val="auto"/>
                <w:sz w:val="21"/>
                <w:szCs w:val="21"/>
                <w:lang w:eastAsia="zh-CN"/>
              </w:rPr>
            </w:pPr>
            <w:r>
              <w:rPr>
                <w:rFonts w:ascii="Times New Roman" w:hAnsi="Times New Roman"/>
                <w:bCs/>
                <w:color w:val="auto"/>
                <w:sz w:val="21"/>
                <w:szCs w:val="21"/>
                <w:lang w:eastAsia="zh-CN"/>
              </w:rPr>
              <w:t>危险物质名称</w:t>
            </w:r>
          </w:p>
        </w:tc>
        <w:tc>
          <w:tcPr>
            <w:tcW w:w="2166" w:type="dxa"/>
            <w:vAlign w:val="center"/>
          </w:tcPr>
          <w:p>
            <w:pPr>
              <w:pStyle w:val="70"/>
              <w:spacing w:line="240" w:lineRule="exact"/>
              <w:ind w:right="-119"/>
              <w:rPr>
                <w:rFonts w:ascii="Times New Roman" w:hAnsi="Times New Roman"/>
                <w:bCs/>
                <w:color w:val="auto"/>
                <w:sz w:val="21"/>
                <w:szCs w:val="21"/>
                <w:lang w:eastAsia="zh-CN"/>
              </w:rPr>
            </w:pPr>
            <w:r>
              <w:rPr>
                <w:rFonts w:ascii="Times New Roman" w:hAnsi="Times New Roman"/>
                <w:bCs/>
                <w:color w:val="auto"/>
                <w:sz w:val="21"/>
                <w:szCs w:val="21"/>
                <w:lang w:eastAsia="zh-CN"/>
              </w:rPr>
              <w:t>有毒物质</w:t>
            </w:r>
          </w:p>
        </w:tc>
        <w:tc>
          <w:tcPr>
            <w:tcW w:w="2216" w:type="dxa"/>
            <w:vAlign w:val="center"/>
          </w:tcPr>
          <w:p>
            <w:pPr>
              <w:pStyle w:val="70"/>
              <w:spacing w:line="240" w:lineRule="exact"/>
              <w:ind w:right="-119"/>
              <w:rPr>
                <w:rFonts w:ascii="Times New Roman" w:hAnsi="Times New Roman"/>
                <w:bCs/>
                <w:color w:val="auto"/>
                <w:sz w:val="21"/>
                <w:szCs w:val="21"/>
                <w:lang w:eastAsia="zh-CN"/>
              </w:rPr>
            </w:pPr>
            <w:r>
              <w:rPr>
                <w:rFonts w:ascii="Times New Roman" w:hAnsi="Times New Roman"/>
                <w:bCs/>
                <w:color w:val="auto"/>
                <w:sz w:val="21"/>
                <w:szCs w:val="21"/>
                <w:lang w:eastAsia="zh-CN"/>
              </w:rPr>
              <w:t>易燃物质</w:t>
            </w:r>
          </w:p>
        </w:tc>
        <w:tc>
          <w:tcPr>
            <w:tcW w:w="2434" w:type="dxa"/>
            <w:vAlign w:val="center"/>
          </w:tcPr>
          <w:p>
            <w:pPr>
              <w:pStyle w:val="70"/>
              <w:spacing w:line="240" w:lineRule="exact"/>
              <w:ind w:right="-119"/>
              <w:rPr>
                <w:rFonts w:ascii="Times New Roman" w:hAnsi="Times New Roman"/>
                <w:bCs/>
                <w:color w:val="auto"/>
                <w:sz w:val="21"/>
                <w:szCs w:val="21"/>
                <w:lang w:eastAsia="zh-CN"/>
              </w:rPr>
            </w:pPr>
            <w:r>
              <w:rPr>
                <w:rFonts w:ascii="Times New Roman" w:hAnsi="Times New Roman"/>
                <w:bCs/>
                <w:color w:val="auto"/>
                <w:sz w:val="21"/>
                <w:szCs w:val="21"/>
                <w:lang w:eastAsia="zh-CN"/>
              </w:rPr>
              <w:t>爆炸性物质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108" w:type="dxa"/>
            <w:bottom w:w="17" w:type="dxa"/>
            <w:right w:w="108" w:type="dxa"/>
          </w:tblCellMar>
        </w:tblPrEx>
        <w:trPr>
          <w:trHeight w:val="454" w:hRule="atLeast"/>
          <w:jc w:val="center"/>
        </w:trPr>
        <w:tc>
          <w:tcPr>
            <w:tcW w:w="1712"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氨</w:t>
            </w:r>
          </w:p>
        </w:tc>
        <w:tc>
          <w:tcPr>
            <w:tcW w:w="216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一般毒物</w:t>
            </w:r>
          </w:p>
        </w:tc>
        <w:tc>
          <w:tcPr>
            <w:tcW w:w="221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易燃物</w:t>
            </w:r>
          </w:p>
        </w:tc>
        <w:tc>
          <w:tcPr>
            <w:tcW w:w="2434"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爆炸物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108" w:type="dxa"/>
            <w:bottom w:w="17" w:type="dxa"/>
            <w:right w:w="108" w:type="dxa"/>
          </w:tblCellMar>
        </w:tblPrEx>
        <w:trPr>
          <w:trHeight w:val="454" w:hRule="atLeast"/>
          <w:jc w:val="center"/>
        </w:trPr>
        <w:tc>
          <w:tcPr>
            <w:tcW w:w="1712"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硫化氢</w:t>
            </w:r>
          </w:p>
        </w:tc>
        <w:tc>
          <w:tcPr>
            <w:tcW w:w="216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一般毒物</w:t>
            </w:r>
          </w:p>
        </w:tc>
        <w:tc>
          <w:tcPr>
            <w:tcW w:w="221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易燃物</w:t>
            </w:r>
          </w:p>
        </w:tc>
        <w:tc>
          <w:tcPr>
            <w:tcW w:w="2434"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爆炸物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108" w:type="dxa"/>
            <w:bottom w:w="17" w:type="dxa"/>
            <w:right w:w="108" w:type="dxa"/>
          </w:tblCellMar>
        </w:tblPrEx>
        <w:trPr>
          <w:trHeight w:val="454" w:hRule="atLeast"/>
          <w:jc w:val="center"/>
        </w:trPr>
        <w:tc>
          <w:tcPr>
            <w:tcW w:w="1712"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二氧化硫</w:t>
            </w:r>
          </w:p>
        </w:tc>
        <w:tc>
          <w:tcPr>
            <w:tcW w:w="216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一般毒物</w:t>
            </w:r>
          </w:p>
        </w:tc>
        <w:tc>
          <w:tcPr>
            <w:tcW w:w="2216"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非易燃物</w:t>
            </w:r>
          </w:p>
        </w:tc>
        <w:tc>
          <w:tcPr>
            <w:tcW w:w="2434" w:type="dxa"/>
            <w:vAlign w:val="center"/>
          </w:tcPr>
          <w:p>
            <w:pPr>
              <w:pStyle w:val="70"/>
              <w:spacing w:line="240" w:lineRule="exact"/>
              <w:ind w:right="-119"/>
              <w:rPr>
                <w:rFonts w:ascii="Times New Roman" w:hAnsi="Times New Roman"/>
                <w:b w:val="0"/>
                <w:color w:val="auto"/>
                <w:sz w:val="21"/>
                <w:szCs w:val="21"/>
                <w:lang w:eastAsia="zh-CN"/>
              </w:rPr>
            </w:pPr>
            <w:r>
              <w:rPr>
                <w:rFonts w:ascii="Times New Roman" w:hAnsi="Times New Roman"/>
                <w:b w:val="0"/>
                <w:color w:val="auto"/>
                <w:sz w:val="21"/>
                <w:szCs w:val="21"/>
                <w:lang w:eastAsia="zh-CN"/>
              </w:rPr>
              <w:t>非爆炸物</w:t>
            </w:r>
          </w:p>
        </w:tc>
      </w:tr>
    </w:tbl>
    <w:p>
      <w:pPr>
        <w:spacing w:line="360" w:lineRule="auto"/>
        <w:ind w:firstLine="480" w:firstLineChars="200"/>
        <w:rPr>
          <w:color w:val="000000" w:themeColor="text1"/>
          <w:sz w:val="24"/>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587" w:name="_Toc24969777"/>
      <w:bookmarkStart w:id="588" w:name="_Toc5083"/>
      <w:bookmarkStart w:id="589" w:name="_Toc32069"/>
      <w:bookmarkStart w:id="590" w:name="_Toc10730"/>
      <w:bookmarkStart w:id="591" w:name="_Toc483317186"/>
      <w:bookmarkStart w:id="592" w:name="_Toc486403375"/>
      <w:r>
        <w:rPr>
          <w:rFonts w:hint="eastAsia" w:ascii="宋体" w:hAnsi="宋体" w:eastAsia="宋体"/>
          <w:color w:val="000000" w:themeColor="text1"/>
          <w:lang w:eastAsia="zh-CN"/>
        </w:rPr>
        <w:t>6.3</w:t>
      </w:r>
      <w:r>
        <w:rPr>
          <w:rFonts w:ascii="宋体" w:hAnsi="宋体" w:eastAsia="宋体"/>
          <w:color w:val="000000" w:themeColor="text1"/>
          <w:lang w:eastAsia="zh-CN"/>
        </w:rPr>
        <w:t>生产设施风险识别</w:t>
      </w:r>
      <w:bookmarkEnd w:id="587"/>
      <w:bookmarkEnd w:id="588"/>
      <w:bookmarkEnd w:id="589"/>
      <w:bookmarkEnd w:id="590"/>
      <w:bookmarkEnd w:id="591"/>
      <w:bookmarkEnd w:id="592"/>
    </w:p>
    <w:p>
      <w:pPr>
        <w:spacing w:line="360" w:lineRule="auto"/>
        <w:ind w:firstLine="480" w:firstLineChars="200"/>
        <w:rPr>
          <w:sz w:val="24"/>
          <w:szCs w:val="24"/>
          <w:lang w:eastAsia="zh-CN"/>
        </w:rPr>
      </w:pPr>
      <w:r>
        <w:rPr>
          <w:sz w:val="24"/>
          <w:szCs w:val="24"/>
          <w:lang w:eastAsia="zh-CN"/>
        </w:rPr>
        <w:t>本工程的危险设施及其风险类型见</w:t>
      </w:r>
      <w:r>
        <w:rPr>
          <w:rFonts w:hint="eastAsia"/>
          <w:sz w:val="24"/>
          <w:szCs w:val="24"/>
          <w:lang w:eastAsia="zh-CN"/>
        </w:rPr>
        <w:t>下表</w:t>
      </w:r>
      <w:r>
        <w:rPr>
          <w:sz w:val="24"/>
          <w:szCs w:val="24"/>
          <w:lang w:eastAsia="zh-CN"/>
        </w:rPr>
        <w:t>。</w:t>
      </w:r>
    </w:p>
    <w:p>
      <w:pPr>
        <w:pStyle w:val="72"/>
        <w:spacing w:line="240" w:lineRule="auto"/>
        <w:ind w:firstLine="0" w:firstLineChars="0"/>
        <w:jc w:val="center"/>
        <w:rPr>
          <w:rFonts w:ascii="Times New Roman"/>
          <w:b/>
          <w:bCs/>
          <w:color w:val="000000" w:themeColor="text1"/>
          <w:szCs w:val="24"/>
        </w:rPr>
      </w:pPr>
      <w:r>
        <w:rPr>
          <w:rFonts w:ascii="Times New Roman"/>
          <w:b/>
          <w:bCs/>
          <w:szCs w:val="24"/>
        </w:rPr>
        <w:t>表</w:t>
      </w:r>
      <w:r>
        <w:rPr>
          <w:rFonts w:hint="eastAsia" w:ascii="Times New Roman"/>
          <w:b/>
          <w:bCs/>
          <w:szCs w:val="24"/>
        </w:rPr>
        <w:t>6.</w:t>
      </w:r>
      <w:r>
        <w:rPr>
          <w:rFonts w:hint="eastAsia" w:ascii="Times New Roman"/>
          <w:b/>
          <w:bCs/>
          <w:szCs w:val="24"/>
          <w:lang w:eastAsia="zh-CN"/>
        </w:rPr>
        <w:t>3-</w:t>
      </w:r>
      <w:r>
        <w:rPr>
          <w:rFonts w:hint="eastAsia" w:ascii="Times New Roman"/>
          <w:b/>
          <w:bCs/>
          <w:color w:val="000000" w:themeColor="text1"/>
          <w:szCs w:val="24"/>
          <w:lang w:eastAsia="zh-CN"/>
        </w:rPr>
        <w:t>1</w:t>
      </w:r>
      <w:r>
        <w:rPr>
          <w:rFonts w:ascii="Times New Roman"/>
          <w:b/>
          <w:bCs/>
          <w:color w:val="000000" w:themeColor="text1"/>
          <w:szCs w:val="24"/>
        </w:rPr>
        <w:t xml:space="preserve">  </w:t>
      </w:r>
      <w:r>
        <w:rPr>
          <w:rFonts w:hint="eastAsia" w:ascii="Times New Roman"/>
          <w:b/>
          <w:bCs/>
          <w:color w:val="000000" w:themeColor="text1"/>
          <w:szCs w:val="24"/>
        </w:rPr>
        <w:t xml:space="preserve">   </w:t>
      </w:r>
      <w:r>
        <w:rPr>
          <w:rFonts w:ascii="Times New Roman"/>
          <w:b/>
          <w:bCs/>
          <w:color w:val="000000" w:themeColor="text1"/>
          <w:szCs w:val="24"/>
        </w:rPr>
        <w:t>危险设施一览表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936"/>
        <w:gridCol w:w="2838"/>
        <w:gridCol w:w="25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spacing w:after="0" w:line="240" w:lineRule="auto"/>
              <w:jc w:val="center"/>
              <w:rPr>
                <w:b/>
                <w:bCs/>
                <w:szCs w:val="21"/>
              </w:rPr>
            </w:pPr>
            <w:r>
              <w:rPr>
                <w:b/>
                <w:bCs/>
                <w:szCs w:val="21"/>
              </w:rPr>
              <w:t>序号</w:t>
            </w:r>
          </w:p>
        </w:tc>
        <w:tc>
          <w:tcPr>
            <w:tcW w:w="1936" w:type="dxa"/>
            <w:vAlign w:val="center"/>
          </w:tcPr>
          <w:p>
            <w:pPr>
              <w:spacing w:after="0" w:line="240" w:lineRule="auto"/>
              <w:jc w:val="center"/>
              <w:rPr>
                <w:b/>
                <w:bCs/>
                <w:szCs w:val="21"/>
              </w:rPr>
            </w:pPr>
            <w:r>
              <w:rPr>
                <w:b/>
                <w:bCs/>
                <w:szCs w:val="21"/>
              </w:rPr>
              <w:t>所在环节</w:t>
            </w:r>
          </w:p>
        </w:tc>
        <w:tc>
          <w:tcPr>
            <w:tcW w:w="2838" w:type="dxa"/>
            <w:vAlign w:val="center"/>
          </w:tcPr>
          <w:p>
            <w:pPr>
              <w:spacing w:after="0" w:line="240" w:lineRule="auto"/>
              <w:jc w:val="center"/>
              <w:rPr>
                <w:b/>
                <w:bCs/>
                <w:szCs w:val="21"/>
              </w:rPr>
            </w:pPr>
            <w:r>
              <w:rPr>
                <w:b/>
                <w:bCs/>
                <w:szCs w:val="21"/>
              </w:rPr>
              <w:t>危险物质</w:t>
            </w:r>
          </w:p>
        </w:tc>
        <w:tc>
          <w:tcPr>
            <w:tcW w:w="2581" w:type="dxa"/>
            <w:vAlign w:val="center"/>
          </w:tcPr>
          <w:p>
            <w:pPr>
              <w:spacing w:after="0" w:line="240" w:lineRule="auto"/>
              <w:jc w:val="center"/>
              <w:rPr>
                <w:b/>
                <w:bCs/>
                <w:szCs w:val="21"/>
              </w:rPr>
            </w:pPr>
            <w:r>
              <w:rPr>
                <w:b/>
                <w:bCs/>
                <w:szCs w:val="21"/>
              </w:rPr>
              <w:t>可能发生的事故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spacing w:after="0" w:line="240" w:lineRule="auto"/>
              <w:jc w:val="center"/>
              <w:rPr>
                <w:szCs w:val="21"/>
              </w:rPr>
            </w:pPr>
            <w:r>
              <w:rPr>
                <w:szCs w:val="21"/>
              </w:rPr>
              <w:t>1</w:t>
            </w:r>
          </w:p>
        </w:tc>
        <w:tc>
          <w:tcPr>
            <w:tcW w:w="1936" w:type="dxa"/>
            <w:vAlign w:val="center"/>
          </w:tcPr>
          <w:p>
            <w:pPr>
              <w:spacing w:after="0" w:line="240" w:lineRule="auto"/>
              <w:jc w:val="center"/>
              <w:rPr>
                <w:szCs w:val="21"/>
              </w:rPr>
            </w:pPr>
            <w:r>
              <w:rPr>
                <w:rFonts w:hint="eastAsia"/>
                <w:szCs w:val="21"/>
              </w:rPr>
              <w:t>污泥运输装卸</w:t>
            </w:r>
          </w:p>
        </w:tc>
        <w:tc>
          <w:tcPr>
            <w:tcW w:w="2838" w:type="dxa"/>
            <w:vAlign w:val="center"/>
          </w:tcPr>
          <w:p>
            <w:pPr>
              <w:spacing w:after="0" w:line="240" w:lineRule="auto"/>
              <w:jc w:val="center"/>
              <w:rPr>
                <w:szCs w:val="21"/>
              </w:rPr>
            </w:pPr>
            <w:r>
              <w:rPr>
                <w:szCs w:val="21"/>
              </w:rPr>
              <w:t>NH</w:t>
            </w:r>
            <w:r>
              <w:rPr>
                <w:szCs w:val="21"/>
                <w:vertAlign w:val="subscript"/>
              </w:rPr>
              <w:t>3</w:t>
            </w:r>
            <w:r>
              <w:rPr>
                <w:szCs w:val="21"/>
              </w:rPr>
              <w:t>、H</w:t>
            </w:r>
            <w:r>
              <w:rPr>
                <w:szCs w:val="21"/>
                <w:vertAlign w:val="subscript"/>
              </w:rPr>
              <w:t>2</w:t>
            </w:r>
            <w:r>
              <w:rPr>
                <w:szCs w:val="21"/>
              </w:rPr>
              <w:t>S、渗滤液</w:t>
            </w:r>
          </w:p>
        </w:tc>
        <w:tc>
          <w:tcPr>
            <w:tcW w:w="2581" w:type="dxa"/>
            <w:vAlign w:val="center"/>
          </w:tcPr>
          <w:p>
            <w:pPr>
              <w:spacing w:after="0" w:line="240" w:lineRule="auto"/>
              <w:jc w:val="center"/>
              <w:rPr>
                <w:szCs w:val="21"/>
              </w:rPr>
            </w:pPr>
            <w:r>
              <w:rPr>
                <w:szCs w:val="21"/>
              </w:rPr>
              <w:t>运行不正常、中毒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spacing w:after="0" w:line="240" w:lineRule="auto"/>
              <w:jc w:val="center"/>
              <w:rPr>
                <w:szCs w:val="21"/>
              </w:rPr>
            </w:pPr>
            <w:r>
              <w:rPr>
                <w:szCs w:val="21"/>
              </w:rPr>
              <w:t>2</w:t>
            </w:r>
          </w:p>
        </w:tc>
        <w:tc>
          <w:tcPr>
            <w:tcW w:w="1936" w:type="dxa"/>
            <w:vAlign w:val="center"/>
          </w:tcPr>
          <w:p>
            <w:pPr>
              <w:spacing w:after="0" w:line="240" w:lineRule="auto"/>
              <w:jc w:val="center"/>
              <w:rPr>
                <w:szCs w:val="21"/>
              </w:rPr>
            </w:pPr>
            <w:r>
              <w:rPr>
                <w:rFonts w:hint="eastAsia"/>
                <w:szCs w:val="21"/>
              </w:rPr>
              <w:t>干燥炭化输送</w:t>
            </w:r>
          </w:p>
        </w:tc>
        <w:tc>
          <w:tcPr>
            <w:tcW w:w="2838" w:type="dxa"/>
            <w:vAlign w:val="center"/>
          </w:tcPr>
          <w:p>
            <w:pPr>
              <w:spacing w:after="0" w:line="240" w:lineRule="auto"/>
              <w:jc w:val="center"/>
              <w:rPr>
                <w:szCs w:val="21"/>
              </w:rPr>
            </w:pPr>
            <w:r>
              <w:rPr>
                <w:szCs w:val="21"/>
              </w:rPr>
              <w:t>NH</w:t>
            </w:r>
            <w:r>
              <w:rPr>
                <w:szCs w:val="21"/>
                <w:vertAlign w:val="subscript"/>
              </w:rPr>
              <w:t>3</w:t>
            </w:r>
            <w:r>
              <w:rPr>
                <w:szCs w:val="21"/>
              </w:rPr>
              <w:t>、H</w:t>
            </w:r>
            <w:r>
              <w:rPr>
                <w:szCs w:val="21"/>
                <w:vertAlign w:val="subscript"/>
              </w:rPr>
              <w:t>2</w:t>
            </w:r>
            <w:r>
              <w:rPr>
                <w:szCs w:val="21"/>
              </w:rPr>
              <w:t>S</w:t>
            </w:r>
          </w:p>
        </w:tc>
        <w:tc>
          <w:tcPr>
            <w:tcW w:w="2581" w:type="dxa"/>
            <w:vAlign w:val="center"/>
          </w:tcPr>
          <w:p>
            <w:pPr>
              <w:spacing w:after="0" w:line="240" w:lineRule="auto"/>
              <w:jc w:val="center"/>
              <w:rPr>
                <w:szCs w:val="21"/>
                <w:lang w:eastAsia="zh-CN"/>
              </w:rPr>
            </w:pPr>
            <w:r>
              <w:rPr>
                <w:szCs w:val="21"/>
                <w:lang w:eastAsia="zh-CN"/>
              </w:rPr>
              <w:t>设备运行不正常、中毒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3" w:type="dxa"/>
            <w:vAlign w:val="center"/>
          </w:tcPr>
          <w:p>
            <w:pPr>
              <w:spacing w:after="0" w:line="240" w:lineRule="auto"/>
              <w:jc w:val="center"/>
              <w:rPr>
                <w:szCs w:val="21"/>
              </w:rPr>
            </w:pPr>
            <w:r>
              <w:rPr>
                <w:rFonts w:hint="eastAsia"/>
                <w:szCs w:val="21"/>
              </w:rPr>
              <w:t>3</w:t>
            </w:r>
          </w:p>
        </w:tc>
        <w:tc>
          <w:tcPr>
            <w:tcW w:w="1936" w:type="dxa"/>
            <w:vAlign w:val="center"/>
          </w:tcPr>
          <w:p>
            <w:pPr>
              <w:spacing w:after="0" w:line="240" w:lineRule="auto"/>
              <w:jc w:val="center"/>
              <w:rPr>
                <w:szCs w:val="21"/>
              </w:rPr>
            </w:pPr>
            <w:r>
              <w:rPr>
                <w:rFonts w:hint="eastAsia"/>
                <w:szCs w:val="21"/>
              </w:rPr>
              <w:t>掺烧</w:t>
            </w:r>
          </w:p>
        </w:tc>
        <w:tc>
          <w:tcPr>
            <w:tcW w:w="2838" w:type="dxa"/>
            <w:vAlign w:val="center"/>
          </w:tcPr>
          <w:p>
            <w:pPr>
              <w:spacing w:after="0" w:line="240" w:lineRule="auto"/>
              <w:jc w:val="center"/>
              <w:rPr>
                <w:szCs w:val="21"/>
              </w:rPr>
            </w:pPr>
            <w:r>
              <w:rPr>
                <w:rFonts w:hint="eastAsia"/>
                <w:szCs w:val="21"/>
              </w:rPr>
              <w:t>二氧化硫</w:t>
            </w:r>
          </w:p>
        </w:tc>
        <w:tc>
          <w:tcPr>
            <w:tcW w:w="2581" w:type="dxa"/>
            <w:vAlign w:val="center"/>
          </w:tcPr>
          <w:p>
            <w:pPr>
              <w:spacing w:after="0" w:line="240" w:lineRule="auto"/>
              <w:jc w:val="center"/>
              <w:rPr>
                <w:szCs w:val="21"/>
                <w:lang w:eastAsia="zh-CN"/>
              </w:rPr>
            </w:pPr>
            <w:r>
              <w:rPr>
                <w:szCs w:val="21"/>
                <w:lang w:eastAsia="zh-CN"/>
              </w:rPr>
              <w:t>设备运行不正常、中毒</w:t>
            </w:r>
          </w:p>
        </w:tc>
      </w:tr>
    </w:tbl>
    <w:p>
      <w:pPr>
        <w:spacing w:line="360" w:lineRule="auto"/>
        <w:rPr>
          <w:sz w:val="24"/>
          <w:szCs w:val="28"/>
          <w:lang w:eastAsia="zh-CN"/>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593" w:name="_Toc486403376"/>
      <w:bookmarkStart w:id="594" w:name="_Toc434387532"/>
      <w:bookmarkStart w:id="595" w:name="_Toc5908"/>
      <w:bookmarkStart w:id="596" w:name="_Toc12512"/>
      <w:bookmarkStart w:id="597" w:name="_Toc21267"/>
      <w:bookmarkStart w:id="598" w:name="_Toc24969778"/>
      <w:bookmarkStart w:id="599" w:name="_Toc483317187"/>
      <w:r>
        <w:rPr>
          <w:rFonts w:hint="eastAsia" w:ascii="宋体" w:hAnsi="宋体" w:eastAsia="宋体"/>
          <w:color w:val="000000" w:themeColor="text1"/>
          <w:lang w:eastAsia="zh-CN"/>
        </w:rPr>
        <w:t>6.4重大危险源识别</w:t>
      </w:r>
      <w:bookmarkEnd w:id="593"/>
      <w:bookmarkEnd w:id="594"/>
      <w:bookmarkEnd w:id="595"/>
      <w:bookmarkEnd w:id="596"/>
      <w:bookmarkEnd w:id="597"/>
      <w:bookmarkEnd w:id="598"/>
      <w:bookmarkEnd w:id="599"/>
    </w:p>
    <w:p>
      <w:pPr>
        <w:snapToGrid w:val="0"/>
        <w:spacing w:line="360" w:lineRule="auto"/>
        <w:ind w:firstLine="454"/>
        <w:textAlignment w:val="center"/>
        <w:rPr>
          <w:sz w:val="24"/>
          <w:szCs w:val="24"/>
          <w:lang w:eastAsia="zh-CN"/>
        </w:rPr>
      </w:pPr>
      <w:r>
        <w:rPr>
          <w:sz w:val="24"/>
          <w:szCs w:val="24"/>
          <w:lang w:eastAsia="zh-CN"/>
        </w:rPr>
        <w:t>根据GB18218-2009《危险化学品重大危险源辨识》，某功能单元内存在的危险物质的数量，若等于或超过规定的临界量，则该功能单元被视作重大危险源。当该单元存在一种以上危险物质时，有下列公式：</w:t>
      </w:r>
    </w:p>
    <w:p>
      <w:pPr>
        <w:snapToGrid w:val="0"/>
        <w:spacing w:line="360" w:lineRule="auto"/>
        <w:jc w:val="center"/>
        <w:textAlignment w:val="center"/>
        <w:rPr>
          <w:sz w:val="24"/>
          <w:szCs w:val="24"/>
          <w:lang w:val="fr-FR"/>
        </w:rPr>
      </w:pPr>
      <w:r>
        <w:rPr>
          <w:sz w:val="24"/>
          <w:szCs w:val="24"/>
          <w:lang w:val="fr-FR"/>
        </w:rPr>
        <w:t>q</w:t>
      </w:r>
      <w:r>
        <w:rPr>
          <w:sz w:val="24"/>
          <w:szCs w:val="24"/>
          <w:vertAlign w:val="subscript"/>
          <w:lang w:val="fr-FR"/>
        </w:rPr>
        <w:t>1</w:t>
      </w:r>
      <w:r>
        <w:rPr>
          <w:sz w:val="24"/>
          <w:szCs w:val="24"/>
          <w:lang w:val="fr-FR"/>
        </w:rPr>
        <w:t>/Q</w:t>
      </w:r>
      <w:r>
        <w:rPr>
          <w:sz w:val="24"/>
          <w:szCs w:val="24"/>
          <w:vertAlign w:val="subscript"/>
          <w:lang w:val="fr-FR"/>
        </w:rPr>
        <w:t>1</w:t>
      </w:r>
      <w:r>
        <w:rPr>
          <w:sz w:val="24"/>
          <w:szCs w:val="24"/>
          <w:lang w:val="fr-FR"/>
        </w:rPr>
        <w:t xml:space="preserve"> + q</w:t>
      </w:r>
      <w:r>
        <w:rPr>
          <w:sz w:val="24"/>
          <w:szCs w:val="24"/>
          <w:vertAlign w:val="subscript"/>
          <w:lang w:val="fr-FR"/>
        </w:rPr>
        <w:t>2</w:t>
      </w:r>
      <w:r>
        <w:rPr>
          <w:sz w:val="24"/>
          <w:szCs w:val="24"/>
          <w:lang w:val="fr-FR"/>
        </w:rPr>
        <w:t>/Q</w:t>
      </w:r>
      <w:r>
        <w:rPr>
          <w:sz w:val="24"/>
          <w:szCs w:val="24"/>
          <w:vertAlign w:val="subscript"/>
          <w:lang w:val="fr-FR"/>
        </w:rPr>
        <w:t>2</w:t>
      </w:r>
      <w:r>
        <w:rPr>
          <w:sz w:val="24"/>
          <w:szCs w:val="24"/>
          <w:lang w:val="fr-FR"/>
        </w:rPr>
        <w:t xml:space="preserve"> …… + qn/Qn ≥ 1</w:t>
      </w:r>
    </w:p>
    <w:p>
      <w:pPr>
        <w:snapToGrid w:val="0"/>
        <w:spacing w:line="360" w:lineRule="auto"/>
        <w:ind w:firstLine="454"/>
        <w:textAlignment w:val="center"/>
        <w:rPr>
          <w:sz w:val="24"/>
          <w:szCs w:val="24"/>
          <w:lang w:eastAsia="zh-CN"/>
        </w:rPr>
      </w:pPr>
      <w:r>
        <w:rPr>
          <w:sz w:val="24"/>
          <w:szCs w:val="24"/>
          <w:lang w:eastAsia="zh-CN"/>
        </w:rPr>
        <w:t>式中：</w:t>
      </w:r>
    </w:p>
    <w:p>
      <w:pPr>
        <w:snapToGrid w:val="0"/>
        <w:spacing w:line="360" w:lineRule="auto"/>
        <w:ind w:firstLine="454"/>
        <w:textAlignment w:val="center"/>
        <w:rPr>
          <w:sz w:val="24"/>
          <w:szCs w:val="24"/>
          <w:lang w:eastAsia="zh-CN"/>
        </w:rPr>
      </w:pPr>
      <w:r>
        <w:rPr>
          <w:sz w:val="24"/>
          <w:szCs w:val="24"/>
          <w:lang w:eastAsia="zh-CN"/>
        </w:rPr>
        <w:t>q</w:t>
      </w:r>
      <w:r>
        <w:rPr>
          <w:sz w:val="24"/>
          <w:szCs w:val="24"/>
          <w:vertAlign w:val="subscript"/>
          <w:lang w:eastAsia="zh-CN"/>
        </w:rPr>
        <w:t>1</w:t>
      </w:r>
      <w:r>
        <w:rPr>
          <w:sz w:val="24"/>
          <w:szCs w:val="24"/>
          <w:lang w:eastAsia="zh-CN"/>
        </w:rPr>
        <w:t>、q</w:t>
      </w:r>
      <w:r>
        <w:rPr>
          <w:sz w:val="24"/>
          <w:szCs w:val="24"/>
          <w:vertAlign w:val="subscript"/>
          <w:lang w:eastAsia="zh-CN"/>
        </w:rPr>
        <w:t>2</w:t>
      </w:r>
      <w:r>
        <w:rPr>
          <w:sz w:val="24"/>
          <w:szCs w:val="24"/>
          <w:lang w:eastAsia="zh-CN"/>
        </w:rPr>
        <w:t>…qn —— 每种危险物质实际存在量，t；</w:t>
      </w:r>
    </w:p>
    <w:p>
      <w:pPr>
        <w:snapToGrid w:val="0"/>
        <w:spacing w:line="360" w:lineRule="auto"/>
        <w:ind w:firstLine="454"/>
        <w:textAlignment w:val="center"/>
        <w:rPr>
          <w:sz w:val="24"/>
          <w:szCs w:val="24"/>
          <w:lang w:eastAsia="zh-CN"/>
        </w:rPr>
      </w:pPr>
      <w:r>
        <w:rPr>
          <w:sz w:val="24"/>
          <w:szCs w:val="24"/>
          <w:lang w:eastAsia="zh-CN"/>
        </w:rPr>
        <w:t>Q</w:t>
      </w:r>
      <w:r>
        <w:rPr>
          <w:sz w:val="24"/>
          <w:szCs w:val="24"/>
          <w:vertAlign w:val="subscript"/>
          <w:lang w:eastAsia="zh-CN"/>
        </w:rPr>
        <w:t>1</w:t>
      </w:r>
      <w:r>
        <w:rPr>
          <w:sz w:val="24"/>
          <w:szCs w:val="24"/>
          <w:lang w:eastAsia="zh-CN"/>
        </w:rPr>
        <w:t>、Q</w:t>
      </w:r>
      <w:r>
        <w:rPr>
          <w:sz w:val="24"/>
          <w:szCs w:val="24"/>
          <w:vertAlign w:val="subscript"/>
          <w:lang w:eastAsia="zh-CN"/>
        </w:rPr>
        <w:t>2</w:t>
      </w:r>
      <w:r>
        <w:rPr>
          <w:sz w:val="24"/>
          <w:szCs w:val="24"/>
          <w:lang w:eastAsia="zh-CN"/>
        </w:rPr>
        <w:t>…Qn —— 与各危险物质相对应的临界量，t。</w:t>
      </w:r>
    </w:p>
    <w:p>
      <w:pPr>
        <w:snapToGrid w:val="0"/>
        <w:spacing w:line="360" w:lineRule="auto"/>
        <w:ind w:firstLine="454"/>
        <w:textAlignment w:val="center"/>
        <w:rPr>
          <w:sz w:val="24"/>
          <w:szCs w:val="24"/>
          <w:lang w:eastAsia="zh-CN"/>
        </w:rPr>
      </w:pPr>
      <w:r>
        <w:rPr>
          <w:sz w:val="24"/>
          <w:szCs w:val="24"/>
          <w:lang w:eastAsia="zh-CN"/>
        </w:rPr>
        <w:t>如果该单元的多种并存危险物质满足上式，则也属重大危险源。</w:t>
      </w:r>
    </w:p>
    <w:p>
      <w:pPr>
        <w:snapToGrid w:val="0"/>
        <w:spacing w:line="360" w:lineRule="auto"/>
        <w:ind w:firstLine="454"/>
        <w:textAlignment w:val="center"/>
        <w:rPr>
          <w:sz w:val="24"/>
          <w:szCs w:val="24"/>
          <w:lang w:eastAsia="zh-CN"/>
        </w:rPr>
      </w:pPr>
      <w:r>
        <w:rPr>
          <w:sz w:val="24"/>
          <w:szCs w:val="24"/>
          <w:lang w:eastAsia="zh-CN"/>
        </w:rPr>
        <w:t>按照以上标准筛选出本项目涉及的生产危险物质的单元，不属于重大危险源的设施。</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00" w:name="_Toc6742"/>
      <w:bookmarkStart w:id="601" w:name="_Toc5507"/>
      <w:bookmarkStart w:id="602" w:name="_Toc486403377"/>
      <w:bookmarkStart w:id="603" w:name="_Toc434387533"/>
      <w:bookmarkStart w:id="604" w:name="_Toc483317188"/>
      <w:bookmarkStart w:id="605" w:name="_Toc25114"/>
      <w:bookmarkStart w:id="606" w:name="_Toc24969779"/>
      <w:r>
        <w:rPr>
          <w:rFonts w:hint="eastAsia" w:ascii="宋体" w:hAnsi="宋体" w:eastAsia="宋体"/>
          <w:color w:val="000000" w:themeColor="text1"/>
          <w:lang w:eastAsia="zh-CN"/>
        </w:rPr>
        <w:t>6.5评价等级</w:t>
      </w:r>
      <w:bookmarkEnd w:id="600"/>
      <w:bookmarkEnd w:id="601"/>
      <w:bookmarkEnd w:id="602"/>
      <w:bookmarkEnd w:id="603"/>
      <w:bookmarkEnd w:id="604"/>
      <w:bookmarkEnd w:id="605"/>
      <w:bookmarkEnd w:id="606"/>
    </w:p>
    <w:p>
      <w:pPr>
        <w:pStyle w:val="29"/>
        <w:wordWrap w:val="0"/>
        <w:adjustRightInd/>
        <w:snapToGrid/>
        <w:ind w:firstLine="488"/>
        <w:jc w:val="center"/>
      </w:pPr>
      <w:r>
        <w:rPr>
          <w:rFonts w:ascii="宋体" w:hAnsi="宋体" w:cs="宋体"/>
          <w:spacing w:val="4"/>
          <w:szCs w:val="24"/>
        </w:rPr>
        <w:t>本项目为</w:t>
      </w:r>
      <w:r>
        <w:rPr>
          <w:rFonts w:hint="eastAsia" w:ascii="宋体" w:hAnsi="宋体" w:cs="宋体"/>
          <w:spacing w:val="4"/>
          <w:szCs w:val="24"/>
        </w:rPr>
        <w:t>污泥处理技术研发</w:t>
      </w:r>
      <w:r>
        <w:rPr>
          <w:rFonts w:ascii="宋体" w:hAnsi="宋体" w:cs="宋体"/>
          <w:spacing w:val="4"/>
          <w:szCs w:val="24"/>
        </w:rPr>
        <w:t>项目，本项目运营主要风险为</w:t>
      </w:r>
      <w:r>
        <w:rPr>
          <w:rFonts w:hint="eastAsia"/>
        </w:rPr>
        <w:t>恶臭气体</w:t>
      </w:r>
      <w:r>
        <w:t>和</w:t>
      </w:r>
      <w:r>
        <w:rPr>
          <w:rFonts w:hint="eastAsia"/>
        </w:rPr>
        <w:t>污泥</w:t>
      </w:r>
      <w:r>
        <w:t>事故排放。根据《建设项目环境风险评价技术导则》（HJ169-2018），根据建设项目涉及的物质和工艺系统的危险性及其所在地的环境敏感程度，结合事故情形下环境影响途径，对建设项目潜在环境危害程度进行概化分析，按照表</w:t>
      </w:r>
      <w:r>
        <w:rPr>
          <w:rFonts w:hint="eastAsia"/>
        </w:rPr>
        <w:t>6.5-1</w:t>
      </w:r>
      <w:r>
        <w:t>确定环境风险潜势。</w:t>
      </w:r>
    </w:p>
    <w:p>
      <w:pPr>
        <w:pStyle w:val="29"/>
        <w:wordWrap w:val="0"/>
        <w:adjustRightInd/>
        <w:snapToGrid/>
        <w:ind w:firstLine="482"/>
        <w:jc w:val="center"/>
        <w:rPr>
          <w:b/>
          <w:bCs/>
        </w:rPr>
      </w:pPr>
      <w:r>
        <w:rPr>
          <w:b/>
          <w:bCs/>
        </w:rPr>
        <w:t>表</w:t>
      </w:r>
      <w:r>
        <w:rPr>
          <w:rFonts w:hint="eastAsia"/>
          <w:b/>
          <w:bCs/>
        </w:rPr>
        <w:t>6.5-1</w:t>
      </w:r>
      <w:r>
        <w:rPr>
          <w:b/>
          <w:bCs/>
        </w:rPr>
        <w:t xml:space="preserve">  建设项目环境风险潜势划分</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2"/>
        <w:gridCol w:w="1567"/>
        <w:gridCol w:w="1600"/>
        <w:gridCol w:w="1500"/>
        <w:gridCol w:w="1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322" w:type="dxa"/>
            <w:vMerge w:val="restart"/>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环境敏感程度（E）</w:t>
            </w:r>
          </w:p>
        </w:tc>
        <w:tc>
          <w:tcPr>
            <w:tcW w:w="6206" w:type="dxa"/>
            <w:gridSpan w:val="4"/>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322" w:type="dxa"/>
            <w:vMerge w:val="continue"/>
            <w:shd w:val="clear" w:color="auto" w:fill="auto"/>
            <w:vAlign w:val="center"/>
          </w:tcPr>
          <w:p>
            <w:pPr>
              <w:pStyle w:val="29"/>
              <w:wordWrap w:val="0"/>
              <w:adjustRightInd/>
              <w:snapToGrid/>
              <w:spacing w:after="0" w:line="240" w:lineRule="auto"/>
              <w:ind w:firstLine="0" w:firstLineChars="0"/>
              <w:jc w:val="center"/>
              <w:rPr>
                <w:b/>
                <w:sz w:val="21"/>
                <w:szCs w:val="21"/>
              </w:rPr>
            </w:pPr>
          </w:p>
        </w:tc>
        <w:tc>
          <w:tcPr>
            <w:tcW w:w="1567"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极高危害</w:t>
            </w:r>
          </w:p>
          <w:p>
            <w:pPr>
              <w:pStyle w:val="29"/>
              <w:wordWrap w:val="0"/>
              <w:adjustRightInd/>
              <w:snapToGrid/>
              <w:spacing w:after="0" w:line="240" w:lineRule="auto"/>
              <w:ind w:firstLine="0" w:firstLineChars="0"/>
              <w:jc w:val="center"/>
              <w:rPr>
                <w:b/>
                <w:sz w:val="21"/>
                <w:szCs w:val="21"/>
              </w:rPr>
            </w:pPr>
            <w:r>
              <w:rPr>
                <w:b/>
                <w:sz w:val="21"/>
                <w:szCs w:val="21"/>
              </w:rPr>
              <w:t>（P1）</w:t>
            </w:r>
          </w:p>
        </w:tc>
        <w:tc>
          <w:tcPr>
            <w:tcW w:w="1600"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高度危害</w:t>
            </w:r>
          </w:p>
          <w:p>
            <w:pPr>
              <w:pStyle w:val="29"/>
              <w:wordWrap w:val="0"/>
              <w:adjustRightInd/>
              <w:snapToGrid/>
              <w:spacing w:after="0" w:line="240" w:lineRule="auto"/>
              <w:ind w:firstLine="0" w:firstLineChars="0"/>
              <w:jc w:val="center"/>
              <w:rPr>
                <w:b/>
                <w:sz w:val="21"/>
                <w:szCs w:val="21"/>
              </w:rPr>
            </w:pPr>
            <w:r>
              <w:rPr>
                <w:b/>
                <w:sz w:val="21"/>
                <w:szCs w:val="21"/>
              </w:rPr>
              <w:t>（P2）</w:t>
            </w:r>
          </w:p>
        </w:tc>
        <w:tc>
          <w:tcPr>
            <w:tcW w:w="1500"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中度危害</w:t>
            </w:r>
          </w:p>
          <w:p>
            <w:pPr>
              <w:pStyle w:val="29"/>
              <w:wordWrap w:val="0"/>
              <w:adjustRightInd/>
              <w:snapToGrid/>
              <w:spacing w:after="0" w:line="240" w:lineRule="auto"/>
              <w:ind w:firstLine="0" w:firstLineChars="0"/>
              <w:jc w:val="center"/>
              <w:rPr>
                <w:b/>
                <w:sz w:val="21"/>
                <w:szCs w:val="21"/>
              </w:rPr>
            </w:pPr>
            <w:r>
              <w:rPr>
                <w:b/>
                <w:sz w:val="21"/>
                <w:szCs w:val="21"/>
              </w:rPr>
              <w:t>（P3）</w:t>
            </w:r>
          </w:p>
        </w:tc>
        <w:tc>
          <w:tcPr>
            <w:tcW w:w="1539" w:type="dxa"/>
            <w:shd w:val="clear" w:color="auto" w:fill="auto"/>
            <w:vAlign w:val="center"/>
          </w:tcPr>
          <w:p>
            <w:pPr>
              <w:pStyle w:val="29"/>
              <w:wordWrap w:val="0"/>
              <w:adjustRightInd/>
              <w:snapToGrid/>
              <w:spacing w:after="0" w:line="240" w:lineRule="auto"/>
              <w:ind w:firstLine="0" w:firstLineChars="0"/>
              <w:jc w:val="center"/>
              <w:rPr>
                <w:b/>
                <w:sz w:val="21"/>
                <w:szCs w:val="21"/>
              </w:rPr>
            </w:pPr>
            <w:r>
              <w:rPr>
                <w:b/>
                <w:sz w:val="21"/>
                <w:szCs w:val="21"/>
              </w:rPr>
              <w:t>轻度危害</w:t>
            </w:r>
          </w:p>
          <w:p>
            <w:pPr>
              <w:pStyle w:val="29"/>
              <w:wordWrap w:val="0"/>
              <w:adjustRightInd/>
              <w:snapToGrid/>
              <w:spacing w:after="0" w:line="240" w:lineRule="auto"/>
              <w:ind w:firstLine="0" w:firstLineChars="0"/>
              <w:jc w:val="center"/>
              <w:rPr>
                <w:b/>
                <w:sz w:val="21"/>
                <w:szCs w:val="21"/>
              </w:rPr>
            </w:pPr>
            <w:r>
              <w:rPr>
                <w:b/>
                <w:sz w:val="21"/>
                <w:szCs w:val="21"/>
              </w:rPr>
              <w:t>（P4）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环境高度敏感区(E1)</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vertAlign w:val="subscript"/>
              </w:rPr>
            </w:pPr>
            <w:r>
              <w:rPr>
                <w:rFonts w:hint="eastAsia" w:ascii="宋体" w:hAnsi="宋体" w:cs="宋体"/>
                <w:sz w:val="21"/>
                <w:szCs w:val="21"/>
              </w:rPr>
              <w:t>Ⅲ</w:t>
            </w:r>
            <w:r>
              <w:rPr>
                <w:sz w:val="21"/>
                <w:szCs w:val="21"/>
                <w:vertAlign w:val="superscript"/>
              </w:rPr>
              <w:t>+</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39"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环境中度敏感区(E2)</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39"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22" w:type="dxa"/>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环境低度敏感区(E3)</w:t>
            </w:r>
          </w:p>
        </w:tc>
        <w:tc>
          <w:tcPr>
            <w:tcW w:w="1567"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6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Ⅲ</w:t>
            </w:r>
          </w:p>
        </w:tc>
        <w:tc>
          <w:tcPr>
            <w:tcW w:w="1500"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Ⅱ</w:t>
            </w:r>
          </w:p>
        </w:tc>
        <w:tc>
          <w:tcPr>
            <w:tcW w:w="1539" w:type="dxa"/>
            <w:shd w:val="clear" w:color="auto" w:fill="auto"/>
            <w:vAlign w:val="center"/>
          </w:tcPr>
          <w:p>
            <w:pPr>
              <w:pStyle w:val="29"/>
              <w:wordWrap w:val="0"/>
              <w:adjustRightInd/>
              <w:snapToGrid/>
              <w:spacing w:after="0" w:line="240" w:lineRule="auto"/>
              <w:ind w:firstLine="0" w:firstLineChars="0"/>
              <w:jc w:val="center"/>
              <w:rPr>
                <w:sz w:val="21"/>
                <w:szCs w:val="21"/>
              </w:rPr>
            </w:pPr>
            <w:r>
              <w:rPr>
                <w:rFonts w:hint="eastAsia" w:ascii="宋体" w:hAnsi="宋体" w:cs="宋体"/>
                <w:sz w:val="21"/>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528" w:type="dxa"/>
            <w:gridSpan w:val="5"/>
            <w:shd w:val="clear" w:color="auto" w:fill="auto"/>
            <w:vAlign w:val="center"/>
          </w:tcPr>
          <w:p>
            <w:pPr>
              <w:pStyle w:val="29"/>
              <w:wordWrap w:val="0"/>
              <w:adjustRightInd/>
              <w:snapToGrid/>
              <w:spacing w:after="0" w:line="240" w:lineRule="auto"/>
              <w:ind w:firstLine="0" w:firstLineChars="0"/>
              <w:jc w:val="center"/>
              <w:rPr>
                <w:sz w:val="21"/>
                <w:szCs w:val="21"/>
              </w:rPr>
            </w:pPr>
            <w:r>
              <w:rPr>
                <w:sz w:val="21"/>
                <w:szCs w:val="21"/>
              </w:rPr>
              <w:t>注：</w:t>
            </w:r>
            <w:r>
              <w:rPr>
                <w:rFonts w:hint="eastAsia" w:ascii="宋体" w:hAnsi="宋体" w:cs="宋体"/>
                <w:sz w:val="21"/>
                <w:szCs w:val="21"/>
              </w:rPr>
              <w:t>Ⅲ</w:t>
            </w:r>
            <w:r>
              <w:rPr>
                <w:sz w:val="21"/>
                <w:szCs w:val="21"/>
                <w:vertAlign w:val="superscript"/>
              </w:rPr>
              <w:t>+</w:t>
            </w:r>
            <w:r>
              <w:rPr>
                <w:sz w:val="21"/>
                <w:szCs w:val="21"/>
              </w:rPr>
              <w:t>为极高环境风险</w:t>
            </w:r>
          </w:p>
        </w:tc>
      </w:tr>
    </w:tbl>
    <w:p>
      <w:pPr>
        <w:pStyle w:val="29"/>
        <w:wordWrap w:val="0"/>
        <w:adjustRightInd/>
        <w:snapToGrid/>
        <w:ind w:firstLine="480"/>
      </w:pPr>
      <w:r>
        <w:t>本项目填埋的垃圾储存过程中会产生危险物质主要为H</w:t>
      </w:r>
      <w:r>
        <w:rPr>
          <w:vertAlign w:val="subscript"/>
        </w:rPr>
        <w:t>2</w:t>
      </w:r>
      <w:r>
        <w:t>S、NH</w:t>
      </w:r>
      <w:r>
        <w:rPr>
          <w:vertAlign w:val="subscript"/>
        </w:rPr>
        <w:t>3</w:t>
      </w:r>
      <w:r>
        <w:t>，它们的存在量、临界量、危险物质数量与临界量的比值(Q)详见表</w:t>
      </w:r>
      <w:r>
        <w:rPr>
          <w:rFonts w:hint="eastAsia"/>
        </w:rPr>
        <w:t>6.5-2</w:t>
      </w:r>
      <w:r>
        <w:t xml:space="preserve">。 </w:t>
      </w:r>
    </w:p>
    <w:p>
      <w:pPr>
        <w:pStyle w:val="29"/>
        <w:wordWrap w:val="0"/>
        <w:adjustRightInd/>
        <w:snapToGrid/>
        <w:ind w:firstLine="482"/>
        <w:jc w:val="center"/>
        <w:rPr>
          <w:b/>
          <w:bCs/>
        </w:rPr>
      </w:pPr>
      <w:r>
        <w:rPr>
          <w:b/>
          <w:bCs/>
        </w:rPr>
        <w:t>表</w:t>
      </w:r>
      <w:r>
        <w:rPr>
          <w:rFonts w:hint="eastAsia"/>
          <w:b/>
          <w:bCs/>
        </w:rPr>
        <w:t>6.5-2</w:t>
      </w:r>
      <w:r>
        <w:rPr>
          <w:b/>
          <w:bCs/>
        </w:rPr>
        <w:t xml:space="preserve"> 风险调查表</w:t>
      </w:r>
    </w:p>
    <w:tbl>
      <w:tblPr>
        <w:tblStyle w:val="30"/>
        <w:tblW w:w="85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0"/>
        <w:gridCol w:w="3420"/>
        <w:gridCol w:w="34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10" w:type="dxa"/>
            <w:vAlign w:val="center"/>
          </w:tcPr>
          <w:p>
            <w:pPr>
              <w:pStyle w:val="29"/>
              <w:wordWrap w:val="0"/>
              <w:spacing w:after="0" w:line="240" w:lineRule="auto"/>
              <w:ind w:firstLine="0" w:firstLineChars="0"/>
              <w:jc w:val="center"/>
              <w:rPr>
                <w:b/>
                <w:sz w:val="21"/>
                <w:szCs w:val="21"/>
              </w:rPr>
            </w:pPr>
            <w:r>
              <w:rPr>
                <w:b/>
                <w:sz w:val="21"/>
                <w:szCs w:val="21"/>
              </w:rPr>
              <w:t>风险物质</w:t>
            </w:r>
          </w:p>
        </w:tc>
        <w:tc>
          <w:tcPr>
            <w:tcW w:w="3420" w:type="dxa"/>
            <w:vAlign w:val="center"/>
          </w:tcPr>
          <w:p>
            <w:pPr>
              <w:pStyle w:val="29"/>
              <w:wordWrap w:val="0"/>
              <w:spacing w:after="0" w:line="240" w:lineRule="auto"/>
              <w:ind w:firstLine="0" w:firstLineChars="0"/>
              <w:jc w:val="center"/>
              <w:rPr>
                <w:b/>
                <w:sz w:val="21"/>
                <w:szCs w:val="21"/>
              </w:rPr>
            </w:pPr>
            <w:r>
              <w:rPr>
                <w:b/>
                <w:sz w:val="21"/>
                <w:szCs w:val="21"/>
              </w:rPr>
              <w:t>H</w:t>
            </w:r>
            <w:r>
              <w:rPr>
                <w:b/>
                <w:sz w:val="21"/>
                <w:szCs w:val="21"/>
                <w:vertAlign w:val="subscript"/>
              </w:rPr>
              <w:t>2</w:t>
            </w:r>
            <w:r>
              <w:rPr>
                <w:b/>
                <w:sz w:val="21"/>
                <w:szCs w:val="21"/>
              </w:rPr>
              <w:t>S</w:t>
            </w:r>
          </w:p>
        </w:tc>
        <w:tc>
          <w:tcPr>
            <w:tcW w:w="3408" w:type="dxa"/>
            <w:vAlign w:val="center"/>
          </w:tcPr>
          <w:p>
            <w:pPr>
              <w:pStyle w:val="29"/>
              <w:wordWrap w:val="0"/>
              <w:spacing w:after="0" w:line="240" w:lineRule="auto"/>
              <w:ind w:firstLine="0" w:firstLineChars="0"/>
              <w:jc w:val="center"/>
              <w:rPr>
                <w:b/>
                <w:sz w:val="21"/>
                <w:szCs w:val="21"/>
              </w:rPr>
            </w:pPr>
            <w:r>
              <w:rPr>
                <w:b/>
                <w:sz w:val="21"/>
                <w:szCs w:val="21"/>
              </w:rPr>
              <w:t>NH</w:t>
            </w:r>
            <w:r>
              <w:rPr>
                <w:b/>
                <w:sz w:val="21"/>
                <w:szCs w:val="21"/>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临界量</w:t>
            </w:r>
          </w:p>
        </w:tc>
        <w:tc>
          <w:tcPr>
            <w:tcW w:w="3420" w:type="dxa"/>
            <w:vAlign w:val="center"/>
          </w:tcPr>
          <w:p>
            <w:pPr>
              <w:pStyle w:val="29"/>
              <w:wordWrap w:val="0"/>
              <w:spacing w:after="0" w:line="240" w:lineRule="auto"/>
              <w:ind w:firstLine="0" w:firstLineChars="0"/>
              <w:jc w:val="center"/>
              <w:rPr>
                <w:sz w:val="21"/>
                <w:szCs w:val="21"/>
              </w:rPr>
            </w:pPr>
            <w:r>
              <w:rPr>
                <w:sz w:val="21"/>
                <w:szCs w:val="21"/>
              </w:rPr>
              <w:t>2.5</w:t>
            </w:r>
          </w:p>
        </w:tc>
        <w:tc>
          <w:tcPr>
            <w:tcW w:w="3408" w:type="dxa"/>
            <w:vAlign w:val="center"/>
          </w:tcPr>
          <w:p>
            <w:pPr>
              <w:pStyle w:val="29"/>
              <w:wordWrap w:val="0"/>
              <w:spacing w:after="0" w:line="240" w:lineRule="auto"/>
              <w:ind w:firstLine="0" w:firstLineChars="0"/>
              <w:jc w:val="center"/>
              <w:rPr>
                <w:sz w:val="21"/>
                <w:szCs w:val="21"/>
              </w:rPr>
            </w:pPr>
            <w:r>
              <w:rPr>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存在量</w:t>
            </w:r>
          </w:p>
        </w:tc>
        <w:tc>
          <w:tcPr>
            <w:tcW w:w="3420"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0.00048</w:t>
            </w:r>
          </w:p>
        </w:tc>
        <w:tc>
          <w:tcPr>
            <w:tcW w:w="3408"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Qn</w:t>
            </w:r>
          </w:p>
        </w:tc>
        <w:tc>
          <w:tcPr>
            <w:tcW w:w="3420"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0.000192</w:t>
            </w:r>
          </w:p>
        </w:tc>
        <w:tc>
          <w:tcPr>
            <w:tcW w:w="3408" w:type="dxa"/>
            <w:vAlign w:val="center"/>
          </w:tcPr>
          <w:p>
            <w:pPr>
              <w:pStyle w:val="29"/>
              <w:wordWrap w:val="0"/>
              <w:spacing w:after="0" w:line="240" w:lineRule="auto"/>
              <w:ind w:firstLine="0" w:firstLineChars="0"/>
              <w:jc w:val="center"/>
              <w:rPr>
                <w:color w:val="000000" w:themeColor="text1"/>
                <w:sz w:val="21"/>
                <w:szCs w:val="21"/>
              </w:rPr>
            </w:pPr>
            <w:r>
              <w:rPr>
                <w:rFonts w:hint="eastAsia"/>
                <w:color w:val="000000" w:themeColor="text1"/>
                <w:sz w:val="21"/>
                <w:szCs w:val="21"/>
              </w:rPr>
              <w:t>0.00096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10" w:type="dxa"/>
            <w:vAlign w:val="center"/>
          </w:tcPr>
          <w:p>
            <w:pPr>
              <w:pStyle w:val="29"/>
              <w:wordWrap w:val="0"/>
              <w:spacing w:after="0" w:line="240" w:lineRule="auto"/>
              <w:ind w:firstLine="0" w:firstLineChars="0"/>
              <w:jc w:val="center"/>
              <w:rPr>
                <w:sz w:val="21"/>
                <w:szCs w:val="21"/>
              </w:rPr>
            </w:pPr>
            <w:r>
              <w:rPr>
                <w:sz w:val="21"/>
                <w:szCs w:val="21"/>
              </w:rPr>
              <w:t>Q</w:t>
            </w:r>
          </w:p>
        </w:tc>
        <w:tc>
          <w:tcPr>
            <w:tcW w:w="6828" w:type="dxa"/>
            <w:gridSpan w:val="2"/>
            <w:vAlign w:val="center"/>
          </w:tcPr>
          <w:p>
            <w:pPr>
              <w:pStyle w:val="29"/>
              <w:wordWrap w:val="0"/>
              <w:spacing w:after="0" w:line="240" w:lineRule="auto"/>
              <w:ind w:firstLine="0" w:firstLineChars="0"/>
              <w:jc w:val="center"/>
              <w:rPr>
                <w:sz w:val="21"/>
                <w:szCs w:val="21"/>
              </w:rPr>
            </w:pPr>
            <w:r>
              <w:rPr>
                <w:rFonts w:hint="eastAsia"/>
                <w:sz w:val="21"/>
                <w:szCs w:val="21"/>
              </w:rPr>
              <w:t>0.000192+0.00096=0.001152＜1</w:t>
            </w:r>
          </w:p>
        </w:tc>
      </w:tr>
    </w:tbl>
    <w:p>
      <w:pPr>
        <w:pStyle w:val="29"/>
        <w:wordWrap w:val="0"/>
        <w:adjustRightInd/>
        <w:snapToGrid/>
        <w:ind w:firstLine="480"/>
      </w:pPr>
      <w:r>
        <w:t>根据表2.4-</w:t>
      </w:r>
      <w:r>
        <w:rPr>
          <w:rFonts w:hint="eastAsia"/>
        </w:rPr>
        <w:t>6</w:t>
      </w:r>
      <w:r>
        <w:t>可知，Q&lt;1，风险潜势为</w:t>
      </w:r>
      <w:r>
        <w:rPr>
          <w:rFonts w:hint="eastAsia" w:ascii="宋体" w:hAnsi="宋体" w:cs="宋体"/>
        </w:rPr>
        <w:t>Ⅰ</w:t>
      </w:r>
      <w:r>
        <w:t>。结合表2.4-</w:t>
      </w:r>
      <w:r>
        <w:rPr>
          <w:rFonts w:hint="eastAsia"/>
        </w:rPr>
        <w:t>5</w:t>
      </w:r>
      <w:r>
        <w:t>环境风险潜势划分情况可知本项目风险只需简要分析即可。</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07" w:name="_Toc24969780"/>
      <w:bookmarkStart w:id="608" w:name="_Toc32598"/>
      <w:bookmarkStart w:id="609" w:name="_Toc486403378"/>
      <w:bookmarkStart w:id="610" w:name="_Toc13245"/>
      <w:bookmarkStart w:id="611" w:name="_Toc19077"/>
      <w:r>
        <w:rPr>
          <w:rFonts w:hint="eastAsia" w:ascii="宋体" w:hAnsi="宋体" w:eastAsia="宋体"/>
          <w:color w:val="000000" w:themeColor="text1"/>
          <w:lang w:eastAsia="zh-CN"/>
        </w:rPr>
        <w:t>6.6风险评价</w:t>
      </w:r>
      <w:bookmarkEnd w:id="607"/>
      <w:bookmarkEnd w:id="608"/>
      <w:bookmarkEnd w:id="609"/>
      <w:bookmarkEnd w:id="610"/>
      <w:bookmarkEnd w:id="611"/>
    </w:p>
    <w:p>
      <w:pPr>
        <w:spacing w:after="0" w:line="360" w:lineRule="auto"/>
        <w:ind w:firstLine="480" w:firstLineChars="200"/>
        <w:rPr>
          <w:sz w:val="24"/>
          <w:lang w:eastAsia="zh-CN"/>
        </w:rPr>
      </w:pPr>
      <w:r>
        <w:rPr>
          <w:sz w:val="24"/>
          <w:szCs w:val="24"/>
          <w:lang w:eastAsia="zh-CN"/>
        </w:rPr>
        <w:t>本项目发生风险的环节较多的，但由于发生风险事故的污染物泄漏程度及风险事故的环境条件是很不确定的，很难进行定量的环境影响预测，因此本评价重点放在几种风险事故环境影响的定量与定性结合分析基础上进行。</w:t>
      </w:r>
    </w:p>
    <w:p>
      <w:pPr>
        <w:spacing w:after="0" w:line="360" w:lineRule="auto"/>
        <w:rPr>
          <w:b/>
          <w:bCs/>
          <w:sz w:val="24"/>
          <w:lang w:eastAsia="zh-CN"/>
        </w:rPr>
      </w:pPr>
      <w:r>
        <w:rPr>
          <w:rFonts w:hint="eastAsia"/>
          <w:b/>
          <w:bCs/>
          <w:sz w:val="24"/>
          <w:lang w:eastAsia="zh-CN"/>
        </w:rPr>
        <w:t xml:space="preserve">    （1）运输事故</w:t>
      </w:r>
    </w:p>
    <w:p>
      <w:pPr>
        <w:spacing w:after="0" w:line="360" w:lineRule="auto"/>
        <w:ind w:firstLine="480" w:firstLineChars="200"/>
        <w:rPr>
          <w:sz w:val="24"/>
          <w:lang w:eastAsia="zh-CN"/>
        </w:rPr>
      </w:pPr>
      <w:r>
        <w:rPr>
          <w:rFonts w:hint="eastAsia"/>
          <w:sz w:val="24"/>
          <w:lang w:eastAsia="zh-CN"/>
        </w:rPr>
        <w:t>项目主要接纳城镇污水处理场产生的污泥，需从厂区外运入：</w:t>
      </w:r>
    </w:p>
    <w:p>
      <w:pPr>
        <w:spacing w:after="0" w:line="360" w:lineRule="auto"/>
        <w:ind w:firstLine="480" w:firstLineChars="200"/>
        <w:rPr>
          <w:sz w:val="24"/>
          <w:lang w:eastAsia="zh-CN"/>
        </w:rPr>
      </w:pPr>
      <w:r>
        <w:rPr>
          <w:rFonts w:hint="eastAsia"/>
          <w:sz w:val="24"/>
          <w:lang w:eastAsia="zh-CN"/>
        </w:rPr>
        <w:t>1）由于收集容器或车辆密封性不好，而造成污泥散漏路面，污染土壤和水体，随扬尘而污染大气。</w:t>
      </w:r>
    </w:p>
    <w:p>
      <w:pPr>
        <w:spacing w:after="0" w:line="360" w:lineRule="auto"/>
        <w:ind w:firstLine="480" w:firstLineChars="200"/>
        <w:rPr>
          <w:sz w:val="24"/>
          <w:lang w:eastAsia="zh-CN"/>
        </w:rPr>
      </w:pPr>
      <w:r>
        <w:rPr>
          <w:rFonts w:hint="eastAsia"/>
          <w:sz w:val="24"/>
          <w:lang w:eastAsia="zh-CN"/>
        </w:rPr>
        <w:t>2）运输车辆发生翻车性事故，污泥散落，同时污泥进入土壤和水体，造成污染。</w:t>
      </w:r>
    </w:p>
    <w:p>
      <w:pPr>
        <w:spacing w:after="0" w:line="360" w:lineRule="auto"/>
        <w:rPr>
          <w:b/>
          <w:bCs/>
          <w:sz w:val="24"/>
          <w:lang w:eastAsia="zh-CN"/>
        </w:rPr>
      </w:pPr>
      <w:r>
        <w:rPr>
          <w:rFonts w:hint="eastAsia"/>
          <w:b/>
          <w:bCs/>
          <w:sz w:val="24"/>
          <w:lang w:eastAsia="zh-CN"/>
        </w:rPr>
        <w:t xml:space="preserve">     （2）恶臭污染物事故</w:t>
      </w:r>
    </w:p>
    <w:p>
      <w:pPr>
        <w:snapToGrid w:val="0"/>
        <w:spacing w:after="0" w:line="360" w:lineRule="auto"/>
        <w:ind w:firstLine="454"/>
        <w:textAlignment w:val="center"/>
        <w:rPr>
          <w:sz w:val="24"/>
          <w:szCs w:val="24"/>
          <w:lang w:eastAsia="zh-CN"/>
        </w:rPr>
      </w:pPr>
      <w:r>
        <w:rPr>
          <w:sz w:val="24"/>
          <w:szCs w:val="24"/>
          <w:lang w:eastAsia="zh-CN"/>
        </w:rPr>
        <w:t>本项目运输及</w:t>
      </w:r>
      <w:r>
        <w:rPr>
          <w:rFonts w:hint="eastAsia"/>
          <w:sz w:val="24"/>
          <w:szCs w:val="24"/>
          <w:lang w:eastAsia="zh-CN"/>
        </w:rPr>
        <w:t>储存输送</w:t>
      </w:r>
      <w:r>
        <w:rPr>
          <w:sz w:val="24"/>
          <w:szCs w:val="24"/>
          <w:lang w:eastAsia="zh-CN"/>
        </w:rPr>
        <w:t>过程中仍有大量恶臭气体产生，在正常运行情况下，由于</w:t>
      </w:r>
      <w:r>
        <w:rPr>
          <w:rFonts w:hint="eastAsia"/>
          <w:sz w:val="24"/>
          <w:szCs w:val="24"/>
          <w:lang w:eastAsia="zh-CN"/>
        </w:rPr>
        <w:t>污泥输送</w:t>
      </w:r>
      <w:r>
        <w:rPr>
          <w:sz w:val="24"/>
          <w:szCs w:val="24"/>
          <w:lang w:eastAsia="zh-CN"/>
        </w:rPr>
        <w:t>为负压运行，且恶臭气体采用负压抽风</w:t>
      </w:r>
      <w:r>
        <w:rPr>
          <w:rFonts w:hint="eastAsia"/>
          <w:sz w:val="24"/>
          <w:szCs w:val="24"/>
          <w:lang w:eastAsia="zh-CN"/>
        </w:rPr>
        <w:t>送入锅炉焚烧</w:t>
      </w:r>
      <w:r>
        <w:rPr>
          <w:sz w:val="24"/>
          <w:szCs w:val="24"/>
          <w:lang w:eastAsia="zh-CN"/>
        </w:rPr>
        <w:t>，故恶臭污染物外溢量很小，对周围大气环境影响较小。但若</w:t>
      </w:r>
      <w:r>
        <w:rPr>
          <w:rFonts w:hint="eastAsia"/>
          <w:sz w:val="24"/>
          <w:szCs w:val="24"/>
          <w:lang w:eastAsia="zh-CN"/>
        </w:rPr>
        <w:t>输送</w:t>
      </w:r>
      <w:r>
        <w:rPr>
          <w:sz w:val="24"/>
          <w:szCs w:val="24"/>
          <w:lang w:eastAsia="zh-CN"/>
        </w:rPr>
        <w:t>系统运行不正常或在检修情况下，则可能发生恶臭污染物外溢事故，从而影响环境。因此，本评价考虑在负压抽风除臭系统运行不正常情况下，产生的恶臭污染物全部外溢事故对周围环境的影响进行分析。</w:t>
      </w:r>
    </w:p>
    <w:p>
      <w:pPr>
        <w:jc w:val="center"/>
        <w:rPr>
          <w:b/>
          <w:bCs/>
          <w:sz w:val="24"/>
          <w:szCs w:val="24"/>
          <w:lang w:eastAsia="zh-CN"/>
        </w:rPr>
      </w:pPr>
      <w:r>
        <w:rPr>
          <w:b/>
          <w:bCs/>
          <w:sz w:val="24"/>
          <w:szCs w:val="24"/>
          <w:lang w:eastAsia="zh-CN"/>
        </w:rPr>
        <w:t>表</w:t>
      </w:r>
      <w:r>
        <w:rPr>
          <w:rFonts w:hint="eastAsia"/>
          <w:b/>
          <w:bCs/>
          <w:sz w:val="24"/>
          <w:szCs w:val="24"/>
          <w:lang w:eastAsia="zh-CN"/>
        </w:rPr>
        <w:t>6.6-1</w:t>
      </w:r>
      <w:r>
        <w:rPr>
          <w:b/>
          <w:bCs/>
          <w:sz w:val="24"/>
          <w:szCs w:val="24"/>
          <w:lang w:eastAsia="zh-CN"/>
        </w:rPr>
        <w:t xml:space="preserve">  恶臭污染物事故排放情况</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3"/>
        <w:gridCol w:w="2990"/>
        <w:gridCol w:w="2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3" w:type="dxa"/>
            <w:vAlign w:val="center"/>
          </w:tcPr>
          <w:p>
            <w:pPr>
              <w:spacing w:after="0" w:line="240" w:lineRule="auto"/>
              <w:jc w:val="center"/>
              <w:rPr>
                <w:b/>
                <w:bCs/>
                <w:szCs w:val="21"/>
              </w:rPr>
            </w:pPr>
            <w:r>
              <w:rPr>
                <w:b/>
                <w:bCs/>
                <w:szCs w:val="21"/>
              </w:rPr>
              <w:t>参数主要污染物</w:t>
            </w:r>
          </w:p>
        </w:tc>
        <w:tc>
          <w:tcPr>
            <w:tcW w:w="2990" w:type="dxa"/>
            <w:vAlign w:val="center"/>
          </w:tcPr>
          <w:p>
            <w:pPr>
              <w:spacing w:after="0" w:line="240" w:lineRule="auto"/>
              <w:jc w:val="center"/>
              <w:rPr>
                <w:b/>
                <w:bCs/>
                <w:szCs w:val="21"/>
                <w:lang w:eastAsia="zh-CN"/>
              </w:rPr>
            </w:pPr>
            <w:r>
              <w:rPr>
                <w:b/>
                <w:bCs/>
                <w:szCs w:val="21"/>
                <w:lang w:eastAsia="zh-CN"/>
              </w:rPr>
              <w:t>事故排放浓度（mg/m</w:t>
            </w:r>
            <w:r>
              <w:rPr>
                <w:b/>
                <w:bCs/>
                <w:szCs w:val="21"/>
                <w:vertAlign w:val="superscript"/>
                <w:lang w:eastAsia="zh-CN"/>
              </w:rPr>
              <w:t>3</w:t>
            </w:r>
            <w:r>
              <w:rPr>
                <w:b/>
                <w:bCs/>
                <w:szCs w:val="21"/>
                <w:lang w:eastAsia="zh-CN"/>
              </w:rPr>
              <w:t>）</w:t>
            </w:r>
          </w:p>
        </w:tc>
        <w:tc>
          <w:tcPr>
            <w:tcW w:w="2975" w:type="dxa"/>
            <w:vAlign w:val="center"/>
          </w:tcPr>
          <w:p>
            <w:pPr>
              <w:spacing w:after="0" w:line="240" w:lineRule="auto"/>
              <w:jc w:val="center"/>
              <w:rPr>
                <w:b/>
                <w:bCs/>
                <w:szCs w:val="21"/>
              </w:rPr>
            </w:pPr>
            <w:r>
              <w:rPr>
                <w:b/>
                <w:bCs/>
                <w:szCs w:val="21"/>
              </w:rPr>
              <w:t>排放量（kg/h）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3" w:type="dxa"/>
            <w:vAlign w:val="center"/>
          </w:tcPr>
          <w:p>
            <w:pPr>
              <w:spacing w:after="0" w:line="240" w:lineRule="auto"/>
              <w:jc w:val="center"/>
              <w:rPr>
                <w:szCs w:val="21"/>
              </w:rPr>
            </w:pPr>
            <w:r>
              <w:rPr>
                <w:szCs w:val="21"/>
              </w:rPr>
              <w:t>NH</w:t>
            </w:r>
            <w:r>
              <w:rPr>
                <w:szCs w:val="21"/>
                <w:vertAlign w:val="subscript"/>
              </w:rPr>
              <w:t>3</w:t>
            </w:r>
          </w:p>
        </w:tc>
        <w:tc>
          <w:tcPr>
            <w:tcW w:w="2990" w:type="dxa"/>
            <w:vAlign w:val="center"/>
          </w:tcPr>
          <w:p>
            <w:pPr>
              <w:spacing w:after="0" w:line="240" w:lineRule="auto"/>
              <w:jc w:val="center"/>
              <w:textAlignment w:val="center"/>
              <w:rPr>
                <w:szCs w:val="21"/>
              </w:rPr>
            </w:pPr>
            <w:r>
              <w:rPr>
                <w:szCs w:val="21"/>
              </w:rPr>
              <w:t>0.</w:t>
            </w:r>
            <w:r>
              <w:rPr>
                <w:rFonts w:hint="eastAsia"/>
                <w:szCs w:val="21"/>
              </w:rPr>
              <w:t>048</w:t>
            </w:r>
          </w:p>
        </w:tc>
        <w:tc>
          <w:tcPr>
            <w:tcW w:w="2975" w:type="dxa"/>
            <w:vAlign w:val="center"/>
          </w:tcPr>
          <w:p>
            <w:pPr>
              <w:spacing w:after="0" w:line="240" w:lineRule="auto"/>
              <w:jc w:val="center"/>
              <w:rPr>
                <w:szCs w:val="21"/>
              </w:rPr>
            </w:pPr>
            <w:r>
              <w:rPr>
                <w:szCs w:val="21"/>
              </w:rPr>
              <w:t>0.0</w:t>
            </w:r>
            <w:r>
              <w:rPr>
                <w:rFonts w:hint="eastAsia"/>
                <w:szCs w:val="21"/>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3" w:type="dxa"/>
            <w:vAlign w:val="center"/>
          </w:tcPr>
          <w:p>
            <w:pPr>
              <w:spacing w:after="0" w:line="240" w:lineRule="auto"/>
              <w:jc w:val="center"/>
              <w:rPr>
                <w:szCs w:val="21"/>
              </w:rPr>
            </w:pPr>
            <w:r>
              <w:rPr>
                <w:szCs w:val="21"/>
              </w:rPr>
              <w:t>H</w:t>
            </w:r>
            <w:r>
              <w:rPr>
                <w:szCs w:val="21"/>
                <w:vertAlign w:val="subscript"/>
              </w:rPr>
              <w:t>2</w:t>
            </w:r>
            <w:r>
              <w:rPr>
                <w:szCs w:val="21"/>
              </w:rPr>
              <w:t>S</w:t>
            </w:r>
          </w:p>
        </w:tc>
        <w:tc>
          <w:tcPr>
            <w:tcW w:w="2990" w:type="dxa"/>
            <w:vAlign w:val="center"/>
          </w:tcPr>
          <w:p>
            <w:pPr>
              <w:spacing w:after="0" w:line="240" w:lineRule="auto"/>
              <w:jc w:val="center"/>
              <w:textAlignment w:val="center"/>
              <w:rPr>
                <w:szCs w:val="21"/>
              </w:rPr>
            </w:pPr>
            <w:r>
              <w:rPr>
                <w:szCs w:val="21"/>
              </w:rPr>
              <w:t>0.0</w:t>
            </w:r>
            <w:r>
              <w:rPr>
                <w:rFonts w:hint="eastAsia"/>
                <w:szCs w:val="21"/>
              </w:rPr>
              <w:t>048</w:t>
            </w:r>
          </w:p>
        </w:tc>
        <w:tc>
          <w:tcPr>
            <w:tcW w:w="2975" w:type="dxa"/>
            <w:vAlign w:val="center"/>
          </w:tcPr>
          <w:p>
            <w:pPr>
              <w:spacing w:after="0" w:line="240" w:lineRule="auto"/>
              <w:jc w:val="center"/>
              <w:rPr>
                <w:szCs w:val="21"/>
              </w:rPr>
            </w:pPr>
            <w:r>
              <w:rPr>
                <w:szCs w:val="21"/>
              </w:rPr>
              <w:t>0.0</w:t>
            </w:r>
            <w:r>
              <w:rPr>
                <w:rFonts w:hint="eastAsia"/>
                <w:szCs w:val="21"/>
              </w:rPr>
              <w:t>00048</w:t>
            </w:r>
          </w:p>
        </w:tc>
      </w:tr>
    </w:tbl>
    <w:p>
      <w:pPr>
        <w:snapToGrid w:val="0"/>
        <w:spacing w:before="240" w:after="0" w:line="360" w:lineRule="auto"/>
        <w:ind w:firstLine="454"/>
        <w:textAlignment w:val="center"/>
        <w:rPr>
          <w:sz w:val="24"/>
          <w:szCs w:val="24"/>
          <w:lang w:eastAsia="zh-CN"/>
        </w:rPr>
      </w:pPr>
      <w:bookmarkStart w:id="612" w:name="_Toc121423664"/>
      <w:r>
        <w:rPr>
          <w:rFonts w:hint="eastAsia"/>
          <w:sz w:val="24"/>
          <w:szCs w:val="24"/>
          <w:lang w:eastAsia="zh-CN"/>
        </w:rPr>
        <w:t>1)</w:t>
      </w:r>
      <w:r>
        <w:rPr>
          <w:sz w:val="24"/>
          <w:szCs w:val="24"/>
          <w:lang w:eastAsia="zh-CN"/>
        </w:rPr>
        <w:t>事故排放大气污染物预测分析</w:t>
      </w:r>
    </w:p>
    <w:p>
      <w:pPr>
        <w:snapToGrid w:val="0"/>
        <w:spacing w:after="0" w:line="360" w:lineRule="auto"/>
        <w:ind w:firstLine="454"/>
        <w:textAlignment w:val="center"/>
        <w:rPr>
          <w:sz w:val="24"/>
          <w:szCs w:val="24"/>
          <w:lang w:eastAsia="zh-CN"/>
        </w:rPr>
      </w:pPr>
      <w:r>
        <w:rPr>
          <w:sz w:val="24"/>
          <w:szCs w:val="24"/>
          <w:lang w:eastAsia="zh-CN"/>
        </w:rPr>
        <w:t>按照《大气环境影响评价导则》（HJ2.2-2008）附录A，对于小于1小时的短期非正常排放，可采用估算模式进行预测。假定非正常排放一小时，恶臭污染物下风向浓度预测结果见</w:t>
      </w:r>
      <w:r>
        <w:rPr>
          <w:rFonts w:hint="eastAsia"/>
          <w:sz w:val="24"/>
          <w:szCs w:val="24"/>
          <w:lang w:eastAsia="zh-CN"/>
        </w:rPr>
        <w:t>下表</w:t>
      </w:r>
      <w:r>
        <w:rPr>
          <w:sz w:val="24"/>
          <w:szCs w:val="24"/>
          <w:lang w:eastAsia="zh-CN"/>
        </w:rPr>
        <w:t>。</w:t>
      </w:r>
    </w:p>
    <w:p>
      <w:pPr>
        <w:jc w:val="center"/>
        <w:rPr>
          <w:b/>
          <w:bCs/>
          <w:sz w:val="24"/>
          <w:szCs w:val="24"/>
          <w:lang w:eastAsia="zh-CN"/>
        </w:rPr>
      </w:pPr>
      <w:r>
        <w:rPr>
          <w:b/>
          <w:bCs/>
          <w:sz w:val="24"/>
          <w:szCs w:val="24"/>
          <w:lang w:eastAsia="zh-CN"/>
        </w:rPr>
        <w:t>表</w:t>
      </w:r>
      <w:r>
        <w:rPr>
          <w:rFonts w:hint="eastAsia"/>
          <w:b/>
          <w:bCs/>
          <w:sz w:val="24"/>
          <w:szCs w:val="24"/>
          <w:lang w:eastAsia="zh-CN"/>
        </w:rPr>
        <w:t>6.6-2</w:t>
      </w:r>
      <w:r>
        <w:rPr>
          <w:b/>
          <w:bCs/>
          <w:sz w:val="24"/>
          <w:szCs w:val="24"/>
          <w:lang w:eastAsia="zh-CN"/>
        </w:rPr>
        <w:t xml:space="preserve">  非正常工况恶臭估算模式计算结果表</w:t>
      </w:r>
    </w:p>
    <w:tbl>
      <w:tblPr>
        <w:tblStyle w:val="30"/>
        <w:tblW w:w="85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3"/>
        <w:gridCol w:w="1983"/>
        <w:gridCol w:w="1629"/>
        <w:gridCol w:w="1953"/>
        <w:gridCol w:w="16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0" w:type="auto"/>
            <w:vMerge w:val="restart"/>
            <w:vAlign w:val="center"/>
          </w:tcPr>
          <w:p>
            <w:pPr>
              <w:spacing w:after="0" w:line="240" w:lineRule="auto"/>
              <w:jc w:val="center"/>
              <w:rPr>
                <w:b/>
              </w:rPr>
            </w:pPr>
            <w:r>
              <w:rPr>
                <w:rFonts w:ascii="宋体" w:hAnsi="宋体"/>
                <w:b/>
                <w:sz w:val="23"/>
                <w:szCs w:val="23"/>
              </w:rPr>
              <w:t>下风向距离</w:t>
            </w:r>
          </w:p>
        </w:tc>
        <w:tc>
          <w:tcPr>
            <w:tcW w:w="0" w:type="auto"/>
            <w:gridSpan w:val="4"/>
            <w:vAlign w:val="center"/>
          </w:tcPr>
          <w:p>
            <w:pPr>
              <w:spacing w:after="0" w:line="240" w:lineRule="auto"/>
              <w:jc w:val="center"/>
              <w:rPr>
                <w:b/>
              </w:rPr>
            </w:pPr>
            <w:r>
              <w:rPr>
                <w:rFonts w:ascii="宋体" w:hAnsi="宋体"/>
                <w:b/>
                <w:sz w:val="23"/>
                <w:szCs w:val="23"/>
              </w:rPr>
              <w:t>矩形面源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0" w:type="auto"/>
            <w:vMerge w:val="continue"/>
            <w:vAlign w:val="center"/>
          </w:tcPr>
          <w:p>
            <w:pPr>
              <w:spacing w:after="0" w:line="240" w:lineRule="auto"/>
              <w:jc w:val="center"/>
              <w:rPr>
                <w:b/>
              </w:rPr>
            </w:pPr>
          </w:p>
        </w:tc>
        <w:tc>
          <w:tcPr>
            <w:tcW w:w="0" w:type="auto"/>
            <w:vAlign w:val="center"/>
          </w:tcPr>
          <w:p>
            <w:pPr>
              <w:spacing w:after="0" w:line="240" w:lineRule="auto"/>
              <w:jc w:val="center"/>
              <w:rPr>
                <w:b/>
              </w:rPr>
            </w:pPr>
            <w:r>
              <w:rPr>
                <w:rFonts w:ascii="宋体" w:hAnsi="宋体"/>
                <w:b/>
                <w:sz w:val="23"/>
                <w:szCs w:val="23"/>
              </w:rPr>
              <w:t>H</w:t>
            </w:r>
            <w:r>
              <w:rPr>
                <w:rFonts w:ascii="宋体" w:hAnsi="宋体"/>
                <w:b/>
                <w:sz w:val="23"/>
                <w:szCs w:val="23"/>
                <w:vertAlign w:val="subscript"/>
              </w:rPr>
              <w:t>2</w:t>
            </w:r>
            <w:r>
              <w:rPr>
                <w:rFonts w:ascii="宋体" w:hAnsi="宋体"/>
                <w:b/>
                <w:sz w:val="23"/>
                <w:szCs w:val="23"/>
              </w:rPr>
              <w:t>S浓度(μg/m³)</w:t>
            </w:r>
          </w:p>
        </w:tc>
        <w:tc>
          <w:tcPr>
            <w:tcW w:w="0" w:type="auto"/>
            <w:vAlign w:val="center"/>
          </w:tcPr>
          <w:p>
            <w:pPr>
              <w:spacing w:after="0" w:line="240" w:lineRule="auto"/>
              <w:jc w:val="center"/>
              <w:rPr>
                <w:b/>
              </w:rPr>
            </w:pPr>
            <w:r>
              <w:rPr>
                <w:rFonts w:ascii="宋体" w:hAnsi="宋体"/>
                <w:b/>
                <w:sz w:val="23"/>
                <w:szCs w:val="23"/>
              </w:rPr>
              <w:t>H</w:t>
            </w:r>
            <w:r>
              <w:rPr>
                <w:rFonts w:ascii="宋体" w:hAnsi="宋体"/>
                <w:b/>
                <w:sz w:val="23"/>
                <w:szCs w:val="23"/>
                <w:vertAlign w:val="subscript"/>
              </w:rPr>
              <w:t>2</w:t>
            </w:r>
            <w:r>
              <w:rPr>
                <w:rFonts w:ascii="宋体" w:hAnsi="宋体"/>
                <w:b/>
                <w:sz w:val="23"/>
                <w:szCs w:val="23"/>
              </w:rPr>
              <w:t>S占标率(%)</w:t>
            </w:r>
          </w:p>
        </w:tc>
        <w:tc>
          <w:tcPr>
            <w:tcW w:w="0" w:type="auto"/>
            <w:vAlign w:val="center"/>
          </w:tcPr>
          <w:p>
            <w:pPr>
              <w:spacing w:after="0" w:line="240" w:lineRule="auto"/>
              <w:jc w:val="center"/>
              <w:rPr>
                <w:b/>
              </w:rPr>
            </w:pPr>
            <w:r>
              <w:rPr>
                <w:rFonts w:ascii="宋体" w:hAnsi="宋体"/>
                <w:b/>
                <w:sz w:val="23"/>
                <w:szCs w:val="23"/>
              </w:rPr>
              <w:t>NH</w:t>
            </w:r>
            <w:r>
              <w:rPr>
                <w:rFonts w:ascii="宋体" w:hAnsi="宋体"/>
                <w:b/>
                <w:sz w:val="23"/>
                <w:szCs w:val="23"/>
                <w:vertAlign w:val="subscript"/>
              </w:rPr>
              <w:t>3</w:t>
            </w:r>
            <w:r>
              <w:rPr>
                <w:rFonts w:ascii="宋体" w:hAnsi="宋体"/>
                <w:b/>
                <w:sz w:val="23"/>
                <w:szCs w:val="23"/>
              </w:rPr>
              <w:t>浓度(μg/m³)</w:t>
            </w:r>
          </w:p>
        </w:tc>
        <w:tc>
          <w:tcPr>
            <w:tcW w:w="0" w:type="auto"/>
            <w:vAlign w:val="center"/>
          </w:tcPr>
          <w:p>
            <w:pPr>
              <w:spacing w:after="0" w:line="240" w:lineRule="auto"/>
              <w:jc w:val="center"/>
              <w:rPr>
                <w:b/>
              </w:rPr>
            </w:pPr>
            <w:r>
              <w:rPr>
                <w:rFonts w:ascii="宋体" w:hAnsi="宋体"/>
                <w:b/>
                <w:sz w:val="23"/>
                <w:szCs w:val="23"/>
              </w:rPr>
              <w:t>NH</w:t>
            </w:r>
            <w:r>
              <w:rPr>
                <w:rFonts w:ascii="宋体" w:hAnsi="宋体"/>
                <w:b/>
                <w:sz w:val="23"/>
                <w:szCs w:val="23"/>
                <w:vertAlign w:val="subscript"/>
              </w:rPr>
              <w:t>3</w:t>
            </w:r>
            <w:r>
              <w:rPr>
                <w:rFonts w:ascii="宋体" w:hAnsi="宋体"/>
                <w:b/>
                <w:sz w:val="23"/>
                <w:szCs w:val="23"/>
              </w:rPr>
              <w:t>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1.0</w:t>
            </w:r>
          </w:p>
        </w:tc>
        <w:tc>
          <w:tcPr>
            <w:tcW w:w="0" w:type="auto"/>
            <w:vAlign w:val="center"/>
          </w:tcPr>
          <w:p>
            <w:pPr>
              <w:spacing w:after="0" w:line="240" w:lineRule="auto"/>
              <w:jc w:val="center"/>
            </w:pPr>
            <w:r>
              <w:rPr>
                <w:rFonts w:ascii="宋体" w:hAnsi="宋体"/>
                <w:sz w:val="23"/>
                <w:szCs w:val="23"/>
              </w:rPr>
              <w:t>0.066259</w:t>
            </w:r>
          </w:p>
        </w:tc>
        <w:tc>
          <w:tcPr>
            <w:tcW w:w="0" w:type="auto"/>
            <w:vAlign w:val="center"/>
          </w:tcPr>
          <w:p>
            <w:pPr>
              <w:spacing w:after="0" w:line="240" w:lineRule="auto"/>
              <w:jc w:val="center"/>
            </w:pPr>
            <w:r>
              <w:rPr>
                <w:rFonts w:ascii="宋体" w:hAnsi="宋体"/>
                <w:sz w:val="23"/>
                <w:szCs w:val="23"/>
              </w:rPr>
              <w:t>0.662590</w:t>
            </w:r>
          </w:p>
        </w:tc>
        <w:tc>
          <w:tcPr>
            <w:tcW w:w="0" w:type="auto"/>
            <w:vAlign w:val="center"/>
          </w:tcPr>
          <w:p>
            <w:pPr>
              <w:spacing w:after="0" w:line="240" w:lineRule="auto"/>
              <w:jc w:val="center"/>
            </w:pPr>
            <w:r>
              <w:rPr>
                <w:rFonts w:ascii="宋体" w:hAnsi="宋体"/>
                <w:sz w:val="23"/>
                <w:szCs w:val="23"/>
              </w:rPr>
              <w:t>0.662590</w:t>
            </w:r>
          </w:p>
        </w:tc>
        <w:tc>
          <w:tcPr>
            <w:tcW w:w="0" w:type="auto"/>
            <w:vAlign w:val="center"/>
          </w:tcPr>
          <w:p>
            <w:pPr>
              <w:spacing w:after="0" w:line="240" w:lineRule="auto"/>
              <w:jc w:val="center"/>
            </w:pPr>
            <w:r>
              <w:rPr>
                <w:rFonts w:ascii="宋体" w:hAnsi="宋体"/>
                <w:sz w:val="23"/>
                <w:szCs w:val="23"/>
              </w:rPr>
              <w:t>0.331295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11.0</w:t>
            </w:r>
          </w:p>
        </w:tc>
        <w:tc>
          <w:tcPr>
            <w:tcW w:w="0" w:type="auto"/>
            <w:vAlign w:val="center"/>
          </w:tcPr>
          <w:p>
            <w:pPr>
              <w:spacing w:after="0" w:line="240" w:lineRule="auto"/>
              <w:jc w:val="center"/>
            </w:pPr>
            <w:r>
              <w:rPr>
                <w:rFonts w:ascii="宋体" w:hAnsi="宋体"/>
                <w:sz w:val="23"/>
                <w:szCs w:val="23"/>
              </w:rPr>
              <w:t>0.100440</w:t>
            </w:r>
          </w:p>
        </w:tc>
        <w:tc>
          <w:tcPr>
            <w:tcW w:w="0" w:type="auto"/>
            <w:vAlign w:val="center"/>
          </w:tcPr>
          <w:p>
            <w:pPr>
              <w:spacing w:after="0" w:line="240" w:lineRule="auto"/>
              <w:jc w:val="center"/>
            </w:pPr>
            <w:r>
              <w:rPr>
                <w:rFonts w:ascii="宋体" w:hAnsi="宋体"/>
                <w:sz w:val="23"/>
                <w:szCs w:val="23"/>
              </w:rPr>
              <w:t>1.004400</w:t>
            </w:r>
          </w:p>
        </w:tc>
        <w:tc>
          <w:tcPr>
            <w:tcW w:w="0" w:type="auto"/>
            <w:vAlign w:val="center"/>
          </w:tcPr>
          <w:p>
            <w:pPr>
              <w:spacing w:after="0" w:line="240" w:lineRule="auto"/>
              <w:jc w:val="center"/>
            </w:pPr>
            <w:r>
              <w:rPr>
                <w:rFonts w:ascii="宋体" w:hAnsi="宋体"/>
                <w:sz w:val="23"/>
                <w:szCs w:val="23"/>
              </w:rPr>
              <w:t>1.004400</w:t>
            </w:r>
          </w:p>
        </w:tc>
        <w:tc>
          <w:tcPr>
            <w:tcW w:w="0" w:type="auto"/>
            <w:vAlign w:val="center"/>
          </w:tcPr>
          <w:p>
            <w:pPr>
              <w:spacing w:after="0" w:line="240" w:lineRule="auto"/>
              <w:jc w:val="center"/>
            </w:pPr>
            <w:r>
              <w:rPr>
                <w:rFonts w:ascii="宋体" w:hAnsi="宋体"/>
                <w:sz w:val="23"/>
                <w:szCs w:val="23"/>
              </w:rPr>
              <w:t>0.502200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50.0</w:t>
            </w:r>
          </w:p>
        </w:tc>
        <w:tc>
          <w:tcPr>
            <w:tcW w:w="0" w:type="auto"/>
            <w:vAlign w:val="center"/>
          </w:tcPr>
          <w:p>
            <w:pPr>
              <w:spacing w:after="0" w:line="240" w:lineRule="auto"/>
              <w:jc w:val="center"/>
            </w:pPr>
            <w:r>
              <w:rPr>
                <w:rFonts w:ascii="宋体" w:hAnsi="宋体"/>
                <w:sz w:val="23"/>
                <w:szCs w:val="23"/>
              </w:rPr>
              <w:t>0.045743</w:t>
            </w:r>
          </w:p>
        </w:tc>
        <w:tc>
          <w:tcPr>
            <w:tcW w:w="0" w:type="auto"/>
            <w:vAlign w:val="center"/>
          </w:tcPr>
          <w:p>
            <w:pPr>
              <w:spacing w:after="0" w:line="240" w:lineRule="auto"/>
              <w:jc w:val="center"/>
            </w:pPr>
            <w:r>
              <w:rPr>
                <w:rFonts w:ascii="宋体" w:hAnsi="宋体"/>
                <w:sz w:val="23"/>
                <w:szCs w:val="23"/>
              </w:rPr>
              <w:t>0.457430</w:t>
            </w:r>
          </w:p>
        </w:tc>
        <w:tc>
          <w:tcPr>
            <w:tcW w:w="0" w:type="auto"/>
            <w:vAlign w:val="center"/>
          </w:tcPr>
          <w:p>
            <w:pPr>
              <w:spacing w:after="0" w:line="240" w:lineRule="auto"/>
              <w:jc w:val="center"/>
            </w:pPr>
            <w:r>
              <w:rPr>
                <w:rFonts w:ascii="宋体" w:hAnsi="宋体"/>
                <w:sz w:val="23"/>
                <w:szCs w:val="23"/>
              </w:rPr>
              <w:t>0.457430</w:t>
            </w:r>
          </w:p>
        </w:tc>
        <w:tc>
          <w:tcPr>
            <w:tcW w:w="0" w:type="auto"/>
            <w:vAlign w:val="center"/>
          </w:tcPr>
          <w:p>
            <w:pPr>
              <w:spacing w:after="0" w:line="240" w:lineRule="auto"/>
              <w:jc w:val="center"/>
            </w:pPr>
            <w:r>
              <w:rPr>
                <w:rFonts w:ascii="宋体" w:hAnsi="宋体"/>
                <w:sz w:val="23"/>
                <w:szCs w:val="23"/>
              </w:rPr>
              <w:t>0.228715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100.0</w:t>
            </w:r>
          </w:p>
        </w:tc>
        <w:tc>
          <w:tcPr>
            <w:tcW w:w="0" w:type="auto"/>
            <w:vAlign w:val="center"/>
          </w:tcPr>
          <w:p>
            <w:pPr>
              <w:spacing w:after="0" w:line="240" w:lineRule="auto"/>
              <w:jc w:val="center"/>
            </w:pPr>
            <w:r>
              <w:rPr>
                <w:rFonts w:ascii="宋体" w:hAnsi="宋体"/>
                <w:sz w:val="23"/>
                <w:szCs w:val="23"/>
              </w:rPr>
              <w:t>0.029108</w:t>
            </w:r>
          </w:p>
        </w:tc>
        <w:tc>
          <w:tcPr>
            <w:tcW w:w="0" w:type="auto"/>
            <w:vAlign w:val="center"/>
          </w:tcPr>
          <w:p>
            <w:pPr>
              <w:spacing w:after="0" w:line="240" w:lineRule="auto"/>
              <w:jc w:val="center"/>
            </w:pPr>
            <w:r>
              <w:rPr>
                <w:rFonts w:ascii="宋体" w:hAnsi="宋体"/>
                <w:sz w:val="23"/>
                <w:szCs w:val="23"/>
              </w:rPr>
              <w:t>0.291080</w:t>
            </w:r>
          </w:p>
        </w:tc>
        <w:tc>
          <w:tcPr>
            <w:tcW w:w="0" w:type="auto"/>
            <w:vAlign w:val="center"/>
          </w:tcPr>
          <w:p>
            <w:pPr>
              <w:spacing w:after="0" w:line="240" w:lineRule="auto"/>
              <w:jc w:val="center"/>
            </w:pPr>
            <w:r>
              <w:rPr>
                <w:rFonts w:ascii="宋体" w:hAnsi="宋体"/>
                <w:sz w:val="23"/>
                <w:szCs w:val="23"/>
              </w:rPr>
              <w:t>0.291080</w:t>
            </w:r>
          </w:p>
        </w:tc>
        <w:tc>
          <w:tcPr>
            <w:tcW w:w="0" w:type="auto"/>
            <w:vAlign w:val="center"/>
          </w:tcPr>
          <w:p>
            <w:pPr>
              <w:spacing w:after="0" w:line="240" w:lineRule="auto"/>
              <w:jc w:val="center"/>
            </w:pPr>
            <w:r>
              <w:rPr>
                <w:rFonts w:ascii="宋体" w:hAnsi="宋体"/>
                <w:sz w:val="23"/>
                <w:szCs w:val="23"/>
              </w:rPr>
              <w:t>0.145540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200.0</w:t>
            </w:r>
          </w:p>
        </w:tc>
        <w:tc>
          <w:tcPr>
            <w:tcW w:w="0" w:type="auto"/>
            <w:vAlign w:val="center"/>
          </w:tcPr>
          <w:p>
            <w:pPr>
              <w:spacing w:after="0" w:line="240" w:lineRule="auto"/>
              <w:jc w:val="center"/>
            </w:pPr>
            <w:r>
              <w:rPr>
                <w:rFonts w:ascii="宋体" w:hAnsi="宋体"/>
                <w:sz w:val="23"/>
                <w:szCs w:val="23"/>
              </w:rPr>
              <w:t>0.016505</w:t>
            </w:r>
          </w:p>
        </w:tc>
        <w:tc>
          <w:tcPr>
            <w:tcW w:w="0" w:type="auto"/>
            <w:vAlign w:val="center"/>
          </w:tcPr>
          <w:p>
            <w:pPr>
              <w:spacing w:after="0" w:line="240" w:lineRule="auto"/>
              <w:jc w:val="center"/>
            </w:pPr>
            <w:r>
              <w:rPr>
                <w:rFonts w:ascii="宋体" w:hAnsi="宋体"/>
                <w:sz w:val="23"/>
                <w:szCs w:val="23"/>
              </w:rPr>
              <w:t>0.165050</w:t>
            </w:r>
          </w:p>
        </w:tc>
        <w:tc>
          <w:tcPr>
            <w:tcW w:w="0" w:type="auto"/>
            <w:vAlign w:val="center"/>
          </w:tcPr>
          <w:p>
            <w:pPr>
              <w:spacing w:after="0" w:line="240" w:lineRule="auto"/>
              <w:jc w:val="center"/>
            </w:pPr>
            <w:r>
              <w:rPr>
                <w:rFonts w:ascii="宋体" w:hAnsi="宋体"/>
                <w:sz w:val="23"/>
                <w:szCs w:val="23"/>
              </w:rPr>
              <w:t>0.165050</w:t>
            </w:r>
          </w:p>
        </w:tc>
        <w:tc>
          <w:tcPr>
            <w:tcW w:w="0" w:type="auto"/>
            <w:vAlign w:val="center"/>
          </w:tcPr>
          <w:p>
            <w:pPr>
              <w:spacing w:after="0" w:line="240" w:lineRule="auto"/>
              <w:jc w:val="center"/>
            </w:pPr>
            <w:r>
              <w:rPr>
                <w:rFonts w:ascii="宋体" w:hAnsi="宋体"/>
                <w:sz w:val="23"/>
                <w:szCs w:val="23"/>
              </w:rPr>
              <w:t>0.082525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300.0</w:t>
            </w:r>
          </w:p>
        </w:tc>
        <w:tc>
          <w:tcPr>
            <w:tcW w:w="0" w:type="auto"/>
            <w:vAlign w:val="center"/>
          </w:tcPr>
          <w:p>
            <w:pPr>
              <w:spacing w:after="0" w:line="240" w:lineRule="auto"/>
              <w:jc w:val="center"/>
            </w:pPr>
            <w:r>
              <w:rPr>
                <w:rFonts w:ascii="宋体" w:hAnsi="宋体"/>
                <w:sz w:val="23"/>
                <w:szCs w:val="23"/>
              </w:rPr>
              <w:t>0.012352</w:t>
            </w:r>
          </w:p>
        </w:tc>
        <w:tc>
          <w:tcPr>
            <w:tcW w:w="0" w:type="auto"/>
            <w:vAlign w:val="center"/>
          </w:tcPr>
          <w:p>
            <w:pPr>
              <w:spacing w:after="0" w:line="240" w:lineRule="auto"/>
              <w:jc w:val="center"/>
            </w:pPr>
            <w:r>
              <w:rPr>
                <w:rFonts w:ascii="宋体" w:hAnsi="宋体"/>
                <w:sz w:val="23"/>
                <w:szCs w:val="23"/>
              </w:rPr>
              <w:t>0.123520</w:t>
            </w:r>
          </w:p>
        </w:tc>
        <w:tc>
          <w:tcPr>
            <w:tcW w:w="0" w:type="auto"/>
            <w:vAlign w:val="center"/>
          </w:tcPr>
          <w:p>
            <w:pPr>
              <w:spacing w:after="0" w:line="240" w:lineRule="auto"/>
              <w:jc w:val="center"/>
            </w:pPr>
            <w:r>
              <w:rPr>
                <w:rFonts w:ascii="宋体" w:hAnsi="宋体"/>
                <w:sz w:val="23"/>
                <w:szCs w:val="23"/>
              </w:rPr>
              <w:t>0.123520</w:t>
            </w:r>
          </w:p>
        </w:tc>
        <w:tc>
          <w:tcPr>
            <w:tcW w:w="0" w:type="auto"/>
            <w:vAlign w:val="center"/>
          </w:tcPr>
          <w:p>
            <w:pPr>
              <w:spacing w:after="0" w:line="240" w:lineRule="auto"/>
              <w:jc w:val="center"/>
            </w:pPr>
            <w:r>
              <w:rPr>
                <w:rFonts w:ascii="宋体" w:hAnsi="宋体"/>
                <w:sz w:val="23"/>
                <w:szCs w:val="23"/>
              </w:rPr>
              <w:t>0.061760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400.0</w:t>
            </w:r>
          </w:p>
        </w:tc>
        <w:tc>
          <w:tcPr>
            <w:tcW w:w="0" w:type="auto"/>
            <w:vAlign w:val="center"/>
          </w:tcPr>
          <w:p>
            <w:pPr>
              <w:spacing w:after="0" w:line="240" w:lineRule="auto"/>
              <w:jc w:val="center"/>
            </w:pPr>
            <w:r>
              <w:rPr>
                <w:rFonts w:ascii="宋体" w:hAnsi="宋体"/>
                <w:sz w:val="23"/>
                <w:szCs w:val="23"/>
              </w:rPr>
              <w:t>0.010761</w:t>
            </w:r>
          </w:p>
        </w:tc>
        <w:tc>
          <w:tcPr>
            <w:tcW w:w="0" w:type="auto"/>
            <w:vAlign w:val="center"/>
          </w:tcPr>
          <w:p>
            <w:pPr>
              <w:spacing w:after="0" w:line="240" w:lineRule="auto"/>
              <w:jc w:val="center"/>
            </w:pPr>
            <w:r>
              <w:rPr>
                <w:rFonts w:ascii="宋体" w:hAnsi="宋体"/>
                <w:sz w:val="23"/>
                <w:szCs w:val="23"/>
              </w:rPr>
              <w:t>0.107610</w:t>
            </w:r>
          </w:p>
        </w:tc>
        <w:tc>
          <w:tcPr>
            <w:tcW w:w="0" w:type="auto"/>
            <w:vAlign w:val="center"/>
          </w:tcPr>
          <w:p>
            <w:pPr>
              <w:spacing w:after="0" w:line="240" w:lineRule="auto"/>
              <w:jc w:val="center"/>
            </w:pPr>
            <w:r>
              <w:rPr>
                <w:rFonts w:ascii="宋体" w:hAnsi="宋体"/>
                <w:sz w:val="23"/>
                <w:szCs w:val="23"/>
              </w:rPr>
              <w:t>0.107610</w:t>
            </w:r>
          </w:p>
        </w:tc>
        <w:tc>
          <w:tcPr>
            <w:tcW w:w="0" w:type="auto"/>
            <w:vAlign w:val="center"/>
          </w:tcPr>
          <w:p>
            <w:pPr>
              <w:spacing w:after="0" w:line="240" w:lineRule="auto"/>
              <w:jc w:val="center"/>
            </w:pPr>
            <w:r>
              <w:rPr>
                <w:rFonts w:ascii="宋体" w:hAnsi="宋体"/>
                <w:sz w:val="23"/>
                <w:szCs w:val="23"/>
              </w:rPr>
              <w:t>0.053805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500.0</w:t>
            </w:r>
          </w:p>
        </w:tc>
        <w:tc>
          <w:tcPr>
            <w:tcW w:w="0" w:type="auto"/>
            <w:vAlign w:val="center"/>
          </w:tcPr>
          <w:p>
            <w:pPr>
              <w:spacing w:after="0" w:line="240" w:lineRule="auto"/>
              <w:jc w:val="center"/>
            </w:pPr>
            <w:r>
              <w:rPr>
                <w:rFonts w:ascii="宋体" w:hAnsi="宋体"/>
                <w:sz w:val="23"/>
                <w:szCs w:val="23"/>
              </w:rPr>
              <w:t>0.009805</w:t>
            </w:r>
          </w:p>
        </w:tc>
        <w:tc>
          <w:tcPr>
            <w:tcW w:w="0" w:type="auto"/>
            <w:vAlign w:val="center"/>
          </w:tcPr>
          <w:p>
            <w:pPr>
              <w:spacing w:after="0" w:line="240" w:lineRule="auto"/>
              <w:jc w:val="center"/>
            </w:pPr>
            <w:r>
              <w:rPr>
                <w:rFonts w:ascii="宋体" w:hAnsi="宋体"/>
                <w:sz w:val="23"/>
                <w:szCs w:val="23"/>
              </w:rPr>
              <w:t>0.098049</w:t>
            </w:r>
          </w:p>
        </w:tc>
        <w:tc>
          <w:tcPr>
            <w:tcW w:w="0" w:type="auto"/>
            <w:vAlign w:val="center"/>
          </w:tcPr>
          <w:p>
            <w:pPr>
              <w:spacing w:after="0" w:line="240" w:lineRule="auto"/>
              <w:jc w:val="center"/>
            </w:pPr>
            <w:r>
              <w:rPr>
                <w:rFonts w:ascii="宋体" w:hAnsi="宋体"/>
                <w:sz w:val="23"/>
                <w:szCs w:val="23"/>
              </w:rPr>
              <w:t>0.098049</w:t>
            </w:r>
          </w:p>
        </w:tc>
        <w:tc>
          <w:tcPr>
            <w:tcW w:w="0" w:type="auto"/>
            <w:vAlign w:val="center"/>
          </w:tcPr>
          <w:p>
            <w:pPr>
              <w:spacing w:after="0" w:line="240" w:lineRule="auto"/>
              <w:jc w:val="center"/>
            </w:pPr>
            <w:r>
              <w:rPr>
                <w:rFonts w:ascii="宋体" w:hAnsi="宋体"/>
                <w:sz w:val="23"/>
                <w:szCs w:val="23"/>
              </w:rPr>
              <w:t>0.049024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600.0</w:t>
            </w:r>
          </w:p>
        </w:tc>
        <w:tc>
          <w:tcPr>
            <w:tcW w:w="0" w:type="auto"/>
            <w:vAlign w:val="center"/>
          </w:tcPr>
          <w:p>
            <w:pPr>
              <w:spacing w:after="0" w:line="240" w:lineRule="auto"/>
              <w:jc w:val="center"/>
            </w:pPr>
            <w:r>
              <w:rPr>
                <w:rFonts w:ascii="宋体" w:hAnsi="宋体"/>
                <w:sz w:val="23"/>
                <w:szCs w:val="23"/>
              </w:rPr>
              <w:t>0.009090</w:t>
            </w:r>
          </w:p>
        </w:tc>
        <w:tc>
          <w:tcPr>
            <w:tcW w:w="0" w:type="auto"/>
            <w:vAlign w:val="center"/>
          </w:tcPr>
          <w:p>
            <w:pPr>
              <w:spacing w:after="0" w:line="240" w:lineRule="auto"/>
              <w:jc w:val="center"/>
            </w:pPr>
            <w:r>
              <w:rPr>
                <w:rFonts w:ascii="宋体" w:hAnsi="宋体"/>
                <w:sz w:val="23"/>
                <w:szCs w:val="23"/>
              </w:rPr>
              <w:t>0.090900</w:t>
            </w:r>
          </w:p>
        </w:tc>
        <w:tc>
          <w:tcPr>
            <w:tcW w:w="0" w:type="auto"/>
            <w:vAlign w:val="center"/>
          </w:tcPr>
          <w:p>
            <w:pPr>
              <w:spacing w:after="0" w:line="240" w:lineRule="auto"/>
              <w:jc w:val="center"/>
            </w:pPr>
            <w:r>
              <w:rPr>
                <w:rFonts w:ascii="宋体" w:hAnsi="宋体"/>
                <w:sz w:val="23"/>
                <w:szCs w:val="23"/>
              </w:rPr>
              <w:t>0.090900</w:t>
            </w:r>
          </w:p>
        </w:tc>
        <w:tc>
          <w:tcPr>
            <w:tcW w:w="0" w:type="auto"/>
            <w:vAlign w:val="center"/>
          </w:tcPr>
          <w:p>
            <w:pPr>
              <w:spacing w:after="0" w:line="240" w:lineRule="auto"/>
              <w:jc w:val="center"/>
            </w:pPr>
            <w:r>
              <w:rPr>
                <w:rFonts w:ascii="宋体" w:hAnsi="宋体"/>
                <w:sz w:val="23"/>
                <w:szCs w:val="23"/>
              </w:rPr>
              <w:t>0.045450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700.0</w:t>
            </w:r>
          </w:p>
        </w:tc>
        <w:tc>
          <w:tcPr>
            <w:tcW w:w="0" w:type="auto"/>
            <w:vAlign w:val="center"/>
          </w:tcPr>
          <w:p>
            <w:pPr>
              <w:spacing w:after="0" w:line="240" w:lineRule="auto"/>
              <w:jc w:val="center"/>
            </w:pPr>
            <w:r>
              <w:rPr>
                <w:rFonts w:ascii="宋体" w:hAnsi="宋体"/>
                <w:sz w:val="23"/>
                <w:szCs w:val="23"/>
              </w:rPr>
              <w:t>0.008519</w:t>
            </w:r>
          </w:p>
        </w:tc>
        <w:tc>
          <w:tcPr>
            <w:tcW w:w="0" w:type="auto"/>
            <w:vAlign w:val="center"/>
          </w:tcPr>
          <w:p>
            <w:pPr>
              <w:spacing w:after="0" w:line="240" w:lineRule="auto"/>
              <w:jc w:val="center"/>
            </w:pPr>
            <w:r>
              <w:rPr>
                <w:rFonts w:ascii="宋体" w:hAnsi="宋体"/>
                <w:sz w:val="23"/>
                <w:szCs w:val="23"/>
              </w:rPr>
              <w:t>0.085189</w:t>
            </w:r>
          </w:p>
        </w:tc>
        <w:tc>
          <w:tcPr>
            <w:tcW w:w="0" w:type="auto"/>
            <w:vAlign w:val="center"/>
          </w:tcPr>
          <w:p>
            <w:pPr>
              <w:spacing w:after="0" w:line="240" w:lineRule="auto"/>
              <w:jc w:val="center"/>
            </w:pPr>
            <w:r>
              <w:rPr>
                <w:rFonts w:ascii="宋体" w:hAnsi="宋体"/>
                <w:sz w:val="23"/>
                <w:szCs w:val="23"/>
              </w:rPr>
              <w:t>0.085189</w:t>
            </w:r>
          </w:p>
        </w:tc>
        <w:tc>
          <w:tcPr>
            <w:tcW w:w="0" w:type="auto"/>
            <w:vAlign w:val="center"/>
          </w:tcPr>
          <w:p>
            <w:pPr>
              <w:spacing w:after="0" w:line="240" w:lineRule="auto"/>
              <w:jc w:val="center"/>
            </w:pPr>
            <w:r>
              <w:rPr>
                <w:rFonts w:ascii="宋体" w:hAnsi="宋体"/>
                <w:sz w:val="23"/>
                <w:szCs w:val="23"/>
              </w:rPr>
              <w:t>0.042594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800.0</w:t>
            </w:r>
          </w:p>
        </w:tc>
        <w:tc>
          <w:tcPr>
            <w:tcW w:w="0" w:type="auto"/>
            <w:vAlign w:val="center"/>
          </w:tcPr>
          <w:p>
            <w:pPr>
              <w:spacing w:after="0" w:line="240" w:lineRule="auto"/>
              <w:jc w:val="center"/>
            </w:pPr>
            <w:r>
              <w:rPr>
                <w:rFonts w:ascii="宋体" w:hAnsi="宋体"/>
                <w:sz w:val="23"/>
                <w:szCs w:val="23"/>
              </w:rPr>
              <w:t>0.008042</w:t>
            </w:r>
          </w:p>
        </w:tc>
        <w:tc>
          <w:tcPr>
            <w:tcW w:w="0" w:type="auto"/>
            <w:vAlign w:val="center"/>
          </w:tcPr>
          <w:p>
            <w:pPr>
              <w:spacing w:after="0" w:line="240" w:lineRule="auto"/>
              <w:jc w:val="center"/>
            </w:pPr>
            <w:r>
              <w:rPr>
                <w:rFonts w:ascii="宋体" w:hAnsi="宋体"/>
                <w:sz w:val="23"/>
                <w:szCs w:val="23"/>
              </w:rPr>
              <w:t>0.080421</w:t>
            </w:r>
          </w:p>
        </w:tc>
        <w:tc>
          <w:tcPr>
            <w:tcW w:w="0" w:type="auto"/>
            <w:vAlign w:val="center"/>
          </w:tcPr>
          <w:p>
            <w:pPr>
              <w:spacing w:after="0" w:line="240" w:lineRule="auto"/>
              <w:jc w:val="center"/>
            </w:pPr>
            <w:r>
              <w:rPr>
                <w:rFonts w:ascii="宋体" w:hAnsi="宋体"/>
                <w:sz w:val="23"/>
                <w:szCs w:val="23"/>
              </w:rPr>
              <w:t>0.080421</w:t>
            </w:r>
          </w:p>
        </w:tc>
        <w:tc>
          <w:tcPr>
            <w:tcW w:w="0" w:type="auto"/>
            <w:vAlign w:val="center"/>
          </w:tcPr>
          <w:p>
            <w:pPr>
              <w:spacing w:after="0" w:line="240" w:lineRule="auto"/>
              <w:jc w:val="center"/>
            </w:pPr>
            <w:r>
              <w:rPr>
                <w:rFonts w:ascii="宋体" w:hAnsi="宋体"/>
                <w:sz w:val="23"/>
                <w:szCs w:val="23"/>
              </w:rPr>
              <w:t>0.040210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900.0</w:t>
            </w:r>
          </w:p>
        </w:tc>
        <w:tc>
          <w:tcPr>
            <w:tcW w:w="0" w:type="auto"/>
            <w:vAlign w:val="center"/>
          </w:tcPr>
          <w:p>
            <w:pPr>
              <w:spacing w:after="0" w:line="240" w:lineRule="auto"/>
              <w:jc w:val="center"/>
            </w:pPr>
            <w:r>
              <w:rPr>
                <w:rFonts w:ascii="宋体" w:hAnsi="宋体"/>
                <w:sz w:val="23"/>
                <w:szCs w:val="23"/>
              </w:rPr>
              <w:t>0.007632</w:t>
            </w:r>
          </w:p>
        </w:tc>
        <w:tc>
          <w:tcPr>
            <w:tcW w:w="0" w:type="auto"/>
            <w:vAlign w:val="center"/>
          </w:tcPr>
          <w:p>
            <w:pPr>
              <w:spacing w:after="0" w:line="240" w:lineRule="auto"/>
              <w:jc w:val="center"/>
            </w:pPr>
            <w:r>
              <w:rPr>
                <w:rFonts w:ascii="宋体" w:hAnsi="宋体"/>
                <w:sz w:val="23"/>
                <w:szCs w:val="23"/>
              </w:rPr>
              <w:t>0.076316</w:t>
            </w:r>
          </w:p>
        </w:tc>
        <w:tc>
          <w:tcPr>
            <w:tcW w:w="0" w:type="auto"/>
            <w:vAlign w:val="center"/>
          </w:tcPr>
          <w:p>
            <w:pPr>
              <w:spacing w:after="0" w:line="240" w:lineRule="auto"/>
              <w:jc w:val="center"/>
            </w:pPr>
            <w:r>
              <w:rPr>
                <w:rFonts w:ascii="宋体" w:hAnsi="宋体"/>
                <w:sz w:val="23"/>
                <w:szCs w:val="23"/>
              </w:rPr>
              <w:t>0.076316</w:t>
            </w:r>
          </w:p>
        </w:tc>
        <w:tc>
          <w:tcPr>
            <w:tcW w:w="0" w:type="auto"/>
            <w:vAlign w:val="center"/>
          </w:tcPr>
          <w:p>
            <w:pPr>
              <w:spacing w:after="0" w:line="240" w:lineRule="auto"/>
              <w:jc w:val="center"/>
            </w:pPr>
            <w:r>
              <w:rPr>
                <w:rFonts w:ascii="宋体" w:hAnsi="宋体"/>
                <w:sz w:val="23"/>
                <w:szCs w:val="23"/>
              </w:rPr>
              <w:t>0.038158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1000.0</w:t>
            </w:r>
          </w:p>
        </w:tc>
        <w:tc>
          <w:tcPr>
            <w:tcW w:w="0" w:type="auto"/>
            <w:vAlign w:val="center"/>
          </w:tcPr>
          <w:p>
            <w:pPr>
              <w:spacing w:after="0" w:line="240" w:lineRule="auto"/>
              <w:jc w:val="center"/>
            </w:pPr>
            <w:r>
              <w:rPr>
                <w:rFonts w:ascii="宋体" w:hAnsi="宋体"/>
                <w:sz w:val="23"/>
                <w:szCs w:val="23"/>
              </w:rPr>
              <w:t>0.007270</w:t>
            </w:r>
          </w:p>
        </w:tc>
        <w:tc>
          <w:tcPr>
            <w:tcW w:w="0" w:type="auto"/>
            <w:vAlign w:val="center"/>
          </w:tcPr>
          <w:p>
            <w:pPr>
              <w:spacing w:after="0" w:line="240" w:lineRule="auto"/>
              <w:jc w:val="center"/>
            </w:pPr>
            <w:r>
              <w:rPr>
                <w:rFonts w:ascii="宋体" w:hAnsi="宋体"/>
                <w:sz w:val="23"/>
                <w:szCs w:val="23"/>
              </w:rPr>
              <w:t>0.072704</w:t>
            </w:r>
          </w:p>
        </w:tc>
        <w:tc>
          <w:tcPr>
            <w:tcW w:w="0" w:type="auto"/>
            <w:vAlign w:val="center"/>
          </w:tcPr>
          <w:p>
            <w:pPr>
              <w:spacing w:after="0" w:line="240" w:lineRule="auto"/>
              <w:jc w:val="center"/>
            </w:pPr>
            <w:r>
              <w:rPr>
                <w:rFonts w:ascii="宋体" w:hAnsi="宋体"/>
                <w:sz w:val="23"/>
                <w:szCs w:val="23"/>
              </w:rPr>
              <w:t>0.072704</w:t>
            </w:r>
          </w:p>
        </w:tc>
        <w:tc>
          <w:tcPr>
            <w:tcW w:w="0" w:type="auto"/>
            <w:vAlign w:val="center"/>
          </w:tcPr>
          <w:p>
            <w:pPr>
              <w:spacing w:after="0" w:line="240" w:lineRule="auto"/>
              <w:jc w:val="center"/>
            </w:pPr>
            <w:r>
              <w:rPr>
                <w:rFonts w:ascii="宋体" w:hAnsi="宋体"/>
                <w:sz w:val="23"/>
                <w:szCs w:val="23"/>
              </w:rPr>
              <w:t>0.036352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1100.0</w:t>
            </w:r>
          </w:p>
        </w:tc>
        <w:tc>
          <w:tcPr>
            <w:tcW w:w="0" w:type="auto"/>
            <w:vAlign w:val="center"/>
          </w:tcPr>
          <w:p>
            <w:pPr>
              <w:spacing w:after="0" w:line="240" w:lineRule="auto"/>
              <w:jc w:val="center"/>
            </w:pPr>
            <w:r>
              <w:rPr>
                <w:rFonts w:ascii="宋体" w:hAnsi="宋体"/>
                <w:sz w:val="23"/>
                <w:szCs w:val="23"/>
              </w:rPr>
              <w:t>0.006947</w:t>
            </w:r>
          </w:p>
        </w:tc>
        <w:tc>
          <w:tcPr>
            <w:tcW w:w="0" w:type="auto"/>
            <w:vAlign w:val="center"/>
          </w:tcPr>
          <w:p>
            <w:pPr>
              <w:spacing w:after="0" w:line="240" w:lineRule="auto"/>
              <w:jc w:val="center"/>
            </w:pPr>
            <w:r>
              <w:rPr>
                <w:rFonts w:ascii="宋体" w:hAnsi="宋体"/>
                <w:sz w:val="23"/>
                <w:szCs w:val="23"/>
              </w:rPr>
              <w:t>0.069475</w:t>
            </w:r>
          </w:p>
        </w:tc>
        <w:tc>
          <w:tcPr>
            <w:tcW w:w="0" w:type="auto"/>
            <w:vAlign w:val="center"/>
          </w:tcPr>
          <w:p>
            <w:pPr>
              <w:spacing w:after="0" w:line="240" w:lineRule="auto"/>
              <w:jc w:val="center"/>
            </w:pPr>
            <w:r>
              <w:rPr>
                <w:rFonts w:ascii="宋体" w:hAnsi="宋体"/>
                <w:sz w:val="23"/>
                <w:szCs w:val="23"/>
              </w:rPr>
              <w:t>0.069475</w:t>
            </w:r>
          </w:p>
        </w:tc>
        <w:tc>
          <w:tcPr>
            <w:tcW w:w="0" w:type="auto"/>
            <w:vAlign w:val="center"/>
          </w:tcPr>
          <w:p>
            <w:pPr>
              <w:spacing w:after="0" w:line="240" w:lineRule="auto"/>
              <w:jc w:val="center"/>
            </w:pPr>
            <w:r>
              <w:rPr>
                <w:rFonts w:ascii="宋体" w:hAnsi="宋体"/>
                <w:sz w:val="23"/>
                <w:szCs w:val="23"/>
              </w:rPr>
              <w:t>0.034737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1200.0</w:t>
            </w:r>
          </w:p>
        </w:tc>
        <w:tc>
          <w:tcPr>
            <w:tcW w:w="0" w:type="auto"/>
            <w:vAlign w:val="center"/>
          </w:tcPr>
          <w:p>
            <w:pPr>
              <w:spacing w:after="0" w:line="240" w:lineRule="auto"/>
              <w:jc w:val="center"/>
            </w:pPr>
            <w:r>
              <w:rPr>
                <w:rFonts w:ascii="宋体" w:hAnsi="宋体"/>
                <w:sz w:val="23"/>
                <w:szCs w:val="23"/>
              </w:rPr>
              <w:t>0.006655</w:t>
            </w:r>
          </w:p>
        </w:tc>
        <w:tc>
          <w:tcPr>
            <w:tcW w:w="0" w:type="auto"/>
            <w:vAlign w:val="center"/>
          </w:tcPr>
          <w:p>
            <w:pPr>
              <w:spacing w:after="0" w:line="240" w:lineRule="auto"/>
              <w:jc w:val="center"/>
            </w:pPr>
            <w:r>
              <w:rPr>
                <w:rFonts w:ascii="宋体" w:hAnsi="宋体"/>
                <w:sz w:val="23"/>
                <w:szCs w:val="23"/>
              </w:rPr>
              <w:t>0.066555</w:t>
            </w:r>
          </w:p>
        </w:tc>
        <w:tc>
          <w:tcPr>
            <w:tcW w:w="0" w:type="auto"/>
            <w:vAlign w:val="center"/>
          </w:tcPr>
          <w:p>
            <w:pPr>
              <w:spacing w:after="0" w:line="240" w:lineRule="auto"/>
              <w:jc w:val="center"/>
            </w:pPr>
            <w:r>
              <w:rPr>
                <w:rFonts w:ascii="宋体" w:hAnsi="宋体"/>
                <w:sz w:val="23"/>
                <w:szCs w:val="23"/>
              </w:rPr>
              <w:t>0.066555</w:t>
            </w:r>
          </w:p>
        </w:tc>
        <w:tc>
          <w:tcPr>
            <w:tcW w:w="0" w:type="auto"/>
            <w:vAlign w:val="center"/>
          </w:tcPr>
          <w:p>
            <w:pPr>
              <w:spacing w:after="0" w:line="240" w:lineRule="auto"/>
              <w:jc w:val="center"/>
            </w:pPr>
            <w:r>
              <w:rPr>
                <w:rFonts w:ascii="宋体" w:hAnsi="宋体"/>
                <w:sz w:val="23"/>
                <w:szCs w:val="23"/>
              </w:rPr>
              <w:t>0.033277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1300.0</w:t>
            </w:r>
          </w:p>
        </w:tc>
        <w:tc>
          <w:tcPr>
            <w:tcW w:w="0" w:type="auto"/>
            <w:vAlign w:val="center"/>
          </w:tcPr>
          <w:p>
            <w:pPr>
              <w:spacing w:after="0" w:line="240" w:lineRule="auto"/>
              <w:jc w:val="center"/>
            </w:pPr>
            <w:r>
              <w:rPr>
                <w:rFonts w:ascii="宋体" w:hAnsi="宋体"/>
                <w:sz w:val="23"/>
                <w:szCs w:val="23"/>
              </w:rPr>
              <w:t>0.006389</w:t>
            </w:r>
          </w:p>
        </w:tc>
        <w:tc>
          <w:tcPr>
            <w:tcW w:w="0" w:type="auto"/>
            <w:vAlign w:val="center"/>
          </w:tcPr>
          <w:p>
            <w:pPr>
              <w:spacing w:after="0" w:line="240" w:lineRule="auto"/>
              <w:jc w:val="center"/>
            </w:pPr>
            <w:r>
              <w:rPr>
                <w:rFonts w:ascii="宋体" w:hAnsi="宋体"/>
                <w:sz w:val="23"/>
                <w:szCs w:val="23"/>
              </w:rPr>
              <w:t>0.063890</w:t>
            </w:r>
          </w:p>
        </w:tc>
        <w:tc>
          <w:tcPr>
            <w:tcW w:w="0" w:type="auto"/>
            <w:vAlign w:val="center"/>
          </w:tcPr>
          <w:p>
            <w:pPr>
              <w:spacing w:after="0" w:line="240" w:lineRule="auto"/>
              <w:jc w:val="center"/>
            </w:pPr>
            <w:r>
              <w:rPr>
                <w:rFonts w:ascii="宋体" w:hAnsi="宋体"/>
                <w:sz w:val="23"/>
                <w:szCs w:val="23"/>
              </w:rPr>
              <w:t>0.063890</w:t>
            </w:r>
          </w:p>
        </w:tc>
        <w:tc>
          <w:tcPr>
            <w:tcW w:w="0" w:type="auto"/>
            <w:vAlign w:val="center"/>
          </w:tcPr>
          <w:p>
            <w:pPr>
              <w:spacing w:after="0" w:line="240" w:lineRule="auto"/>
              <w:jc w:val="center"/>
            </w:pPr>
            <w:r>
              <w:rPr>
                <w:rFonts w:ascii="宋体" w:hAnsi="宋体"/>
                <w:sz w:val="23"/>
                <w:szCs w:val="23"/>
              </w:rPr>
              <w:t>0.031945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1400.0</w:t>
            </w:r>
          </w:p>
        </w:tc>
        <w:tc>
          <w:tcPr>
            <w:tcW w:w="0" w:type="auto"/>
            <w:vAlign w:val="center"/>
          </w:tcPr>
          <w:p>
            <w:pPr>
              <w:spacing w:after="0" w:line="240" w:lineRule="auto"/>
              <w:jc w:val="center"/>
            </w:pPr>
            <w:r>
              <w:rPr>
                <w:rFonts w:ascii="宋体" w:hAnsi="宋体"/>
                <w:sz w:val="23"/>
                <w:szCs w:val="23"/>
              </w:rPr>
              <w:t>0.006144</w:t>
            </w:r>
          </w:p>
        </w:tc>
        <w:tc>
          <w:tcPr>
            <w:tcW w:w="0" w:type="auto"/>
            <w:vAlign w:val="center"/>
          </w:tcPr>
          <w:p>
            <w:pPr>
              <w:spacing w:after="0" w:line="240" w:lineRule="auto"/>
              <w:jc w:val="center"/>
            </w:pPr>
            <w:r>
              <w:rPr>
                <w:rFonts w:ascii="宋体" w:hAnsi="宋体"/>
                <w:sz w:val="23"/>
                <w:szCs w:val="23"/>
              </w:rPr>
              <w:t>0.061440</w:t>
            </w:r>
          </w:p>
        </w:tc>
        <w:tc>
          <w:tcPr>
            <w:tcW w:w="0" w:type="auto"/>
            <w:vAlign w:val="center"/>
          </w:tcPr>
          <w:p>
            <w:pPr>
              <w:spacing w:after="0" w:line="240" w:lineRule="auto"/>
              <w:jc w:val="center"/>
            </w:pPr>
            <w:r>
              <w:rPr>
                <w:rFonts w:ascii="宋体" w:hAnsi="宋体"/>
                <w:sz w:val="23"/>
                <w:szCs w:val="23"/>
              </w:rPr>
              <w:t>0.061440</w:t>
            </w:r>
          </w:p>
        </w:tc>
        <w:tc>
          <w:tcPr>
            <w:tcW w:w="0" w:type="auto"/>
            <w:vAlign w:val="center"/>
          </w:tcPr>
          <w:p>
            <w:pPr>
              <w:spacing w:after="0" w:line="240" w:lineRule="auto"/>
              <w:jc w:val="center"/>
            </w:pPr>
            <w:r>
              <w:rPr>
                <w:rFonts w:ascii="宋体" w:hAnsi="宋体"/>
                <w:sz w:val="23"/>
                <w:szCs w:val="23"/>
              </w:rPr>
              <w:t>0.030720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1500.0</w:t>
            </w:r>
          </w:p>
        </w:tc>
        <w:tc>
          <w:tcPr>
            <w:tcW w:w="0" w:type="auto"/>
            <w:vAlign w:val="center"/>
          </w:tcPr>
          <w:p>
            <w:pPr>
              <w:spacing w:after="0" w:line="240" w:lineRule="auto"/>
              <w:jc w:val="center"/>
            </w:pPr>
            <w:r>
              <w:rPr>
                <w:rFonts w:ascii="宋体" w:hAnsi="宋体"/>
                <w:sz w:val="23"/>
                <w:szCs w:val="23"/>
              </w:rPr>
              <w:t>0.005918</w:t>
            </w:r>
          </w:p>
        </w:tc>
        <w:tc>
          <w:tcPr>
            <w:tcW w:w="0" w:type="auto"/>
            <w:vAlign w:val="center"/>
          </w:tcPr>
          <w:p>
            <w:pPr>
              <w:spacing w:after="0" w:line="240" w:lineRule="auto"/>
              <w:jc w:val="center"/>
            </w:pPr>
            <w:r>
              <w:rPr>
                <w:rFonts w:ascii="宋体" w:hAnsi="宋体"/>
                <w:sz w:val="23"/>
                <w:szCs w:val="23"/>
              </w:rPr>
              <w:t>0.059176</w:t>
            </w:r>
          </w:p>
        </w:tc>
        <w:tc>
          <w:tcPr>
            <w:tcW w:w="0" w:type="auto"/>
            <w:vAlign w:val="center"/>
          </w:tcPr>
          <w:p>
            <w:pPr>
              <w:spacing w:after="0" w:line="240" w:lineRule="auto"/>
              <w:jc w:val="center"/>
            </w:pPr>
            <w:r>
              <w:rPr>
                <w:rFonts w:ascii="宋体" w:hAnsi="宋体"/>
                <w:sz w:val="23"/>
                <w:szCs w:val="23"/>
              </w:rPr>
              <w:t>0.059176</w:t>
            </w:r>
          </w:p>
        </w:tc>
        <w:tc>
          <w:tcPr>
            <w:tcW w:w="0" w:type="auto"/>
            <w:vAlign w:val="center"/>
          </w:tcPr>
          <w:p>
            <w:pPr>
              <w:spacing w:after="0" w:line="240" w:lineRule="auto"/>
              <w:jc w:val="center"/>
            </w:pPr>
            <w:r>
              <w:rPr>
                <w:rFonts w:ascii="宋体" w:hAnsi="宋体"/>
                <w:sz w:val="23"/>
                <w:szCs w:val="23"/>
              </w:rPr>
              <w:t>0.029588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1600.0</w:t>
            </w:r>
          </w:p>
        </w:tc>
        <w:tc>
          <w:tcPr>
            <w:tcW w:w="0" w:type="auto"/>
            <w:vAlign w:val="center"/>
          </w:tcPr>
          <w:p>
            <w:pPr>
              <w:spacing w:after="0" w:line="240" w:lineRule="auto"/>
              <w:jc w:val="center"/>
            </w:pPr>
            <w:r>
              <w:rPr>
                <w:rFonts w:ascii="宋体" w:hAnsi="宋体"/>
                <w:sz w:val="23"/>
                <w:szCs w:val="23"/>
              </w:rPr>
              <w:t>0.005707</w:t>
            </w:r>
          </w:p>
        </w:tc>
        <w:tc>
          <w:tcPr>
            <w:tcW w:w="0" w:type="auto"/>
            <w:vAlign w:val="center"/>
          </w:tcPr>
          <w:p>
            <w:pPr>
              <w:spacing w:after="0" w:line="240" w:lineRule="auto"/>
              <w:jc w:val="center"/>
            </w:pPr>
            <w:r>
              <w:rPr>
                <w:rFonts w:ascii="宋体" w:hAnsi="宋体"/>
                <w:sz w:val="23"/>
                <w:szCs w:val="23"/>
              </w:rPr>
              <w:t>0.057073</w:t>
            </w:r>
          </w:p>
        </w:tc>
        <w:tc>
          <w:tcPr>
            <w:tcW w:w="0" w:type="auto"/>
            <w:vAlign w:val="center"/>
          </w:tcPr>
          <w:p>
            <w:pPr>
              <w:spacing w:after="0" w:line="240" w:lineRule="auto"/>
              <w:jc w:val="center"/>
            </w:pPr>
            <w:r>
              <w:rPr>
                <w:rFonts w:ascii="宋体" w:hAnsi="宋体"/>
                <w:sz w:val="23"/>
                <w:szCs w:val="23"/>
              </w:rPr>
              <w:t>0.057073</w:t>
            </w:r>
          </w:p>
        </w:tc>
        <w:tc>
          <w:tcPr>
            <w:tcW w:w="0" w:type="auto"/>
            <w:vAlign w:val="center"/>
          </w:tcPr>
          <w:p>
            <w:pPr>
              <w:spacing w:after="0" w:line="240" w:lineRule="auto"/>
              <w:jc w:val="center"/>
            </w:pPr>
            <w:r>
              <w:rPr>
                <w:rFonts w:ascii="宋体" w:hAnsi="宋体"/>
                <w:sz w:val="23"/>
                <w:szCs w:val="23"/>
              </w:rPr>
              <w:t>0.028536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1700.0</w:t>
            </w:r>
          </w:p>
        </w:tc>
        <w:tc>
          <w:tcPr>
            <w:tcW w:w="0" w:type="auto"/>
            <w:vAlign w:val="center"/>
          </w:tcPr>
          <w:p>
            <w:pPr>
              <w:spacing w:after="0" w:line="240" w:lineRule="auto"/>
              <w:jc w:val="center"/>
            </w:pPr>
            <w:r>
              <w:rPr>
                <w:rFonts w:ascii="宋体" w:hAnsi="宋体"/>
                <w:sz w:val="23"/>
                <w:szCs w:val="23"/>
              </w:rPr>
              <w:t>0.005511</w:t>
            </w:r>
          </w:p>
        </w:tc>
        <w:tc>
          <w:tcPr>
            <w:tcW w:w="0" w:type="auto"/>
            <w:vAlign w:val="center"/>
          </w:tcPr>
          <w:p>
            <w:pPr>
              <w:spacing w:after="0" w:line="240" w:lineRule="auto"/>
              <w:jc w:val="center"/>
            </w:pPr>
            <w:r>
              <w:rPr>
                <w:rFonts w:ascii="宋体" w:hAnsi="宋体"/>
                <w:sz w:val="23"/>
                <w:szCs w:val="23"/>
              </w:rPr>
              <w:t>0.055113</w:t>
            </w:r>
          </w:p>
        </w:tc>
        <w:tc>
          <w:tcPr>
            <w:tcW w:w="0" w:type="auto"/>
            <w:vAlign w:val="center"/>
          </w:tcPr>
          <w:p>
            <w:pPr>
              <w:spacing w:after="0" w:line="240" w:lineRule="auto"/>
              <w:jc w:val="center"/>
            </w:pPr>
            <w:r>
              <w:rPr>
                <w:rFonts w:ascii="宋体" w:hAnsi="宋体"/>
                <w:sz w:val="23"/>
                <w:szCs w:val="23"/>
              </w:rPr>
              <w:t>0.055113</w:t>
            </w:r>
          </w:p>
        </w:tc>
        <w:tc>
          <w:tcPr>
            <w:tcW w:w="0" w:type="auto"/>
            <w:vAlign w:val="center"/>
          </w:tcPr>
          <w:p>
            <w:pPr>
              <w:spacing w:after="0" w:line="240" w:lineRule="auto"/>
              <w:jc w:val="center"/>
            </w:pPr>
            <w:r>
              <w:rPr>
                <w:rFonts w:ascii="宋体" w:hAnsi="宋体"/>
                <w:sz w:val="23"/>
                <w:szCs w:val="23"/>
              </w:rPr>
              <w:t>0.027557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1800.0</w:t>
            </w:r>
          </w:p>
        </w:tc>
        <w:tc>
          <w:tcPr>
            <w:tcW w:w="0" w:type="auto"/>
            <w:vAlign w:val="center"/>
          </w:tcPr>
          <w:p>
            <w:pPr>
              <w:spacing w:after="0" w:line="240" w:lineRule="auto"/>
              <w:jc w:val="center"/>
            </w:pPr>
            <w:r>
              <w:rPr>
                <w:rFonts w:ascii="宋体" w:hAnsi="宋体"/>
                <w:sz w:val="23"/>
                <w:szCs w:val="23"/>
              </w:rPr>
              <w:t>0.005328</w:t>
            </w:r>
          </w:p>
        </w:tc>
        <w:tc>
          <w:tcPr>
            <w:tcW w:w="0" w:type="auto"/>
            <w:vAlign w:val="center"/>
          </w:tcPr>
          <w:p>
            <w:pPr>
              <w:spacing w:after="0" w:line="240" w:lineRule="auto"/>
              <w:jc w:val="center"/>
            </w:pPr>
            <w:r>
              <w:rPr>
                <w:rFonts w:ascii="宋体" w:hAnsi="宋体"/>
                <w:sz w:val="23"/>
                <w:szCs w:val="23"/>
              </w:rPr>
              <w:t>0.053281</w:t>
            </w:r>
          </w:p>
        </w:tc>
        <w:tc>
          <w:tcPr>
            <w:tcW w:w="0" w:type="auto"/>
            <w:vAlign w:val="center"/>
          </w:tcPr>
          <w:p>
            <w:pPr>
              <w:spacing w:after="0" w:line="240" w:lineRule="auto"/>
              <w:jc w:val="center"/>
            </w:pPr>
            <w:r>
              <w:rPr>
                <w:rFonts w:ascii="宋体" w:hAnsi="宋体"/>
                <w:sz w:val="23"/>
                <w:szCs w:val="23"/>
              </w:rPr>
              <w:t>0.053281</w:t>
            </w:r>
          </w:p>
        </w:tc>
        <w:tc>
          <w:tcPr>
            <w:tcW w:w="0" w:type="auto"/>
            <w:vAlign w:val="center"/>
          </w:tcPr>
          <w:p>
            <w:pPr>
              <w:spacing w:after="0" w:line="240" w:lineRule="auto"/>
              <w:jc w:val="center"/>
            </w:pPr>
            <w:r>
              <w:rPr>
                <w:rFonts w:ascii="宋体" w:hAnsi="宋体"/>
                <w:sz w:val="23"/>
                <w:szCs w:val="23"/>
              </w:rPr>
              <w:t>0.026641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1900.0</w:t>
            </w:r>
          </w:p>
        </w:tc>
        <w:tc>
          <w:tcPr>
            <w:tcW w:w="0" w:type="auto"/>
            <w:vAlign w:val="center"/>
          </w:tcPr>
          <w:p>
            <w:pPr>
              <w:spacing w:after="0" w:line="240" w:lineRule="auto"/>
              <w:jc w:val="center"/>
            </w:pPr>
            <w:r>
              <w:rPr>
                <w:rFonts w:ascii="宋体" w:hAnsi="宋体"/>
                <w:sz w:val="23"/>
                <w:szCs w:val="23"/>
              </w:rPr>
              <w:t>0.005156</w:t>
            </w:r>
          </w:p>
        </w:tc>
        <w:tc>
          <w:tcPr>
            <w:tcW w:w="0" w:type="auto"/>
            <w:vAlign w:val="center"/>
          </w:tcPr>
          <w:p>
            <w:pPr>
              <w:spacing w:after="0" w:line="240" w:lineRule="auto"/>
              <w:jc w:val="center"/>
            </w:pPr>
            <w:r>
              <w:rPr>
                <w:rFonts w:ascii="宋体" w:hAnsi="宋体"/>
                <w:sz w:val="23"/>
                <w:szCs w:val="23"/>
              </w:rPr>
              <w:t>0.051562</w:t>
            </w:r>
          </w:p>
        </w:tc>
        <w:tc>
          <w:tcPr>
            <w:tcW w:w="0" w:type="auto"/>
            <w:vAlign w:val="center"/>
          </w:tcPr>
          <w:p>
            <w:pPr>
              <w:spacing w:after="0" w:line="240" w:lineRule="auto"/>
              <w:jc w:val="center"/>
            </w:pPr>
            <w:r>
              <w:rPr>
                <w:rFonts w:ascii="宋体" w:hAnsi="宋体"/>
                <w:sz w:val="23"/>
                <w:szCs w:val="23"/>
              </w:rPr>
              <w:t>0.051562</w:t>
            </w:r>
          </w:p>
        </w:tc>
        <w:tc>
          <w:tcPr>
            <w:tcW w:w="0" w:type="auto"/>
            <w:vAlign w:val="center"/>
          </w:tcPr>
          <w:p>
            <w:pPr>
              <w:spacing w:after="0" w:line="240" w:lineRule="auto"/>
              <w:jc w:val="center"/>
            </w:pPr>
            <w:r>
              <w:rPr>
                <w:rFonts w:ascii="宋体" w:hAnsi="宋体"/>
                <w:sz w:val="23"/>
                <w:szCs w:val="23"/>
              </w:rPr>
              <w:t>0.025781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2000.0</w:t>
            </w:r>
          </w:p>
        </w:tc>
        <w:tc>
          <w:tcPr>
            <w:tcW w:w="0" w:type="auto"/>
            <w:vAlign w:val="center"/>
          </w:tcPr>
          <w:p>
            <w:pPr>
              <w:spacing w:after="0" w:line="240" w:lineRule="auto"/>
              <w:jc w:val="center"/>
            </w:pPr>
            <w:r>
              <w:rPr>
                <w:rFonts w:ascii="宋体" w:hAnsi="宋体"/>
                <w:sz w:val="23"/>
                <w:szCs w:val="23"/>
              </w:rPr>
              <w:t>0.004994</w:t>
            </w:r>
          </w:p>
        </w:tc>
        <w:tc>
          <w:tcPr>
            <w:tcW w:w="0" w:type="auto"/>
            <w:vAlign w:val="center"/>
          </w:tcPr>
          <w:p>
            <w:pPr>
              <w:spacing w:after="0" w:line="240" w:lineRule="auto"/>
              <w:jc w:val="center"/>
            </w:pPr>
            <w:r>
              <w:rPr>
                <w:rFonts w:ascii="宋体" w:hAnsi="宋体"/>
                <w:sz w:val="23"/>
                <w:szCs w:val="23"/>
              </w:rPr>
              <w:t>0.049945</w:t>
            </w:r>
          </w:p>
        </w:tc>
        <w:tc>
          <w:tcPr>
            <w:tcW w:w="0" w:type="auto"/>
            <w:vAlign w:val="center"/>
          </w:tcPr>
          <w:p>
            <w:pPr>
              <w:spacing w:after="0" w:line="240" w:lineRule="auto"/>
              <w:jc w:val="center"/>
            </w:pPr>
            <w:r>
              <w:rPr>
                <w:rFonts w:ascii="宋体" w:hAnsi="宋体"/>
                <w:sz w:val="23"/>
                <w:szCs w:val="23"/>
              </w:rPr>
              <w:t>0.049945</w:t>
            </w:r>
          </w:p>
        </w:tc>
        <w:tc>
          <w:tcPr>
            <w:tcW w:w="0" w:type="auto"/>
            <w:vAlign w:val="center"/>
          </w:tcPr>
          <w:p>
            <w:pPr>
              <w:spacing w:after="0" w:line="240" w:lineRule="auto"/>
              <w:jc w:val="center"/>
            </w:pPr>
            <w:r>
              <w:rPr>
                <w:rFonts w:ascii="宋体" w:hAnsi="宋体"/>
                <w:sz w:val="23"/>
                <w:szCs w:val="23"/>
              </w:rPr>
              <w:t>0.024972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2500.0</w:t>
            </w:r>
          </w:p>
        </w:tc>
        <w:tc>
          <w:tcPr>
            <w:tcW w:w="0" w:type="auto"/>
            <w:vAlign w:val="center"/>
          </w:tcPr>
          <w:p>
            <w:pPr>
              <w:spacing w:after="0" w:line="240" w:lineRule="auto"/>
              <w:jc w:val="center"/>
            </w:pPr>
            <w:r>
              <w:rPr>
                <w:rFonts w:ascii="宋体" w:hAnsi="宋体"/>
                <w:sz w:val="23"/>
                <w:szCs w:val="23"/>
              </w:rPr>
              <w:t>0.004312</w:t>
            </w:r>
          </w:p>
        </w:tc>
        <w:tc>
          <w:tcPr>
            <w:tcW w:w="0" w:type="auto"/>
            <w:vAlign w:val="center"/>
          </w:tcPr>
          <w:p>
            <w:pPr>
              <w:spacing w:after="0" w:line="240" w:lineRule="auto"/>
              <w:jc w:val="center"/>
            </w:pPr>
            <w:r>
              <w:rPr>
                <w:rFonts w:ascii="宋体" w:hAnsi="宋体"/>
                <w:sz w:val="23"/>
                <w:szCs w:val="23"/>
              </w:rPr>
              <w:t>0.043115</w:t>
            </w:r>
          </w:p>
        </w:tc>
        <w:tc>
          <w:tcPr>
            <w:tcW w:w="0" w:type="auto"/>
            <w:vAlign w:val="center"/>
          </w:tcPr>
          <w:p>
            <w:pPr>
              <w:spacing w:after="0" w:line="240" w:lineRule="auto"/>
              <w:jc w:val="center"/>
            </w:pPr>
            <w:r>
              <w:rPr>
                <w:rFonts w:ascii="宋体" w:hAnsi="宋体"/>
                <w:sz w:val="23"/>
                <w:szCs w:val="23"/>
              </w:rPr>
              <w:t>0.043115</w:t>
            </w:r>
          </w:p>
        </w:tc>
        <w:tc>
          <w:tcPr>
            <w:tcW w:w="0" w:type="auto"/>
            <w:vAlign w:val="center"/>
          </w:tcPr>
          <w:p>
            <w:pPr>
              <w:spacing w:after="0" w:line="240" w:lineRule="auto"/>
              <w:jc w:val="center"/>
            </w:pPr>
            <w:r>
              <w:rPr>
                <w:rFonts w:ascii="宋体" w:hAnsi="宋体"/>
                <w:sz w:val="23"/>
                <w:szCs w:val="23"/>
              </w:rPr>
              <w:t>0.021558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3000.0</w:t>
            </w:r>
          </w:p>
        </w:tc>
        <w:tc>
          <w:tcPr>
            <w:tcW w:w="0" w:type="auto"/>
            <w:vAlign w:val="center"/>
          </w:tcPr>
          <w:p>
            <w:pPr>
              <w:spacing w:after="0" w:line="240" w:lineRule="auto"/>
              <w:jc w:val="center"/>
            </w:pPr>
            <w:r>
              <w:rPr>
                <w:rFonts w:ascii="宋体" w:hAnsi="宋体"/>
                <w:sz w:val="23"/>
                <w:szCs w:val="23"/>
              </w:rPr>
              <w:t>0.003784</w:t>
            </w:r>
          </w:p>
        </w:tc>
        <w:tc>
          <w:tcPr>
            <w:tcW w:w="0" w:type="auto"/>
            <w:vAlign w:val="center"/>
          </w:tcPr>
          <w:p>
            <w:pPr>
              <w:spacing w:after="0" w:line="240" w:lineRule="auto"/>
              <w:jc w:val="center"/>
            </w:pPr>
            <w:r>
              <w:rPr>
                <w:rFonts w:ascii="宋体" w:hAnsi="宋体"/>
                <w:sz w:val="23"/>
                <w:szCs w:val="23"/>
              </w:rPr>
              <w:t>0.037837</w:t>
            </w:r>
          </w:p>
        </w:tc>
        <w:tc>
          <w:tcPr>
            <w:tcW w:w="0" w:type="auto"/>
            <w:vAlign w:val="center"/>
          </w:tcPr>
          <w:p>
            <w:pPr>
              <w:spacing w:after="0" w:line="240" w:lineRule="auto"/>
              <w:jc w:val="center"/>
            </w:pPr>
            <w:r>
              <w:rPr>
                <w:rFonts w:ascii="宋体" w:hAnsi="宋体"/>
                <w:sz w:val="23"/>
                <w:szCs w:val="23"/>
              </w:rPr>
              <w:t>0.037837</w:t>
            </w:r>
          </w:p>
        </w:tc>
        <w:tc>
          <w:tcPr>
            <w:tcW w:w="0" w:type="auto"/>
            <w:vAlign w:val="center"/>
          </w:tcPr>
          <w:p>
            <w:pPr>
              <w:spacing w:after="0" w:line="240" w:lineRule="auto"/>
              <w:jc w:val="center"/>
            </w:pPr>
            <w:r>
              <w:rPr>
                <w:rFonts w:ascii="宋体" w:hAnsi="宋体"/>
                <w:sz w:val="23"/>
                <w:szCs w:val="23"/>
              </w:rPr>
              <w:t>0.018918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3500.0</w:t>
            </w:r>
          </w:p>
        </w:tc>
        <w:tc>
          <w:tcPr>
            <w:tcW w:w="0" w:type="auto"/>
            <w:vAlign w:val="center"/>
          </w:tcPr>
          <w:p>
            <w:pPr>
              <w:spacing w:after="0" w:line="240" w:lineRule="auto"/>
              <w:jc w:val="center"/>
            </w:pPr>
            <w:r>
              <w:rPr>
                <w:rFonts w:ascii="宋体" w:hAnsi="宋体"/>
                <w:sz w:val="23"/>
                <w:szCs w:val="23"/>
              </w:rPr>
              <w:t>0.003369</w:t>
            </w:r>
          </w:p>
        </w:tc>
        <w:tc>
          <w:tcPr>
            <w:tcW w:w="0" w:type="auto"/>
            <w:vAlign w:val="center"/>
          </w:tcPr>
          <w:p>
            <w:pPr>
              <w:spacing w:after="0" w:line="240" w:lineRule="auto"/>
              <w:jc w:val="center"/>
            </w:pPr>
            <w:r>
              <w:rPr>
                <w:rFonts w:ascii="宋体" w:hAnsi="宋体"/>
                <w:sz w:val="23"/>
                <w:szCs w:val="23"/>
              </w:rPr>
              <w:t>0.033689</w:t>
            </w:r>
          </w:p>
        </w:tc>
        <w:tc>
          <w:tcPr>
            <w:tcW w:w="0" w:type="auto"/>
            <w:vAlign w:val="center"/>
          </w:tcPr>
          <w:p>
            <w:pPr>
              <w:spacing w:after="0" w:line="240" w:lineRule="auto"/>
              <w:jc w:val="center"/>
            </w:pPr>
            <w:r>
              <w:rPr>
                <w:rFonts w:ascii="宋体" w:hAnsi="宋体"/>
                <w:sz w:val="23"/>
                <w:szCs w:val="23"/>
              </w:rPr>
              <w:t>0.033689</w:t>
            </w:r>
          </w:p>
        </w:tc>
        <w:tc>
          <w:tcPr>
            <w:tcW w:w="0" w:type="auto"/>
            <w:vAlign w:val="center"/>
          </w:tcPr>
          <w:p>
            <w:pPr>
              <w:spacing w:after="0" w:line="240" w:lineRule="auto"/>
              <w:jc w:val="center"/>
            </w:pPr>
            <w:r>
              <w:rPr>
                <w:rFonts w:ascii="宋体" w:hAnsi="宋体"/>
                <w:sz w:val="23"/>
                <w:szCs w:val="23"/>
              </w:rPr>
              <w:t>0.016844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4000.0</w:t>
            </w:r>
          </w:p>
        </w:tc>
        <w:tc>
          <w:tcPr>
            <w:tcW w:w="0" w:type="auto"/>
            <w:vAlign w:val="center"/>
          </w:tcPr>
          <w:p>
            <w:pPr>
              <w:spacing w:after="0" w:line="240" w:lineRule="auto"/>
              <w:jc w:val="center"/>
            </w:pPr>
            <w:r>
              <w:rPr>
                <w:rFonts w:ascii="宋体" w:hAnsi="宋体"/>
                <w:sz w:val="23"/>
                <w:szCs w:val="23"/>
              </w:rPr>
              <w:t>0.003055</w:t>
            </w:r>
          </w:p>
        </w:tc>
        <w:tc>
          <w:tcPr>
            <w:tcW w:w="0" w:type="auto"/>
            <w:vAlign w:val="center"/>
          </w:tcPr>
          <w:p>
            <w:pPr>
              <w:spacing w:after="0" w:line="240" w:lineRule="auto"/>
              <w:jc w:val="center"/>
            </w:pPr>
            <w:r>
              <w:rPr>
                <w:rFonts w:ascii="宋体" w:hAnsi="宋体"/>
                <w:sz w:val="23"/>
                <w:szCs w:val="23"/>
              </w:rPr>
              <w:t>0.030552</w:t>
            </w:r>
          </w:p>
        </w:tc>
        <w:tc>
          <w:tcPr>
            <w:tcW w:w="0" w:type="auto"/>
            <w:vAlign w:val="center"/>
          </w:tcPr>
          <w:p>
            <w:pPr>
              <w:spacing w:after="0" w:line="240" w:lineRule="auto"/>
              <w:jc w:val="center"/>
            </w:pPr>
            <w:r>
              <w:rPr>
                <w:rFonts w:ascii="宋体" w:hAnsi="宋体"/>
                <w:sz w:val="23"/>
                <w:szCs w:val="23"/>
              </w:rPr>
              <w:t>0.030552</w:t>
            </w:r>
          </w:p>
        </w:tc>
        <w:tc>
          <w:tcPr>
            <w:tcW w:w="0" w:type="auto"/>
            <w:vAlign w:val="center"/>
          </w:tcPr>
          <w:p>
            <w:pPr>
              <w:spacing w:after="0" w:line="240" w:lineRule="auto"/>
              <w:jc w:val="center"/>
            </w:pPr>
            <w:r>
              <w:rPr>
                <w:rFonts w:ascii="宋体" w:hAnsi="宋体"/>
                <w:sz w:val="23"/>
                <w:szCs w:val="23"/>
              </w:rPr>
              <w:t>0.015276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4500.0</w:t>
            </w:r>
          </w:p>
        </w:tc>
        <w:tc>
          <w:tcPr>
            <w:tcW w:w="0" w:type="auto"/>
            <w:vAlign w:val="center"/>
          </w:tcPr>
          <w:p>
            <w:pPr>
              <w:spacing w:after="0" w:line="240" w:lineRule="auto"/>
              <w:jc w:val="center"/>
            </w:pPr>
            <w:r>
              <w:rPr>
                <w:rFonts w:ascii="宋体" w:hAnsi="宋体"/>
                <w:sz w:val="23"/>
                <w:szCs w:val="23"/>
              </w:rPr>
              <w:t>0.002797</w:t>
            </w:r>
          </w:p>
        </w:tc>
        <w:tc>
          <w:tcPr>
            <w:tcW w:w="0" w:type="auto"/>
            <w:vAlign w:val="center"/>
          </w:tcPr>
          <w:p>
            <w:pPr>
              <w:spacing w:after="0" w:line="240" w:lineRule="auto"/>
              <w:jc w:val="center"/>
            </w:pPr>
            <w:r>
              <w:rPr>
                <w:rFonts w:ascii="宋体" w:hAnsi="宋体"/>
                <w:sz w:val="23"/>
                <w:szCs w:val="23"/>
              </w:rPr>
              <w:t>0.027974</w:t>
            </w:r>
          </w:p>
        </w:tc>
        <w:tc>
          <w:tcPr>
            <w:tcW w:w="0" w:type="auto"/>
            <w:vAlign w:val="center"/>
          </w:tcPr>
          <w:p>
            <w:pPr>
              <w:spacing w:after="0" w:line="240" w:lineRule="auto"/>
              <w:jc w:val="center"/>
            </w:pPr>
            <w:r>
              <w:rPr>
                <w:rFonts w:ascii="宋体" w:hAnsi="宋体"/>
                <w:sz w:val="23"/>
                <w:szCs w:val="23"/>
              </w:rPr>
              <w:t>0.027974</w:t>
            </w:r>
          </w:p>
        </w:tc>
        <w:tc>
          <w:tcPr>
            <w:tcW w:w="0" w:type="auto"/>
            <w:vAlign w:val="center"/>
          </w:tcPr>
          <w:p>
            <w:pPr>
              <w:spacing w:after="0" w:line="240" w:lineRule="auto"/>
              <w:jc w:val="center"/>
            </w:pPr>
            <w:r>
              <w:rPr>
                <w:rFonts w:ascii="宋体" w:hAnsi="宋体"/>
                <w:sz w:val="23"/>
                <w:szCs w:val="23"/>
              </w:rPr>
              <w:t>0.013987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spacing w:after="0" w:line="240" w:lineRule="auto"/>
              <w:jc w:val="center"/>
            </w:pPr>
            <w:r>
              <w:rPr>
                <w:rFonts w:ascii="宋体" w:hAnsi="宋体"/>
                <w:sz w:val="23"/>
                <w:szCs w:val="23"/>
              </w:rPr>
              <w:t>5000.0</w:t>
            </w:r>
          </w:p>
        </w:tc>
        <w:tc>
          <w:tcPr>
            <w:tcW w:w="0" w:type="auto"/>
            <w:vAlign w:val="center"/>
          </w:tcPr>
          <w:p>
            <w:pPr>
              <w:spacing w:after="0" w:line="240" w:lineRule="auto"/>
              <w:jc w:val="center"/>
            </w:pPr>
            <w:r>
              <w:rPr>
                <w:rFonts w:ascii="宋体" w:hAnsi="宋体"/>
                <w:sz w:val="23"/>
                <w:szCs w:val="23"/>
              </w:rPr>
              <w:t>0.002578</w:t>
            </w:r>
          </w:p>
        </w:tc>
        <w:tc>
          <w:tcPr>
            <w:tcW w:w="0" w:type="auto"/>
            <w:vAlign w:val="center"/>
          </w:tcPr>
          <w:p>
            <w:pPr>
              <w:spacing w:after="0" w:line="240" w:lineRule="auto"/>
              <w:jc w:val="center"/>
            </w:pPr>
            <w:r>
              <w:rPr>
                <w:rFonts w:ascii="宋体" w:hAnsi="宋体"/>
                <w:sz w:val="23"/>
                <w:szCs w:val="23"/>
              </w:rPr>
              <w:t>0.025784</w:t>
            </w:r>
          </w:p>
        </w:tc>
        <w:tc>
          <w:tcPr>
            <w:tcW w:w="0" w:type="auto"/>
            <w:vAlign w:val="center"/>
          </w:tcPr>
          <w:p>
            <w:pPr>
              <w:spacing w:after="0" w:line="240" w:lineRule="auto"/>
              <w:jc w:val="center"/>
            </w:pPr>
            <w:r>
              <w:rPr>
                <w:rFonts w:ascii="宋体" w:hAnsi="宋体"/>
                <w:sz w:val="23"/>
                <w:szCs w:val="23"/>
              </w:rPr>
              <w:t>0.025784</w:t>
            </w:r>
          </w:p>
        </w:tc>
        <w:tc>
          <w:tcPr>
            <w:tcW w:w="0" w:type="auto"/>
            <w:vAlign w:val="center"/>
          </w:tcPr>
          <w:p>
            <w:pPr>
              <w:spacing w:after="0" w:line="240" w:lineRule="auto"/>
              <w:jc w:val="center"/>
            </w:pPr>
            <w:r>
              <w:rPr>
                <w:rFonts w:ascii="宋体" w:hAnsi="宋体"/>
                <w:sz w:val="23"/>
                <w:szCs w:val="23"/>
              </w:rPr>
              <w:t>0.012892</w:t>
            </w:r>
          </w:p>
        </w:tc>
      </w:tr>
    </w:tbl>
    <w:p>
      <w:pPr>
        <w:spacing w:after="0"/>
        <w:jc w:val="center"/>
        <w:rPr>
          <w:b/>
          <w:bCs/>
          <w:sz w:val="24"/>
          <w:szCs w:val="24"/>
        </w:rPr>
      </w:pPr>
    </w:p>
    <w:p>
      <w:pPr>
        <w:spacing w:after="0" w:line="360" w:lineRule="auto"/>
        <w:ind w:firstLine="480" w:firstLineChars="200"/>
        <w:rPr>
          <w:sz w:val="24"/>
          <w:szCs w:val="24"/>
        </w:rPr>
      </w:pPr>
      <w:r>
        <w:rPr>
          <w:rFonts w:hint="eastAsia"/>
          <w:sz w:val="24"/>
          <w:szCs w:val="24"/>
        </w:rPr>
        <w:t>2)</w:t>
      </w:r>
      <w:r>
        <w:rPr>
          <w:sz w:val="24"/>
          <w:szCs w:val="24"/>
        </w:rPr>
        <w:t>事故排放大气污染物危害程度分析</w:t>
      </w:r>
    </w:p>
    <w:p>
      <w:pPr>
        <w:snapToGrid w:val="0"/>
        <w:spacing w:after="0" w:line="360" w:lineRule="auto"/>
        <w:ind w:firstLine="454"/>
        <w:textAlignment w:val="center"/>
        <w:rPr>
          <w:sz w:val="24"/>
          <w:szCs w:val="24"/>
          <w:lang w:eastAsia="zh-CN"/>
        </w:rPr>
      </w:pPr>
      <w:r>
        <w:rPr>
          <w:sz w:val="24"/>
          <w:szCs w:val="24"/>
          <w:lang w:eastAsia="zh-CN"/>
        </w:rPr>
        <w:t>依据相关资料，NH</w:t>
      </w:r>
      <w:r>
        <w:rPr>
          <w:sz w:val="24"/>
          <w:szCs w:val="24"/>
          <w:vertAlign w:val="subscript"/>
          <w:lang w:eastAsia="zh-CN"/>
        </w:rPr>
        <w:t>3</w:t>
      </w:r>
      <w:r>
        <w:rPr>
          <w:sz w:val="24"/>
          <w:szCs w:val="24"/>
          <w:lang w:eastAsia="zh-CN"/>
        </w:rPr>
        <w:t>、H</w:t>
      </w:r>
      <w:r>
        <w:rPr>
          <w:sz w:val="24"/>
          <w:szCs w:val="24"/>
          <w:vertAlign w:val="subscript"/>
          <w:lang w:eastAsia="zh-CN"/>
        </w:rPr>
        <w:t>2</w:t>
      </w:r>
      <w:r>
        <w:rPr>
          <w:sz w:val="24"/>
          <w:szCs w:val="24"/>
          <w:lang w:eastAsia="zh-CN"/>
        </w:rPr>
        <w:t>S危害程度如下：</w:t>
      </w:r>
    </w:p>
    <w:p>
      <w:pPr>
        <w:snapToGrid w:val="0"/>
        <w:spacing w:after="0" w:line="360" w:lineRule="auto"/>
        <w:ind w:firstLine="454"/>
        <w:textAlignment w:val="center"/>
        <w:rPr>
          <w:sz w:val="24"/>
          <w:szCs w:val="24"/>
          <w:lang w:eastAsia="zh-CN"/>
        </w:rPr>
      </w:pPr>
      <w:r>
        <w:rPr>
          <w:sz w:val="24"/>
          <w:szCs w:val="24"/>
          <w:lang w:eastAsia="zh-CN"/>
        </w:rPr>
        <w:t>H</w:t>
      </w:r>
      <w:r>
        <w:rPr>
          <w:sz w:val="24"/>
          <w:szCs w:val="24"/>
          <w:vertAlign w:val="subscript"/>
          <w:lang w:eastAsia="zh-CN"/>
        </w:rPr>
        <w:t>2</w:t>
      </w:r>
      <w:r>
        <w:rPr>
          <w:sz w:val="24"/>
          <w:szCs w:val="24"/>
          <w:lang w:eastAsia="zh-CN"/>
        </w:rPr>
        <w:t>S：H</w:t>
      </w:r>
      <w:r>
        <w:rPr>
          <w:sz w:val="24"/>
          <w:szCs w:val="24"/>
          <w:vertAlign w:val="subscript"/>
          <w:lang w:eastAsia="zh-CN"/>
        </w:rPr>
        <w:t>2</w:t>
      </w:r>
      <w:r>
        <w:rPr>
          <w:sz w:val="24"/>
          <w:szCs w:val="24"/>
          <w:lang w:eastAsia="zh-CN"/>
        </w:rPr>
        <w:t>S的嗅阈为0.012～0.03mg/ m</w:t>
      </w:r>
      <w:r>
        <w:rPr>
          <w:sz w:val="24"/>
          <w:szCs w:val="24"/>
          <w:vertAlign w:val="superscript"/>
          <w:lang w:eastAsia="zh-CN"/>
        </w:rPr>
        <w:t>3</w:t>
      </w:r>
      <w:r>
        <w:rPr>
          <w:sz w:val="24"/>
          <w:szCs w:val="24"/>
          <w:lang w:eastAsia="zh-CN"/>
        </w:rPr>
        <w:t>；当空气中浓度1.4mg/m</w:t>
      </w:r>
      <w:r>
        <w:rPr>
          <w:sz w:val="24"/>
          <w:szCs w:val="24"/>
          <w:vertAlign w:val="superscript"/>
          <w:lang w:eastAsia="zh-CN"/>
        </w:rPr>
        <w:t>3</w:t>
      </w:r>
      <w:r>
        <w:rPr>
          <w:sz w:val="24"/>
          <w:szCs w:val="24"/>
          <w:lang w:eastAsia="zh-CN"/>
        </w:rPr>
        <w:t>时，即能嗅到臭鸡蛋味；但高达11mg/m</w:t>
      </w:r>
      <w:r>
        <w:rPr>
          <w:sz w:val="24"/>
          <w:szCs w:val="24"/>
          <w:vertAlign w:val="superscript"/>
          <w:lang w:eastAsia="zh-CN"/>
        </w:rPr>
        <w:t>3</w:t>
      </w:r>
      <w:r>
        <w:rPr>
          <w:sz w:val="24"/>
          <w:szCs w:val="24"/>
          <w:lang w:eastAsia="zh-CN"/>
        </w:rPr>
        <w:t>以上时，出于嗅神经麻痹臭味反而不易嗅到；空气中硫化氢浓度在 14mg/ m</w:t>
      </w:r>
      <w:r>
        <w:rPr>
          <w:sz w:val="24"/>
          <w:szCs w:val="24"/>
          <w:vertAlign w:val="superscript"/>
          <w:lang w:eastAsia="zh-CN"/>
        </w:rPr>
        <w:t>3</w:t>
      </w:r>
      <w:r>
        <w:rPr>
          <w:sz w:val="24"/>
          <w:szCs w:val="24"/>
          <w:lang w:eastAsia="zh-CN"/>
        </w:rPr>
        <w:t>以上，可引起化学性角膜结膜炎。</w:t>
      </w:r>
    </w:p>
    <w:p>
      <w:pPr>
        <w:snapToGrid w:val="0"/>
        <w:spacing w:after="0" w:line="360" w:lineRule="auto"/>
        <w:ind w:firstLine="454"/>
        <w:textAlignment w:val="center"/>
        <w:rPr>
          <w:sz w:val="24"/>
          <w:szCs w:val="24"/>
          <w:lang w:eastAsia="zh-CN"/>
        </w:rPr>
      </w:pPr>
      <w:r>
        <w:rPr>
          <w:sz w:val="24"/>
          <w:szCs w:val="24"/>
          <w:lang w:eastAsia="zh-CN"/>
        </w:rPr>
        <w:t>NH</w:t>
      </w:r>
      <w:r>
        <w:rPr>
          <w:sz w:val="24"/>
          <w:szCs w:val="24"/>
          <w:vertAlign w:val="subscript"/>
          <w:lang w:eastAsia="zh-CN"/>
        </w:rPr>
        <w:t>3</w:t>
      </w:r>
      <w:r>
        <w:rPr>
          <w:sz w:val="24"/>
          <w:szCs w:val="24"/>
          <w:lang w:eastAsia="zh-CN"/>
        </w:rPr>
        <w:t>：人对氨的嗅觉阈为0.5~1mg/ m</w:t>
      </w:r>
      <w:r>
        <w:rPr>
          <w:sz w:val="24"/>
          <w:szCs w:val="24"/>
          <w:vertAlign w:val="superscript"/>
          <w:lang w:eastAsia="zh-CN"/>
        </w:rPr>
        <w:t>3</w:t>
      </w:r>
      <w:r>
        <w:rPr>
          <w:sz w:val="24"/>
          <w:szCs w:val="24"/>
          <w:lang w:eastAsia="zh-CN"/>
        </w:rPr>
        <w:t>；浓度50 mg/ m</w:t>
      </w:r>
      <w:r>
        <w:rPr>
          <w:sz w:val="24"/>
          <w:szCs w:val="24"/>
          <w:vertAlign w:val="superscript"/>
          <w:lang w:eastAsia="zh-CN"/>
        </w:rPr>
        <w:t>3</w:t>
      </w:r>
      <w:r>
        <w:rPr>
          <w:sz w:val="24"/>
          <w:szCs w:val="24"/>
          <w:lang w:eastAsia="zh-CN"/>
        </w:rPr>
        <w:t>以上鼻咽部有刺激感和眼部灼痛感；500mg/ m</w:t>
      </w:r>
      <w:r>
        <w:rPr>
          <w:sz w:val="24"/>
          <w:szCs w:val="24"/>
          <w:vertAlign w:val="superscript"/>
          <w:lang w:eastAsia="zh-CN"/>
        </w:rPr>
        <w:t>3</w:t>
      </w:r>
      <w:r>
        <w:rPr>
          <w:sz w:val="24"/>
          <w:szCs w:val="24"/>
          <w:lang w:eastAsia="zh-CN"/>
        </w:rPr>
        <w:t>以上短时内即出现强烈刺激症状；1500mg/m</w:t>
      </w:r>
      <w:r>
        <w:rPr>
          <w:sz w:val="24"/>
          <w:szCs w:val="24"/>
          <w:vertAlign w:val="superscript"/>
          <w:lang w:eastAsia="zh-CN"/>
        </w:rPr>
        <w:t>3</w:t>
      </w:r>
      <w:r>
        <w:rPr>
          <w:sz w:val="24"/>
          <w:szCs w:val="24"/>
          <w:lang w:eastAsia="zh-CN"/>
        </w:rPr>
        <w:t>以上可危及生命。缺氧时可加强氨的毒作用。</w:t>
      </w:r>
    </w:p>
    <w:bookmarkEnd w:id="612"/>
    <w:p>
      <w:pPr>
        <w:snapToGrid w:val="0"/>
        <w:spacing w:after="0" w:line="360" w:lineRule="auto"/>
        <w:ind w:firstLine="454"/>
        <w:textAlignment w:val="center"/>
        <w:rPr>
          <w:rFonts w:hint="eastAsia"/>
          <w:sz w:val="24"/>
          <w:szCs w:val="24"/>
          <w:lang w:eastAsia="zh-CN"/>
        </w:rPr>
      </w:pPr>
      <w:r>
        <w:rPr>
          <w:sz w:val="24"/>
          <w:szCs w:val="24"/>
          <w:lang w:eastAsia="zh-CN"/>
        </w:rPr>
        <w:t>由预测可知，当发</w:t>
      </w:r>
      <w:r>
        <w:rPr>
          <w:rFonts w:hint="eastAsia"/>
          <w:sz w:val="24"/>
          <w:szCs w:val="24"/>
          <w:lang w:eastAsia="zh-CN"/>
        </w:rPr>
        <w:t>生尾气收集</w:t>
      </w:r>
      <w:r>
        <w:rPr>
          <w:sz w:val="24"/>
          <w:szCs w:val="24"/>
          <w:lang w:eastAsia="zh-CN"/>
        </w:rPr>
        <w:t>系统运行不正常情况或失效，</w:t>
      </w:r>
      <w:r>
        <w:rPr>
          <w:rFonts w:hint="eastAsia"/>
          <w:sz w:val="24"/>
          <w:szCs w:val="24"/>
          <w:lang w:eastAsia="zh-CN"/>
        </w:rPr>
        <w:t>污泥</w:t>
      </w:r>
      <w:r>
        <w:rPr>
          <w:sz w:val="24"/>
          <w:szCs w:val="24"/>
          <w:lang w:eastAsia="zh-CN"/>
        </w:rPr>
        <w:t>产生的恶臭气体全部散逸到外部环境时，在1小时内下风向5000m处的区域内NH</w:t>
      </w:r>
      <w:r>
        <w:rPr>
          <w:sz w:val="24"/>
          <w:szCs w:val="24"/>
          <w:vertAlign w:val="subscript"/>
          <w:lang w:eastAsia="zh-CN"/>
        </w:rPr>
        <w:t>3</w:t>
      </w:r>
      <w:r>
        <w:rPr>
          <w:sz w:val="24"/>
          <w:szCs w:val="24"/>
          <w:lang w:eastAsia="zh-CN"/>
        </w:rPr>
        <w:t>、H</w:t>
      </w:r>
      <w:r>
        <w:rPr>
          <w:sz w:val="24"/>
          <w:szCs w:val="24"/>
          <w:vertAlign w:val="subscript"/>
          <w:lang w:eastAsia="zh-CN"/>
        </w:rPr>
        <w:t>2</w:t>
      </w:r>
      <w:r>
        <w:rPr>
          <w:sz w:val="24"/>
          <w:szCs w:val="24"/>
          <w:lang w:eastAsia="zh-CN"/>
        </w:rPr>
        <w:t>S均浓度满足《工业企业设计卫生标准》</w:t>
      </w:r>
      <w:r>
        <w:rPr>
          <w:rFonts w:hint="eastAsia"/>
          <w:sz w:val="24"/>
          <w:szCs w:val="24"/>
          <w:lang w:eastAsia="zh-CN"/>
        </w:rPr>
        <w:t>（</w:t>
      </w:r>
      <w:r>
        <w:rPr>
          <w:sz w:val="24"/>
          <w:szCs w:val="24"/>
          <w:lang w:eastAsia="zh-CN"/>
        </w:rPr>
        <w:t>TJ36-79</w:t>
      </w:r>
      <w:r>
        <w:rPr>
          <w:rFonts w:hint="eastAsia"/>
          <w:sz w:val="24"/>
          <w:szCs w:val="24"/>
          <w:lang w:eastAsia="zh-CN"/>
        </w:rPr>
        <w:t>）</w:t>
      </w:r>
      <w:r>
        <w:rPr>
          <w:sz w:val="24"/>
          <w:szCs w:val="24"/>
          <w:lang w:eastAsia="zh-CN"/>
        </w:rPr>
        <w:t>中</w:t>
      </w:r>
      <w:r>
        <w:rPr>
          <w:rFonts w:hint="eastAsia"/>
          <w:sz w:val="24"/>
          <w:szCs w:val="24"/>
          <w:lang w:eastAsia="zh-CN"/>
        </w:rPr>
        <w:t>“</w:t>
      </w:r>
      <w:r>
        <w:rPr>
          <w:sz w:val="24"/>
          <w:szCs w:val="24"/>
          <w:lang w:eastAsia="zh-CN"/>
        </w:rPr>
        <w:t>居住区大气中有害物质的最高容许浓度0.20mg/m</w:t>
      </w:r>
      <w:r>
        <w:rPr>
          <w:sz w:val="24"/>
          <w:szCs w:val="24"/>
          <w:vertAlign w:val="superscript"/>
          <w:lang w:eastAsia="zh-CN"/>
        </w:rPr>
        <w:t>3</w:t>
      </w:r>
      <w:r>
        <w:rPr>
          <w:rFonts w:hint="eastAsia"/>
          <w:sz w:val="24"/>
          <w:szCs w:val="24"/>
          <w:lang w:eastAsia="zh-CN"/>
        </w:rPr>
        <w:t>”</w:t>
      </w:r>
      <w:r>
        <w:rPr>
          <w:sz w:val="24"/>
          <w:szCs w:val="24"/>
          <w:lang w:eastAsia="zh-CN"/>
        </w:rPr>
        <w:t>、 0.01mg/m</w:t>
      </w:r>
      <w:r>
        <w:rPr>
          <w:sz w:val="24"/>
          <w:szCs w:val="24"/>
          <w:vertAlign w:val="superscript"/>
          <w:lang w:eastAsia="zh-CN"/>
        </w:rPr>
        <w:t>3</w:t>
      </w:r>
      <w:r>
        <w:rPr>
          <w:sz w:val="24"/>
          <w:szCs w:val="24"/>
          <w:lang w:eastAsia="zh-CN"/>
        </w:rPr>
        <w:t>限值；因此，项目在臭气泄漏1小时内对周围环境和敏感点影响较小。</w:t>
      </w:r>
    </w:p>
    <w:p>
      <w:pPr>
        <w:snapToGrid w:val="0"/>
        <w:spacing w:after="0" w:line="360" w:lineRule="auto"/>
        <w:textAlignment w:val="center"/>
        <w:rPr>
          <w:sz w:val="24"/>
          <w:szCs w:val="24"/>
          <w:lang w:eastAsia="zh-CN"/>
        </w:rPr>
      </w:pPr>
      <w:r>
        <w:rPr>
          <w:rFonts w:hint="eastAsia"/>
          <w:b/>
          <w:bCs/>
          <w:sz w:val="24"/>
          <w:lang w:eastAsia="zh-CN"/>
        </w:rPr>
        <w:t>（3）锅炉废气泄漏事故</w:t>
      </w:r>
    </w:p>
    <w:p>
      <w:pPr>
        <w:spacing w:after="0" w:line="360" w:lineRule="auto"/>
        <w:ind w:firstLine="480" w:firstLineChars="200"/>
        <w:rPr>
          <w:sz w:val="24"/>
          <w:lang w:eastAsia="zh-CN"/>
        </w:rPr>
      </w:pPr>
      <w:r>
        <w:rPr>
          <w:rFonts w:hint="eastAsia"/>
          <w:sz w:val="24"/>
          <w:lang w:eastAsia="zh-CN"/>
        </w:rPr>
        <w:t>本项目由超超临界锅炉焚烧，焚烧过程中，尾气中含有氮氧化物、二氧化硫等有毒有害气体，废气经超超临界锅炉脱硫脱硝除尘处理后达标排放。</w:t>
      </w:r>
    </w:p>
    <w:p>
      <w:pPr>
        <w:spacing w:after="0" w:line="360" w:lineRule="auto"/>
        <w:ind w:firstLine="480" w:firstLineChars="200"/>
        <w:rPr>
          <w:sz w:val="24"/>
          <w:lang w:eastAsia="zh-CN"/>
        </w:rPr>
      </w:pPr>
      <w:r>
        <w:rPr>
          <w:rFonts w:hint="eastAsia"/>
          <w:sz w:val="24"/>
          <w:lang w:eastAsia="zh-CN"/>
        </w:rPr>
        <w:t>由于停电、装置故障等原因，导致废气无法及时处理，将对作业人员带来健康损害，同时也会对周边环境造成污染。因本项目是依托华能岳阳电厂三期工程的超超临界锅炉，锅炉燃烧及烟气处理系统的风险防范华能岳阳电厂有较好的防范措施和应急预案。</w:t>
      </w:r>
    </w:p>
    <w:p>
      <w:pPr>
        <w:spacing w:after="0" w:line="360" w:lineRule="auto"/>
        <w:ind w:firstLine="480" w:firstLineChars="200"/>
        <w:rPr>
          <w:rFonts w:ascii="宋体" w:hAnsi="宋体"/>
          <w:sz w:val="24"/>
          <w:szCs w:val="24"/>
          <w:lang w:eastAsia="zh-CN"/>
        </w:rPr>
      </w:pPr>
      <w:r>
        <w:rPr>
          <w:rFonts w:hint="eastAsia" w:ascii="宋体" w:hAnsi="宋体"/>
          <w:sz w:val="24"/>
          <w:szCs w:val="24"/>
          <w:lang w:eastAsia="zh-CN"/>
        </w:rPr>
        <w:t>（4）</w:t>
      </w:r>
      <w:r>
        <w:rPr>
          <w:rFonts w:ascii="宋体" w:hAnsi="宋体"/>
          <w:b/>
          <w:sz w:val="24"/>
          <w:szCs w:val="24"/>
          <w:lang w:eastAsia="zh-CN"/>
        </w:rPr>
        <w:t>建设项目环境风险简单分析内容表</w:t>
      </w:r>
    </w:p>
    <w:p>
      <w:pPr>
        <w:snapToGrid w:val="0"/>
        <w:spacing w:after="0" w:line="360" w:lineRule="auto"/>
        <w:ind w:firstLine="480" w:firstLineChars="200"/>
        <w:rPr>
          <w:sz w:val="24"/>
          <w:szCs w:val="24"/>
          <w:lang w:eastAsia="zh-CN"/>
        </w:rPr>
      </w:pPr>
      <w:r>
        <w:rPr>
          <w:sz w:val="24"/>
          <w:szCs w:val="24"/>
          <w:lang w:eastAsia="zh-CN"/>
        </w:rPr>
        <w:t>本项目环境风险简单分析内容详见表6.5-1。</w:t>
      </w:r>
    </w:p>
    <w:p>
      <w:pPr>
        <w:pStyle w:val="29"/>
        <w:wordWrap w:val="0"/>
        <w:ind w:firstLine="482"/>
        <w:jc w:val="center"/>
        <w:rPr>
          <w:b/>
          <w:szCs w:val="24"/>
        </w:rPr>
      </w:pPr>
      <w:r>
        <w:rPr>
          <w:b/>
          <w:szCs w:val="24"/>
        </w:rPr>
        <w:t>表6.5-1  建设项目环境风险简单分析内容表</w:t>
      </w:r>
    </w:p>
    <w:tbl>
      <w:tblPr>
        <w:tblStyle w:val="30"/>
        <w:tblW w:w="830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4"/>
        <w:gridCol w:w="1416"/>
        <w:gridCol w:w="1417"/>
        <w:gridCol w:w="1418"/>
        <w:gridCol w:w="1144"/>
        <w:gridCol w:w="13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b/>
                <w:sz w:val="21"/>
                <w:szCs w:val="21"/>
              </w:rPr>
            </w:pPr>
            <w:r>
              <w:rPr>
                <w:b/>
                <w:sz w:val="21"/>
                <w:szCs w:val="21"/>
              </w:rPr>
              <w:t>建设项目名称</w:t>
            </w:r>
          </w:p>
        </w:tc>
        <w:tc>
          <w:tcPr>
            <w:tcW w:w="6779" w:type="dxa"/>
            <w:gridSpan w:val="5"/>
            <w:shd w:val="clear" w:color="auto" w:fill="auto"/>
            <w:vAlign w:val="center"/>
          </w:tcPr>
          <w:p>
            <w:pPr>
              <w:pStyle w:val="13"/>
              <w:adjustRightInd w:val="0"/>
              <w:snapToGrid w:val="0"/>
              <w:spacing w:after="0" w:line="240" w:lineRule="auto"/>
              <w:jc w:val="center"/>
              <w:rPr>
                <w:b/>
                <w:sz w:val="21"/>
                <w:szCs w:val="21"/>
                <w:lang w:eastAsia="zh-CN"/>
              </w:rPr>
            </w:pPr>
            <w:r>
              <w:rPr>
                <w:rFonts w:hint="eastAsia"/>
                <w:b/>
                <w:szCs w:val="21"/>
                <w:lang w:eastAsia="zh-CN"/>
              </w:rPr>
              <w:t>燃煤电厂污泥及生物质干燥炭化输送一体化试验装置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sz w:val="21"/>
                <w:szCs w:val="21"/>
              </w:rPr>
            </w:pPr>
            <w:r>
              <w:rPr>
                <w:sz w:val="21"/>
                <w:szCs w:val="21"/>
              </w:rPr>
              <w:t>建设地点</w:t>
            </w:r>
          </w:p>
        </w:tc>
        <w:tc>
          <w:tcPr>
            <w:tcW w:w="1416" w:type="dxa"/>
            <w:shd w:val="clear" w:color="auto" w:fill="auto"/>
            <w:vAlign w:val="center"/>
          </w:tcPr>
          <w:p>
            <w:pPr>
              <w:pStyle w:val="13"/>
              <w:adjustRightInd w:val="0"/>
              <w:snapToGrid w:val="0"/>
              <w:spacing w:after="0" w:line="240" w:lineRule="auto"/>
              <w:rPr>
                <w:sz w:val="21"/>
                <w:szCs w:val="21"/>
              </w:rPr>
            </w:pPr>
            <w:r>
              <w:rPr>
                <w:sz w:val="21"/>
                <w:szCs w:val="21"/>
              </w:rPr>
              <w:t>（湖南）省</w:t>
            </w:r>
          </w:p>
        </w:tc>
        <w:tc>
          <w:tcPr>
            <w:tcW w:w="1417" w:type="dxa"/>
            <w:shd w:val="clear" w:color="auto" w:fill="auto"/>
            <w:vAlign w:val="center"/>
          </w:tcPr>
          <w:p>
            <w:pPr>
              <w:pStyle w:val="13"/>
              <w:adjustRightInd w:val="0"/>
              <w:snapToGrid w:val="0"/>
              <w:spacing w:after="0" w:line="240" w:lineRule="auto"/>
              <w:rPr>
                <w:sz w:val="21"/>
                <w:szCs w:val="21"/>
              </w:rPr>
            </w:pPr>
            <w:r>
              <w:rPr>
                <w:sz w:val="21"/>
                <w:szCs w:val="21"/>
              </w:rPr>
              <w:t>（岳阳）市</w:t>
            </w:r>
          </w:p>
        </w:tc>
        <w:tc>
          <w:tcPr>
            <w:tcW w:w="1418" w:type="dxa"/>
            <w:shd w:val="clear" w:color="auto" w:fill="auto"/>
            <w:vAlign w:val="center"/>
          </w:tcPr>
          <w:p>
            <w:pPr>
              <w:pStyle w:val="13"/>
              <w:adjustRightInd w:val="0"/>
              <w:snapToGrid w:val="0"/>
              <w:spacing w:after="0" w:line="240" w:lineRule="auto"/>
              <w:rPr>
                <w:sz w:val="21"/>
                <w:szCs w:val="21"/>
              </w:rPr>
            </w:pPr>
            <w:r>
              <w:rPr>
                <w:sz w:val="21"/>
                <w:szCs w:val="21"/>
              </w:rPr>
              <w:t>（</w:t>
            </w:r>
            <w:r>
              <w:rPr>
                <w:rFonts w:hint="eastAsia"/>
                <w:szCs w:val="21"/>
              </w:rPr>
              <w:t>临港</w:t>
            </w:r>
            <w:r>
              <w:rPr>
                <w:sz w:val="21"/>
                <w:szCs w:val="21"/>
              </w:rPr>
              <w:t>）区</w:t>
            </w:r>
          </w:p>
        </w:tc>
        <w:tc>
          <w:tcPr>
            <w:tcW w:w="1144" w:type="dxa"/>
            <w:shd w:val="clear" w:color="auto" w:fill="auto"/>
            <w:vAlign w:val="center"/>
          </w:tcPr>
          <w:p>
            <w:pPr>
              <w:pStyle w:val="13"/>
              <w:adjustRightInd w:val="0"/>
              <w:snapToGrid w:val="0"/>
              <w:spacing w:after="0" w:line="240" w:lineRule="auto"/>
              <w:rPr>
                <w:sz w:val="21"/>
                <w:szCs w:val="21"/>
              </w:rPr>
            </w:pPr>
            <w:r>
              <w:rPr>
                <w:sz w:val="21"/>
                <w:szCs w:val="21"/>
              </w:rPr>
              <w:t>（</w:t>
            </w:r>
            <w:r>
              <w:rPr>
                <w:rFonts w:hint="eastAsia"/>
                <w:sz w:val="21"/>
                <w:szCs w:val="21"/>
              </w:rPr>
              <w:t>/</w:t>
            </w:r>
            <w:r>
              <w:rPr>
                <w:sz w:val="21"/>
                <w:szCs w:val="21"/>
              </w:rPr>
              <w:t>）县</w:t>
            </w:r>
          </w:p>
        </w:tc>
        <w:tc>
          <w:tcPr>
            <w:tcW w:w="1384" w:type="dxa"/>
            <w:shd w:val="clear" w:color="auto" w:fill="auto"/>
            <w:vAlign w:val="center"/>
          </w:tcPr>
          <w:p>
            <w:pPr>
              <w:pStyle w:val="13"/>
              <w:adjustRightInd w:val="0"/>
              <w:snapToGrid w:val="0"/>
              <w:spacing w:after="0" w:line="240" w:lineRule="auto"/>
              <w:rPr>
                <w:sz w:val="21"/>
                <w:szCs w:val="21"/>
              </w:rPr>
            </w:pPr>
            <w:r>
              <w:rPr>
                <w:sz w:val="21"/>
                <w:szCs w:val="21"/>
              </w:rPr>
              <w:t>（/）园区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sz w:val="21"/>
                <w:szCs w:val="21"/>
              </w:rPr>
            </w:pPr>
            <w:r>
              <w:rPr>
                <w:sz w:val="21"/>
                <w:szCs w:val="21"/>
              </w:rPr>
              <w:t>地理坐标</w:t>
            </w:r>
          </w:p>
        </w:tc>
        <w:tc>
          <w:tcPr>
            <w:tcW w:w="1416" w:type="dxa"/>
            <w:shd w:val="clear" w:color="auto" w:fill="auto"/>
            <w:vAlign w:val="center"/>
          </w:tcPr>
          <w:p>
            <w:pPr>
              <w:pStyle w:val="13"/>
              <w:adjustRightInd w:val="0"/>
              <w:snapToGrid w:val="0"/>
              <w:spacing w:after="0" w:line="240" w:lineRule="auto"/>
              <w:jc w:val="center"/>
              <w:rPr>
                <w:sz w:val="21"/>
                <w:szCs w:val="21"/>
              </w:rPr>
            </w:pPr>
            <w:r>
              <w:rPr>
                <w:sz w:val="21"/>
                <w:szCs w:val="21"/>
              </w:rPr>
              <w:t>经度</w:t>
            </w:r>
          </w:p>
        </w:tc>
        <w:tc>
          <w:tcPr>
            <w:tcW w:w="1417" w:type="dxa"/>
            <w:shd w:val="clear" w:color="auto" w:fill="auto"/>
            <w:vAlign w:val="center"/>
          </w:tcPr>
          <w:p>
            <w:pPr>
              <w:spacing w:after="0" w:line="240" w:lineRule="auto"/>
              <w:jc w:val="center"/>
              <w:textAlignment w:val="center"/>
              <w:rPr>
                <w:sz w:val="21"/>
                <w:szCs w:val="21"/>
              </w:rPr>
            </w:pPr>
            <w:r>
              <w:rPr>
                <w:rFonts w:hint="eastAsia"/>
                <w:sz w:val="21"/>
                <w:szCs w:val="21"/>
              </w:rPr>
              <w:t>113.</w:t>
            </w:r>
            <w:r>
              <w:rPr>
                <w:rFonts w:hint="eastAsia"/>
                <w:szCs w:val="21"/>
              </w:rPr>
              <w:t>166184</w:t>
            </w:r>
          </w:p>
        </w:tc>
        <w:tc>
          <w:tcPr>
            <w:tcW w:w="1418" w:type="dxa"/>
            <w:shd w:val="clear" w:color="auto" w:fill="auto"/>
            <w:vAlign w:val="center"/>
          </w:tcPr>
          <w:p>
            <w:pPr>
              <w:pStyle w:val="13"/>
              <w:adjustRightInd w:val="0"/>
              <w:snapToGrid w:val="0"/>
              <w:spacing w:after="0" w:line="240" w:lineRule="auto"/>
              <w:jc w:val="center"/>
              <w:rPr>
                <w:sz w:val="21"/>
                <w:szCs w:val="21"/>
              </w:rPr>
            </w:pPr>
            <w:r>
              <w:rPr>
                <w:sz w:val="21"/>
                <w:szCs w:val="21"/>
              </w:rPr>
              <w:t>纬度</w:t>
            </w:r>
          </w:p>
        </w:tc>
        <w:tc>
          <w:tcPr>
            <w:tcW w:w="2528" w:type="dxa"/>
            <w:gridSpan w:val="2"/>
            <w:shd w:val="clear" w:color="auto" w:fill="auto"/>
            <w:vAlign w:val="center"/>
          </w:tcPr>
          <w:p>
            <w:pPr>
              <w:pStyle w:val="13"/>
              <w:adjustRightInd w:val="0"/>
              <w:snapToGrid w:val="0"/>
              <w:spacing w:after="0" w:line="240" w:lineRule="auto"/>
              <w:jc w:val="center"/>
              <w:rPr>
                <w:sz w:val="21"/>
                <w:szCs w:val="21"/>
              </w:rPr>
            </w:pPr>
            <w:r>
              <w:rPr>
                <w:sz w:val="21"/>
                <w:szCs w:val="21"/>
              </w:rPr>
              <w:t>29.</w:t>
            </w:r>
            <w:r>
              <w:rPr>
                <w:rFonts w:hint="eastAsia"/>
                <w:szCs w:val="21"/>
              </w:rPr>
              <w:t>453102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sz w:val="21"/>
                <w:szCs w:val="21"/>
              </w:rPr>
            </w:pPr>
            <w:r>
              <w:rPr>
                <w:sz w:val="21"/>
                <w:szCs w:val="21"/>
              </w:rPr>
              <w:t>主要危险物质及分布</w:t>
            </w:r>
          </w:p>
        </w:tc>
        <w:tc>
          <w:tcPr>
            <w:tcW w:w="6779" w:type="dxa"/>
            <w:gridSpan w:val="5"/>
            <w:shd w:val="clear" w:color="auto" w:fill="auto"/>
            <w:vAlign w:val="center"/>
          </w:tcPr>
          <w:p>
            <w:pPr>
              <w:pStyle w:val="13"/>
              <w:adjustRightInd w:val="0"/>
              <w:snapToGrid w:val="0"/>
              <w:spacing w:after="0" w:line="240" w:lineRule="auto"/>
              <w:ind w:firstLine="420" w:firstLineChars="200"/>
              <w:rPr>
                <w:sz w:val="21"/>
                <w:szCs w:val="21"/>
                <w:lang w:eastAsia="zh-CN"/>
              </w:rPr>
            </w:pPr>
            <w:r>
              <w:rPr>
                <w:sz w:val="21"/>
                <w:szCs w:val="21"/>
                <w:lang w:eastAsia="zh-CN"/>
              </w:rPr>
              <w:t>主要危险物质为H</w:t>
            </w:r>
            <w:r>
              <w:rPr>
                <w:sz w:val="21"/>
                <w:szCs w:val="21"/>
                <w:vertAlign w:val="subscript"/>
                <w:lang w:eastAsia="zh-CN"/>
              </w:rPr>
              <w:t>2</w:t>
            </w:r>
            <w:r>
              <w:rPr>
                <w:sz w:val="21"/>
                <w:szCs w:val="21"/>
                <w:lang w:eastAsia="zh-CN"/>
              </w:rPr>
              <w:t>S、NH</w:t>
            </w:r>
            <w:r>
              <w:rPr>
                <w:sz w:val="21"/>
                <w:szCs w:val="21"/>
                <w:vertAlign w:val="subscript"/>
                <w:lang w:eastAsia="zh-CN"/>
              </w:rPr>
              <w:t>3</w:t>
            </w:r>
            <w:r>
              <w:rPr>
                <w:sz w:val="21"/>
                <w:szCs w:val="21"/>
                <w:lang w:eastAsia="zh-CN"/>
              </w:rPr>
              <w:t>、</w:t>
            </w:r>
            <w:r>
              <w:rPr>
                <w:rFonts w:hint="eastAsia"/>
                <w:szCs w:val="21"/>
                <w:lang w:eastAsia="zh-CN"/>
              </w:rPr>
              <w:t>SO</w:t>
            </w:r>
            <w:r>
              <w:rPr>
                <w:rFonts w:hint="eastAsia"/>
                <w:szCs w:val="21"/>
                <w:vertAlign w:val="subscript"/>
                <w:lang w:eastAsia="zh-CN"/>
              </w:rPr>
              <w:t>2</w:t>
            </w:r>
            <w:r>
              <w:rPr>
                <w:rFonts w:hint="eastAsia"/>
                <w:szCs w:val="21"/>
                <w:lang w:eastAsia="zh-CN"/>
              </w:rPr>
              <w:t>,</w:t>
            </w:r>
            <w:r>
              <w:rPr>
                <w:sz w:val="21"/>
                <w:szCs w:val="21"/>
                <w:lang w:eastAsia="zh-CN"/>
              </w:rPr>
              <w:t>主要分布在</w:t>
            </w:r>
            <w:r>
              <w:rPr>
                <w:rFonts w:hint="eastAsia"/>
                <w:szCs w:val="21"/>
                <w:lang w:eastAsia="zh-CN"/>
              </w:rPr>
              <w:t>污泥储罐、输送管道和锅炉炉膛。</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sz w:val="21"/>
                <w:szCs w:val="21"/>
                <w:lang w:eastAsia="zh-CN"/>
              </w:rPr>
            </w:pPr>
            <w:r>
              <w:rPr>
                <w:sz w:val="21"/>
                <w:szCs w:val="21"/>
                <w:lang w:eastAsia="zh-CN"/>
              </w:rPr>
              <w:t>环境影响途径及危害后果（大气、地表水、地下水等）</w:t>
            </w:r>
          </w:p>
        </w:tc>
        <w:tc>
          <w:tcPr>
            <w:tcW w:w="6779" w:type="dxa"/>
            <w:gridSpan w:val="5"/>
            <w:shd w:val="clear" w:color="auto" w:fill="auto"/>
            <w:vAlign w:val="center"/>
          </w:tcPr>
          <w:p>
            <w:pPr>
              <w:pStyle w:val="29"/>
              <w:spacing w:after="0" w:line="240" w:lineRule="auto"/>
              <w:ind w:firstLine="420"/>
              <w:rPr>
                <w:sz w:val="21"/>
                <w:szCs w:val="21"/>
              </w:rPr>
            </w:pPr>
            <w:r>
              <w:rPr>
                <w:sz w:val="21"/>
                <w:szCs w:val="21"/>
              </w:rPr>
              <w:t>废气收集系统故障，</w:t>
            </w:r>
            <w:r>
              <w:rPr>
                <w:rFonts w:hint="eastAsia"/>
                <w:sz w:val="21"/>
                <w:szCs w:val="21"/>
              </w:rPr>
              <w:t>污泥储罐恶臭气体</w:t>
            </w:r>
            <w:r>
              <w:rPr>
                <w:sz w:val="21"/>
                <w:szCs w:val="21"/>
              </w:rPr>
              <w:t>全部无组织排放；</w:t>
            </w:r>
            <w:r>
              <w:rPr>
                <w:rFonts w:hint="eastAsia"/>
                <w:sz w:val="21"/>
                <w:szCs w:val="21"/>
              </w:rPr>
              <w:t>输送管道</w:t>
            </w:r>
            <w:r>
              <w:rPr>
                <w:sz w:val="21"/>
                <w:szCs w:val="21"/>
              </w:rPr>
              <w:t>系统故障，</w:t>
            </w:r>
            <w:r>
              <w:rPr>
                <w:rFonts w:hint="eastAsia"/>
                <w:sz w:val="21"/>
                <w:szCs w:val="21"/>
              </w:rPr>
              <w:t>污泥气化产生的恶臭气体</w:t>
            </w:r>
            <w:r>
              <w:rPr>
                <w:sz w:val="21"/>
                <w:szCs w:val="21"/>
              </w:rPr>
              <w:t>直接排放至周边</w:t>
            </w:r>
            <w:r>
              <w:rPr>
                <w:rFonts w:hint="eastAsia"/>
                <w:sz w:val="21"/>
                <w:szCs w:val="21"/>
              </w:rPr>
              <w:t>大气</w:t>
            </w:r>
            <w:r>
              <w:rPr>
                <w:sz w:val="21"/>
                <w:szCs w:val="21"/>
              </w:rPr>
              <w:t>。当事故发生时，应及时</w:t>
            </w:r>
            <w:r>
              <w:rPr>
                <w:rFonts w:hint="eastAsia"/>
                <w:sz w:val="21"/>
                <w:szCs w:val="21"/>
              </w:rPr>
              <w:t>关闭污泥储罐出料阀门</w:t>
            </w:r>
            <w:r>
              <w:rPr>
                <w:sz w:val="21"/>
                <w:szCs w:val="21"/>
              </w:rPr>
              <w:t>。</w:t>
            </w:r>
          </w:p>
          <w:p>
            <w:pPr>
              <w:pStyle w:val="29"/>
              <w:spacing w:after="0" w:line="240" w:lineRule="auto"/>
              <w:ind w:firstLine="420"/>
              <w:rPr>
                <w:kern w:val="0"/>
                <w:sz w:val="21"/>
                <w:szCs w:val="21"/>
              </w:rPr>
            </w:pPr>
            <w:r>
              <w:rPr>
                <w:sz w:val="21"/>
                <w:szCs w:val="21"/>
              </w:rPr>
              <w:t>在</w:t>
            </w:r>
            <w:r>
              <w:rPr>
                <w:rFonts w:hint="eastAsia"/>
                <w:sz w:val="21"/>
                <w:szCs w:val="21"/>
              </w:rPr>
              <w:t>污泥储罐恶臭气体</w:t>
            </w:r>
            <w:r>
              <w:rPr>
                <w:sz w:val="21"/>
                <w:szCs w:val="21"/>
              </w:rPr>
              <w:t>全部无组织排放情况下，在1小时内下风向5000m处的区域内NH</w:t>
            </w:r>
            <w:r>
              <w:rPr>
                <w:sz w:val="21"/>
                <w:szCs w:val="21"/>
                <w:vertAlign w:val="subscript"/>
              </w:rPr>
              <w:t>3</w:t>
            </w:r>
            <w:r>
              <w:rPr>
                <w:sz w:val="21"/>
                <w:szCs w:val="21"/>
              </w:rPr>
              <w:t>、H</w:t>
            </w:r>
            <w:r>
              <w:rPr>
                <w:sz w:val="21"/>
                <w:szCs w:val="21"/>
                <w:vertAlign w:val="subscript"/>
              </w:rPr>
              <w:t>2</w:t>
            </w:r>
            <w:r>
              <w:rPr>
                <w:sz w:val="21"/>
                <w:szCs w:val="21"/>
              </w:rPr>
              <w:t>S均浓度满足《工业企业设计卫生标准》</w:t>
            </w:r>
            <w:r>
              <w:rPr>
                <w:rFonts w:hint="eastAsia"/>
                <w:sz w:val="21"/>
                <w:szCs w:val="21"/>
              </w:rPr>
              <w:t>（</w:t>
            </w:r>
            <w:r>
              <w:rPr>
                <w:sz w:val="21"/>
                <w:szCs w:val="21"/>
              </w:rPr>
              <w:t>TJ36-79</w:t>
            </w:r>
            <w:r>
              <w:rPr>
                <w:rFonts w:hint="eastAsia"/>
                <w:sz w:val="21"/>
                <w:szCs w:val="21"/>
              </w:rPr>
              <w:t>）</w:t>
            </w:r>
            <w:r>
              <w:rPr>
                <w:sz w:val="21"/>
                <w:szCs w:val="21"/>
              </w:rPr>
              <w:t>中</w:t>
            </w:r>
            <w:r>
              <w:rPr>
                <w:rFonts w:hint="eastAsia"/>
                <w:sz w:val="21"/>
                <w:szCs w:val="21"/>
              </w:rPr>
              <w:t>“</w:t>
            </w:r>
            <w:r>
              <w:rPr>
                <w:sz w:val="21"/>
                <w:szCs w:val="21"/>
              </w:rPr>
              <w:t>居住区大气中有害物质的最高容许浓度0.20mg/m</w:t>
            </w:r>
            <w:r>
              <w:rPr>
                <w:sz w:val="21"/>
                <w:szCs w:val="21"/>
                <w:vertAlign w:val="superscript"/>
              </w:rPr>
              <w:t>3</w:t>
            </w:r>
            <w:r>
              <w:rPr>
                <w:rFonts w:hint="eastAsia"/>
                <w:sz w:val="21"/>
                <w:szCs w:val="21"/>
              </w:rPr>
              <w:t>”</w:t>
            </w:r>
            <w:r>
              <w:rPr>
                <w:sz w:val="21"/>
                <w:szCs w:val="21"/>
              </w:rPr>
              <w:t>、 0.01mg/m</w:t>
            </w:r>
            <w:r>
              <w:rPr>
                <w:sz w:val="21"/>
                <w:szCs w:val="21"/>
                <w:vertAlign w:val="superscript"/>
              </w:rPr>
              <w:t>3</w:t>
            </w:r>
            <w:r>
              <w:rPr>
                <w:sz w:val="21"/>
                <w:szCs w:val="21"/>
              </w:rPr>
              <w:t>限值</w:t>
            </w:r>
            <w:r>
              <w:rPr>
                <w:rFonts w:hint="eastAsia"/>
                <w:sz w:val="21"/>
                <w:szCs w:val="21"/>
              </w:rPr>
              <w:t>。</w:t>
            </w:r>
            <w:r>
              <w:rPr>
                <w:sz w:val="21"/>
                <w:szCs w:val="21"/>
              </w:rPr>
              <w:t>但是应加强收集系统维护，确保废气收集系统保持</w:t>
            </w:r>
            <w:r>
              <w:rPr>
                <w:rFonts w:hint="eastAsia"/>
                <w:sz w:val="21"/>
                <w:szCs w:val="21"/>
              </w:rPr>
              <w:t>正常运转</w:t>
            </w:r>
            <w:r>
              <w:rPr>
                <w:sz w:val="21"/>
                <w:szCs w:val="21"/>
              </w:rPr>
              <w:t>，减少污染物无组织排放。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24" w:type="dxa"/>
            <w:shd w:val="clear" w:color="auto" w:fill="auto"/>
            <w:vAlign w:val="center"/>
          </w:tcPr>
          <w:p>
            <w:pPr>
              <w:pStyle w:val="13"/>
              <w:adjustRightInd w:val="0"/>
              <w:snapToGrid w:val="0"/>
              <w:spacing w:after="0" w:line="240" w:lineRule="auto"/>
              <w:rPr>
                <w:sz w:val="21"/>
                <w:szCs w:val="21"/>
              </w:rPr>
            </w:pPr>
            <w:r>
              <w:rPr>
                <w:sz w:val="21"/>
                <w:szCs w:val="21"/>
              </w:rPr>
              <w:t>风险防范措施要求</w:t>
            </w:r>
          </w:p>
        </w:tc>
        <w:tc>
          <w:tcPr>
            <w:tcW w:w="6779" w:type="dxa"/>
            <w:gridSpan w:val="5"/>
            <w:shd w:val="clear" w:color="auto" w:fill="auto"/>
            <w:vAlign w:val="center"/>
          </w:tcPr>
          <w:p>
            <w:pPr>
              <w:adjustRightInd w:val="0"/>
              <w:snapToGrid w:val="0"/>
              <w:spacing w:after="0" w:line="240" w:lineRule="auto"/>
              <w:ind w:firstLine="420" w:firstLineChars="200"/>
              <w:rPr>
                <w:sz w:val="21"/>
                <w:szCs w:val="21"/>
                <w:lang w:eastAsia="zh-CN"/>
              </w:rPr>
            </w:pPr>
            <w:r>
              <w:rPr>
                <w:sz w:val="21"/>
                <w:szCs w:val="21"/>
                <w:lang w:eastAsia="zh-CN"/>
              </w:rPr>
              <w:t>建设方应严格按照技术规范进行建设、运营和维护，确保</w:t>
            </w:r>
            <w:r>
              <w:rPr>
                <w:rFonts w:hint="eastAsia"/>
                <w:szCs w:val="21"/>
                <w:lang w:eastAsia="zh-CN"/>
              </w:rPr>
              <w:t>恶臭气体</w:t>
            </w:r>
            <w:r>
              <w:rPr>
                <w:sz w:val="21"/>
                <w:szCs w:val="21"/>
                <w:lang w:eastAsia="zh-CN"/>
              </w:rPr>
              <w:t>收集系统</w:t>
            </w:r>
            <w:r>
              <w:rPr>
                <w:rFonts w:hint="eastAsia"/>
                <w:szCs w:val="21"/>
                <w:lang w:eastAsia="zh-CN"/>
              </w:rPr>
              <w:t>运转正常</w:t>
            </w:r>
            <w:r>
              <w:rPr>
                <w:sz w:val="21"/>
                <w:szCs w:val="21"/>
                <w:lang w:eastAsia="zh-CN"/>
              </w:rPr>
              <w:t>，减少污染物无组织排放。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303" w:type="dxa"/>
            <w:gridSpan w:val="6"/>
            <w:shd w:val="clear" w:color="auto" w:fill="auto"/>
            <w:vAlign w:val="center"/>
          </w:tcPr>
          <w:p>
            <w:pPr>
              <w:pStyle w:val="13"/>
              <w:adjustRightInd w:val="0"/>
              <w:snapToGrid w:val="0"/>
              <w:spacing w:after="0" w:line="240" w:lineRule="auto"/>
              <w:rPr>
                <w:sz w:val="21"/>
                <w:szCs w:val="21"/>
                <w:lang w:eastAsia="zh-CN"/>
              </w:rPr>
            </w:pPr>
            <w:r>
              <w:rPr>
                <w:sz w:val="21"/>
                <w:szCs w:val="21"/>
                <w:lang w:eastAsia="zh-CN"/>
              </w:rPr>
              <w:t>填表说明（列出项目相关信息及评价说明）：</w:t>
            </w:r>
          </w:p>
          <w:p>
            <w:pPr>
              <w:pStyle w:val="13"/>
              <w:adjustRightInd w:val="0"/>
              <w:snapToGrid w:val="0"/>
              <w:spacing w:after="0" w:line="240" w:lineRule="auto"/>
              <w:rPr>
                <w:sz w:val="21"/>
                <w:szCs w:val="21"/>
                <w:lang w:eastAsia="zh-CN"/>
              </w:rPr>
            </w:pPr>
          </w:p>
          <w:p>
            <w:pPr>
              <w:pStyle w:val="13"/>
              <w:adjustRightInd w:val="0"/>
              <w:snapToGrid w:val="0"/>
              <w:spacing w:after="0" w:line="240" w:lineRule="auto"/>
              <w:rPr>
                <w:sz w:val="21"/>
                <w:szCs w:val="21"/>
              </w:rPr>
            </w:pPr>
            <w:r>
              <w:rPr>
                <w:sz w:val="21"/>
                <w:szCs w:val="21"/>
              </w:rPr>
              <w:t>无</w:t>
            </w:r>
          </w:p>
          <w:p>
            <w:pPr>
              <w:spacing w:after="0" w:line="240" w:lineRule="auto"/>
            </w:pPr>
          </w:p>
          <w:p>
            <w:pPr>
              <w:pStyle w:val="13"/>
              <w:adjustRightInd w:val="0"/>
              <w:snapToGrid w:val="0"/>
              <w:spacing w:after="0" w:line="240" w:lineRule="auto"/>
              <w:rPr>
                <w:sz w:val="21"/>
                <w:szCs w:val="21"/>
              </w:rPr>
            </w:pPr>
          </w:p>
        </w:tc>
      </w:tr>
    </w:tbl>
    <w:p>
      <w:pPr>
        <w:spacing w:line="360" w:lineRule="auto"/>
        <w:ind w:firstLine="480" w:firstLineChars="200"/>
        <w:rPr>
          <w:sz w:val="24"/>
        </w:rPr>
      </w:pP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13" w:name="_Toc21931"/>
      <w:bookmarkStart w:id="614" w:name="_Toc12340"/>
      <w:bookmarkStart w:id="615" w:name="_Toc447093723"/>
      <w:bookmarkStart w:id="616" w:name="_Toc30222"/>
      <w:bookmarkStart w:id="617" w:name="_Toc9411"/>
      <w:bookmarkStart w:id="618" w:name="_Toc16779"/>
      <w:bookmarkStart w:id="619" w:name="_Toc24579"/>
      <w:bookmarkStart w:id="620" w:name="_Toc11224"/>
      <w:bookmarkStart w:id="621" w:name="_Toc9728"/>
      <w:bookmarkStart w:id="622" w:name="_Toc486403379"/>
      <w:bookmarkStart w:id="623" w:name="_Toc32132"/>
      <w:bookmarkStart w:id="624" w:name="_Toc21581"/>
      <w:bookmarkStart w:id="625" w:name="_Toc30825"/>
      <w:bookmarkStart w:id="626" w:name="_Toc24969781"/>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r>
        <w:rPr>
          <w:rFonts w:ascii="宋体" w:hAnsi="宋体" w:eastAsia="宋体"/>
          <w:color w:val="000000" w:themeColor="text1"/>
          <w:lang w:eastAsia="zh-CN"/>
        </w:rPr>
        <w:t>6.</w:t>
      </w:r>
      <w:bookmarkEnd w:id="613"/>
      <w:bookmarkEnd w:id="614"/>
      <w:bookmarkEnd w:id="615"/>
      <w:bookmarkEnd w:id="616"/>
      <w:bookmarkEnd w:id="617"/>
      <w:bookmarkEnd w:id="618"/>
      <w:bookmarkEnd w:id="619"/>
      <w:bookmarkEnd w:id="620"/>
      <w:bookmarkEnd w:id="621"/>
      <w:r>
        <w:rPr>
          <w:rFonts w:hint="eastAsia" w:ascii="宋体" w:hAnsi="宋体" w:eastAsia="宋体"/>
          <w:color w:val="000000" w:themeColor="text1"/>
          <w:lang w:eastAsia="zh-CN"/>
        </w:rPr>
        <w:t>7风险管理</w:t>
      </w:r>
      <w:bookmarkEnd w:id="622"/>
      <w:bookmarkEnd w:id="623"/>
      <w:bookmarkEnd w:id="624"/>
      <w:bookmarkEnd w:id="625"/>
      <w:bookmarkEnd w:id="626"/>
    </w:p>
    <w:p>
      <w:pPr>
        <w:spacing w:line="360" w:lineRule="auto"/>
        <w:rPr>
          <w:b/>
          <w:bCs/>
          <w:sz w:val="24"/>
          <w:lang w:eastAsia="zh-CN"/>
        </w:rPr>
      </w:pPr>
      <w:r>
        <w:rPr>
          <w:rFonts w:hint="eastAsia"/>
          <w:b/>
          <w:bCs/>
          <w:sz w:val="24"/>
          <w:lang w:eastAsia="zh-CN"/>
        </w:rPr>
        <w:t>6.7.1企业已采取风险防范措施</w:t>
      </w:r>
    </w:p>
    <w:p>
      <w:pPr>
        <w:spacing w:line="360" w:lineRule="auto"/>
        <w:ind w:firstLine="480" w:firstLineChars="200"/>
        <w:rPr>
          <w:sz w:val="24"/>
          <w:lang w:eastAsia="zh-CN"/>
        </w:rPr>
      </w:pPr>
      <w:r>
        <w:rPr>
          <w:rFonts w:hint="eastAsia"/>
          <w:sz w:val="24"/>
          <w:lang w:eastAsia="zh-CN"/>
        </w:rPr>
        <w:t>华能岳阳电厂作为一个30多年的大型火力发电企业，在生产发展中不断完善安全、风险、环保管理措施。华能岳阳电厂有一套完整的风险管理及应急措施体系，形成了“全员、全面、全天候、全过程”的“四全”安全管理体系。</w:t>
      </w:r>
    </w:p>
    <w:p>
      <w:pPr>
        <w:spacing w:line="360" w:lineRule="auto"/>
        <w:rPr>
          <w:rFonts w:ascii="宋体" w:hAnsi="宋体"/>
          <w:b/>
          <w:sz w:val="24"/>
          <w:lang w:eastAsia="zh-CN"/>
        </w:rPr>
      </w:pPr>
      <w:r>
        <w:rPr>
          <w:rFonts w:hint="eastAsia" w:ascii="宋体" w:hAnsi="宋体"/>
          <w:b/>
          <w:sz w:val="24"/>
          <w:lang w:eastAsia="zh-CN"/>
        </w:rPr>
        <w:t>6.7.2环境风险应急监测</w:t>
      </w:r>
    </w:p>
    <w:p>
      <w:pPr>
        <w:spacing w:line="360" w:lineRule="auto"/>
        <w:ind w:firstLine="480" w:firstLineChars="200"/>
        <w:rPr>
          <w:sz w:val="24"/>
          <w:lang w:eastAsia="zh-CN"/>
        </w:rPr>
      </w:pPr>
      <w:r>
        <w:rPr>
          <w:rFonts w:hint="eastAsia"/>
          <w:sz w:val="24"/>
          <w:lang w:eastAsia="zh-CN"/>
        </w:rPr>
        <w:t>为应对目前日益增多的危险化学品事故、生态破坏事件引发的环境污染事故，快速响应，有序行动，控制事态发展，妥善进行处理和处置，降低事故危害和造成的损失，保护公众人身、生命和环境安全，本项目依托华能岳阳电厂的应急管理体系，认真贯彻“积极预防，高效处置”的指导思想，在思想、人员、装备、技术、保障、培训等方面做好充分准备，一旦有环境污染事故或突发事件发生，集中主要人力和物力，迅速果断地实施环境风险应急预测，实现保护公众、保护环境的目的。</w:t>
      </w:r>
    </w:p>
    <w:p>
      <w:pPr>
        <w:spacing w:line="360" w:lineRule="auto"/>
        <w:ind w:firstLine="480" w:firstLineChars="200"/>
        <w:rPr>
          <w:sz w:val="24"/>
          <w:lang w:eastAsia="zh-CN"/>
        </w:rPr>
      </w:pPr>
      <w:r>
        <w:rPr>
          <w:rFonts w:hint="eastAsia"/>
          <w:sz w:val="24"/>
          <w:lang w:eastAsia="zh-CN"/>
        </w:rPr>
        <w:t>为应对环境风险应急监测，华能岳阳电厂设立环境污染事故应急监测领导小组（以下简称领导小组），负责组织指挥环境污染事故应急监测、发布应急监测信息、组织日常应急预案的演练等工作。其主要任务为负责现场监测布点、采样、分析化验、数据汇总、编制报告（简报）等工作，鉴别污染物种类、排放量、浓度、危害性及可能产生的影响，提出减轻危害的技术措施等；制定跟踪监测计划，对发出和解除污染警报的时间、区域提出建议；完成应急领导小组赋予的其他任务。</w:t>
      </w:r>
    </w:p>
    <w:p>
      <w:pPr>
        <w:spacing w:line="360" w:lineRule="auto"/>
        <w:ind w:firstLine="480" w:firstLineChars="200"/>
        <w:rPr>
          <w:sz w:val="24"/>
          <w:lang w:eastAsia="zh-CN"/>
        </w:rPr>
      </w:pPr>
      <w:r>
        <w:rPr>
          <w:rFonts w:hint="eastAsia"/>
          <w:sz w:val="24"/>
          <w:lang w:eastAsia="zh-CN"/>
        </w:rPr>
        <w:t>华能岳阳电厂环境风险应急监测应做到以下几点：</w:t>
      </w:r>
    </w:p>
    <w:p>
      <w:pPr>
        <w:spacing w:line="360" w:lineRule="auto"/>
        <w:ind w:firstLine="480" w:firstLineChars="200"/>
        <w:rPr>
          <w:sz w:val="24"/>
          <w:lang w:eastAsia="zh-CN"/>
        </w:rPr>
      </w:pPr>
      <w:r>
        <w:rPr>
          <w:rFonts w:hint="eastAsia"/>
          <w:sz w:val="24"/>
          <w:lang w:eastAsia="zh-CN"/>
        </w:rPr>
        <w:t>①了解事故原因、污染源性质以及事故发展过程，立即做出反应，及时启动本预案。</w:t>
      </w:r>
    </w:p>
    <w:p>
      <w:pPr>
        <w:spacing w:line="360" w:lineRule="auto"/>
        <w:ind w:firstLine="480" w:firstLineChars="200"/>
        <w:rPr>
          <w:sz w:val="24"/>
          <w:lang w:eastAsia="zh-CN"/>
        </w:rPr>
      </w:pPr>
      <w:r>
        <w:rPr>
          <w:rFonts w:hint="eastAsia"/>
          <w:sz w:val="24"/>
          <w:lang w:eastAsia="zh-CN"/>
        </w:rPr>
        <w:t>②及时向有关部门提供辖区内发生的环境污染和生态破坏事件应急监测数据；及时向厂领导报告事态的发展趋势和可能造成的后果。</w:t>
      </w:r>
    </w:p>
    <w:p>
      <w:pPr>
        <w:spacing w:line="360" w:lineRule="auto"/>
        <w:ind w:firstLine="480" w:firstLineChars="200"/>
        <w:rPr>
          <w:sz w:val="24"/>
          <w:lang w:eastAsia="zh-CN"/>
        </w:rPr>
      </w:pPr>
      <w:r>
        <w:rPr>
          <w:rFonts w:hint="eastAsia"/>
          <w:sz w:val="24"/>
          <w:lang w:eastAsia="zh-CN"/>
        </w:rPr>
        <w:t>③配合、协助有关部门妥善开展消毒去污处理工作。</w:t>
      </w:r>
    </w:p>
    <w:p>
      <w:pPr>
        <w:spacing w:line="360" w:lineRule="auto"/>
        <w:ind w:firstLine="480" w:firstLineChars="200"/>
        <w:rPr>
          <w:sz w:val="24"/>
          <w:lang w:eastAsia="zh-CN"/>
        </w:rPr>
      </w:pPr>
      <w:r>
        <w:rPr>
          <w:rFonts w:hint="eastAsia"/>
          <w:sz w:val="24"/>
          <w:lang w:eastAsia="zh-CN"/>
        </w:rPr>
        <w:t>④经上级批准，发布辖区内突发性环境污染和生态破坏事件的应急监测信息。</w:t>
      </w:r>
    </w:p>
    <w:p>
      <w:pPr>
        <w:spacing w:line="360" w:lineRule="auto"/>
        <w:rPr>
          <w:b/>
          <w:bCs/>
          <w:sz w:val="24"/>
          <w:lang w:eastAsia="zh-CN"/>
        </w:rPr>
      </w:pPr>
      <w:r>
        <w:rPr>
          <w:rFonts w:hint="eastAsia"/>
          <w:b/>
          <w:bCs/>
          <w:sz w:val="24"/>
          <w:lang w:eastAsia="zh-CN"/>
        </w:rPr>
        <w:t>6.7.3应急预案</w:t>
      </w:r>
    </w:p>
    <w:p>
      <w:pPr>
        <w:spacing w:line="360" w:lineRule="auto"/>
        <w:ind w:firstLine="480" w:firstLineChars="200"/>
        <w:rPr>
          <w:sz w:val="24"/>
          <w:lang w:eastAsia="zh-CN"/>
        </w:rPr>
      </w:pPr>
      <w:r>
        <w:rPr>
          <w:rFonts w:hint="eastAsia"/>
          <w:sz w:val="24"/>
          <w:lang w:eastAsia="zh-CN"/>
        </w:rPr>
        <w:t>本工程风险管理依托华能岳阳电厂现有环境管理部门，本工程急预案亦依托现有厂区已编制的应急预案。</w:t>
      </w:r>
    </w:p>
    <w:p>
      <w:pPr>
        <w:spacing w:line="360" w:lineRule="auto"/>
        <w:ind w:firstLine="480" w:firstLineChars="200"/>
        <w:rPr>
          <w:sz w:val="24"/>
          <w:lang w:eastAsia="zh-CN"/>
        </w:rPr>
      </w:pPr>
      <w:r>
        <w:rPr>
          <w:rFonts w:hint="eastAsia"/>
          <w:sz w:val="24"/>
          <w:lang w:eastAsia="zh-CN"/>
        </w:rPr>
        <w:t>1）总则</w:t>
      </w:r>
    </w:p>
    <w:p>
      <w:pPr>
        <w:spacing w:line="360" w:lineRule="auto"/>
        <w:ind w:firstLine="480"/>
        <w:rPr>
          <w:sz w:val="24"/>
          <w:lang w:eastAsia="zh-CN"/>
        </w:rPr>
      </w:pPr>
      <w:r>
        <w:rPr>
          <w:rFonts w:hint="eastAsia"/>
          <w:sz w:val="24"/>
          <w:lang w:eastAsia="zh-CN"/>
        </w:rPr>
        <w:t>编制目的：为贯彻落实《中华人民共和国环境保护法》，《中华人民共和国水污染防治法》、《中华人民共和国大气污染防治法》等法律、法规，建立健全荆门石化污染事件紧急处理体系，确保荆门石化污染事件应急处理体系在装置及其罐区发生重大污染事件时，各项应急工作能够快速启动，高效有序，最大限度地减轻污染事件对环境造成的损失。切实做到以人为本，保障职工家属的身心健康及环境安全，维护社会稳定，促进企业经济、社会的全面、可持续发展。</w:t>
      </w:r>
    </w:p>
    <w:p>
      <w:pPr>
        <w:spacing w:line="360" w:lineRule="auto"/>
        <w:ind w:firstLine="480"/>
        <w:rPr>
          <w:sz w:val="24"/>
          <w:lang w:eastAsia="zh-CN"/>
        </w:rPr>
      </w:pPr>
      <w:r>
        <w:rPr>
          <w:rFonts w:hint="eastAsia"/>
          <w:sz w:val="24"/>
          <w:lang w:eastAsia="zh-CN"/>
        </w:rPr>
        <w:t>工作原则：以人为本，最大程度地保护工程环境风险评价区环境安全；在有关管理部门统一领导下，安全、消防、环保等多部门协调，企业积极配合，分级管理，合理控制，减小损失；企业内部建设良好的应急制度与机制，有关部门密切配合，分工协作，各司其职，各尽其责；依靠企业广大员工，充分发挥基层员工的自律性，积极预防；通过危险源辩识、事故判断，采用技术和管理手段降低事故发生和扩大的可能性；快速反应，将事故消除在萌芽状态；采用预定现场抢险和抢救方式，控制或减少事故造成的损失。</w:t>
      </w:r>
    </w:p>
    <w:p>
      <w:pPr>
        <w:spacing w:line="360" w:lineRule="auto"/>
        <w:ind w:firstLine="480"/>
        <w:rPr>
          <w:sz w:val="24"/>
          <w:lang w:eastAsia="zh-CN"/>
        </w:rPr>
      </w:pPr>
    </w:p>
    <w:p>
      <w:pPr>
        <w:spacing w:line="360" w:lineRule="auto"/>
        <w:ind w:firstLine="480"/>
        <w:rPr>
          <w:sz w:val="24"/>
          <w:lang w:eastAsia="zh-CN"/>
        </w:rPr>
      </w:pPr>
      <w:r>
        <w:rPr>
          <w:rFonts w:hint="eastAsia"/>
          <w:sz w:val="24"/>
          <w:lang w:eastAsia="zh-CN"/>
        </w:rPr>
        <w:t>2）工程项目应急措施</w:t>
      </w:r>
    </w:p>
    <w:p>
      <w:pPr>
        <w:spacing w:line="360" w:lineRule="auto"/>
        <w:ind w:firstLine="480"/>
        <w:rPr>
          <w:sz w:val="24"/>
          <w:lang w:eastAsia="zh-CN"/>
        </w:rPr>
      </w:pPr>
      <w:r>
        <w:rPr>
          <w:rFonts w:hint="eastAsia"/>
          <w:sz w:val="24"/>
          <w:lang w:eastAsia="zh-CN"/>
        </w:rPr>
        <w:t>项目的建设，要求设计、建造和运行要科学规划、合理布置、严格执行防火安全设计规范，保证工程质量，严格安全生产制度、严格日常管理，提高操作人员素质和水平，以减少事故的发生。</w:t>
      </w:r>
    </w:p>
    <w:p>
      <w:pPr>
        <w:spacing w:line="360" w:lineRule="auto"/>
        <w:ind w:firstLine="480"/>
        <w:rPr>
          <w:sz w:val="24"/>
          <w:lang w:eastAsia="zh-CN"/>
        </w:rPr>
      </w:pPr>
      <w:r>
        <w:rPr>
          <w:rFonts w:hint="eastAsia"/>
          <w:sz w:val="24"/>
          <w:lang w:eastAsia="zh-CN"/>
        </w:rPr>
        <w:t>一旦发生事故，则要根据具体情况采取应急措施，切断泄漏源、火源，控制事故扩大；立即报警；采取遏制泄漏物进入环境的紧急措施。</w:t>
      </w:r>
    </w:p>
    <w:p>
      <w:pPr>
        <w:spacing w:line="360" w:lineRule="auto"/>
        <w:ind w:firstLine="480"/>
        <w:rPr>
          <w:sz w:val="24"/>
          <w:lang w:eastAsia="zh-CN"/>
        </w:rPr>
      </w:pPr>
      <w:r>
        <w:rPr>
          <w:rFonts w:hint="eastAsia"/>
          <w:sz w:val="24"/>
          <w:lang w:eastAsia="zh-CN"/>
        </w:rPr>
        <w:t>3）应急预案</w:t>
      </w:r>
    </w:p>
    <w:p>
      <w:pPr>
        <w:spacing w:line="360" w:lineRule="auto"/>
        <w:ind w:firstLine="480"/>
        <w:rPr>
          <w:sz w:val="24"/>
        </w:rPr>
      </w:pPr>
      <w:r>
        <w:rPr>
          <w:rFonts w:hint="eastAsia"/>
          <w:sz w:val="24"/>
          <w:lang w:eastAsia="zh-CN"/>
        </w:rPr>
        <w:t>应急预案一般应包括：应急组织及其职责；应急设施、设备与器材；应急通信联络；事故后果评价；应急监测；应急安全、保卫；应急医学救援；应急撤离措施；应急报告；应急救援；应急状态终止；应急演习等。</w:t>
      </w:r>
      <w:r>
        <w:rPr>
          <w:rFonts w:hint="eastAsia"/>
          <w:sz w:val="24"/>
        </w:rPr>
        <w:t>具体应急预案内容见下表。</w:t>
      </w:r>
    </w:p>
    <w:p>
      <w:pPr>
        <w:jc w:val="center"/>
        <w:rPr>
          <w:rFonts w:eastAsia="仿宋_GB2312"/>
          <w:sz w:val="24"/>
          <w:szCs w:val="24"/>
        </w:rPr>
      </w:pPr>
      <w:r>
        <w:rPr>
          <w:szCs w:val="24"/>
        </w:rPr>
        <w:drawing>
          <wp:inline distT="0" distB="0" distL="0" distR="0">
            <wp:extent cx="5143500" cy="5505450"/>
            <wp:effectExtent l="19050" t="0" r="0" b="0"/>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3"/>
                    <pic:cNvPicPr>
                      <a:picLocks noChangeAspect="1" noChangeArrowheads="1"/>
                    </pic:cNvPicPr>
                  </pic:nvPicPr>
                  <pic:blipFill>
                    <a:blip r:embed="rId24" cstate="print"/>
                    <a:srcRect/>
                    <a:stretch>
                      <a:fillRect/>
                    </a:stretch>
                  </pic:blipFill>
                  <pic:spPr>
                    <a:xfrm>
                      <a:off x="0" y="0"/>
                      <a:ext cx="5143500" cy="5505450"/>
                    </a:xfrm>
                    <a:prstGeom prst="rect">
                      <a:avLst/>
                    </a:prstGeom>
                    <a:noFill/>
                    <a:ln w="9525">
                      <a:noFill/>
                      <a:miter lim="800000"/>
                      <a:headEnd/>
                      <a:tailEnd/>
                    </a:ln>
                  </pic:spPr>
                </pic:pic>
              </a:graphicData>
            </a:graphic>
          </wp:inline>
        </w:drawing>
      </w:r>
    </w:p>
    <w:p>
      <w:pPr>
        <w:jc w:val="center"/>
        <w:rPr>
          <w:b/>
          <w:sz w:val="24"/>
          <w:szCs w:val="24"/>
          <w:lang w:eastAsia="zh-CN"/>
        </w:rPr>
      </w:pPr>
    </w:p>
    <w:p>
      <w:pPr>
        <w:jc w:val="center"/>
        <w:rPr>
          <w:b/>
          <w:sz w:val="24"/>
          <w:szCs w:val="24"/>
          <w:lang w:eastAsia="zh-CN"/>
        </w:rPr>
      </w:pPr>
      <w:r>
        <w:rPr>
          <w:b/>
          <w:sz w:val="24"/>
          <w:szCs w:val="24"/>
          <w:lang w:eastAsia="zh-CN"/>
        </w:rPr>
        <w:t>图</w:t>
      </w:r>
      <w:r>
        <w:rPr>
          <w:rFonts w:hint="eastAsia"/>
          <w:b/>
          <w:sz w:val="24"/>
          <w:szCs w:val="24"/>
          <w:lang w:eastAsia="zh-CN"/>
        </w:rPr>
        <w:t>6</w:t>
      </w:r>
      <w:r>
        <w:rPr>
          <w:b/>
          <w:sz w:val="24"/>
          <w:szCs w:val="24"/>
          <w:lang w:eastAsia="zh-CN"/>
        </w:rPr>
        <w:t>.</w:t>
      </w:r>
      <w:r>
        <w:rPr>
          <w:rFonts w:hint="eastAsia"/>
          <w:b/>
          <w:sz w:val="24"/>
          <w:szCs w:val="24"/>
          <w:lang w:eastAsia="zh-CN"/>
        </w:rPr>
        <w:t>7</w:t>
      </w:r>
      <w:r>
        <w:rPr>
          <w:b/>
          <w:sz w:val="24"/>
          <w:szCs w:val="24"/>
          <w:lang w:eastAsia="zh-CN"/>
        </w:rPr>
        <w:t>-1  救援分队现场施救</w:t>
      </w:r>
    </w:p>
    <w:p>
      <w:pPr>
        <w:pStyle w:val="2"/>
        <w:rPr>
          <w:lang w:eastAsia="zh-CN"/>
        </w:rPr>
      </w:pPr>
    </w:p>
    <w:p>
      <w:pPr>
        <w:pStyle w:val="67"/>
        <w:tabs>
          <w:tab w:val="left" w:pos="360"/>
          <w:tab w:val="left" w:pos="6300"/>
        </w:tabs>
        <w:ind w:left="0" w:leftChars="0" w:firstLine="0"/>
        <w:jc w:val="center"/>
        <w:rPr>
          <w:rFonts w:hint="eastAsia"/>
          <w:b/>
          <w:sz w:val="24"/>
          <w:szCs w:val="24"/>
          <w:lang w:eastAsia="zh-CN"/>
        </w:rPr>
      </w:pPr>
    </w:p>
    <w:p>
      <w:pPr>
        <w:pStyle w:val="67"/>
        <w:tabs>
          <w:tab w:val="left" w:pos="360"/>
          <w:tab w:val="left" w:pos="6300"/>
        </w:tabs>
        <w:ind w:left="0" w:leftChars="0" w:firstLine="0"/>
        <w:jc w:val="center"/>
        <w:rPr>
          <w:rFonts w:hint="eastAsia"/>
          <w:b/>
          <w:sz w:val="24"/>
          <w:szCs w:val="24"/>
          <w:lang w:eastAsia="zh-CN"/>
        </w:rPr>
      </w:pPr>
    </w:p>
    <w:p>
      <w:pPr>
        <w:pStyle w:val="67"/>
        <w:tabs>
          <w:tab w:val="left" w:pos="360"/>
          <w:tab w:val="left" w:pos="6300"/>
        </w:tabs>
        <w:ind w:left="0" w:leftChars="0" w:firstLine="0"/>
        <w:jc w:val="center"/>
        <w:rPr>
          <w:rFonts w:hint="eastAsia"/>
          <w:b/>
          <w:sz w:val="24"/>
          <w:szCs w:val="24"/>
          <w:lang w:eastAsia="zh-CN"/>
        </w:rPr>
      </w:pPr>
    </w:p>
    <w:p>
      <w:pPr>
        <w:pStyle w:val="67"/>
        <w:tabs>
          <w:tab w:val="left" w:pos="360"/>
          <w:tab w:val="left" w:pos="6300"/>
        </w:tabs>
        <w:ind w:left="0" w:leftChars="0" w:firstLine="0"/>
        <w:jc w:val="center"/>
        <w:rPr>
          <w:rFonts w:hint="eastAsia"/>
          <w:b/>
          <w:sz w:val="24"/>
          <w:szCs w:val="24"/>
          <w:lang w:eastAsia="zh-CN"/>
        </w:rPr>
      </w:pPr>
    </w:p>
    <w:p>
      <w:pPr>
        <w:pStyle w:val="67"/>
        <w:tabs>
          <w:tab w:val="left" w:pos="360"/>
          <w:tab w:val="left" w:pos="6300"/>
        </w:tabs>
        <w:ind w:left="0" w:leftChars="0" w:firstLine="0"/>
        <w:jc w:val="center"/>
        <w:rPr>
          <w:b/>
          <w:sz w:val="24"/>
          <w:szCs w:val="24"/>
          <w:lang w:eastAsia="zh-CN"/>
        </w:rPr>
      </w:pPr>
      <w:r>
        <w:rPr>
          <w:b/>
          <w:sz w:val="24"/>
          <w:szCs w:val="24"/>
          <w:lang w:eastAsia="zh-CN"/>
        </w:rPr>
        <w:t>表</w:t>
      </w:r>
      <w:r>
        <w:rPr>
          <w:rFonts w:hint="eastAsia"/>
          <w:b/>
          <w:sz w:val="24"/>
          <w:szCs w:val="24"/>
          <w:lang w:eastAsia="zh-CN"/>
        </w:rPr>
        <w:t>6</w:t>
      </w:r>
      <w:r>
        <w:rPr>
          <w:b/>
          <w:sz w:val="24"/>
          <w:szCs w:val="24"/>
          <w:lang w:eastAsia="zh-CN"/>
        </w:rPr>
        <w:t>.</w:t>
      </w:r>
      <w:r>
        <w:rPr>
          <w:rFonts w:hint="eastAsia"/>
          <w:b/>
          <w:sz w:val="24"/>
          <w:szCs w:val="24"/>
          <w:lang w:eastAsia="zh-CN"/>
        </w:rPr>
        <w:t>7-1</w:t>
      </w:r>
      <w:r>
        <w:rPr>
          <w:b/>
          <w:sz w:val="24"/>
          <w:szCs w:val="24"/>
          <w:lang w:eastAsia="zh-CN"/>
        </w:rPr>
        <w:t xml:space="preserve">  应急预案内容</w:t>
      </w:r>
    </w:p>
    <w:p>
      <w:pPr>
        <w:pStyle w:val="67"/>
        <w:tabs>
          <w:tab w:val="left" w:pos="360"/>
          <w:tab w:val="left" w:pos="6300"/>
        </w:tabs>
        <w:ind w:left="0" w:leftChars="0" w:firstLine="0"/>
        <w:jc w:val="center"/>
        <w:rPr>
          <w:b/>
          <w:sz w:val="24"/>
          <w:szCs w:val="24"/>
          <w:lang w:eastAsia="zh-CN"/>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0"/>
        <w:gridCol w:w="1739"/>
        <w:gridCol w:w="4513"/>
        <w:gridCol w:w="15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b/>
                <w:lang w:eastAsia="zh-CN"/>
              </w:rPr>
            </w:pPr>
            <w:r>
              <w:rPr>
                <w:b/>
                <w:lang w:eastAsia="zh-CN"/>
              </w:rPr>
              <w:t>序号</w:t>
            </w:r>
          </w:p>
        </w:tc>
        <w:tc>
          <w:tcPr>
            <w:tcW w:w="1739" w:type="dxa"/>
            <w:vAlign w:val="center"/>
          </w:tcPr>
          <w:p>
            <w:pPr>
              <w:pStyle w:val="67"/>
              <w:tabs>
                <w:tab w:val="left" w:pos="360"/>
                <w:tab w:val="left" w:pos="6300"/>
              </w:tabs>
              <w:ind w:left="-69"/>
              <w:jc w:val="center"/>
              <w:rPr>
                <w:b/>
                <w:lang w:eastAsia="zh-CN"/>
              </w:rPr>
            </w:pPr>
            <w:r>
              <w:rPr>
                <w:b/>
                <w:lang w:eastAsia="zh-CN"/>
              </w:rPr>
              <w:t>项目</w:t>
            </w:r>
          </w:p>
        </w:tc>
        <w:tc>
          <w:tcPr>
            <w:tcW w:w="4513" w:type="dxa"/>
            <w:vAlign w:val="center"/>
          </w:tcPr>
          <w:p>
            <w:pPr>
              <w:pStyle w:val="67"/>
              <w:tabs>
                <w:tab w:val="left" w:pos="360"/>
                <w:tab w:val="left" w:pos="6300"/>
              </w:tabs>
              <w:ind w:left="-69"/>
              <w:jc w:val="center"/>
              <w:rPr>
                <w:b/>
                <w:lang w:eastAsia="zh-CN"/>
              </w:rPr>
            </w:pPr>
            <w:r>
              <w:rPr>
                <w:b/>
                <w:lang w:eastAsia="zh-CN"/>
              </w:rPr>
              <w:t>内容及要求</w:t>
            </w:r>
          </w:p>
        </w:tc>
        <w:tc>
          <w:tcPr>
            <w:tcW w:w="1509" w:type="dxa"/>
            <w:vAlign w:val="center"/>
          </w:tcPr>
          <w:p>
            <w:pPr>
              <w:pStyle w:val="67"/>
              <w:tabs>
                <w:tab w:val="left" w:pos="360"/>
                <w:tab w:val="left" w:pos="6300"/>
              </w:tabs>
              <w:ind w:left="-69"/>
              <w:jc w:val="center"/>
              <w:rPr>
                <w:b/>
                <w:lang w:eastAsia="zh-CN"/>
              </w:rPr>
            </w:pPr>
            <w:r>
              <w:rPr>
                <w:b/>
                <w:lang w:eastAsia="zh-CN"/>
              </w:rPr>
              <w:t>执行部门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w:t>
            </w:r>
          </w:p>
        </w:tc>
        <w:tc>
          <w:tcPr>
            <w:tcW w:w="1739" w:type="dxa"/>
            <w:vAlign w:val="center"/>
          </w:tcPr>
          <w:p>
            <w:pPr>
              <w:pStyle w:val="67"/>
              <w:tabs>
                <w:tab w:val="left" w:pos="360"/>
                <w:tab w:val="left" w:pos="6300"/>
              </w:tabs>
              <w:ind w:left="-69"/>
              <w:jc w:val="center"/>
              <w:rPr>
                <w:lang w:eastAsia="zh-CN"/>
              </w:rPr>
            </w:pPr>
            <w:r>
              <w:rPr>
                <w:lang w:eastAsia="zh-CN"/>
              </w:rPr>
              <w:t>总则</w:t>
            </w:r>
          </w:p>
        </w:tc>
        <w:tc>
          <w:tcPr>
            <w:tcW w:w="4513" w:type="dxa"/>
            <w:vAlign w:val="center"/>
          </w:tcPr>
          <w:p>
            <w:pPr>
              <w:pStyle w:val="67"/>
              <w:tabs>
                <w:tab w:val="left" w:pos="360"/>
                <w:tab w:val="left" w:pos="6300"/>
              </w:tabs>
              <w:ind w:left="-70" w:firstLine="420" w:firstLineChars="200"/>
              <w:jc w:val="center"/>
              <w:rPr>
                <w:lang w:eastAsia="zh-CN"/>
              </w:rPr>
            </w:pPr>
          </w:p>
        </w:tc>
        <w:tc>
          <w:tcPr>
            <w:tcW w:w="1509" w:type="dxa"/>
            <w:vAlign w:val="center"/>
          </w:tcPr>
          <w:p>
            <w:pPr>
              <w:pStyle w:val="67"/>
              <w:tabs>
                <w:tab w:val="left" w:pos="360"/>
                <w:tab w:val="left" w:pos="6300"/>
              </w:tabs>
              <w:ind w:left="-69"/>
              <w:jc w:val="center"/>
              <w:rPr>
                <w:lang w:eastAsia="zh-CN"/>
              </w:rPr>
            </w:pPr>
            <w:r>
              <w:rPr>
                <w:lang w:eastAsia="zh-CN"/>
              </w:rPr>
              <w:t>公司办公室、安全部门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2</w:t>
            </w:r>
          </w:p>
        </w:tc>
        <w:tc>
          <w:tcPr>
            <w:tcW w:w="1739" w:type="dxa"/>
            <w:vAlign w:val="center"/>
          </w:tcPr>
          <w:p>
            <w:pPr>
              <w:pStyle w:val="67"/>
              <w:tabs>
                <w:tab w:val="left" w:pos="360"/>
                <w:tab w:val="left" w:pos="6300"/>
              </w:tabs>
              <w:ind w:left="-69"/>
              <w:jc w:val="center"/>
              <w:rPr>
                <w:lang w:eastAsia="zh-CN"/>
              </w:rPr>
            </w:pPr>
            <w:r>
              <w:rPr>
                <w:lang w:eastAsia="zh-CN"/>
              </w:rPr>
              <w:t>危险源概况</w:t>
            </w:r>
          </w:p>
        </w:tc>
        <w:tc>
          <w:tcPr>
            <w:tcW w:w="4513" w:type="dxa"/>
            <w:vAlign w:val="center"/>
          </w:tcPr>
          <w:p>
            <w:pPr>
              <w:pStyle w:val="67"/>
              <w:tabs>
                <w:tab w:val="left" w:pos="360"/>
                <w:tab w:val="left" w:pos="6300"/>
              </w:tabs>
              <w:ind w:left="-69"/>
              <w:rPr>
                <w:lang w:eastAsia="zh-CN"/>
              </w:rPr>
            </w:pPr>
            <w:r>
              <w:rPr>
                <w:lang w:eastAsia="zh-CN"/>
              </w:rPr>
              <w:t>详诉危险源类型、数量及分布</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3</w:t>
            </w:r>
          </w:p>
        </w:tc>
        <w:tc>
          <w:tcPr>
            <w:tcW w:w="1739" w:type="dxa"/>
            <w:vAlign w:val="center"/>
          </w:tcPr>
          <w:p>
            <w:pPr>
              <w:pStyle w:val="67"/>
              <w:tabs>
                <w:tab w:val="left" w:pos="360"/>
                <w:tab w:val="left" w:pos="6300"/>
              </w:tabs>
              <w:ind w:left="-69"/>
              <w:jc w:val="center"/>
              <w:rPr>
                <w:lang w:eastAsia="zh-CN"/>
              </w:rPr>
            </w:pPr>
            <w:r>
              <w:rPr>
                <w:lang w:eastAsia="zh-CN"/>
              </w:rPr>
              <w:t>应急计划区</w:t>
            </w:r>
          </w:p>
        </w:tc>
        <w:tc>
          <w:tcPr>
            <w:tcW w:w="4513" w:type="dxa"/>
            <w:vAlign w:val="center"/>
          </w:tcPr>
          <w:p>
            <w:pPr>
              <w:pStyle w:val="67"/>
              <w:tabs>
                <w:tab w:val="left" w:pos="360"/>
                <w:tab w:val="left" w:pos="6300"/>
              </w:tabs>
              <w:ind w:left="-69"/>
              <w:rPr>
                <w:lang w:eastAsia="zh-CN"/>
              </w:rPr>
            </w:pPr>
            <w:r>
              <w:rPr>
                <w:lang w:eastAsia="zh-CN"/>
              </w:rPr>
              <w:t>储罐区、装车区、邻区</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4</w:t>
            </w:r>
          </w:p>
        </w:tc>
        <w:tc>
          <w:tcPr>
            <w:tcW w:w="1739" w:type="dxa"/>
            <w:vAlign w:val="center"/>
          </w:tcPr>
          <w:p>
            <w:pPr>
              <w:pStyle w:val="67"/>
              <w:tabs>
                <w:tab w:val="left" w:pos="360"/>
                <w:tab w:val="left" w:pos="6300"/>
              </w:tabs>
              <w:ind w:left="-69"/>
              <w:jc w:val="center"/>
              <w:rPr>
                <w:lang w:eastAsia="zh-CN"/>
              </w:rPr>
            </w:pPr>
            <w:r>
              <w:rPr>
                <w:lang w:eastAsia="zh-CN"/>
              </w:rPr>
              <w:t>应急组织</w:t>
            </w:r>
          </w:p>
        </w:tc>
        <w:tc>
          <w:tcPr>
            <w:tcW w:w="4513" w:type="dxa"/>
            <w:vAlign w:val="center"/>
          </w:tcPr>
          <w:p>
            <w:pPr>
              <w:pStyle w:val="67"/>
              <w:tabs>
                <w:tab w:val="left" w:pos="360"/>
                <w:tab w:val="left" w:pos="6300"/>
              </w:tabs>
              <w:ind w:left="-69"/>
              <w:rPr>
                <w:lang w:eastAsia="zh-CN"/>
              </w:rPr>
            </w:pPr>
            <w:r>
              <w:rPr>
                <w:lang w:eastAsia="zh-CN"/>
              </w:rPr>
              <w:t>公司指挥部—负责现场全面指挥，专业救援队伍—负责事故控制、援救、善后处理。</w:t>
            </w:r>
          </w:p>
          <w:p>
            <w:pPr>
              <w:pStyle w:val="67"/>
              <w:tabs>
                <w:tab w:val="left" w:pos="360"/>
                <w:tab w:val="left" w:pos="6300"/>
              </w:tabs>
              <w:ind w:left="-69"/>
              <w:rPr>
                <w:lang w:eastAsia="zh-CN"/>
              </w:rPr>
            </w:pPr>
            <w:r>
              <w:rPr>
                <w:lang w:eastAsia="zh-CN"/>
              </w:rPr>
              <w:t>地区指挥部—负责公司附近地区全面指挥，救援、管制、疏散。</w:t>
            </w:r>
          </w:p>
          <w:p>
            <w:pPr>
              <w:pStyle w:val="67"/>
              <w:tabs>
                <w:tab w:val="left" w:pos="360"/>
                <w:tab w:val="left" w:pos="6300"/>
              </w:tabs>
              <w:ind w:left="-69"/>
              <w:rPr>
                <w:lang w:eastAsia="zh-CN"/>
              </w:rPr>
            </w:pPr>
            <w:r>
              <w:rPr>
                <w:lang w:eastAsia="zh-CN"/>
              </w:rPr>
              <w:t>专业救援队伍—负责对公司救援队伍的支援。</w:t>
            </w:r>
          </w:p>
        </w:tc>
        <w:tc>
          <w:tcPr>
            <w:tcW w:w="1509" w:type="dxa"/>
            <w:vAlign w:val="center"/>
          </w:tcPr>
          <w:p>
            <w:pPr>
              <w:pStyle w:val="67"/>
              <w:tabs>
                <w:tab w:val="left" w:pos="360"/>
                <w:tab w:val="left" w:pos="6300"/>
              </w:tabs>
              <w:ind w:left="-69"/>
              <w:jc w:val="center"/>
              <w:rPr>
                <w:lang w:eastAsia="zh-CN"/>
              </w:rPr>
            </w:pPr>
            <w:r>
              <w:rPr>
                <w:lang w:eastAsia="zh-CN"/>
              </w:rPr>
              <w:t>公司安全部门；当地安监、消防部门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5</w:t>
            </w:r>
          </w:p>
        </w:tc>
        <w:tc>
          <w:tcPr>
            <w:tcW w:w="1739" w:type="dxa"/>
            <w:vAlign w:val="center"/>
          </w:tcPr>
          <w:p>
            <w:pPr>
              <w:pStyle w:val="67"/>
              <w:tabs>
                <w:tab w:val="left" w:pos="360"/>
                <w:tab w:val="left" w:pos="6300"/>
              </w:tabs>
              <w:ind w:left="-69"/>
              <w:jc w:val="center"/>
              <w:rPr>
                <w:lang w:eastAsia="zh-CN"/>
              </w:rPr>
            </w:pPr>
            <w:r>
              <w:rPr>
                <w:lang w:eastAsia="zh-CN"/>
              </w:rPr>
              <w:t>应急状态分类及应急响应程序</w:t>
            </w:r>
          </w:p>
        </w:tc>
        <w:tc>
          <w:tcPr>
            <w:tcW w:w="4513" w:type="dxa"/>
            <w:vAlign w:val="center"/>
          </w:tcPr>
          <w:p>
            <w:pPr>
              <w:pStyle w:val="67"/>
              <w:tabs>
                <w:tab w:val="left" w:pos="360"/>
                <w:tab w:val="left" w:pos="6300"/>
              </w:tabs>
              <w:ind w:left="-69"/>
              <w:rPr>
                <w:lang w:eastAsia="zh-CN"/>
              </w:rPr>
            </w:pPr>
            <w:r>
              <w:rPr>
                <w:lang w:eastAsia="zh-CN"/>
              </w:rPr>
              <w:t>规定事故的级别及相应的应急分类响应程序</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6</w:t>
            </w:r>
          </w:p>
        </w:tc>
        <w:tc>
          <w:tcPr>
            <w:tcW w:w="1739" w:type="dxa"/>
            <w:vAlign w:val="center"/>
          </w:tcPr>
          <w:p>
            <w:pPr>
              <w:pStyle w:val="67"/>
              <w:tabs>
                <w:tab w:val="left" w:pos="360"/>
                <w:tab w:val="left" w:pos="6300"/>
              </w:tabs>
              <w:ind w:left="-69"/>
              <w:jc w:val="center"/>
              <w:rPr>
                <w:lang w:eastAsia="zh-CN"/>
              </w:rPr>
            </w:pPr>
            <w:r>
              <w:rPr>
                <w:lang w:eastAsia="zh-CN"/>
              </w:rPr>
              <w:t>应急设施、设备与材料</w:t>
            </w:r>
          </w:p>
        </w:tc>
        <w:tc>
          <w:tcPr>
            <w:tcW w:w="4513" w:type="dxa"/>
            <w:vAlign w:val="center"/>
          </w:tcPr>
          <w:p>
            <w:pPr>
              <w:pStyle w:val="67"/>
              <w:tabs>
                <w:tab w:val="left" w:pos="360"/>
                <w:tab w:val="left" w:pos="6300"/>
              </w:tabs>
              <w:ind w:left="-69"/>
              <w:rPr>
                <w:lang w:eastAsia="zh-CN"/>
              </w:rPr>
            </w:pPr>
            <w:r>
              <w:rPr>
                <w:lang w:eastAsia="zh-CN"/>
              </w:rPr>
              <w:t>（1）防火灾、爆炸事故应急设施、设备与材料、主要为消防器材；（2）防有毒有害物质外溢、扩散、主要是水幕、喷淋设备等；（3）储罐区、装车区的地面应进行硬化处理，厂界周围修建截雨沟，防止有毒物质渗入地下水和直接排入竹皮河。（4）事故排放池：用于储存火灾、爆炸和防止有害物质泄漏过程产生的废水，池中废水应采取有效处理并经当地环保部门检查达标后，方可排放。</w:t>
            </w:r>
          </w:p>
        </w:tc>
        <w:tc>
          <w:tcPr>
            <w:tcW w:w="1509" w:type="dxa"/>
            <w:vAlign w:val="center"/>
          </w:tcPr>
          <w:p>
            <w:pPr>
              <w:pStyle w:val="67"/>
              <w:tabs>
                <w:tab w:val="left" w:pos="360"/>
                <w:tab w:val="left" w:pos="6300"/>
              </w:tabs>
              <w:ind w:left="-69"/>
              <w:jc w:val="center"/>
              <w:rPr>
                <w:lang w:eastAsia="zh-CN"/>
              </w:rPr>
            </w:pPr>
            <w:r>
              <w:rPr>
                <w:lang w:eastAsia="zh-CN"/>
              </w:rPr>
              <w:t>公司安全部门</w:t>
            </w:r>
          </w:p>
          <w:p>
            <w:pPr>
              <w:pStyle w:val="67"/>
              <w:tabs>
                <w:tab w:val="left" w:pos="360"/>
                <w:tab w:val="left" w:pos="6300"/>
              </w:tabs>
              <w:ind w:left="-69"/>
              <w:jc w:val="center"/>
              <w:rPr>
                <w:lang w:eastAsia="zh-CN"/>
              </w:rPr>
            </w:pPr>
            <w:r>
              <w:rPr>
                <w:lang w:eastAsia="zh-CN"/>
              </w:rPr>
              <w:t>环保部门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7</w:t>
            </w:r>
          </w:p>
        </w:tc>
        <w:tc>
          <w:tcPr>
            <w:tcW w:w="1739" w:type="dxa"/>
            <w:vAlign w:val="center"/>
          </w:tcPr>
          <w:p>
            <w:pPr>
              <w:pStyle w:val="67"/>
              <w:tabs>
                <w:tab w:val="left" w:pos="360"/>
                <w:tab w:val="left" w:pos="6300"/>
              </w:tabs>
              <w:ind w:left="-69"/>
              <w:jc w:val="center"/>
              <w:rPr>
                <w:lang w:eastAsia="zh-CN"/>
              </w:rPr>
            </w:pPr>
            <w:r>
              <w:rPr>
                <w:lang w:eastAsia="zh-CN"/>
              </w:rPr>
              <w:t>应急通讯、通知和交通</w:t>
            </w:r>
          </w:p>
        </w:tc>
        <w:tc>
          <w:tcPr>
            <w:tcW w:w="4513" w:type="dxa"/>
            <w:vAlign w:val="center"/>
          </w:tcPr>
          <w:p>
            <w:pPr>
              <w:pStyle w:val="67"/>
              <w:tabs>
                <w:tab w:val="left" w:pos="360"/>
                <w:tab w:val="left" w:pos="6300"/>
              </w:tabs>
              <w:ind w:left="-69"/>
              <w:rPr>
                <w:lang w:eastAsia="zh-CN"/>
              </w:rPr>
            </w:pPr>
            <w:r>
              <w:rPr>
                <w:lang w:eastAsia="zh-CN"/>
              </w:rPr>
              <w:t>规定应急状态下的通讯方式、通知方式和交通保障、管制。</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8</w:t>
            </w:r>
          </w:p>
        </w:tc>
        <w:tc>
          <w:tcPr>
            <w:tcW w:w="1739" w:type="dxa"/>
            <w:vAlign w:val="center"/>
          </w:tcPr>
          <w:p>
            <w:pPr>
              <w:pStyle w:val="67"/>
              <w:tabs>
                <w:tab w:val="left" w:pos="360"/>
                <w:tab w:val="left" w:pos="6300"/>
              </w:tabs>
              <w:ind w:left="-69"/>
              <w:jc w:val="center"/>
              <w:rPr>
                <w:lang w:eastAsia="zh-CN"/>
              </w:rPr>
            </w:pPr>
            <w:r>
              <w:rPr>
                <w:lang w:eastAsia="zh-CN"/>
              </w:rPr>
              <w:t>应急环境评估及事故评估</w:t>
            </w:r>
          </w:p>
        </w:tc>
        <w:tc>
          <w:tcPr>
            <w:tcW w:w="4513" w:type="dxa"/>
            <w:vAlign w:val="center"/>
          </w:tcPr>
          <w:p>
            <w:pPr>
              <w:pStyle w:val="67"/>
              <w:tabs>
                <w:tab w:val="left" w:pos="360"/>
                <w:tab w:val="left" w:pos="6300"/>
              </w:tabs>
              <w:ind w:left="-69"/>
              <w:rPr>
                <w:lang w:eastAsia="zh-CN"/>
              </w:rPr>
            </w:pPr>
            <w:r>
              <w:rPr>
                <w:lang w:eastAsia="zh-CN"/>
              </w:rPr>
              <w:t>由专业队伍负责对事故现场进行监测，对事故性质、参数与后果进行评估，为指挥部门提供决策依据。</w:t>
            </w:r>
          </w:p>
        </w:tc>
        <w:tc>
          <w:tcPr>
            <w:tcW w:w="1509" w:type="dxa"/>
            <w:vAlign w:val="center"/>
          </w:tcPr>
          <w:p>
            <w:pPr>
              <w:pStyle w:val="67"/>
              <w:tabs>
                <w:tab w:val="left" w:pos="360"/>
                <w:tab w:val="left" w:pos="6300"/>
              </w:tabs>
              <w:ind w:left="-69"/>
              <w:jc w:val="center"/>
              <w:rPr>
                <w:lang w:eastAsia="zh-CN"/>
              </w:rPr>
            </w:pPr>
            <w:r>
              <w:rPr>
                <w:lang w:eastAsia="zh-CN"/>
              </w:rPr>
              <w:t>公司安全部门、环保部门；当地环境监测站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9</w:t>
            </w:r>
          </w:p>
        </w:tc>
        <w:tc>
          <w:tcPr>
            <w:tcW w:w="1739" w:type="dxa"/>
            <w:vAlign w:val="center"/>
          </w:tcPr>
          <w:p>
            <w:pPr>
              <w:pStyle w:val="67"/>
              <w:tabs>
                <w:tab w:val="left" w:pos="360"/>
                <w:tab w:val="left" w:pos="6300"/>
              </w:tabs>
              <w:ind w:left="-69"/>
              <w:jc w:val="center"/>
              <w:rPr>
                <w:lang w:eastAsia="zh-CN"/>
              </w:rPr>
            </w:pPr>
            <w:r>
              <w:rPr>
                <w:lang w:eastAsia="zh-CN"/>
              </w:rPr>
              <w:t>应急防护措施、清除泄漏措施、方法和器材</w:t>
            </w:r>
          </w:p>
        </w:tc>
        <w:tc>
          <w:tcPr>
            <w:tcW w:w="4513" w:type="dxa"/>
            <w:vAlign w:val="center"/>
          </w:tcPr>
          <w:p>
            <w:pPr>
              <w:pStyle w:val="67"/>
              <w:tabs>
                <w:tab w:val="left" w:pos="360"/>
                <w:tab w:val="left" w:pos="6300"/>
              </w:tabs>
              <w:ind w:left="-69"/>
              <w:rPr>
                <w:lang w:eastAsia="zh-CN"/>
              </w:rPr>
            </w:pPr>
            <w:r>
              <w:rPr>
                <w:lang w:eastAsia="zh-CN"/>
              </w:rPr>
              <w:t>事故现场：控制事故、防止扩大、蔓延及连锁反应，清除现场泄漏物，降低危害，相应的设施器材配备齐全；</w:t>
            </w:r>
          </w:p>
          <w:p>
            <w:pPr>
              <w:pStyle w:val="67"/>
              <w:tabs>
                <w:tab w:val="left" w:pos="360"/>
                <w:tab w:val="left" w:pos="6300"/>
              </w:tabs>
              <w:ind w:left="-69"/>
              <w:rPr>
                <w:lang w:eastAsia="zh-CN"/>
              </w:rPr>
            </w:pPr>
            <w:r>
              <w:rPr>
                <w:lang w:eastAsia="zh-CN"/>
              </w:rPr>
              <w:t>邻近区域：控制防火区域，控制和清除污染措施及相应设备配备完整。</w:t>
            </w:r>
          </w:p>
        </w:tc>
        <w:tc>
          <w:tcPr>
            <w:tcW w:w="1509" w:type="dxa"/>
            <w:vAlign w:val="center"/>
          </w:tcPr>
          <w:p>
            <w:pPr>
              <w:pStyle w:val="67"/>
              <w:tabs>
                <w:tab w:val="left" w:pos="360"/>
                <w:tab w:val="left" w:pos="6300"/>
              </w:tabs>
              <w:ind w:left="-69"/>
              <w:jc w:val="center"/>
              <w:rPr>
                <w:lang w:eastAsia="zh-CN"/>
              </w:rPr>
            </w:pPr>
            <w:r>
              <w:rPr>
                <w:lang w:eastAsia="zh-CN"/>
              </w:rPr>
              <w:t>公司办公室，安全部门、环保部门；当地安监、消防部门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10</w:t>
            </w:r>
          </w:p>
        </w:tc>
        <w:tc>
          <w:tcPr>
            <w:tcW w:w="1739" w:type="dxa"/>
            <w:vAlign w:val="center"/>
          </w:tcPr>
          <w:p>
            <w:pPr>
              <w:pStyle w:val="67"/>
              <w:tabs>
                <w:tab w:val="left" w:pos="360"/>
                <w:tab w:val="left" w:pos="6300"/>
              </w:tabs>
              <w:ind w:left="-69"/>
              <w:jc w:val="center"/>
              <w:rPr>
                <w:lang w:eastAsia="zh-CN"/>
              </w:rPr>
            </w:pPr>
            <w:r>
              <w:rPr>
                <w:lang w:eastAsia="zh-CN"/>
              </w:rPr>
              <w:t>应急剂量控制、撤离组织计划、医疗救护与公众健康</w:t>
            </w:r>
          </w:p>
        </w:tc>
        <w:tc>
          <w:tcPr>
            <w:tcW w:w="4513" w:type="dxa"/>
            <w:vAlign w:val="center"/>
          </w:tcPr>
          <w:p>
            <w:pPr>
              <w:pStyle w:val="67"/>
              <w:tabs>
                <w:tab w:val="left" w:pos="360"/>
                <w:tab w:val="left" w:pos="6300"/>
              </w:tabs>
              <w:ind w:left="-69"/>
              <w:rPr>
                <w:lang w:eastAsia="zh-CN"/>
              </w:rPr>
            </w:pPr>
            <w:r>
              <w:rPr>
                <w:lang w:eastAsia="zh-CN"/>
              </w:rPr>
              <w:t>事故现场：事故处理人员对毒物的应急剂量控制制定，现场及邻近装置人员撤离组织计划及救护；</w:t>
            </w:r>
          </w:p>
          <w:p>
            <w:pPr>
              <w:pStyle w:val="67"/>
              <w:tabs>
                <w:tab w:val="left" w:pos="360"/>
                <w:tab w:val="left" w:pos="6300"/>
              </w:tabs>
              <w:ind w:left="-69"/>
              <w:rPr>
                <w:lang w:eastAsia="zh-CN"/>
              </w:rPr>
            </w:pPr>
            <w:r>
              <w:rPr>
                <w:lang w:eastAsia="zh-CN"/>
              </w:rPr>
              <w:t>工厂邻近区：受事故影响的邻近区域人员及公众对毒物应急剂量控制规定，撤离组织计划及救护。</w:t>
            </w:r>
          </w:p>
        </w:tc>
        <w:tc>
          <w:tcPr>
            <w:tcW w:w="1509" w:type="dxa"/>
            <w:vAlign w:val="center"/>
          </w:tcPr>
          <w:p>
            <w:pPr>
              <w:pStyle w:val="67"/>
              <w:tabs>
                <w:tab w:val="left" w:pos="360"/>
                <w:tab w:val="left" w:pos="6300"/>
              </w:tabs>
              <w:ind w:left="-69"/>
              <w:jc w:val="center"/>
              <w:rPr>
                <w:lang w:eastAsia="zh-CN"/>
              </w:rPr>
            </w:pPr>
            <w:r>
              <w:rPr>
                <w:lang w:eastAsia="zh-CN"/>
              </w:rPr>
              <w:t>公司办公室，安全部门、环保部门；当地安监、医疗部门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11</w:t>
            </w:r>
          </w:p>
        </w:tc>
        <w:tc>
          <w:tcPr>
            <w:tcW w:w="1739" w:type="dxa"/>
            <w:vAlign w:val="center"/>
          </w:tcPr>
          <w:p>
            <w:pPr>
              <w:pStyle w:val="67"/>
              <w:tabs>
                <w:tab w:val="left" w:pos="360"/>
                <w:tab w:val="left" w:pos="6300"/>
              </w:tabs>
              <w:ind w:left="-69"/>
              <w:jc w:val="center"/>
              <w:rPr>
                <w:lang w:eastAsia="zh-CN"/>
              </w:rPr>
            </w:pPr>
            <w:r>
              <w:rPr>
                <w:lang w:eastAsia="zh-CN"/>
              </w:rPr>
              <w:t>应急状态终止与恢复措施</w:t>
            </w:r>
          </w:p>
        </w:tc>
        <w:tc>
          <w:tcPr>
            <w:tcW w:w="4513" w:type="dxa"/>
            <w:vAlign w:val="center"/>
          </w:tcPr>
          <w:p>
            <w:pPr>
              <w:pStyle w:val="67"/>
              <w:tabs>
                <w:tab w:val="left" w:pos="360"/>
                <w:tab w:val="left" w:pos="6300"/>
              </w:tabs>
              <w:ind w:left="-69"/>
              <w:rPr>
                <w:lang w:eastAsia="zh-CN"/>
              </w:rPr>
            </w:pPr>
            <w:r>
              <w:rPr>
                <w:lang w:eastAsia="zh-CN"/>
              </w:rPr>
              <w:t>规定应急状态终止程序；事故现场善后处理，恢复措施；邻近区域解除事故警戒及善后恢复措施。</w:t>
            </w:r>
          </w:p>
        </w:tc>
        <w:tc>
          <w:tcPr>
            <w:tcW w:w="1509" w:type="dxa"/>
            <w:vMerge w:val="restart"/>
            <w:vAlign w:val="center"/>
          </w:tcPr>
          <w:p>
            <w:pPr>
              <w:pStyle w:val="67"/>
              <w:tabs>
                <w:tab w:val="left" w:pos="360"/>
                <w:tab w:val="left" w:pos="6300"/>
              </w:tabs>
              <w:ind w:left="-69"/>
              <w:jc w:val="center"/>
              <w:rPr>
                <w:lang w:eastAsia="zh-CN"/>
              </w:rPr>
            </w:pPr>
            <w:r>
              <w:rPr>
                <w:lang w:eastAsia="zh-CN"/>
              </w:rPr>
              <w:t>公司办公室，安全部门、环保部门；当地安监、消防部门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12</w:t>
            </w:r>
          </w:p>
        </w:tc>
        <w:tc>
          <w:tcPr>
            <w:tcW w:w="1739" w:type="dxa"/>
            <w:vAlign w:val="center"/>
          </w:tcPr>
          <w:p>
            <w:pPr>
              <w:pStyle w:val="67"/>
              <w:tabs>
                <w:tab w:val="left" w:pos="360"/>
                <w:tab w:val="left" w:pos="6300"/>
              </w:tabs>
              <w:ind w:left="-69"/>
              <w:jc w:val="center"/>
              <w:rPr>
                <w:lang w:eastAsia="zh-CN"/>
              </w:rPr>
            </w:pPr>
            <w:r>
              <w:rPr>
                <w:lang w:eastAsia="zh-CN"/>
              </w:rPr>
              <w:t>人员培训与演练</w:t>
            </w:r>
          </w:p>
        </w:tc>
        <w:tc>
          <w:tcPr>
            <w:tcW w:w="4513" w:type="dxa"/>
            <w:vAlign w:val="center"/>
          </w:tcPr>
          <w:p>
            <w:pPr>
              <w:pStyle w:val="67"/>
              <w:tabs>
                <w:tab w:val="left" w:pos="360"/>
                <w:tab w:val="left" w:pos="6300"/>
              </w:tabs>
              <w:ind w:left="-69"/>
              <w:rPr>
                <w:lang w:eastAsia="zh-CN"/>
              </w:rPr>
            </w:pPr>
            <w:r>
              <w:rPr>
                <w:lang w:eastAsia="zh-CN"/>
              </w:rPr>
              <w:t>应急计划制定后，平时安排人员培训与演练。</w:t>
            </w:r>
          </w:p>
        </w:tc>
        <w:tc>
          <w:tcPr>
            <w:tcW w:w="1509" w:type="dxa"/>
            <w:vMerge w:val="continue"/>
            <w:vAlign w:val="center"/>
          </w:tcPr>
          <w:p>
            <w:pPr>
              <w:pStyle w:val="67"/>
              <w:tabs>
                <w:tab w:val="left" w:pos="360"/>
                <w:tab w:val="left" w:pos="6300"/>
              </w:tabs>
              <w:ind w:left="-69"/>
              <w:jc w:val="center"/>
              <w:rPr>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13</w:t>
            </w:r>
          </w:p>
        </w:tc>
        <w:tc>
          <w:tcPr>
            <w:tcW w:w="1739" w:type="dxa"/>
            <w:vAlign w:val="center"/>
          </w:tcPr>
          <w:p>
            <w:pPr>
              <w:pStyle w:val="67"/>
              <w:tabs>
                <w:tab w:val="left" w:pos="360"/>
                <w:tab w:val="left" w:pos="6300"/>
              </w:tabs>
              <w:ind w:left="-69"/>
              <w:jc w:val="center"/>
              <w:rPr>
                <w:lang w:eastAsia="zh-CN"/>
              </w:rPr>
            </w:pPr>
            <w:r>
              <w:rPr>
                <w:lang w:eastAsia="zh-CN"/>
              </w:rPr>
              <w:t>公众教育和信息</w:t>
            </w:r>
          </w:p>
        </w:tc>
        <w:tc>
          <w:tcPr>
            <w:tcW w:w="4513" w:type="dxa"/>
            <w:vAlign w:val="center"/>
          </w:tcPr>
          <w:p>
            <w:pPr>
              <w:pStyle w:val="67"/>
              <w:tabs>
                <w:tab w:val="left" w:pos="360"/>
                <w:tab w:val="left" w:pos="6300"/>
              </w:tabs>
              <w:ind w:left="-69"/>
              <w:rPr>
                <w:lang w:eastAsia="zh-CN"/>
              </w:rPr>
            </w:pPr>
            <w:r>
              <w:rPr>
                <w:lang w:eastAsia="zh-CN"/>
              </w:rPr>
              <w:t>对工厂邻近地区开展公众教育、培训和发布有关信息。</w:t>
            </w:r>
          </w:p>
        </w:tc>
        <w:tc>
          <w:tcPr>
            <w:tcW w:w="1509" w:type="dxa"/>
            <w:vMerge w:val="continue"/>
            <w:vAlign w:val="center"/>
          </w:tcPr>
          <w:p>
            <w:pPr>
              <w:pStyle w:val="67"/>
              <w:tabs>
                <w:tab w:val="left" w:pos="360"/>
                <w:tab w:val="left" w:pos="6300"/>
              </w:tabs>
              <w:ind w:left="-69"/>
              <w:jc w:val="center"/>
              <w:rPr>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14</w:t>
            </w:r>
          </w:p>
        </w:tc>
        <w:tc>
          <w:tcPr>
            <w:tcW w:w="1739" w:type="dxa"/>
            <w:vAlign w:val="center"/>
          </w:tcPr>
          <w:p>
            <w:pPr>
              <w:pStyle w:val="67"/>
              <w:tabs>
                <w:tab w:val="left" w:pos="360"/>
                <w:tab w:val="left" w:pos="6300"/>
              </w:tabs>
              <w:ind w:left="-69"/>
              <w:jc w:val="center"/>
              <w:rPr>
                <w:lang w:eastAsia="zh-CN"/>
              </w:rPr>
            </w:pPr>
            <w:r>
              <w:rPr>
                <w:lang w:eastAsia="zh-CN"/>
              </w:rPr>
              <w:t>记录和报告</w:t>
            </w:r>
          </w:p>
        </w:tc>
        <w:tc>
          <w:tcPr>
            <w:tcW w:w="4513" w:type="dxa"/>
            <w:vAlign w:val="center"/>
          </w:tcPr>
          <w:p>
            <w:pPr>
              <w:pStyle w:val="67"/>
              <w:tabs>
                <w:tab w:val="left" w:pos="360"/>
                <w:tab w:val="left" w:pos="6300"/>
              </w:tabs>
              <w:ind w:left="-69"/>
              <w:rPr>
                <w:lang w:eastAsia="zh-CN"/>
              </w:rPr>
            </w:pPr>
            <w:r>
              <w:rPr>
                <w:lang w:eastAsia="zh-CN"/>
              </w:rPr>
              <w:t>设置应急事故专门记录，建立档案和专门报告制度，设专门部门负责管理。</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0" w:type="dxa"/>
            <w:vAlign w:val="center"/>
          </w:tcPr>
          <w:p>
            <w:pPr>
              <w:pStyle w:val="67"/>
              <w:tabs>
                <w:tab w:val="left" w:pos="360"/>
                <w:tab w:val="left" w:pos="6300"/>
              </w:tabs>
              <w:ind w:left="-69"/>
              <w:jc w:val="center"/>
              <w:rPr>
                <w:lang w:eastAsia="zh-CN"/>
              </w:rPr>
            </w:pPr>
            <w:r>
              <w:rPr>
                <w:lang w:eastAsia="zh-CN"/>
              </w:rPr>
              <w:t>15</w:t>
            </w:r>
          </w:p>
        </w:tc>
        <w:tc>
          <w:tcPr>
            <w:tcW w:w="1739" w:type="dxa"/>
            <w:vAlign w:val="center"/>
          </w:tcPr>
          <w:p>
            <w:pPr>
              <w:pStyle w:val="67"/>
              <w:tabs>
                <w:tab w:val="left" w:pos="360"/>
                <w:tab w:val="left" w:pos="6300"/>
              </w:tabs>
              <w:ind w:left="-69"/>
              <w:jc w:val="center"/>
              <w:rPr>
                <w:lang w:eastAsia="zh-CN"/>
              </w:rPr>
            </w:pPr>
            <w:r>
              <w:rPr>
                <w:lang w:eastAsia="zh-CN"/>
              </w:rPr>
              <w:t>附件</w:t>
            </w:r>
          </w:p>
        </w:tc>
        <w:tc>
          <w:tcPr>
            <w:tcW w:w="4513" w:type="dxa"/>
            <w:vAlign w:val="center"/>
          </w:tcPr>
          <w:p>
            <w:pPr>
              <w:pStyle w:val="67"/>
              <w:tabs>
                <w:tab w:val="left" w:pos="360"/>
                <w:tab w:val="left" w:pos="6300"/>
              </w:tabs>
              <w:ind w:left="-69"/>
              <w:rPr>
                <w:lang w:eastAsia="zh-CN"/>
              </w:rPr>
            </w:pPr>
            <w:r>
              <w:rPr>
                <w:lang w:eastAsia="zh-CN"/>
              </w:rPr>
              <w:t>与应急事故有关的多种附件材料的准备和形成。</w:t>
            </w:r>
          </w:p>
        </w:tc>
        <w:tc>
          <w:tcPr>
            <w:tcW w:w="1509" w:type="dxa"/>
            <w:vAlign w:val="center"/>
          </w:tcPr>
          <w:p>
            <w:pPr>
              <w:pStyle w:val="67"/>
              <w:tabs>
                <w:tab w:val="left" w:pos="360"/>
                <w:tab w:val="left" w:pos="6300"/>
              </w:tabs>
              <w:ind w:left="-69"/>
              <w:jc w:val="center"/>
              <w:rPr>
                <w:lang w:eastAsia="zh-CN"/>
              </w:rPr>
            </w:pPr>
            <w:r>
              <w:rPr>
                <w:lang w:eastAsia="zh-CN"/>
              </w:rPr>
              <w:t>公司安全部门</w:t>
            </w:r>
          </w:p>
        </w:tc>
      </w:tr>
    </w:tbl>
    <w:p>
      <w:pPr>
        <w:pStyle w:val="5"/>
        <w:widowControl w:val="0"/>
        <w:tabs>
          <w:tab w:val="left" w:pos="-3900"/>
          <w:tab w:val="left" w:pos="0"/>
        </w:tabs>
        <w:wordWrap w:val="0"/>
        <w:adjustRightInd w:val="0"/>
        <w:snapToGrid w:val="0"/>
        <w:spacing w:before="0" w:line="240" w:lineRule="auto"/>
        <w:rPr>
          <w:rFonts w:ascii="宋体" w:hAnsi="宋体" w:eastAsia="宋体"/>
          <w:color w:val="000000" w:themeColor="text1"/>
          <w:lang w:eastAsia="zh-CN"/>
        </w:rPr>
      </w:pPr>
      <w:bookmarkStart w:id="627" w:name="_Toc24969782"/>
    </w:p>
    <w:p>
      <w:pPr>
        <w:pStyle w:val="5"/>
        <w:widowControl w:val="0"/>
        <w:tabs>
          <w:tab w:val="left" w:pos="-3900"/>
          <w:tab w:val="left" w:pos="0"/>
        </w:tabs>
        <w:wordWrap w:val="0"/>
        <w:adjustRightInd w:val="0"/>
        <w:snapToGrid w:val="0"/>
        <w:spacing w:beforeLines="50" w:line="360" w:lineRule="auto"/>
        <w:rPr>
          <w:rFonts w:ascii="宋体" w:hAnsi="宋体" w:eastAsia="宋体"/>
          <w:color w:val="000000" w:themeColor="text1"/>
          <w:lang w:eastAsia="zh-CN"/>
        </w:rPr>
      </w:pPr>
      <w:r>
        <w:rPr>
          <w:rFonts w:hint="eastAsia" w:ascii="宋体" w:hAnsi="宋体" w:eastAsia="宋体"/>
          <w:color w:val="000000" w:themeColor="text1"/>
          <w:lang w:eastAsia="zh-CN"/>
        </w:rPr>
        <w:t>6</w:t>
      </w:r>
      <w:r>
        <w:rPr>
          <w:rFonts w:ascii="宋体" w:hAnsi="宋体" w:eastAsia="宋体"/>
          <w:color w:val="000000" w:themeColor="text1"/>
          <w:lang w:eastAsia="zh-CN"/>
        </w:rPr>
        <w:t>.</w:t>
      </w:r>
      <w:r>
        <w:rPr>
          <w:rFonts w:hint="eastAsia" w:ascii="宋体" w:hAnsi="宋体" w:eastAsia="宋体"/>
          <w:color w:val="000000" w:themeColor="text1"/>
          <w:lang w:eastAsia="zh-CN"/>
        </w:rPr>
        <w:t>8</w:t>
      </w:r>
      <w:r>
        <w:rPr>
          <w:rFonts w:ascii="宋体" w:hAnsi="宋体" w:eastAsia="宋体"/>
          <w:color w:val="000000" w:themeColor="text1"/>
          <w:lang w:eastAsia="zh-CN"/>
        </w:rPr>
        <w:t xml:space="preserve"> 风险评价结论</w:t>
      </w:r>
      <w:bookmarkEnd w:id="627"/>
    </w:p>
    <w:p>
      <w:pPr>
        <w:pStyle w:val="29"/>
        <w:spacing w:after="0" w:line="450" w:lineRule="exact"/>
        <w:ind w:firstLine="480"/>
        <w:rPr>
          <w:rFonts w:ascii="宋体" w:hAnsi="宋体"/>
          <w:sz w:val="36"/>
          <w:szCs w:val="36"/>
        </w:rPr>
      </w:pPr>
      <w:r>
        <w:t>根据以上分析，拟建项目主要的风险事故类型为</w:t>
      </w:r>
      <w:r>
        <w:rPr>
          <w:rFonts w:hint="eastAsia"/>
        </w:rPr>
        <w:t>污泥储罐以及污泥及生物质干燥炭化一体化机的事故排放</w:t>
      </w:r>
      <w:r>
        <w:t>。通过建立完善的企业事故防范和应急体系，做好企业联防联动，本项目发生风险事故的几率很小，其影响危害可控制在厂区内，不会</w:t>
      </w:r>
      <w:r>
        <w:rPr>
          <w:rFonts w:hint="eastAsia"/>
        </w:rPr>
        <w:t>对</w:t>
      </w:r>
      <w:r>
        <w:t xml:space="preserve">区域环境造成无法接受的不良的影响，其环境风险水平在可接受水平范围内。 </w:t>
      </w:r>
      <w:bookmarkEnd w:id="571"/>
      <w:bookmarkEnd w:id="572"/>
      <w:bookmarkEnd w:id="573"/>
      <w:bookmarkEnd w:id="574"/>
      <w:bookmarkEnd w:id="575"/>
      <w:bookmarkEnd w:id="576"/>
      <w:bookmarkStart w:id="628" w:name="_Toc21814238"/>
      <w:bookmarkStart w:id="629" w:name="_Toc22198442"/>
      <w:bookmarkStart w:id="630" w:name="_Toc21814370"/>
      <w:bookmarkStart w:id="631" w:name="_Toc21815025"/>
      <w:bookmarkStart w:id="632" w:name="_Toc21814417"/>
      <w:bookmarkStart w:id="633" w:name="_Toc22198218"/>
      <w:bookmarkStart w:id="634" w:name="_Toc22198336"/>
      <w:bookmarkStart w:id="635" w:name="_Toc22199696"/>
      <w:bookmarkStart w:id="636" w:name="_Toc22198545"/>
      <w:bookmarkStart w:id="637" w:name="_Toc22198841"/>
      <w:bookmarkStart w:id="638" w:name="_Toc22151002"/>
      <w:bookmarkStart w:id="639" w:name="_Toc22151179"/>
      <w:bookmarkStart w:id="640" w:name="_Toc22200340"/>
      <w:bookmarkStart w:id="641" w:name="_Toc22199205"/>
      <w:bookmarkStart w:id="642" w:name="_Toc22201006"/>
      <w:bookmarkStart w:id="643" w:name="_Toc15163"/>
      <w:bookmarkStart w:id="644" w:name="_Toc22202056"/>
      <w:bookmarkStart w:id="645" w:name="_Toc22202356"/>
      <w:bookmarkStart w:id="646" w:name="_Toc22202772"/>
      <w:bookmarkStart w:id="647" w:name="_Toc18277533"/>
      <w:bookmarkStart w:id="648" w:name="_Toc4081240"/>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bookmarkStart w:id="649" w:name="_Toc24969783"/>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p>
    <w:p>
      <w:pPr>
        <w:rPr>
          <w:lang w:eastAsia="zh-CN"/>
        </w:rPr>
      </w:pPr>
    </w:p>
    <w:p>
      <w:pPr>
        <w:pStyle w:val="2"/>
        <w:rPr>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r>
        <w:rPr>
          <w:rFonts w:hint="eastAsia" w:ascii="宋体" w:hAnsi="宋体" w:eastAsia="宋体"/>
          <w:sz w:val="44"/>
          <w:szCs w:val="44"/>
          <w:lang w:eastAsia="zh-CN"/>
        </w:rPr>
        <w:t>7. 环保措施及其可行性论证</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9"/>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50" w:name="_Toc22202357"/>
      <w:bookmarkStart w:id="651" w:name="_Toc24969784"/>
      <w:bookmarkStart w:id="652" w:name="_Toc22202773"/>
      <w:bookmarkStart w:id="653" w:name="_Toc22202057"/>
      <w:bookmarkStart w:id="654" w:name="_Toc22201007"/>
      <w:bookmarkStart w:id="655" w:name="_Toc22200341"/>
      <w:bookmarkStart w:id="656" w:name="_Toc22199697"/>
      <w:bookmarkStart w:id="657" w:name="_Toc22199206"/>
      <w:bookmarkStart w:id="658" w:name="_Toc22198842"/>
      <w:bookmarkStart w:id="659" w:name="_Toc22198546"/>
      <w:bookmarkStart w:id="660" w:name="_Toc22198443"/>
      <w:bookmarkStart w:id="661" w:name="_Toc22198337"/>
      <w:bookmarkStart w:id="662" w:name="_Toc22198219"/>
      <w:bookmarkStart w:id="663" w:name="_Toc31127"/>
      <w:bookmarkStart w:id="664" w:name="_Toc21814239"/>
      <w:bookmarkStart w:id="665" w:name="_Toc21814371"/>
      <w:bookmarkStart w:id="666" w:name="_Toc21814418"/>
      <w:bookmarkStart w:id="667" w:name="_Toc22151003"/>
      <w:bookmarkStart w:id="668" w:name="_Toc21815026"/>
      <w:bookmarkStart w:id="669" w:name="_Toc22151180"/>
      <w:r>
        <w:rPr>
          <w:rFonts w:hint="eastAsia" w:ascii="宋体" w:hAnsi="宋体" w:eastAsia="宋体"/>
          <w:color w:val="000000" w:themeColor="text1"/>
          <w:lang w:eastAsia="zh-CN"/>
        </w:rPr>
        <w:t>7.1 废气治理措施及其可行性分析</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29"/>
        <w:spacing w:after="0" w:line="450" w:lineRule="exact"/>
        <w:ind w:firstLine="480"/>
      </w:pPr>
      <w:r>
        <w:rPr>
          <w:rFonts w:hint="eastAsia"/>
        </w:rPr>
        <w:t>本项目大气主要污染物是锅炉燃烧产生的烟气中的颗粒物、二氧化硫、氮氧化物等，华能岳阳电厂超超临界锅炉采用石灰石—石膏湿法脱硫工艺脱硫；采用静电除尘装置对烟气进行除尘处理；采用低氮燃烧器+SCR脱硝工艺脱硝，根据2018年6#锅炉在线监测结果，全年烟气污染物平均排放浓度颗粒物2.53mg/m</w:t>
      </w:r>
      <w:r>
        <w:rPr>
          <w:rFonts w:hint="eastAsia"/>
          <w:vertAlign w:val="superscript"/>
        </w:rPr>
        <w:t>3</w:t>
      </w:r>
      <w:r>
        <w:rPr>
          <w:rFonts w:hint="eastAsia"/>
        </w:rPr>
        <w:t>；二氧化硫16.17 mg/m</w:t>
      </w:r>
      <w:r>
        <w:rPr>
          <w:rFonts w:hint="eastAsia"/>
          <w:vertAlign w:val="superscript"/>
        </w:rPr>
        <w:t>3</w:t>
      </w:r>
      <w:r>
        <w:rPr>
          <w:rFonts w:hint="eastAsia" w:ascii="宋体" w:hAnsi="宋体"/>
        </w:rPr>
        <w:t>；</w:t>
      </w:r>
      <w:r>
        <w:rPr>
          <w:rFonts w:hint="eastAsia"/>
        </w:rPr>
        <w:t>氮氧化物32.14 mg/m</w:t>
      </w:r>
      <w:r>
        <w:rPr>
          <w:rFonts w:hint="eastAsia"/>
          <w:vertAlign w:val="superscript"/>
        </w:rPr>
        <w:t>3</w:t>
      </w:r>
      <w:r>
        <w:rPr>
          <w:rFonts w:hint="eastAsia"/>
        </w:rPr>
        <w:t xml:space="preserve">。 </w:t>
      </w:r>
    </w:p>
    <w:p>
      <w:pPr>
        <w:pStyle w:val="29"/>
        <w:spacing w:after="0" w:line="450" w:lineRule="exact"/>
        <w:ind w:firstLine="480"/>
        <w:rPr>
          <w:rFonts w:ascii="宋体" w:hAnsi="宋体" w:cs="宋体"/>
        </w:rPr>
      </w:pPr>
      <w:r>
        <w:rPr>
          <w:rFonts w:hint="eastAsia" w:ascii="宋体" w:hAnsi="宋体" w:cs="宋体"/>
        </w:rPr>
        <w:t>按照100t/d的掺烧量，6#锅炉的投煤量为229t/h，掺烧比例为 1.83%。经计算，掺烧所产生的烟气增加比例约为0.28%，主要污染物烟尘、二氧化硫、氮氧化物排放量增加的比例分别约为 0.59%，0.02%，0.25%，所以利用现有环保设施处理污泥掺烧烟气是可行的。</w:t>
      </w:r>
      <w:bookmarkStart w:id="670" w:name="_Toc22202774"/>
    </w:p>
    <w:p>
      <w:pPr>
        <w:pStyle w:val="29"/>
        <w:spacing w:after="0" w:line="450" w:lineRule="exact"/>
        <w:ind w:firstLine="480"/>
        <w:rPr>
          <w:rFonts w:ascii="宋体" w:hAnsi="宋体" w:cs="宋体"/>
        </w:rPr>
      </w:pPr>
      <w:r>
        <w:rPr>
          <w:rFonts w:hint="eastAsia" w:ascii="宋体" w:hAnsi="宋体" w:cs="宋体"/>
        </w:rPr>
        <w:t>污泥储罐区产生的恶臭气体通过储罐库房顶部的收集系统收集，</w:t>
      </w:r>
      <w:bookmarkEnd w:id="670"/>
      <w:r>
        <w:rPr>
          <w:rFonts w:hint="eastAsia" w:ascii="宋体" w:hAnsi="宋体" w:cs="宋体"/>
        </w:rPr>
        <w:t>然后送往污泥干燥炭化一体化机和干燥炭化后的污泥干化气一起送入锅炉炉膛燃烧，</w:t>
      </w:r>
      <w:r>
        <w:rPr>
          <w:rFonts w:ascii="宋体" w:hAnsi="宋体" w:cs="宋体"/>
        </w:rPr>
        <w:t xml:space="preserve"> </w:t>
      </w:r>
      <w:r>
        <w:rPr>
          <w:rFonts w:hint="eastAsia" w:ascii="宋体" w:hAnsi="宋体" w:cs="宋体"/>
        </w:rPr>
        <w:t>燃烧尾气经锅炉先进的尾气处理系统净化后达标排放。</w:t>
      </w:r>
    </w:p>
    <w:p>
      <w:pPr>
        <w:pStyle w:val="29"/>
        <w:spacing w:after="0" w:line="450" w:lineRule="exact"/>
        <w:ind w:firstLine="480"/>
        <w:rPr>
          <w:rFonts w:asciiTheme="majorHAnsi" w:hAnsiTheme="majorHAnsi" w:cstheme="majorBidi"/>
          <w:b/>
          <w:bCs/>
          <w:color w:val="000000" w:themeColor="text1"/>
          <w:kern w:val="0"/>
          <w:sz w:val="26"/>
          <w:szCs w:val="26"/>
        </w:rPr>
      </w:pPr>
      <w:bookmarkStart w:id="671" w:name="_Toc22202775"/>
      <w:r>
        <w:rPr>
          <w:rFonts w:hint="eastAsia" w:ascii="宋体" w:hAnsi="宋体" w:cs="宋体"/>
        </w:rPr>
        <w:t>只要严格落实上述措施，保证设备正常运转，本项目及依托装置对环境空气质量的影响就会很小。</w:t>
      </w:r>
      <w:r>
        <w:rPr>
          <w:rFonts w:hint="eastAsia" w:ascii="宋体" w:hAnsi="宋体" w:cs="宋体"/>
        </w:rPr>
        <w:cr/>
      </w:r>
      <w:bookmarkStart w:id="672" w:name="_Toc17161"/>
      <w:r>
        <w:rPr>
          <w:rFonts w:hint="eastAsia" w:ascii="宋体" w:hAnsi="宋体" w:cstheme="majorBidi"/>
          <w:b/>
          <w:bCs/>
          <w:color w:val="000000" w:themeColor="text1"/>
          <w:kern w:val="0"/>
          <w:sz w:val="26"/>
          <w:szCs w:val="26"/>
        </w:rPr>
        <w:t>7.2 废水治理措施及可行性分析</w:t>
      </w:r>
      <w:bookmarkEnd w:id="671"/>
      <w:bookmarkEnd w:id="672"/>
    </w:p>
    <w:p>
      <w:pPr>
        <w:pStyle w:val="29"/>
        <w:spacing w:after="0" w:line="450" w:lineRule="exact"/>
        <w:ind w:firstLine="480"/>
        <w:rPr>
          <w:rFonts w:ascii="宋体" w:hAnsi="宋体"/>
          <w:szCs w:val="24"/>
        </w:rPr>
      </w:pPr>
      <w:r>
        <w:rPr>
          <w:rFonts w:hint="eastAsia" w:ascii="宋体" w:hAnsi="宋体" w:cs="宋体"/>
          <w:szCs w:val="24"/>
        </w:rPr>
        <w:t>本项目仅产生少量地面冲洗废水，进入华能岳阳电厂污水处理场处理后回用。不影响地表水环境质量。依托锅炉根据</w:t>
      </w:r>
      <w:r>
        <w:rPr>
          <w:rFonts w:hint="eastAsia" w:ascii="宋体" w:hAnsi="宋体"/>
          <w:szCs w:val="24"/>
        </w:rPr>
        <w:t>国电环境保护研究院华能岳阳电厂环评资料：长江流域雨量充沛，水资源丰富。一台机组配两台循环水泵、一根循环水管（DN3200）及一条循环水沟（3m×3.5m）。循环水排水排入长江，排水口位于二期取水口下游约 100m。其他废水（1）酸、碱废水：依托工程排放量约200t/d，锅炉补给水处理和凝结水处理系统的含酸、碱废水拟先排入废水处理站中和池中和处理后作冲渣用水。（2）锅炉非经常性废水：锅炉非经常性废水包括锅炉化学清洗水（一般6年1次）、锅炉排污水、空气预热器冲洗水、静电除尘器冲洗水等，这类废水中主要污染物为pH值、悬浮物和少量联胺，拟排入废水处理站集中处理，经处理后，使排水达到《污水综合排放标准》（GB 8978—1996）中的三级标准，锅炉酸洗废液中的污染物主要为酸，排放量约2000t/次，处理后用作冲渣补充水。（3）脱硫废水：排放的废水中总悬浮固体（SS）浓度较高、呈弱酸性，排放量约15t/h，单独处理后作灰场防尘或干灰调湿用水。（4）煤系统排水：本期工程的煤场和输煤系统等的间断冲洗排水和煤场雨水经沉淀处理后作煤场冲洗用水。（5）生活污水：生活污水排放量约5t/h，经生活污水处理站处理后作厂区绿化用水。（6）含油污水：本工程的少量含油污水排入油水分离处理装置进行处理，处理后的排水进工业废水集中处理站处理后作冲渣用水。（7）全厂工业和生活废水全部回收利用，废水重复利用率100%。（8）煤场初期雨水:煤场初期雨水收集后排入沉煤池沉淀后全部作煤场冲洗用水。电厂雨水排入雨水管网。该工程不外排污水，不增加COD排放量，不会对水环境产生影响。</w:t>
      </w:r>
    </w:p>
    <w:p>
      <w:pPr>
        <w:pStyle w:val="29"/>
        <w:spacing w:after="0" w:line="450" w:lineRule="exact"/>
        <w:ind w:firstLine="480"/>
        <w:rPr>
          <w:rFonts w:ascii="宋体" w:hAnsi="宋体"/>
          <w:szCs w:val="24"/>
        </w:rPr>
      </w:pPr>
      <w:r>
        <w:rPr>
          <w:rFonts w:hint="eastAsia" w:ascii="宋体" w:hAnsi="宋体"/>
          <w:szCs w:val="24"/>
        </w:rPr>
        <w:t>因此本项目及依托装置污水处理措施可行，不会对水环境质量产生影响。</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73" w:name="_Toc24969785"/>
      <w:bookmarkStart w:id="674" w:name="_Toc22202058"/>
      <w:bookmarkStart w:id="675" w:name="_Toc22202776"/>
      <w:bookmarkStart w:id="676" w:name="_Toc22202358"/>
      <w:r>
        <w:rPr>
          <w:rFonts w:hint="eastAsia" w:ascii="宋体" w:hAnsi="宋体" w:eastAsia="宋体"/>
          <w:color w:val="000000" w:themeColor="text1"/>
          <w:lang w:eastAsia="zh-CN"/>
        </w:rPr>
        <w:t>7.3固废处理措施可行性</w:t>
      </w:r>
      <w:bookmarkEnd w:id="673"/>
      <w:bookmarkEnd w:id="674"/>
      <w:bookmarkEnd w:id="675"/>
      <w:bookmarkEnd w:id="676"/>
    </w:p>
    <w:p>
      <w:pPr>
        <w:spacing w:after="0" w:line="360" w:lineRule="auto"/>
        <w:ind w:firstLine="440" w:firstLineChars="200"/>
        <w:rPr>
          <w:sz w:val="24"/>
          <w:szCs w:val="24"/>
          <w:lang w:eastAsia="zh-CN"/>
        </w:rPr>
      </w:pPr>
      <w:r>
        <w:rPr>
          <w:rFonts w:hint="eastAsia" w:ascii="宋体" w:hAnsi="宋体"/>
          <w:szCs w:val="24"/>
          <w:lang w:eastAsia="zh-CN"/>
        </w:rPr>
        <w:t>本项目新增固废极少，依托超临界锅炉产生的固废一同处置。</w:t>
      </w:r>
      <w:r>
        <w:rPr>
          <w:rFonts w:hint="eastAsia" w:ascii="宋体" w:hAnsi="宋体" w:cs="宋体"/>
          <w:szCs w:val="24"/>
          <w:lang w:eastAsia="zh-CN"/>
        </w:rPr>
        <w:t>根据</w:t>
      </w:r>
      <w:r>
        <w:rPr>
          <w:rFonts w:hint="eastAsia" w:ascii="宋体" w:hAnsi="宋体"/>
          <w:szCs w:val="24"/>
          <w:lang w:eastAsia="zh-CN"/>
        </w:rPr>
        <w:t>国电环境保护研究院华能岳阳电厂环评资料：①锅炉底渣综合利用，底渣外运采用汽车运输。考虑到用户对底渣需求的不均衡性或当底渣暂无综合利用时，可将底渣汽车运至灰场堆放。②电除尘场产生细灰全部外售给商品混凝土公司和水泥构件厂，采用水泥罐车运送。为便于飞灰综合利用，采取粗、细灰分排、分贮方式，本期设 3 座干灰库，其中 2座粗灰库、1 座细灰库，每座灰库有效容积约 2000m储渣储罐，可贮存锅炉满负荷工况 24h排渣量。③烟气脱硫系统副产品-石膏，据有关协议文件，已有综合利用途径，因此，其处理系统为：将石膏浆真空脱水后由汽车运至用户，临时无用户时，则运至灰场分开堆放。④脱硫废渣</w:t>
      </w:r>
      <w:bookmarkStart w:id="1257" w:name="_GoBack"/>
      <w:bookmarkEnd w:id="1257"/>
      <w:r>
        <w:rPr>
          <w:rFonts w:hint="eastAsia" w:ascii="宋体" w:hAnsi="宋体"/>
          <w:szCs w:val="24"/>
          <w:lang w:eastAsia="zh-CN"/>
        </w:rPr>
        <w:t>全部外售综合利用。将石膏浆真空脱水后由汽车运至用户，临时无用户时，则运至灰场分开堆放。⑤废催化剂由厂家回收再生。</w:t>
      </w:r>
      <w:r>
        <w:rPr>
          <w:rFonts w:ascii="Times New Roman" w:hAnsi="Times New Roman" w:cs="Times New Roman"/>
          <w:sz w:val="24"/>
          <w:lang w:eastAsia="zh-CN"/>
        </w:rPr>
        <w:t>在一般固体废物暂存区分类收集暂存后，定期外售综合利用。一般工业固体废物须在日常生产中加强管理，按《一般工业固体废物贮存、处置场污染控制标准》（GB18599-2001）及2013年修改单，将以上废物妥善收集至固废暂存库中，定期外售综合利用。</w:t>
      </w:r>
    </w:p>
    <w:p>
      <w:pPr>
        <w:pStyle w:val="29"/>
        <w:spacing w:after="0" w:line="450" w:lineRule="exact"/>
        <w:ind w:firstLine="480"/>
        <w:rPr>
          <w:rFonts w:ascii="宋体" w:hAnsi="宋体"/>
          <w:szCs w:val="24"/>
        </w:rPr>
      </w:pPr>
      <w:r>
        <w:rPr>
          <w:rFonts w:hint="eastAsia" w:ascii="宋体" w:hAnsi="宋体"/>
          <w:szCs w:val="24"/>
        </w:rPr>
        <w:t>因此，本项目及依托装置固废按照上述措施处理，不会对环境质量产生影响。</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77" w:name="_Toc22202777"/>
      <w:bookmarkStart w:id="678" w:name="_Toc22202359"/>
      <w:bookmarkStart w:id="679" w:name="_Toc22202059"/>
      <w:bookmarkStart w:id="680" w:name="_Toc24969786"/>
      <w:r>
        <w:rPr>
          <w:rFonts w:hint="eastAsia" w:ascii="宋体" w:hAnsi="宋体" w:eastAsia="宋体"/>
          <w:color w:val="000000" w:themeColor="text1"/>
          <w:lang w:eastAsia="zh-CN"/>
        </w:rPr>
        <w:t>7.4噪声防治措施可行性</w:t>
      </w:r>
      <w:bookmarkEnd w:id="677"/>
      <w:bookmarkEnd w:id="678"/>
      <w:bookmarkEnd w:id="679"/>
      <w:bookmarkEnd w:id="680"/>
    </w:p>
    <w:p>
      <w:pPr>
        <w:pStyle w:val="29"/>
        <w:spacing w:after="0"/>
        <w:ind w:firstLine="480"/>
        <w:rPr>
          <w:rFonts w:ascii="宋体" w:hAnsi="宋体"/>
          <w:szCs w:val="24"/>
        </w:rPr>
      </w:pPr>
      <w:r>
        <w:rPr>
          <w:rFonts w:hint="eastAsia" w:ascii="宋体" w:hAnsi="宋体"/>
          <w:szCs w:val="24"/>
        </w:rPr>
        <w:t>电厂噪声防治主要采用隔声罩，消声器及隔声室等方法。类比国内现有 600MW 机组，该厂主要设备噪声及噪声治理措施、治理效果见表 7.4-1。噪声治理措施：</w:t>
      </w:r>
    </w:p>
    <w:p>
      <w:pPr>
        <w:pStyle w:val="29"/>
        <w:spacing w:after="0"/>
        <w:ind w:firstLine="480"/>
        <w:rPr>
          <w:rFonts w:ascii="宋体" w:hAnsi="宋体"/>
          <w:szCs w:val="24"/>
        </w:rPr>
      </w:pPr>
      <w:r>
        <w:rPr>
          <w:rFonts w:hint="eastAsia" w:ascii="宋体" w:hAnsi="宋体"/>
          <w:szCs w:val="24"/>
        </w:rPr>
        <w:t>（1）选用低噪声设备，主要设备均采取消声措施及厂房隔声。</w:t>
      </w:r>
    </w:p>
    <w:p>
      <w:pPr>
        <w:pStyle w:val="29"/>
        <w:spacing w:after="0"/>
        <w:ind w:firstLine="480"/>
        <w:rPr>
          <w:rFonts w:ascii="宋体" w:hAnsi="宋体"/>
          <w:szCs w:val="24"/>
        </w:rPr>
      </w:pPr>
      <w:r>
        <w:rPr>
          <w:rFonts w:hint="eastAsia" w:ascii="宋体" w:hAnsi="宋体"/>
          <w:szCs w:val="24"/>
        </w:rPr>
        <w:t>（2）机、炉控制室及主控室设置双层隔音窗及双层门，屋顶棚装吸音材料；控制汽机房的开窗面积，减少噪音外逸。</w:t>
      </w:r>
    </w:p>
    <w:p>
      <w:pPr>
        <w:pStyle w:val="29"/>
        <w:spacing w:after="0"/>
        <w:ind w:firstLine="480"/>
        <w:rPr>
          <w:rFonts w:ascii="宋体" w:hAnsi="宋体"/>
          <w:szCs w:val="24"/>
        </w:rPr>
      </w:pPr>
      <w:r>
        <w:rPr>
          <w:rFonts w:hint="eastAsia" w:ascii="宋体" w:hAnsi="宋体"/>
          <w:szCs w:val="24"/>
        </w:rPr>
        <w:t>（3）锅炉安全阀排汽安装消声器，消声器降噪要达到 30-40 dB(A)；厂房隔声+隔声罩降噪要达到 15-20 dB(A)；厂房隔声或隔声罩降噪要达到 10 dB(A)；以保证厂界噪声达标。</w:t>
      </w:r>
    </w:p>
    <w:p>
      <w:pPr>
        <w:pStyle w:val="29"/>
        <w:spacing w:after="0"/>
        <w:ind w:firstLine="465" w:firstLineChars="0"/>
        <w:rPr>
          <w:rFonts w:ascii="宋体" w:hAnsi="宋体"/>
          <w:szCs w:val="24"/>
        </w:rPr>
      </w:pPr>
      <w:r>
        <w:rPr>
          <w:rFonts w:hint="eastAsia" w:ascii="宋体" w:hAnsi="宋体"/>
          <w:szCs w:val="24"/>
        </w:rPr>
        <w:t>（4）厂区内根据功能分区建设绿化隔声带降噪。</w:t>
      </w:r>
    </w:p>
    <w:p>
      <w:pPr>
        <w:pStyle w:val="29"/>
        <w:spacing w:after="0"/>
        <w:ind w:firstLine="465" w:firstLineChars="0"/>
        <w:jc w:val="center"/>
        <w:rPr>
          <w:rFonts w:ascii="宋体" w:hAnsi="宋体"/>
          <w:b/>
          <w:szCs w:val="24"/>
        </w:rPr>
      </w:pPr>
      <w:r>
        <w:rPr>
          <w:rFonts w:hint="eastAsia" w:ascii="宋体" w:hAnsi="宋体"/>
          <w:b/>
          <w:szCs w:val="24"/>
        </w:rPr>
        <w:t>表7.4-1主要噪声源设备噪声水平及降噪措施效果 单位：dB(A)</w:t>
      </w:r>
    </w:p>
    <w:tbl>
      <w:tblPr>
        <w:tblStyle w:val="30"/>
        <w:tblW w:w="871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06"/>
        <w:gridCol w:w="1904"/>
        <w:gridCol w:w="992"/>
        <w:gridCol w:w="993"/>
        <w:gridCol w:w="425"/>
        <w:gridCol w:w="1111"/>
        <w:gridCol w:w="27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Merge w:val="restart"/>
            <w:vAlign w:val="center"/>
          </w:tcPr>
          <w:p>
            <w:pPr>
              <w:pStyle w:val="62"/>
              <w:jc w:val="center"/>
              <w:rPr>
                <w:b/>
                <w:sz w:val="21"/>
                <w:szCs w:val="21"/>
              </w:rPr>
            </w:pPr>
            <w:r>
              <w:rPr>
                <w:b/>
                <w:sz w:val="21"/>
                <w:szCs w:val="21"/>
              </w:rPr>
              <w:t>序号</w:t>
            </w:r>
          </w:p>
        </w:tc>
        <w:tc>
          <w:tcPr>
            <w:tcW w:w="1904" w:type="dxa"/>
            <w:vMerge w:val="restart"/>
            <w:vAlign w:val="center"/>
          </w:tcPr>
          <w:p>
            <w:pPr>
              <w:pStyle w:val="62"/>
              <w:tabs>
                <w:tab w:val="left" w:pos="1082"/>
              </w:tabs>
              <w:jc w:val="center"/>
              <w:rPr>
                <w:b/>
                <w:sz w:val="21"/>
                <w:szCs w:val="21"/>
              </w:rPr>
            </w:pPr>
            <w:r>
              <w:rPr>
                <w:b/>
                <w:sz w:val="21"/>
                <w:szCs w:val="21"/>
              </w:rPr>
              <w:t>设</w:t>
            </w:r>
            <w:r>
              <w:rPr>
                <w:b/>
                <w:sz w:val="21"/>
                <w:szCs w:val="21"/>
              </w:rPr>
              <w:tab/>
            </w:r>
            <w:r>
              <w:rPr>
                <w:b/>
                <w:sz w:val="21"/>
                <w:szCs w:val="21"/>
              </w:rPr>
              <w:t>备</w:t>
            </w:r>
          </w:p>
        </w:tc>
        <w:tc>
          <w:tcPr>
            <w:tcW w:w="1985" w:type="dxa"/>
            <w:gridSpan w:val="2"/>
            <w:vAlign w:val="center"/>
          </w:tcPr>
          <w:p>
            <w:pPr>
              <w:pStyle w:val="62"/>
              <w:tabs>
                <w:tab w:val="left" w:pos="1020"/>
              </w:tabs>
              <w:jc w:val="center"/>
              <w:rPr>
                <w:b/>
                <w:sz w:val="21"/>
                <w:szCs w:val="21"/>
              </w:rPr>
            </w:pPr>
            <w:r>
              <w:rPr>
                <w:b/>
                <w:sz w:val="21"/>
                <w:szCs w:val="21"/>
              </w:rPr>
              <w:t>源</w:t>
            </w:r>
            <w:r>
              <w:rPr>
                <w:b/>
                <w:sz w:val="21"/>
                <w:szCs w:val="21"/>
              </w:rPr>
              <w:tab/>
            </w:r>
            <w:r>
              <w:rPr>
                <w:b/>
                <w:sz w:val="21"/>
                <w:szCs w:val="21"/>
              </w:rPr>
              <w:t>强</w:t>
            </w:r>
          </w:p>
        </w:tc>
        <w:tc>
          <w:tcPr>
            <w:tcW w:w="425" w:type="dxa"/>
            <w:vMerge w:val="restart"/>
            <w:vAlign w:val="center"/>
          </w:tcPr>
          <w:p>
            <w:pPr>
              <w:pStyle w:val="62"/>
              <w:jc w:val="center"/>
              <w:rPr>
                <w:b/>
                <w:sz w:val="21"/>
                <w:szCs w:val="21"/>
              </w:rPr>
            </w:pPr>
            <w:r>
              <w:rPr>
                <w:b/>
                <w:sz w:val="21"/>
                <w:szCs w:val="21"/>
              </w:rPr>
              <w:t>数量</w:t>
            </w:r>
          </w:p>
        </w:tc>
        <w:tc>
          <w:tcPr>
            <w:tcW w:w="1111" w:type="dxa"/>
            <w:vMerge w:val="restart"/>
            <w:vAlign w:val="center"/>
          </w:tcPr>
          <w:p>
            <w:pPr>
              <w:pStyle w:val="62"/>
              <w:jc w:val="center"/>
              <w:rPr>
                <w:b/>
                <w:sz w:val="21"/>
                <w:szCs w:val="21"/>
              </w:rPr>
            </w:pPr>
            <w:r>
              <w:rPr>
                <w:b/>
                <w:sz w:val="21"/>
                <w:szCs w:val="21"/>
              </w:rPr>
              <w:t>测量位置</w:t>
            </w:r>
          </w:p>
        </w:tc>
        <w:tc>
          <w:tcPr>
            <w:tcW w:w="2786" w:type="dxa"/>
            <w:vMerge w:val="restart"/>
            <w:vAlign w:val="center"/>
          </w:tcPr>
          <w:p>
            <w:pPr>
              <w:pStyle w:val="62"/>
              <w:jc w:val="center"/>
              <w:rPr>
                <w:b/>
                <w:sz w:val="21"/>
                <w:szCs w:val="21"/>
              </w:rPr>
            </w:pPr>
            <w:r>
              <w:rPr>
                <w:b/>
                <w:sz w:val="21"/>
                <w:szCs w:val="21"/>
              </w:rPr>
              <w:t>措施与效果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Merge w:val="continue"/>
            <w:vAlign w:val="center"/>
          </w:tcPr>
          <w:p>
            <w:pPr>
              <w:spacing w:after="0" w:line="240" w:lineRule="auto"/>
              <w:jc w:val="center"/>
              <w:rPr>
                <w:sz w:val="21"/>
                <w:szCs w:val="21"/>
              </w:rPr>
            </w:pPr>
          </w:p>
        </w:tc>
        <w:tc>
          <w:tcPr>
            <w:tcW w:w="1904" w:type="dxa"/>
            <w:vMerge w:val="continue"/>
            <w:vAlign w:val="center"/>
          </w:tcPr>
          <w:p>
            <w:pPr>
              <w:spacing w:after="0" w:line="240" w:lineRule="auto"/>
              <w:jc w:val="center"/>
              <w:rPr>
                <w:sz w:val="21"/>
                <w:szCs w:val="21"/>
              </w:rPr>
            </w:pPr>
          </w:p>
        </w:tc>
        <w:tc>
          <w:tcPr>
            <w:tcW w:w="992" w:type="dxa"/>
            <w:vAlign w:val="center"/>
          </w:tcPr>
          <w:p>
            <w:pPr>
              <w:pStyle w:val="62"/>
              <w:jc w:val="center"/>
              <w:rPr>
                <w:b/>
                <w:sz w:val="21"/>
                <w:szCs w:val="21"/>
              </w:rPr>
            </w:pPr>
            <w:r>
              <w:rPr>
                <w:b/>
                <w:sz w:val="21"/>
                <w:szCs w:val="21"/>
              </w:rPr>
              <w:t>降噪前</w:t>
            </w:r>
          </w:p>
        </w:tc>
        <w:tc>
          <w:tcPr>
            <w:tcW w:w="993" w:type="dxa"/>
            <w:vAlign w:val="center"/>
          </w:tcPr>
          <w:p>
            <w:pPr>
              <w:pStyle w:val="62"/>
              <w:jc w:val="center"/>
              <w:rPr>
                <w:b/>
                <w:sz w:val="21"/>
                <w:szCs w:val="21"/>
              </w:rPr>
            </w:pPr>
            <w:r>
              <w:rPr>
                <w:b/>
                <w:sz w:val="21"/>
                <w:szCs w:val="21"/>
              </w:rPr>
              <w:t>降噪后</w:t>
            </w:r>
          </w:p>
        </w:tc>
        <w:tc>
          <w:tcPr>
            <w:tcW w:w="425" w:type="dxa"/>
            <w:vMerge w:val="continue"/>
            <w:vAlign w:val="center"/>
          </w:tcPr>
          <w:p>
            <w:pPr>
              <w:spacing w:after="0" w:line="240" w:lineRule="auto"/>
              <w:jc w:val="center"/>
              <w:rPr>
                <w:sz w:val="21"/>
                <w:szCs w:val="21"/>
              </w:rPr>
            </w:pPr>
          </w:p>
        </w:tc>
        <w:tc>
          <w:tcPr>
            <w:tcW w:w="1111" w:type="dxa"/>
            <w:vMerge w:val="continue"/>
            <w:vAlign w:val="center"/>
          </w:tcPr>
          <w:p>
            <w:pPr>
              <w:spacing w:after="0" w:line="240" w:lineRule="auto"/>
              <w:jc w:val="center"/>
              <w:rPr>
                <w:sz w:val="21"/>
                <w:szCs w:val="21"/>
              </w:rPr>
            </w:pPr>
          </w:p>
        </w:tc>
        <w:tc>
          <w:tcPr>
            <w:tcW w:w="2786" w:type="dxa"/>
            <w:vMerge w:val="continue"/>
            <w:vAlign w:val="center"/>
          </w:tcPr>
          <w:p>
            <w:pPr>
              <w:spacing w:after="0" w:line="240" w:lineRule="auto"/>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w:t>
            </w:r>
          </w:p>
        </w:tc>
        <w:tc>
          <w:tcPr>
            <w:tcW w:w="1904" w:type="dxa"/>
            <w:vAlign w:val="center"/>
          </w:tcPr>
          <w:p>
            <w:pPr>
              <w:pStyle w:val="62"/>
              <w:jc w:val="center"/>
              <w:rPr>
                <w:sz w:val="21"/>
                <w:szCs w:val="21"/>
              </w:rPr>
            </w:pPr>
            <w:r>
              <w:rPr>
                <w:sz w:val="21"/>
                <w:szCs w:val="21"/>
              </w:rPr>
              <w:t>汽轮发电机组</w:t>
            </w:r>
          </w:p>
        </w:tc>
        <w:tc>
          <w:tcPr>
            <w:tcW w:w="992" w:type="dxa"/>
            <w:vAlign w:val="center"/>
          </w:tcPr>
          <w:p>
            <w:pPr>
              <w:pStyle w:val="62"/>
              <w:jc w:val="center"/>
              <w:rPr>
                <w:sz w:val="21"/>
                <w:szCs w:val="21"/>
              </w:rPr>
            </w:pPr>
            <w:r>
              <w:rPr>
                <w:sz w:val="21"/>
                <w:szCs w:val="21"/>
              </w:rPr>
              <w:t>90</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距离</w:t>
            </w:r>
          </w:p>
        </w:tc>
        <w:tc>
          <w:tcPr>
            <w:tcW w:w="2786" w:type="dxa"/>
            <w:vAlign w:val="center"/>
          </w:tcPr>
          <w:p>
            <w:pPr>
              <w:pStyle w:val="62"/>
              <w:jc w:val="center"/>
              <w:rPr>
                <w:sz w:val="21"/>
                <w:szCs w:val="21"/>
              </w:rPr>
            </w:pPr>
            <w:r>
              <w:rPr>
                <w:sz w:val="21"/>
                <w:szCs w:val="21"/>
              </w:rPr>
              <w:t>主厂房隔声，15dB(A)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2</w:t>
            </w:r>
          </w:p>
        </w:tc>
        <w:tc>
          <w:tcPr>
            <w:tcW w:w="1904" w:type="dxa"/>
            <w:vAlign w:val="center"/>
          </w:tcPr>
          <w:p>
            <w:pPr>
              <w:pStyle w:val="62"/>
              <w:jc w:val="center"/>
              <w:rPr>
                <w:sz w:val="21"/>
                <w:szCs w:val="21"/>
              </w:rPr>
            </w:pPr>
            <w:r>
              <w:rPr>
                <w:sz w:val="21"/>
                <w:szCs w:val="21"/>
              </w:rPr>
              <w:t>送风机</w:t>
            </w:r>
          </w:p>
        </w:tc>
        <w:tc>
          <w:tcPr>
            <w:tcW w:w="992" w:type="dxa"/>
            <w:vAlign w:val="center"/>
          </w:tcPr>
          <w:p>
            <w:pPr>
              <w:pStyle w:val="62"/>
              <w:jc w:val="center"/>
              <w:rPr>
                <w:sz w:val="21"/>
                <w:szCs w:val="21"/>
              </w:rPr>
            </w:pPr>
            <w:r>
              <w:rPr>
                <w:sz w:val="21"/>
                <w:szCs w:val="21"/>
              </w:rPr>
              <w:t>95</w:t>
            </w:r>
          </w:p>
        </w:tc>
        <w:tc>
          <w:tcPr>
            <w:tcW w:w="993" w:type="dxa"/>
            <w:vAlign w:val="center"/>
          </w:tcPr>
          <w:p>
            <w:pPr>
              <w:pStyle w:val="62"/>
              <w:jc w:val="center"/>
              <w:rPr>
                <w:sz w:val="21"/>
                <w:szCs w:val="21"/>
              </w:rPr>
            </w:pPr>
            <w:r>
              <w:rPr>
                <w:sz w:val="21"/>
                <w:szCs w:val="21"/>
              </w:rPr>
              <w:t>80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进风口 3m</w:t>
            </w:r>
          </w:p>
        </w:tc>
        <w:tc>
          <w:tcPr>
            <w:tcW w:w="2786" w:type="dxa"/>
            <w:vAlign w:val="center"/>
          </w:tcPr>
          <w:p>
            <w:pPr>
              <w:pStyle w:val="62"/>
              <w:jc w:val="center"/>
              <w:rPr>
                <w:sz w:val="21"/>
                <w:szCs w:val="21"/>
              </w:rPr>
            </w:pPr>
            <w:r>
              <w:rPr>
                <w:sz w:val="21"/>
                <w:szCs w:val="21"/>
              </w:rPr>
              <w:t>吸风口安装消声器，15dB(A)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3</w:t>
            </w:r>
          </w:p>
        </w:tc>
        <w:tc>
          <w:tcPr>
            <w:tcW w:w="1904" w:type="dxa"/>
            <w:vAlign w:val="center"/>
          </w:tcPr>
          <w:p>
            <w:pPr>
              <w:pStyle w:val="62"/>
              <w:jc w:val="center"/>
              <w:rPr>
                <w:sz w:val="21"/>
                <w:szCs w:val="21"/>
              </w:rPr>
            </w:pPr>
            <w:r>
              <w:rPr>
                <w:sz w:val="21"/>
                <w:szCs w:val="21"/>
              </w:rPr>
              <w:t>引风机</w:t>
            </w:r>
          </w:p>
        </w:tc>
        <w:tc>
          <w:tcPr>
            <w:tcW w:w="992" w:type="dxa"/>
            <w:vAlign w:val="center"/>
          </w:tcPr>
          <w:p>
            <w:pPr>
              <w:pStyle w:val="62"/>
              <w:jc w:val="center"/>
              <w:rPr>
                <w:sz w:val="21"/>
                <w:szCs w:val="21"/>
              </w:rPr>
            </w:pPr>
            <w:r>
              <w:rPr>
                <w:sz w:val="21"/>
                <w:szCs w:val="21"/>
              </w:rPr>
              <w:t>90</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吸风口 3m</w:t>
            </w:r>
          </w:p>
        </w:tc>
        <w:tc>
          <w:tcPr>
            <w:tcW w:w="2786" w:type="dxa"/>
            <w:vAlign w:val="center"/>
          </w:tcPr>
          <w:p>
            <w:pPr>
              <w:pStyle w:val="62"/>
              <w:jc w:val="center"/>
              <w:rPr>
                <w:sz w:val="21"/>
                <w:szCs w:val="21"/>
              </w:rPr>
            </w:pPr>
            <w:r>
              <w:rPr>
                <w:sz w:val="21"/>
                <w:szCs w:val="21"/>
              </w:rPr>
              <w:t>隔声罩，15dB(A)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p>
          <w:p>
            <w:pPr>
              <w:pStyle w:val="62"/>
              <w:jc w:val="center"/>
              <w:rPr>
                <w:sz w:val="21"/>
                <w:szCs w:val="21"/>
              </w:rPr>
            </w:pPr>
            <w:r>
              <w:rPr>
                <w:sz w:val="21"/>
                <w:szCs w:val="21"/>
              </w:rPr>
              <w:t>4</w:t>
            </w:r>
          </w:p>
        </w:tc>
        <w:tc>
          <w:tcPr>
            <w:tcW w:w="1904" w:type="dxa"/>
            <w:vAlign w:val="center"/>
          </w:tcPr>
          <w:p>
            <w:pPr>
              <w:pStyle w:val="62"/>
              <w:jc w:val="center"/>
              <w:rPr>
                <w:sz w:val="21"/>
                <w:szCs w:val="21"/>
              </w:rPr>
            </w:pPr>
            <w:r>
              <w:rPr>
                <w:sz w:val="21"/>
                <w:szCs w:val="21"/>
              </w:rPr>
              <w:t>磨煤机</w:t>
            </w:r>
          </w:p>
        </w:tc>
        <w:tc>
          <w:tcPr>
            <w:tcW w:w="992" w:type="dxa"/>
            <w:vAlign w:val="center"/>
          </w:tcPr>
          <w:p>
            <w:pPr>
              <w:pStyle w:val="62"/>
              <w:jc w:val="center"/>
              <w:rPr>
                <w:sz w:val="21"/>
                <w:szCs w:val="21"/>
              </w:rPr>
            </w:pPr>
            <w:r>
              <w:rPr>
                <w:sz w:val="21"/>
                <w:szCs w:val="21"/>
              </w:rPr>
              <w:t>105</w:t>
            </w:r>
          </w:p>
        </w:tc>
        <w:tc>
          <w:tcPr>
            <w:tcW w:w="993" w:type="dxa"/>
            <w:vAlign w:val="center"/>
          </w:tcPr>
          <w:p>
            <w:pPr>
              <w:pStyle w:val="62"/>
              <w:jc w:val="center"/>
              <w:rPr>
                <w:sz w:val="21"/>
                <w:szCs w:val="21"/>
              </w:rPr>
            </w:pPr>
            <w:r>
              <w:rPr>
                <w:sz w:val="21"/>
                <w:szCs w:val="21"/>
              </w:rPr>
              <w:t>85</w:t>
            </w:r>
          </w:p>
        </w:tc>
        <w:tc>
          <w:tcPr>
            <w:tcW w:w="425" w:type="dxa"/>
            <w:vAlign w:val="center"/>
          </w:tcPr>
          <w:p>
            <w:pPr>
              <w:pStyle w:val="62"/>
              <w:jc w:val="center"/>
              <w:rPr>
                <w:sz w:val="21"/>
                <w:szCs w:val="21"/>
              </w:rPr>
            </w:pPr>
            <w:r>
              <w:rPr>
                <w:sz w:val="21"/>
                <w:szCs w:val="21"/>
              </w:rPr>
              <w:t>4</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rFonts w:eastAsiaTheme="minorEastAsia"/>
                <w:sz w:val="21"/>
                <w:szCs w:val="21"/>
                <w:lang w:eastAsia="zh-CN"/>
              </w:rPr>
            </w:pPr>
            <w:r>
              <w:rPr>
                <w:sz w:val="21"/>
                <w:szCs w:val="21"/>
              </w:rPr>
              <w:t xml:space="preserve">主厂房隔声 15 ， </w:t>
            </w:r>
          </w:p>
          <w:p>
            <w:pPr>
              <w:pStyle w:val="62"/>
              <w:jc w:val="center"/>
              <w:rPr>
                <w:sz w:val="21"/>
                <w:szCs w:val="21"/>
              </w:rPr>
            </w:pPr>
            <w:r>
              <w:rPr>
                <w:sz w:val="21"/>
                <w:szCs w:val="21"/>
              </w:rPr>
              <w:t>消声罩20dB(A)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5</w:t>
            </w:r>
          </w:p>
        </w:tc>
        <w:tc>
          <w:tcPr>
            <w:tcW w:w="1904" w:type="dxa"/>
            <w:vAlign w:val="center"/>
          </w:tcPr>
          <w:p>
            <w:pPr>
              <w:pStyle w:val="62"/>
              <w:jc w:val="center"/>
              <w:rPr>
                <w:sz w:val="21"/>
                <w:szCs w:val="21"/>
              </w:rPr>
            </w:pPr>
            <w:r>
              <w:rPr>
                <w:sz w:val="21"/>
                <w:szCs w:val="21"/>
              </w:rPr>
              <w:t>碎煤机</w:t>
            </w:r>
          </w:p>
        </w:tc>
        <w:tc>
          <w:tcPr>
            <w:tcW w:w="992" w:type="dxa"/>
            <w:vAlign w:val="center"/>
          </w:tcPr>
          <w:p>
            <w:pPr>
              <w:pStyle w:val="62"/>
              <w:jc w:val="center"/>
              <w:rPr>
                <w:sz w:val="21"/>
                <w:szCs w:val="21"/>
              </w:rPr>
            </w:pPr>
            <w:r>
              <w:rPr>
                <w:sz w:val="21"/>
                <w:szCs w:val="21"/>
              </w:rPr>
              <w:t>95</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4</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碎煤机房隔声，15dB(A)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6</w:t>
            </w:r>
          </w:p>
        </w:tc>
        <w:tc>
          <w:tcPr>
            <w:tcW w:w="1904" w:type="dxa"/>
            <w:vAlign w:val="center"/>
          </w:tcPr>
          <w:p>
            <w:pPr>
              <w:pStyle w:val="62"/>
              <w:jc w:val="center"/>
              <w:rPr>
                <w:sz w:val="21"/>
                <w:szCs w:val="21"/>
              </w:rPr>
            </w:pPr>
            <w:r>
              <w:rPr>
                <w:sz w:val="21"/>
                <w:szCs w:val="21"/>
              </w:rPr>
              <w:t>汽动给水泵组</w:t>
            </w:r>
          </w:p>
        </w:tc>
        <w:tc>
          <w:tcPr>
            <w:tcW w:w="992" w:type="dxa"/>
            <w:vAlign w:val="center"/>
          </w:tcPr>
          <w:p>
            <w:pPr>
              <w:pStyle w:val="62"/>
              <w:jc w:val="center"/>
              <w:rPr>
                <w:sz w:val="21"/>
                <w:szCs w:val="21"/>
              </w:rPr>
            </w:pPr>
            <w:r>
              <w:rPr>
                <w:sz w:val="21"/>
                <w:szCs w:val="21"/>
              </w:rPr>
              <w:t>90</w:t>
            </w:r>
          </w:p>
        </w:tc>
        <w:tc>
          <w:tcPr>
            <w:tcW w:w="993" w:type="dxa"/>
            <w:vAlign w:val="center"/>
          </w:tcPr>
          <w:p>
            <w:pPr>
              <w:pStyle w:val="62"/>
              <w:jc w:val="center"/>
              <w:rPr>
                <w:sz w:val="21"/>
                <w:szCs w:val="21"/>
              </w:rPr>
            </w:pPr>
            <w:r>
              <w:rPr>
                <w:sz w:val="21"/>
                <w:szCs w:val="21"/>
              </w:rPr>
              <w:t>80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厂房隔声，10dB(A)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7</w:t>
            </w:r>
          </w:p>
        </w:tc>
        <w:tc>
          <w:tcPr>
            <w:tcW w:w="1904" w:type="dxa"/>
            <w:vAlign w:val="center"/>
          </w:tcPr>
          <w:p>
            <w:pPr>
              <w:pStyle w:val="62"/>
              <w:jc w:val="center"/>
              <w:rPr>
                <w:sz w:val="21"/>
                <w:szCs w:val="21"/>
              </w:rPr>
            </w:pPr>
            <w:r>
              <w:rPr>
                <w:sz w:val="21"/>
                <w:szCs w:val="21"/>
              </w:rPr>
              <w:t>主变</w:t>
            </w:r>
          </w:p>
        </w:tc>
        <w:tc>
          <w:tcPr>
            <w:tcW w:w="992" w:type="dxa"/>
            <w:vAlign w:val="center"/>
          </w:tcPr>
          <w:p>
            <w:pPr>
              <w:pStyle w:val="62"/>
              <w:jc w:val="center"/>
              <w:rPr>
                <w:sz w:val="21"/>
                <w:szCs w:val="21"/>
              </w:rPr>
            </w:pPr>
            <w:r>
              <w:rPr>
                <w:sz w:val="21"/>
                <w:szCs w:val="21"/>
              </w:rPr>
              <w:t>80</w:t>
            </w:r>
          </w:p>
        </w:tc>
        <w:tc>
          <w:tcPr>
            <w:tcW w:w="993" w:type="dxa"/>
            <w:vAlign w:val="center"/>
          </w:tcPr>
          <w:p>
            <w:pPr>
              <w:pStyle w:val="62"/>
              <w:jc w:val="center"/>
              <w:rPr>
                <w:sz w:val="21"/>
                <w:szCs w:val="21"/>
              </w:rPr>
            </w:pPr>
            <w:r>
              <w:rPr>
                <w:sz w:val="21"/>
                <w:szCs w:val="21"/>
              </w:rPr>
              <w:t>80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8</w:t>
            </w:r>
          </w:p>
        </w:tc>
        <w:tc>
          <w:tcPr>
            <w:tcW w:w="1904" w:type="dxa"/>
            <w:vAlign w:val="center"/>
          </w:tcPr>
          <w:p>
            <w:pPr>
              <w:pStyle w:val="62"/>
              <w:jc w:val="center"/>
              <w:rPr>
                <w:sz w:val="21"/>
                <w:szCs w:val="21"/>
              </w:rPr>
            </w:pPr>
            <w:r>
              <w:rPr>
                <w:sz w:val="21"/>
                <w:szCs w:val="21"/>
              </w:rPr>
              <w:t>脱硫增压风机</w:t>
            </w:r>
          </w:p>
        </w:tc>
        <w:tc>
          <w:tcPr>
            <w:tcW w:w="992" w:type="dxa"/>
            <w:vAlign w:val="center"/>
          </w:tcPr>
          <w:p>
            <w:pPr>
              <w:pStyle w:val="62"/>
              <w:jc w:val="center"/>
              <w:rPr>
                <w:sz w:val="21"/>
                <w:szCs w:val="21"/>
              </w:rPr>
            </w:pPr>
            <w:r>
              <w:rPr>
                <w:sz w:val="21"/>
                <w:szCs w:val="21"/>
              </w:rPr>
              <w:t>100</w:t>
            </w:r>
          </w:p>
        </w:tc>
        <w:tc>
          <w:tcPr>
            <w:tcW w:w="993" w:type="dxa"/>
            <w:vAlign w:val="center"/>
          </w:tcPr>
          <w:p>
            <w:pPr>
              <w:pStyle w:val="62"/>
              <w:jc w:val="center"/>
              <w:rPr>
                <w:sz w:val="21"/>
                <w:szCs w:val="21"/>
              </w:rPr>
            </w:pPr>
            <w:r>
              <w:rPr>
                <w:sz w:val="21"/>
                <w:szCs w:val="21"/>
              </w:rPr>
              <w:t>90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隔声罩，10dB(A)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9</w:t>
            </w:r>
          </w:p>
        </w:tc>
        <w:tc>
          <w:tcPr>
            <w:tcW w:w="1904" w:type="dxa"/>
            <w:vAlign w:val="center"/>
          </w:tcPr>
          <w:p>
            <w:pPr>
              <w:pStyle w:val="62"/>
              <w:jc w:val="center"/>
              <w:rPr>
                <w:sz w:val="21"/>
                <w:szCs w:val="21"/>
              </w:rPr>
            </w:pPr>
            <w:r>
              <w:rPr>
                <w:sz w:val="21"/>
                <w:szCs w:val="21"/>
              </w:rPr>
              <w:t>脱硫氧化风机</w:t>
            </w:r>
          </w:p>
        </w:tc>
        <w:tc>
          <w:tcPr>
            <w:tcW w:w="992" w:type="dxa"/>
            <w:vAlign w:val="center"/>
          </w:tcPr>
          <w:p>
            <w:pPr>
              <w:pStyle w:val="62"/>
              <w:jc w:val="center"/>
              <w:rPr>
                <w:sz w:val="21"/>
                <w:szCs w:val="21"/>
              </w:rPr>
            </w:pPr>
            <w:r>
              <w:rPr>
                <w:sz w:val="21"/>
                <w:szCs w:val="21"/>
              </w:rPr>
              <w:t>105</w:t>
            </w:r>
          </w:p>
        </w:tc>
        <w:tc>
          <w:tcPr>
            <w:tcW w:w="993" w:type="dxa"/>
            <w:vAlign w:val="center"/>
          </w:tcPr>
          <w:p>
            <w:pPr>
              <w:pStyle w:val="62"/>
              <w:jc w:val="center"/>
              <w:rPr>
                <w:sz w:val="21"/>
                <w:szCs w:val="21"/>
              </w:rPr>
            </w:pPr>
            <w:r>
              <w:rPr>
                <w:sz w:val="21"/>
                <w:szCs w:val="21"/>
              </w:rPr>
              <w:t>85</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隔声罩、厂房隔声，20dB(A)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10</w:t>
            </w:r>
          </w:p>
        </w:tc>
        <w:tc>
          <w:tcPr>
            <w:tcW w:w="1904" w:type="dxa"/>
            <w:vAlign w:val="center"/>
          </w:tcPr>
          <w:p>
            <w:pPr>
              <w:pStyle w:val="62"/>
              <w:jc w:val="center"/>
              <w:rPr>
                <w:sz w:val="21"/>
                <w:szCs w:val="21"/>
              </w:rPr>
            </w:pPr>
            <w:r>
              <w:rPr>
                <w:sz w:val="21"/>
                <w:szCs w:val="21"/>
              </w:rPr>
              <w:t>吸收剂浆液输送泵</w:t>
            </w:r>
          </w:p>
        </w:tc>
        <w:tc>
          <w:tcPr>
            <w:tcW w:w="992" w:type="dxa"/>
            <w:vAlign w:val="center"/>
          </w:tcPr>
          <w:p>
            <w:pPr>
              <w:pStyle w:val="62"/>
              <w:jc w:val="center"/>
              <w:rPr>
                <w:sz w:val="21"/>
                <w:szCs w:val="21"/>
              </w:rPr>
            </w:pPr>
            <w:r>
              <w:rPr>
                <w:sz w:val="21"/>
                <w:szCs w:val="21"/>
              </w:rPr>
              <w:t>85</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隔声罩 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11</w:t>
            </w:r>
          </w:p>
        </w:tc>
        <w:tc>
          <w:tcPr>
            <w:tcW w:w="1904" w:type="dxa"/>
            <w:vAlign w:val="center"/>
          </w:tcPr>
          <w:p>
            <w:pPr>
              <w:pStyle w:val="62"/>
              <w:jc w:val="center"/>
              <w:rPr>
                <w:sz w:val="21"/>
                <w:szCs w:val="21"/>
              </w:rPr>
            </w:pPr>
            <w:r>
              <w:rPr>
                <w:sz w:val="21"/>
                <w:szCs w:val="21"/>
              </w:rPr>
              <w:t>吸收塔浆液循环泵</w:t>
            </w:r>
          </w:p>
        </w:tc>
        <w:tc>
          <w:tcPr>
            <w:tcW w:w="992" w:type="dxa"/>
            <w:vAlign w:val="center"/>
          </w:tcPr>
          <w:p>
            <w:pPr>
              <w:pStyle w:val="62"/>
              <w:jc w:val="center"/>
              <w:rPr>
                <w:sz w:val="21"/>
                <w:szCs w:val="21"/>
              </w:rPr>
            </w:pPr>
            <w:r>
              <w:rPr>
                <w:sz w:val="21"/>
                <w:szCs w:val="21"/>
              </w:rPr>
              <w:t>85</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隔声罩 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12</w:t>
            </w:r>
          </w:p>
        </w:tc>
        <w:tc>
          <w:tcPr>
            <w:tcW w:w="1904" w:type="dxa"/>
            <w:vAlign w:val="center"/>
          </w:tcPr>
          <w:p>
            <w:pPr>
              <w:pStyle w:val="62"/>
              <w:jc w:val="center"/>
              <w:rPr>
                <w:sz w:val="21"/>
                <w:szCs w:val="21"/>
              </w:rPr>
            </w:pPr>
            <w:r>
              <w:rPr>
                <w:sz w:val="21"/>
                <w:szCs w:val="21"/>
              </w:rPr>
              <w:t>吸收塔浆液排出泵</w:t>
            </w:r>
          </w:p>
        </w:tc>
        <w:tc>
          <w:tcPr>
            <w:tcW w:w="992" w:type="dxa"/>
            <w:vAlign w:val="center"/>
          </w:tcPr>
          <w:p>
            <w:pPr>
              <w:pStyle w:val="62"/>
              <w:jc w:val="center"/>
              <w:rPr>
                <w:sz w:val="21"/>
                <w:szCs w:val="21"/>
              </w:rPr>
            </w:pPr>
            <w:r>
              <w:rPr>
                <w:sz w:val="21"/>
                <w:szCs w:val="21"/>
              </w:rPr>
              <w:t>85</w:t>
            </w:r>
          </w:p>
        </w:tc>
        <w:tc>
          <w:tcPr>
            <w:tcW w:w="993" w:type="dxa"/>
            <w:vAlign w:val="center"/>
          </w:tcPr>
          <w:p>
            <w:pPr>
              <w:pStyle w:val="62"/>
              <w:jc w:val="center"/>
              <w:rPr>
                <w:sz w:val="21"/>
                <w:szCs w:val="21"/>
              </w:rPr>
            </w:pPr>
            <w:r>
              <w:rPr>
                <w:sz w:val="21"/>
                <w:szCs w:val="21"/>
              </w:rPr>
              <w:t>75</w:t>
            </w:r>
          </w:p>
        </w:tc>
        <w:tc>
          <w:tcPr>
            <w:tcW w:w="425" w:type="dxa"/>
            <w:vAlign w:val="center"/>
          </w:tcPr>
          <w:p>
            <w:pPr>
              <w:pStyle w:val="62"/>
              <w:jc w:val="center"/>
              <w:rPr>
                <w:sz w:val="21"/>
                <w:szCs w:val="21"/>
              </w:rPr>
            </w:pPr>
            <w:r>
              <w:rPr>
                <w:sz w:val="21"/>
                <w:szCs w:val="21"/>
              </w:rPr>
              <w:t>4</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隔声罩 10dB(A)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13</w:t>
            </w:r>
          </w:p>
        </w:tc>
        <w:tc>
          <w:tcPr>
            <w:tcW w:w="1904" w:type="dxa"/>
            <w:vAlign w:val="center"/>
          </w:tcPr>
          <w:p>
            <w:pPr>
              <w:pStyle w:val="62"/>
              <w:jc w:val="center"/>
              <w:rPr>
                <w:sz w:val="21"/>
                <w:szCs w:val="21"/>
              </w:rPr>
            </w:pPr>
            <w:r>
              <w:rPr>
                <w:sz w:val="21"/>
                <w:szCs w:val="21"/>
              </w:rPr>
              <w:t>真空泵</w:t>
            </w:r>
          </w:p>
        </w:tc>
        <w:tc>
          <w:tcPr>
            <w:tcW w:w="992" w:type="dxa"/>
            <w:vAlign w:val="center"/>
          </w:tcPr>
          <w:p>
            <w:pPr>
              <w:pStyle w:val="62"/>
              <w:jc w:val="center"/>
              <w:rPr>
                <w:sz w:val="21"/>
                <w:szCs w:val="21"/>
              </w:rPr>
            </w:pPr>
            <w:r>
              <w:rPr>
                <w:sz w:val="21"/>
                <w:szCs w:val="21"/>
              </w:rPr>
              <w:t>95</w:t>
            </w:r>
          </w:p>
        </w:tc>
        <w:tc>
          <w:tcPr>
            <w:tcW w:w="993" w:type="dxa"/>
            <w:vAlign w:val="center"/>
          </w:tcPr>
          <w:p>
            <w:pPr>
              <w:pStyle w:val="62"/>
              <w:jc w:val="center"/>
              <w:rPr>
                <w:sz w:val="21"/>
                <w:szCs w:val="21"/>
              </w:rPr>
            </w:pPr>
            <w:r>
              <w:rPr>
                <w:sz w:val="21"/>
                <w:szCs w:val="21"/>
              </w:rPr>
              <w:t>80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厂房隔声，15dB(A)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14</w:t>
            </w:r>
          </w:p>
        </w:tc>
        <w:tc>
          <w:tcPr>
            <w:tcW w:w="1904" w:type="dxa"/>
            <w:vAlign w:val="center"/>
          </w:tcPr>
          <w:p>
            <w:pPr>
              <w:pStyle w:val="62"/>
              <w:jc w:val="center"/>
              <w:rPr>
                <w:sz w:val="21"/>
                <w:szCs w:val="21"/>
              </w:rPr>
            </w:pPr>
            <w:r>
              <w:rPr>
                <w:sz w:val="21"/>
                <w:szCs w:val="21"/>
              </w:rPr>
              <w:t>主变</w:t>
            </w:r>
          </w:p>
        </w:tc>
        <w:tc>
          <w:tcPr>
            <w:tcW w:w="992" w:type="dxa"/>
            <w:vAlign w:val="center"/>
          </w:tcPr>
          <w:p>
            <w:pPr>
              <w:pStyle w:val="62"/>
              <w:jc w:val="center"/>
              <w:rPr>
                <w:sz w:val="21"/>
                <w:szCs w:val="21"/>
              </w:rPr>
            </w:pPr>
            <w:r>
              <w:rPr>
                <w:sz w:val="21"/>
                <w:szCs w:val="21"/>
              </w:rPr>
              <w:t>80</w:t>
            </w:r>
          </w:p>
        </w:tc>
        <w:tc>
          <w:tcPr>
            <w:tcW w:w="993" w:type="dxa"/>
            <w:vAlign w:val="center"/>
          </w:tcPr>
          <w:p>
            <w:pPr>
              <w:pStyle w:val="62"/>
              <w:jc w:val="center"/>
              <w:rPr>
                <w:sz w:val="21"/>
                <w:szCs w:val="21"/>
              </w:rPr>
            </w:pPr>
            <w:r>
              <w:rPr>
                <w:sz w:val="21"/>
                <w:szCs w:val="21"/>
              </w:rPr>
              <w:t>80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sz w:val="21"/>
                <w:szCs w:val="21"/>
              </w:rPr>
              <w:t>边距 1m</w:t>
            </w:r>
          </w:p>
        </w:tc>
        <w:tc>
          <w:tcPr>
            <w:tcW w:w="2786" w:type="dxa"/>
            <w:vAlign w:val="center"/>
          </w:tcPr>
          <w:p>
            <w:pPr>
              <w:pStyle w:val="62"/>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06" w:type="dxa"/>
            <w:vAlign w:val="center"/>
          </w:tcPr>
          <w:p>
            <w:pPr>
              <w:pStyle w:val="62"/>
              <w:jc w:val="center"/>
              <w:rPr>
                <w:sz w:val="21"/>
                <w:szCs w:val="21"/>
              </w:rPr>
            </w:pPr>
            <w:r>
              <w:rPr>
                <w:sz w:val="21"/>
                <w:szCs w:val="21"/>
              </w:rPr>
              <w:t>15</w:t>
            </w:r>
          </w:p>
        </w:tc>
        <w:tc>
          <w:tcPr>
            <w:tcW w:w="1904" w:type="dxa"/>
            <w:vAlign w:val="center"/>
          </w:tcPr>
          <w:p>
            <w:pPr>
              <w:pStyle w:val="62"/>
              <w:jc w:val="center"/>
              <w:rPr>
                <w:sz w:val="21"/>
                <w:szCs w:val="21"/>
              </w:rPr>
            </w:pPr>
            <w:r>
              <w:rPr>
                <w:sz w:val="21"/>
                <w:szCs w:val="21"/>
              </w:rPr>
              <w:t>锅炉排汽</w:t>
            </w:r>
          </w:p>
        </w:tc>
        <w:tc>
          <w:tcPr>
            <w:tcW w:w="992" w:type="dxa"/>
            <w:vAlign w:val="center"/>
          </w:tcPr>
          <w:p>
            <w:pPr>
              <w:pStyle w:val="62"/>
              <w:jc w:val="center"/>
              <w:rPr>
                <w:sz w:val="21"/>
                <w:szCs w:val="21"/>
              </w:rPr>
            </w:pPr>
            <w:r>
              <w:rPr>
                <w:sz w:val="21"/>
                <w:szCs w:val="21"/>
              </w:rPr>
              <w:t>130</w:t>
            </w:r>
          </w:p>
        </w:tc>
        <w:tc>
          <w:tcPr>
            <w:tcW w:w="993" w:type="dxa"/>
            <w:vAlign w:val="center"/>
          </w:tcPr>
          <w:p>
            <w:pPr>
              <w:pStyle w:val="62"/>
              <w:jc w:val="center"/>
              <w:rPr>
                <w:sz w:val="21"/>
                <w:szCs w:val="21"/>
              </w:rPr>
            </w:pPr>
            <w:r>
              <w:rPr>
                <w:sz w:val="21"/>
                <w:szCs w:val="21"/>
              </w:rPr>
              <w:t>100</w:t>
            </w:r>
          </w:p>
        </w:tc>
        <w:tc>
          <w:tcPr>
            <w:tcW w:w="425" w:type="dxa"/>
            <w:vAlign w:val="center"/>
          </w:tcPr>
          <w:p>
            <w:pPr>
              <w:pStyle w:val="62"/>
              <w:jc w:val="center"/>
              <w:rPr>
                <w:sz w:val="21"/>
                <w:szCs w:val="21"/>
              </w:rPr>
            </w:pPr>
            <w:r>
              <w:rPr>
                <w:sz w:val="21"/>
                <w:szCs w:val="21"/>
              </w:rPr>
              <w:t>2</w:t>
            </w:r>
          </w:p>
        </w:tc>
        <w:tc>
          <w:tcPr>
            <w:tcW w:w="1111" w:type="dxa"/>
            <w:vAlign w:val="center"/>
          </w:tcPr>
          <w:p>
            <w:pPr>
              <w:pStyle w:val="62"/>
              <w:jc w:val="center"/>
              <w:rPr>
                <w:sz w:val="21"/>
                <w:szCs w:val="21"/>
              </w:rPr>
            </w:pPr>
            <w:r>
              <w:rPr>
                <w:rFonts w:hint="eastAsia" w:eastAsia="宋体"/>
                <w:sz w:val="21"/>
                <w:szCs w:val="21"/>
                <w:lang w:eastAsia="zh-CN"/>
              </w:rPr>
              <w:t>排口边</w:t>
            </w:r>
            <w:r>
              <w:rPr>
                <w:sz w:val="21"/>
                <w:szCs w:val="21"/>
              </w:rPr>
              <w:t>1m</w:t>
            </w:r>
          </w:p>
        </w:tc>
        <w:tc>
          <w:tcPr>
            <w:tcW w:w="2786" w:type="dxa"/>
            <w:vAlign w:val="center"/>
          </w:tcPr>
          <w:p>
            <w:pPr>
              <w:pStyle w:val="62"/>
              <w:jc w:val="center"/>
              <w:rPr>
                <w:sz w:val="21"/>
                <w:szCs w:val="21"/>
              </w:rPr>
            </w:pPr>
            <w:r>
              <w:rPr>
                <w:sz w:val="21"/>
                <w:szCs w:val="21"/>
              </w:rPr>
              <w:t>消声器 30 dB(A)</w:t>
            </w:r>
          </w:p>
        </w:tc>
      </w:tr>
      <w:bookmarkEnd w:id="647"/>
      <w:bookmarkEnd w:id="648"/>
    </w:tbl>
    <w:p>
      <w:pPr>
        <w:pStyle w:val="13"/>
        <w:spacing w:before="10" w:line="360" w:lineRule="auto"/>
        <w:rPr>
          <w:rFonts w:ascii="宋体" w:hAnsi="宋体" w:cs="宋体"/>
          <w:sz w:val="36"/>
          <w:szCs w:val="36"/>
          <w:lang w:eastAsia="zh-CN"/>
        </w:rPr>
      </w:pPr>
    </w:p>
    <w:p>
      <w:pPr>
        <w:pStyle w:val="2"/>
        <w:spacing w:after="0" w:line="360" w:lineRule="auto"/>
        <w:ind w:left="-141" w:hanging="505"/>
        <w:rPr>
          <w:rFonts w:ascii="宋体" w:hAnsi="宋体"/>
          <w:sz w:val="24"/>
          <w:szCs w:val="24"/>
          <w:lang w:eastAsia="zh-CN"/>
        </w:rPr>
      </w:pPr>
      <w:r>
        <w:rPr>
          <w:rFonts w:hint="eastAsia" w:ascii="宋体" w:hAnsi="宋体"/>
          <w:sz w:val="24"/>
          <w:szCs w:val="24"/>
          <w:lang w:eastAsia="zh-CN"/>
        </w:rPr>
        <w:t xml:space="preserve">        湖南昌源环境</w:t>
      </w:r>
      <w:r>
        <w:rPr>
          <w:rFonts w:ascii="宋体" w:hAnsi="宋体"/>
          <w:sz w:val="24"/>
          <w:szCs w:val="24"/>
          <w:lang w:eastAsia="zh-CN"/>
        </w:rPr>
        <w:t>科技有限公司于2019年</w:t>
      </w:r>
      <w:r>
        <w:rPr>
          <w:rFonts w:hint="eastAsia" w:ascii="宋体" w:hAnsi="宋体"/>
          <w:sz w:val="24"/>
          <w:szCs w:val="24"/>
          <w:lang w:eastAsia="zh-CN"/>
        </w:rPr>
        <w:t>9</w:t>
      </w:r>
      <w:r>
        <w:rPr>
          <w:rFonts w:ascii="宋体" w:hAnsi="宋体"/>
          <w:sz w:val="24"/>
          <w:szCs w:val="24"/>
          <w:lang w:eastAsia="zh-CN"/>
        </w:rPr>
        <w:t>月</w:t>
      </w:r>
      <w:r>
        <w:rPr>
          <w:rFonts w:hint="eastAsia" w:ascii="宋体" w:hAnsi="宋体"/>
          <w:sz w:val="24"/>
          <w:szCs w:val="24"/>
          <w:lang w:eastAsia="zh-CN"/>
        </w:rPr>
        <w:t>4</w:t>
      </w:r>
      <w:r>
        <w:rPr>
          <w:rFonts w:ascii="宋体" w:hAnsi="宋体"/>
          <w:sz w:val="24"/>
          <w:szCs w:val="24"/>
          <w:lang w:eastAsia="zh-CN"/>
        </w:rPr>
        <w:t>日</w:t>
      </w:r>
      <w:r>
        <w:rPr>
          <w:rFonts w:ascii="Batang" w:hAnsi="Batang" w:eastAsia="Batang"/>
          <w:sz w:val="24"/>
          <w:szCs w:val="24"/>
          <w:lang w:eastAsia="zh-CN"/>
        </w:rPr>
        <w:t>~</w:t>
      </w:r>
      <w:r>
        <w:rPr>
          <w:rFonts w:hint="eastAsia" w:ascii="宋体" w:hAnsi="宋体"/>
          <w:sz w:val="24"/>
          <w:szCs w:val="24"/>
          <w:lang w:eastAsia="zh-CN"/>
        </w:rPr>
        <w:t>9</w:t>
      </w:r>
      <w:r>
        <w:rPr>
          <w:rFonts w:ascii="宋体" w:hAnsi="宋体"/>
          <w:sz w:val="24"/>
          <w:szCs w:val="24"/>
          <w:lang w:eastAsia="zh-CN"/>
        </w:rPr>
        <w:t>月</w:t>
      </w:r>
      <w:r>
        <w:rPr>
          <w:rFonts w:hint="eastAsia" w:ascii="宋体" w:hAnsi="宋体"/>
          <w:sz w:val="24"/>
          <w:szCs w:val="24"/>
          <w:lang w:eastAsia="zh-CN"/>
        </w:rPr>
        <w:t>5</w:t>
      </w:r>
      <w:r>
        <w:rPr>
          <w:rFonts w:ascii="宋体" w:hAnsi="宋体"/>
          <w:sz w:val="24"/>
          <w:szCs w:val="24"/>
          <w:lang w:eastAsia="zh-CN"/>
        </w:rPr>
        <w:t>日对本</w:t>
      </w:r>
      <w:r>
        <w:rPr>
          <w:rFonts w:hint="eastAsia" w:ascii="宋体" w:hAnsi="宋体"/>
          <w:sz w:val="24"/>
          <w:szCs w:val="24"/>
          <w:lang w:eastAsia="zh-CN"/>
        </w:rPr>
        <w:t>项目</w:t>
      </w:r>
      <w:r>
        <w:rPr>
          <w:rFonts w:hint="eastAsia" w:ascii="宋体" w:hAnsi="宋体"/>
          <w:bCs/>
          <w:sz w:val="24"/>
          <w:szCs w:val="24"/>
          <w:lang w:eastAsia="zh-CN"/>
        </w:rPr>
        <w:t>边界噪声进行检测</w:t>
      </w:r>
      <w:r>
        <w:rPr>
          <w:rFonts w:ascii="宋体" w:hAnsi="宋体"/>
          <w:bCs/>
          <w:sz w:val="24"/>
          <w:szCs w:val="24"/>
          <w:lang w:eastAsia="zh-CN"/>
        </w:rPr>
        <w:t>，</w:t>
      </w:r>
      <w:r>
        <w:rPr>
          <w:rFonts w:hint="eastAsia" w:ascii="宋体" w:hAnsi="宋体"/>
          <w:sz w:val="24"/>
          <w:szCs w:val="24"/>
          <w:lang w:eastAsia="zh-CN"/>
        </w:rPr>
        <w:t>检</w:t>
      </w:r>
      <w:r>
        <w:rPr>
          <w:rFonts w:ascii="宋体" w:hAnsi="宋体"/>
          <w:sz w:val="24"/>
          <w:szCs w:val="24"/>
          <w:lang w:eastAsia="zh-CN"/>
        </w:rPr>
        <w:t>测结果</w:t>
      </w:r>
      <w:r>
        <w:rPr>
          <w:rFonts w:hint="eastAsia" w:ascii="宋体" w:hAnsi="宋体"/>
          <w:sz w:val="24"/>
          <w:szCs w:val="24"/>
          <w:lang w:eastAsia="zh-CN"/>
        </w:rPr>
        <w:t>表明</w:t>
      </w:r>
      <w:r>
        <w:rPr>
          <w:rFonts w:ascii="宋体" w:hAnsi="宋体"/>
          <w:sz w:val="24"/>
          <w:szCs w:val="24"/>
          <w:lang w:eastAsia="zh-CN"/>
        </w:rPr>
        <w:t>，</w:t>
      </w:r>
      <w:r>
        <w:rPr>
          <w:rFonts w:hint="eastAsia" w:ascii="宋体" w:hAnsi="宋体"/>
          <w:sz w:val="24"/>
          <w:szCs w:val="24"/>
          <w:lang w:eastAsia="zh-CN"/>
        </w:rPr>
        <w:t>本</w:t>
      </w:r>
      <w:r>
        <w:rPr>
          <w:rFonts w:ascii="宋体" w:hAnsi="宋体"/>
          <w:sz w:val="24"/>
          <w:szCs w:val="24"/>
          <w:lang w:eastAsia="zh-CN"/>
        </w:rPr>
        <w:t>项目各</w:t>
      </w:r>
      <w:r>
        <w:rPr>
          <w:rFonts w:hint="eastAsia" w:ascii="宋体" w:hAnsi="宋体"/>
          <w:sz w:val="24"/>
          <w:szCs w:val="24"/>
          <w:lang w:eastAsia="zh-CN"/>
        </w:rPr>
        <w:t>边界</w:t>
      </w:r>
      <w:r>
        <w:rPr>
          <w:rFonts w:ascii="宋体" w:hAnsi="宋体"/>
          <w:sz w:val="24"/>
          <w:szCs w:val="24"/>
          <w:lang w:eastAsia="zh-CN"/>
        </w:rPr>
        <w:t>监测点昼夜声环境均能满足《声环境质量标准》(GB 3096-2008)中的</w:t>
      </w:r>
      <w:r>
        <w:rPr>
          <w:rFonts w:hint="eastAsia" w:ascii="宋体" w:hAnsi="宋体"/>
          <w:sz w:val="24"/>
          <w:szCs w:val="24"/>
          <w:lang w:eastAsia="zh-CN"/>
        </w:rPr>
        <w:t>3</w:t>
      </w:r>
      <w:r>
        <w:rPr>
          <w:rFonts w:ascii="宋体" w:hAnsi="宋体"/>
          <w:sz w:val="24"/>
          <w:szCs w:val="24"/>
          <w:lang w:eastAsia="zh-CN"/>
        </w:rPr>
        <w:t>类标准要求。</w:t>
      </w:r>
    </w:p>
    <w:p>
      <w:pPr>
        <w:pStyle w:val="2"/>
        <w:spacing w:after="0" w:line="360" w:lineRule="auto"/>
        <w:ind w:left="-141" w:hanging="505"/>
        <w:rPr>
          <w:rFonts w:ascii="宋体" w:hAnsi="宋体"/>
          <w:sz w:val="24"/>
          <w:szCs w:val="24"/>
          <w:lang w:eastAsia="zh-CN"/>
        </w:rPr>
      </w:pPr>
      <w:r>
        <w:rPr>
          <w:rFonts w:hint="eastAsia" w:ascii="宋体" w:hAnsi="宋体"/>
          <w:sz w:val="24"/>
          <w:szCs w:val="24"/>
          <w:lang w:eastAsia="zh-CN"/>
        </w:rPr>
        <w:t xml:space="preserve">        </w:t>
      </w:r>
      <w:r>
        <w:rPr>
          <w:rFonts w:hint="eastAsia" w:ascii="宋体" w:hAnsi="宋体" w:cs="宋体"/>
          <w:sz w:val="24"/>
          <w:szCs w:val="24"/>
          <w:lang w:eastAsia="zh-CN"/>
        </w:rPr>
        <w:t>因此，本项目及依托装置只要严格落实各项降噪措施，就能够保证各边界监测点昼夜声环境满足《声环境质量标准》</w:t>
      </w:r>
      <w:r>
        <w:rPr>
          <w:rFonts w:ascii="宋体" w:hAnsi="宋体"/>
          <w:sz w:val="24"/>
          <w:szCs w:val="24"/>
          <w:lang w:eastAsia="zh-CN"/>
        </w:rPr>
        <w:t>(GB 3096-2008)</w:t>
      </w:r>
      <w:r>
        <w:rPr>
          <w:rFonts w:hint="eastAsia" w:ascii="宋体" w:hAnsi="宋体" w:cs="宋体"/>
          <w:sz w:val="24"/>
          <w:szCs w:val="24"/>
          <w:lang w:eastAsia="zh-CN"/>
        </w:rPr>
        <w:t>中的</w:t>
      </w:r>
      <w:r>
        <w:rPr>
          <w:rFonts w:hint="eastAsia" w:ascii="宋体" w:hAnsi="宋体"/>
          <w:sz w:val="24"/>
          <w:szCs w:val="24"/>
          <w:lang w:eastAsia="zh-CN"/>
        </w:rPr>
        <w:t>3</w:t>
      </w:r>
      <w:r>
        <w:rPr>
          <w:rFonts w:hint="eastAsia" w:ascii="宋体" w:hAnsi="宋体" w:cs="宋体"/>
          <w:sz w:val="24"/>
          <w:szCs w:val="24"/>
          <w:lang w:eastAsia="zh-CN"/>
        </w:rPr>
        <w:t>类标准要求。</w:t>
      </w:r>
    </w:p>
    <w:p>
      <w:pPr>
        <w:pStyle w:val="4"/>
        <w:keepNext/>
        <w:keepLines/>
        <w:widowControl w:val="0"/>
        <w:tabs>
          <w:tab w:val="left" w:pos="432"/>
        </w:tabs>
        <w:wordWrap w:val="0"/>
        <w:adjustRightInd w:val="0"/>
        <w:snapToGrid w:val="0"/>
        <w:spacing w:before="120" w:beforeAutospacing="0" w:after="120" w:afterAutospacing="0" w:line="360" w:lineRule="auto"/>
        <w:rPr>
          <w:rFonts w:ascii="宋体" w:hAnsi="宋体" w:eastAsia="宋体"/>
          <w:sz w:val="44"/>
          <w:szCs w:val="44"/>
          <w:lang w:eastAsia="zh-CN"/>
        </w:rPr>
      </w:pPr>
      <w:bookmarkStart w:id="681" w:name="_Toc24969787"/>
      <w:bookmarkStart w:id="682" w:name="_Toc22199207"/>
      <w:bookmarkStart w:id="683" w:name="_Toc22200342"/>
      <w:bookmarkStart w:id="684" w:name="_Toc22199698"/>
      <w:bookmarkStart w:id="685" w:name="_Toc22201008"/>
      <w:bookmarkStart w:id="686" w:name="_Toc22202778"/>
      <w:bookmarkStart w:id="687" w:name="_Toc22202360"/>
      <w:bookmarkStart w:id="688" w:name="_Toc22202060"/>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rPr>
          <w:lang w:eastAsia="zh-CN"/>
        </w:rPr>
      </w:pPr>
    </w:p>
    <w:p>
      <w:pPr>
        <w:pStyle w:val="2"/>
        <w:rPr>
          <w:lang w:eastAsia="zh-CN"/>
        </w:rPr>
      </w:pPr>
    </w:p>
    <w:p>
      <w:pPr>
        <w:rPr>
          <w:lang w:eastAsia="zh-CN"/>
        </w:rPr>
      </w:pPr>
    </w:p>
    <w:p>
      <w:pPr>
        <w:pStyle w:val="2"/>
        <w:rPr>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p>
    <w:p>
      <w:pPr>
        <w:pStyle w:val="4"/>
        <w:keepNext/>
        <w:keepLines/>
        <w:widowControl w:val="0"/>
        <w:tabs>
          <w:tab w:val="left" w:pos="432"/>
        </w:tabs>
        <w:wordWrap w:val="0"/>
        <w:adjustRightInd w:val="0"/>
        <w:snapToGrid w:val="0"/>
        <w:spacing w:before="120" w:beforeAutospacing="0" w:after="120" w:afterAutospacing="0" w:line="360" w:lineRule="auto"/>
        <w:jc w:val="center"/>
        <w:rPr>
          <w:rFonts w:ascii="宋体" w:hAnsi="宋体" w:eastAsia="宋体"/>
          <w:sz w:val="44"/>
          <w:szCs w:val="44"/>
          <w:lang w:eastAsia="zh-CN"/>
        </w:rPr>
      </w:pPr>
      <w:r>
        <w:rPr>
          <w:rFonts w:hint="eastAsia" w:ascii="宋体" w:hAnsi="宋体" w:eastAsia="宋体"/>
          <w:sz w:val="44"/>
          <w:szCs w:val="44"/>
          <w:lang w:eastAsia="zh-CN"/>
        </w:rPr>
        <w:t>8.</w:t>
      </w:r>
      <w:r>
        <w:rPr>
          <w:rFonts w:ascii="宋体" w:hAnsi="宋体" w:eastAsia="宋体"/>
          <w:sz w:val="44"/>
          <w:szCs w:val="44"/>
          <w:lang w:eastAsia="zh-CN"/>
        </w:rPr>
        <w:t>清洁生产分析</w:t>
      </w:r>
      <w:bookmarkEnd w:id="681"/>
      <w:bookmarkEnd w:id="682"/>
      <w:bookmarkEnd w:id="683"/>
      <w:bookmarkEnd w:id="684"/>
      <w:bookmarkEnd w:id="685"/>
      <w:bookmarkEnd w:id="686"/>
      <w:bookmarkEnd w:id="687"/>
      <w:bookmarkEnd w:id="688"/>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89" w:name="_Toc22202779"/>
      <w:bookmarkStart w:id="690" w:name="_Toc22202361"/>
      <w:bookmarkStart w:id="691" w:name="_Toc24969788"/>
      <w:bookmarkStart w:id="692" w:name="_Toc22202061"/>
      <w:r>
        <w:rPr>
          <w:rFonts w:hint="eastAsia" w:ascii="宋体" w:hAnsi="宋体" w:eastAsia="宋体"/>
          <w:color w:val="000000" w:themeColor="text1"/>
          <w:lang w:eastAsia="zh-CN"/>
        </w:rPr>
        <w:t>8.1生产工艺与装备</w:t>
      </w:r>
      <w:bookmarkEnd w:id="689"/>
      <w:bookmarkEnd w:id="690"/>
      <w:bookmarkEnd w:id="691"/>
      <w:bookmarkEnd w:id="692"/>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城市污泥及生物质一体化处理系统是华能自主知识产权、创新技术路线的城市污泥处理系统，主要包括关键设备污泥一体化处理机，配套炉烟管道和上料储罐储设备等，如图8-1。污泥一体化处理机</w:t>
      </w:r>
      <w:r>
        <w:rPr>
          <w:rFonts w:ascii="Times New Roman" w:hAnsi="Times New Roman" w:cs="Times New Roman"/>
          <w:sz w:val="24"/>
          <w:szCs w:val="24"/>
          <w:lang w:eastAsia="zh-CN"/>
        </w:rPr>
        <w:t>（Multi-Integrated Treatment Machine</w:t>
      </w:r>
      <w:r>
        <w:rPr>
          <w:rFonts w:hint="eastAsia" w:ascii="Times New Roman" w:hAnsi="Times New Roman" w:cs="Times New Roman"/>
          <w:sz w:val="24"/>
          <w:szCs w:val="24"/>
          <w:lang w:eastAsia="zh-CN"/>
        </w:rPr>
        <w:t>，简称“Mit”</w:t>
      </w:r>
      <w:r>
        <w:rPr>
          <w:rFonts w:ascii="Times New Roman" w:hAnsi="Times New Roman" w:cs="Times New Roman"/>
          <w:sz w:val="24"/>
          <w:szCs w:val="24"/>
          <w:lang w:eastAsia="zh-CN"/>
        </w:rPr>
        <w:t>）</w:t>
      </w:r>
    </w:p>
    <w:p>
      <w:pPr>
        <w:spacing w:after="0" w:line="360" w:lineRule="auto"/>
        <w:rPr>
          <w:rFonts w:ascii="Times New Roman" w:hAnsi="Times New Roman" w:cs="Times New Roman"/>
          <w:sz w:val="24"/>
          <w:szCs w:val="24"/>
          <w:lang w:eastAsia="zh-CN"/>
        </w:rPr>
      </w:pPr>
      <w:r>
        <w:rPr>
          <w:rFonts w:hint="eastAsia" w:ascii="Times New Roman" w:hAnsi="Times New Roman" w:cs="Times New Roman"/>
          <w:sz w:val="24"/>
          <w:szCs w:val="24"/>
          <w:lang w:eastAsia="zh-CN"/>
        </w:rPr>
        <w:t>主要分为回转干燥段和粉碎输送段，污泥一体化处理机如图8-2。回转干燥段：城市污泥在该段内进行干燥、粉碎。粉碎输送段：对较粗物料进行进一步粉碎，同时使一体化处理机建立负压状态并对物料进行输送。</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jc w:val="center"/>
        <w:rPr>
          <w:rFonts w:ascii="Times New Roman" w:hAnsi="Times New Roman" w:cs="Times New Roman"/>
          <w:sz w:val="24"/>
          <w:szCs w:val="24"/>
          <w:lang w:eastAsia="zh-CN"/>
        </w:rPr>
      </w:pPr>
      <w:r>
        <w:rPr>
          <w:rFonts w:ascii="Times New Roman" w:hAnsi="Times New Roman" w:cs="Times New Roman"/>
          <w:sz w:val="24"/>
          <w:szCs w:val="24"/>
        </w:rPr>
        <w:drawing>
          <wp:inline distT="0" distB="0" distL="0" distR="0">
            <wp:extent cx="5074920" cy="215963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5" cstate="print"/>
                    <a:srcRect l="17195" t="17316" r="34087" b="22944"/>
                    <a:stretch>
                      <a:fillRect/>
                    </a:stretch>
                  </pic:blipFill>
                  <pic:spPr>
                    <a:xfrm>
                      <a:off x="0" y="0"/>
                      <a:ext cx="5075044" cy="2160000"/>
                    </a:xfrm>
                    <a:prstGeom prst="rect">
                      <a:avLst/>
                    </a:prstGeom>
                    <a:noFill/>
                    <a:ln w="9525">
                      <a:noFill/>
                      <a:miter lim="800000"/>
                      <a:headEnd/>
                      <a:tailEnd/>
                    </a:ln>
                  </pic:spPr>
                </pic:pic>
              </a:graphicData>
            </a:graphic>
          </wp:inline>
        </w:drawing>
      </w:r>
    </w:p>
    <w:p>
      <w:pPr>
        <w:spacing w:after="0" w:line="360" w:lineRule="auto"/>
        <w:jc w:val="center"/>
        <w:rPr>
          <w:rFonts w:ascii="Times New Roman" w:hAnsi="Times New Roman" w:cs="Times New Roman"/>
          <w:b/>
          <w:sz w:val="24"/>
          <w:szCs w:val="24"/>
          <w:lang w:eastAsia="zh-CN"/>
        </w:rPr>
      </w:pPr>
      <w:r>
        <w:rPr>
          <w:rFonts w:hint="eastAsia" w:ascii="Times New Roman" w:hAnsi="Times New Roman" w:cs="Times New Roman"/>
          <w:b/>
          <w:sz w:val="24"/>
          <w:szCs w:val="24"/>
          <w:lang w:eastAsia="zh-CN"/>
        </w:rPr>
        <w:t>图8.1-1 污泥一体化处理系统示意图</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jc w:val="center"/>
        <w:rPr>
          <w:rFonts w:ascii="Times New Roman" w:hAnsi="Times New Roman" w:cs="Times New Roman"/>
          <w:sz w:val="24"/>
          <w:szCs w:val="24"/>
          <w:lang w:eastAsia="zh-CN"/>
        </w:rPr>
      </w:pPr>
      <w:r>
        <w:rPr>
          <w:rFonts w:ascii="Times New Roman" w:hAnsi="Times New Roman" w:cs="Times New Roman"/>
          <w:sz w:val="24"/>
          <w:szCs w:val="24"/>
        </w:rPr>
        <w:drawing>
          <wp:inline distT="0" distB="0" distL="0" distR="0">
            <wp:extent cx="2519045" cy="215963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srcRect/>
                    <a:stretch>
                      <a:fillRect/>
                    </a:stretch>
                  </pic:blipFill>
                  <pic:spPr>
                    <a:xfrm>
                      <a:off x="0" y="0"/>
                      <a:ext cx="2519460" cy="2160000"/>
                    </a:xfrm>
                    <a:prstGeom prst="rect">
                      <a:avLst/>
                    </a:prstGeom>
                    <a:noFill/>
                    <a:ln w="9525">
                      <a:noFill/>
                      <a:miter lim="800000"/>
                      <a:headEnd/>
                      <a:tailEnd/>
                    </a:ln>
                  </pic:spPr>
                </pic:pic>
              </a:graphicData>
            </a:graphic>
          </wp:inline>
        </w:drawing>
      </w:r>
    </w:p>
    <w:p>
      <w:pPr>
        <w:pStyle w:val="5"/>
        <w:widowControl w:val="0"/>
        <w:tabs>
          <w:tab w:val="left" w:pos="-3900"/>
          <w:tab w:val="left" w:pos="0"/>
        </w:tabs>
        <w:adjustRightInd w:val="0"/>
        <w:snapToGrid w:val="0"/>
        <w:spacing w:beforeLines="50" w:afterLines="50" w:line="360" w:lineRule="auto"/>
        <w:jc w:val="center"/>
        <w:rPr>
          <w:rFonts w:ascii="Times New Roman" w:hAnsi="Times New Roman" w:cs="Times New Roman"/>
          <w:sz w:val="24"/>
          <w:szCs w:val="24"/>
          <w:lang w:eastAsia="zh-CN"/>
        </w:rPr>
      </w:pPr>
      <w:r>
        <w:rPr>
          <w:rFonts w:ascii="Times New Roman" w:hAnsi="Times New Roman" w:cs="Times New Roman"/>
          <w:sz w:val="24"/>
          <w:szCs w:val="24"/>
        </w:rPr>
        <w:drawing>
          <wp:inline distT="0" distB="0" distL="0" distR="0">
            <wp:extent cx="2292350" cy="143954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27" cstate="print"/>
                    <a:srcRect l="37556" t="36797" r="36501" b="16450"/>
                    <a:stretch>
                      <a:fillRect/>
                    </a:stretch>
                  </pic:blipFill>
                  <pic:spPr>
                    <a:xfrm>
                      <a:off x="0" y="0"/>
                      <a:ext cx="2292354" cy="1440000"/>
                    </a:xfrm>
                    <a:prstGeom prst="rect">
                      <a:avLst/>
                    </a:prstGeom>
                    <a:noFill/>
                    <a:ln w="9525">
                      <a:noFill/>
                      <a:miter lim="800000"/>
                      <a:headEnd/>
                      <a:tailEnd/>
                    </a:ln>
                  </pic:spPr>
                </pic:pic>
              </a:graphicData>
            </a:graphic>
          </wp:inline>
        </w:drawing>
      </w:r>
    </w:p>
    <w:p>
      <w:pPr>
        <w:spacing w:line="360" w:lineRule="auto"/>
        <w:ind w:firstLine="482" w:firstLineChars="200"/>
        <w:jc w:val="center"/>
        <w:rPr>
          <w:lang w:eastAsia="zh-CN"/>
        </w:rPr>
      </w:pPr>
      <w:r>
        <w:rPr>
          <w:rFonts w:hint="eastAsia" w:ascii="Times New Roman" w:hAnsi="Times New Roman" w:cs="Times New Roman"/>
          <w:b/>
          <w:sz w:val="24"/>
          <w:szCs w:val="24"/>
          <w:lang w:eastAsia="zh-CN"/>
        </w:rPr>
        <w:t>图8.1-2污泥一体化处理机</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93" w:name="_Toc22202062"/>
      <w:bookmarkStart w:id="694" w:name="_Toc22202362"/>
      <w:bookmarkStart w:id="695" w:name="_Toc22202780"/>
      <w:bookmarkStart w:id="696" w:name="_Toc24969789"/>
      <w:r>
        <w:rPr>
          <w:rFonts w:hint="eastAsia" w:ascii="宋体" w:hAnsi="宋体" w:eastAsia="宋体"/>
          <w:color w:val="000000" w:themeColor="text1"/>
          <w:lang w:eastAsia="zh-CN"/>
        </w:rPr>
        <w:t>8.2城市污泥一体化处理工艺原理如下</w:t>
      </w:r>
      <w:bookmarkEnd w:id="693"/>
      <w:bookmarkEnd w:id="694"/>
      <w:bookmarkEnd w:id="695"/>
      <w:bookmarkEnd w:id="696"/>
    </w:p>
    <w:p>
      <w:pPr>
        <w:spacing w:after="0" w:line="360" w:lineRule="auto"/>
        <w:jc w:val="both"/>
        <w:rPr>
          <w:rFonts w:ascii="Times New Roman" w:hAnsi="Times New Roman" w:cs="Times New Roman"/>
          <w:sz w:val="24"/>
          <w:szCs w:val="24"/>
          <w:lang w:eastAsia="zh-CN"/>
        </w:rPr>
      </w:pPr>
      <w:r>
        <w:rPr>
          <w:rFonts w:hint="eastAsia" w:ascii="宋体" w:hAnsi="宋体" w:cs="宋体"/>
          <w:sz w:val="24"/>
          <w:szCs w:val="24"/>
          <w:lang w:eastAsia="zh-CN"/>
        </w:rPr>
        <w:t xml:space="preserve">     1.污泥到场后被送入密闭的储料罐中，可以有效防止气味外散。</w:t>
      </w:r>
    </w:p>
    <w:p>
      <w:pPr>
        <w:spacing w:after="0" w:line="360" w:lineRule="auto"/>
        <w:jc w:val="both"/>
        <w:rPr>
          <w:sz w:val="24"/>
          <w:szCs w:val="24"/>
          <w:lang w:eastAsia="zh-CN"/>
        </w:rPr>
      </w:pPr>
      <w:r>
        <w:rPr>
          <w:rFonts w:hint="eastAsia"/>
          <w:sz w:val="24"/>
          <w:szCs w:val="24"/>
          <w:lang w:eastAsia="zh-CN"/>
        </w:rPr>
        <w:t xml:space="preserve">           2.</w:t>
      </w:r>
      <w:r>
        <w:rPr>
          <w:sz w:val="24"/>
          <w:szCs w:val="24"/>
          <w:lang w:eastAsia="zh-CN"/>
        </w:rPr>
        <w:t>利用密闭的</w:t>
      </w:r>
      <w:r>
        <w:rPr>
          <w:rFonts w:hint="eastAsia"/>
          <w:sz w:val="24"/>
          <w:szCs w:val="24"/>
          <w:lang w:eastAsia="zh-CN"/>
        </w:rPr>
        <w:t>螺杆泵将污泥送至处于负压状态下的</w:t>
      </w:r>
      <w:r>
        <w:rPr>
          <w:sz w:val="24"/>
          <w:szCs w:val="24"/>
          <w:lang w:eastAsia="zh-CN"/>
        </w:rPr>
        <w:t>污泥一体化处理机内。</w:t>
      </w:r>
    </w:p>
    <w:p>
      <w:pPr>
        <w:spacing w:after="0" w:line="360" w:lineRule="auto"/>
        <w:jc w:val="both"/>
        <w:rPr>
          <w:sz w:val="24"/>
          <w:szCs w:val="24"/>
          <w:lang w:eastAsia="zh-CN"/>
        </w:rPr>
      </w:pPr>
      <w:r>
        <w:rPr>
          <w:rFonts w:hint="eastAsia"/>
          <w:sz w:val="24"/>
          <w:szCs w:val="24"/>
          <w:lang w:eastAsia="zh-CN"/>
        </w:rPr>
        <w:t xml:space="preserve">           3.</w:t>
      </w:r>
      <w:r>
        <w:rPr>
          <w:sz w:val="24"/>
          <w:szCs w:val="24"/>
          <w:lang w:eastAsia="zh-CN"/>
        </w:rPr>
        <w:t>污泥一体化处理机抽取锅炉尾部烟道的高温炉烟（大于500</w:t>
      </w:r>
      <w:r>
        <w:rPr>
          <w:rFonts w:hint="eastAsia" w:ascii="宋体" w:hAnsi="宋体" w:cs="宋体"/>
          <w:sz w:val="24"/>
          <w:szCs w:val="24"/>
          <w:lang w:eastAsia="zh-CN"/>
        </w:rPr>
        <w:t>℃</w:t>
      </w:r>
      <w:r>
        <w:rPr>
          <w:sz w:val="24"/>
          <w:szCs w:val="24"/>
          <w:lang w:eastAsia="zh-CN"/>
        </w:rPr>
        <w:t>），</w:t>
      </w:r>
      <w:r>
        <w:rPr>
          <w:rFonts w:hint="eastAsia"/>
          <w:sz w:val="24"/>
          <w:szCs w:val="24"/>
          <w:lang w:eastAsia="zh-CN"/>
        </w:rPr>
        <w:t>高温烟气在一体化处理机中加热干燥湿污泥，污泥在干燥同时被粉末化</w:t>
      </w:r>
      <w:r>
        <w:rPr>
          <w:sz w:val="24"/>
          <w:szCs w:val="24"/>
          <w:lang w:eastAsia="zh-CN"/>
        </w:rPr>
        <w:t>。</w:t>
      </w:r>
      <w:r>
        <w:rPr>
          <w:rFonts w:hint="eastAsia"/>
          <w:sz w:val="24"/>
          <w:szCs w:val="24"/>
          <w:lang w:eastAsia="zh-CN"/>
        </w:rPr>
        <w:t>在</w:t>
      </w:r>
      <w:r>
        <w:rPr>
          <w:sz w:val="24"/>
          <w:szCs w:val="24"/>
          <w:lang w:eastAsia="zh-CN"/>
        </w:rPr>
        <w:t>污泥一体化处理机末端的</w:t>
      </w:r>
      <w:r>
        <w:rPr>
          <w:rFonts w:hint="eastAsia"/>
          <w:sz w:val="24"/>
          <w:szCs w:val="24"/>
          <w:lang w:eastAsia="zh-CN"/>
        </w:rPr>
        <w:t>粉碎</w:t>
      </w:r>
      <w:r>
        <w:rPr>
          <w:sz w:val="24"/>
          <w:szCs w:val="24"/>
          <w:lang w:eastAsia="zh-CN"/>
        </w:rPr>
        <w:t>输送段的作用下污泥一体化机内部形成较大的负压，确保污泥粉末和干燥后的蒸汽、水等不外漏。</w:t>
      </w:r>
    </w:p>
    <w:p>
      <w:pPr>
        <w:spacing w:after="0" w:line="360" w:lineRule="auto"/>
        <w:rPr>
          <w:sz w:val="24"/>
          <w:szCs w:val="24"/>
          <w:lang w:eastAsia="zh-CN"/>
        </w:rPr>
      </w:pPr>
      <w:r>
        <w:rPr>
          <w:rFonts w:hint="eastAsia"/>
          <w:sz w:val="24"/>
          <w:szCs w:val="24"/>
          <w:lang w:eastAsia="zh-CN"/>
        </w:rPr>
        <w:t xml:space="preserve">           4.污泥干燥产生的</w:t>
      </w:r>
      <w:r>
        <w:rPr>
          <w:sz w:val="24"/>
          <w:szCs w:val="24"/>
          <w:lang w:eastAsia="zh-CN"/>
        </w:rPr>
        <w:t>污泥粉末</w:t>
      </w:r>
      <w:r>
        <w:rPr>
          <w:rFonts w:hint="eastAsia"/>
          <w:sz w:val="24"/>
          <w:szCs w:val="24"/>
          <w:lang w:eastAsia="zh-CN"/>
        </w:rPr>
        <w:t>、水蒸汽以及废气等</w:t>
      </w:r>
      <w:r>
        <w:rPr>
          <w:sz w:val="24"/>
          <w:szCs w:val="24"/>
          <w:lang w:eastAsia="zh-CN"/>
        </w:rPr>
        <w:t>随炉烟通过密闭</w:t>
      </w:r>
      <w:r>
        <w:rPr>
          <w:rFonts w:hint="eastAsia"/>
          <w:sz w:val="24"/>
          <w:szCs w:val="24"/>
          <w:lang w:eastAsia="zh-CN"/>
        </w:rPr>
        <w:t>的炉烟</w:t>
      </w:r>
      <w:r>
        <w:rPr>
          <w:sz w:val="24"/>
          <w:szCs w:val="24"/>
          <w:lang w:eastAsia="zh-CN"/>
        </w:rPr>
        <w:t>管道从锅炉冷灰斗处直接进入炉膛</w:t>
      </w:r>
      <w:r>
        <w:rPr>
          <w:rFonts w:hint="eastAsia"/>
          <w:sz w:val="24"/>
          <w:szCs w:val="24"/>
          <w:lang w:eastAsia="zh-CN"/>
        </w:rPr>
        <w:t>。污泥粉末及废气在锅炉炉膛1200℃以上的高温环境中燃烧</w:t>
      </w:r>
      <w:r>
        <w:rPr>
          <w:sz w:val="24"/>
          <w:szCs w:val="24"/>
          <w:lang w:eastAsia="zh-CN"/>
        </w:rPr>
        <w:t>，炉内整个燃烧停留时间超过3秒，完全</w:t>
      </w:r>
      <w:r>
        <w:rPr>
          <w:rFonts w:hint="eastAsia"/>
          <w:sz w:val="24"/>
          <w:szCs w:val="24"/>
          <w:lang w:eastAsia="zh-CN"/>
        </w:rPr>
        <w:t>不会</w:t>
      </w:r>
      <w:r>
        <w:rPr>
          <w:sz w:val="24"/>
          <w:szCs w:val="24"/>
          <w:lang w:eastAsia="zh-CN"/>
        </w:rPr>
        <w:t>生成二噁英等有害物质。</w:t>
      </w:r>
    </w:p>
    <w:p>
      <w:pPr>
        <w:spacing w:after="0" w:line="360" w:lineRule="auto"/>
        <w:ind w:firstLine="567"/>
        <w:rPr>
          <w:sz w:val="24"/>
          <w:szCs w:val="24"/>
          <w:lang w:eastAsia="zh-CN"/>
        </w:rPr>
      </w:pPr>
      <w:r>
        <w:rPr>
          <w:rFonts w:hint="eastAsia"/>
          <w:sz w:val="24"/>
          <w:szCs w:val="24"/>
          <w:lang w:eastAsia="zh-CN"/>
        </w:rPr>
        <w:t xml:space="preserve"> 5.</w:t>
      </w:r>
      <w:r>
        <w:rPr>
          <w:sz w:val="24"/>
          <w:szCs w:val="24"/>
          <w:lang w:eastAsia="zh-CN"/>
        </w:rPr>
        <w:t>污泥</w:t>
      </w:r>
      <w:r>
        <w:rPr>
          <w:rFonts w:hint="eastAsia"/>
          <w:sz w:val="24"/>
          <w:szCs w:val="24"/>
          <w:lang w:eastAsia="zh-CN"/>
        </w:rPr>
        <w:t>粉末及废气</w:t>
      </w:r>
      <w:r>
        <w:rPr>
          <w:sz w:val="24"/>
          <w:szCs w:val="24"/>
          <w:lang w:eastAsia="zh-CN"/>
        </w:rPr>
        <w:t>燃烧产物随炉内烟气依次进入锅炉尾部的脱硝装置、除尘装置和脱硫装置，排放达标后通过烟囱排入大气。</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697" w:name="_Toc22202063"/>
      <w:bookmarkStart w:id="698" w:name="_Toc22202781"/>
      <w:bookmarkStart w:id="699" w:name="_Toc22200343"/>
      <w:bookmarkStart w:id="700" w:name="_Toc22202363"/>
      <w:bookmarkStart w:id="701" w:name="_Toc22201009"/>
      <w:bookmarkStart w:id="702" w:name="_Toc22199699"/>
      <w:bookmarkStart w:id="703" w:name="_Toc22199208"/>
      <w:bookmarkStart w:id="704" w:name="_Toc22198843"/>
      <w:bookmarkStart w:id="705" w:name="_Toc22198547"/>
      <w:bookmarkStart w:id="706" w:name="_Toc22198444"/>
      <w:bookmarkStart w:id="707" w:name="_Toc22198338"/>
      <w:bookmarkStart w:id="708" w:name="_Toc22198220"/>
      <w:bookmarkStart w:id="709" w:name="_Toc22151181"/>
      <w:bookmarkStart w:id="710" w:name="_Toc22151004"/>
      <w:bookmarkStart w:id="711" w:name="_Toc21815027"/>
      <w:bookmarkStart w:id="712" w:name="_Toc21814419"/>
      <w:bookmarkStart w:id="713" w:name="_Toc21814372"/>
      <w:bookmarkStart w:id="714" w:name="_Toc21814240"/>
      <w:bookmarkStart w:id="715" w:name="_Toc24969790"/>
      <w:r>
        <w:rPr>
          <w:rFonts w:hint="eastAsia" w:ascii="宋体" w:hAnsi="宋体" w:eastAsia="宋体"/>
          <w:color w:val="000000" w:themeColor="text1"/>
          <w:lang w:eastAsia="zh-CN"/>
        </w:rPr>
        <w:t>8.3 污泥一体化处理技术特点</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1）既可以处理城市污泥、还可以处理废水、生物质。系统简单，占地面积小，投资运行成本低。</w:t>
      </w:r>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2）充分利用燃煤电厂锅炉炉膛燃烧温度高（高达1200℃以上）的特点，可有效处理污泥中携带细菌、微生物等有害物质，同时可以防止二噁英等有害物质的生成。</w:t>
      </w:r>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3）利用燃煤电厂现有的脱硫、脱硝、除尘等烟气净化设备，可有效的对污泥焚烧燃烧产生的污染物进行净化处理。</w:t>
      </w:r>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4）流程短，设备少，整个系统均处于密闭和负压状态下，整个系统的出口连接锅炉高温炉膛和尾部烟道，而处理产物中间不需要倒运，因此从根本上杜绝对外的泄露，不对环境造成二次污染。</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716" w:name="_Toc22202782"/>
      <w:bookmarkStart w:id="717" w:name="_Toc22202364"/>
      <w:bookmarkStart w:id="718" w:name="_Toc22202064"/>
      <w:bookmarkStart w:id="719" w:name="_Toc22201010"/>
      <w:bookmarkStart w:id="720" w:name="_Toc22200344"/>
      <w:bookmarkStart w:id="721" w:name="_Toc22199700"/>
      <w:bookmarkStart w:id="722" w:name="_Toc22199209"/>
      <w:bookmarkStart w:id="723" w:name="_Toc22198844"/>
      <w:bookmarkStart w:id="724" w:name="_Toc22198548"/>
      <w:bookmarkStart w:id="725" w:name="_Toc22198445"/>
      <w:bookmarkStart w:id="726" w:name="_Toc22198339"/>
      <w:bookmarkStart w:id="727" w:name="_Toc22198221"/>
      <w:bookmarkStart w:id="728" w:name="_Toc22151182"/>
      <w:bookmarkStart w:id="729" w:name="_Toc22151005"/>
      <w:bookmarkStart w:id="730" w:name="_Toc21815028"/>
      <w:bookmarkStart w:id="731" w:name="_Toc21814420"/>
      <w:bookmarkStart w:id="732" w:name="_Toc21814373"/>
      <w:bookmarkStart w:id="733" w:name="_Toc21814241"/>
      <w:bookmarkStart w:id="734" w:name="_Toc24969791"/>
      <w:r>
        <w:rPr>
          <w:rFonts w:hint="eastAsia" w:ascii="宋体" w:hAnsi="宋体" w:eastAsia="宋体"/>
          <w:color w:val="000000" w:themeColor="text1"/>
          <w:lang w:eastAsia="zh-CN"/>
        </w:rPr>
        <w:t>8.4 华能岳阳电厂污泥一体化处理系统参数</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pPr>
        <w:spacing w:after="0" w:line="360" w:lineRule="auto"/>
        <w:ind w:firstLine="480" w:firstLineChars="200"/>
        <w:rPr>
          <w:rFonts w:ascii="Times New Roman" w:hAnsi="Times New Roman" w:cs="Times New Roman"/>
          <w:sz w:val="24"/>
          <w:szCs w:val="24"/>
          <w:lang w:eastAsia="zh-CN"/>
        </w:rPr>
      </w:pPr>
      <w:r>
        <w:rPr>
          <w:rFonts w:hint="eastAsia" w:ascii="Times New Roman" w:hAnsi="Times New Roman" w:cs="Times New Roman"/>
          <w:sz w:val="24"/>
          <w:szCs w:val="24"/>
          <w:lang w:eastAsia="zh-CN"/>
        </w:rPr>
        <w:t>污泥</w:t>
      </w:r>
      <w:r>
        <w:rPr>
          <w:rFonts w:ascii="Times New Roman" w:hAnsi="Times New Roman" w:cs="Times New Roman"/>
          <w:sz w:val="24"/>
          <w:szCs w:val="24"/>
          <w:lang w:eastAsia="zh-CN"/>
        </w:rPr>
        <w:t>一体化处理机型号：Mit100/50</w:t>
      </w:r>
    </w:p>
    <w:p>
      <w:pPr>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处理能力：最大处理水当量100t/d，经济处理水当量50t/d</w:t>
      </w:r>
    </w:p>
    <w:p>
      <w:pPr>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干燥介质：500</w:t>
      </w:r>
      <w:r>
        <w:rPr>
          <w:rFonts w:ascii="Cambria Math" w:hAnsi="Cambria Math" w:cs="Cambria Math"/>
          <w:sz w:val="24"/>
          <w:szCs w:val="24"/>
          <w:lang w:eastAsia="zh-CN"/>
        </w:rPr>
        <w:t>℃</w:t>
      </w:r>
      <w:r>
        <w:rPr>
          <w:rFonts w:ascii="Times New Roman" w:hAnsi="Times New Roman" w:cs="Times New Roman"/>
          <w:sz w:val="24"/>
          <w:szCs w:val="24"/>
          <w:lang w:eastAsia="zh-CN"/>
        </w:rPr>
        <w:t>烟气（烟气量约为</w:t>
      </w:r>
      <w:r>
        <w:rPr>
          <w:rFonts w:hint="eastAsia" w:ascii="Times New Roman" w:hAnsi="Times New Roman" w:cs="Times New Roman"/>
          <w:sz w:val="24"/>
          <w:szCs w:val="24"/>
          <w:lang w:eastAsia="zh-CN"/>
        </w:rPr>
        <w:t>17500</w:t>
      </w:r>
      <w:r>
        <w:rPr>
          <w:rFonts w:ascii="Times New Roman" w:hAnsi="Times New Roman" w:cs="Times New Roman"/>
          <w:sz w:val="24"/>
          <w:szCs w:val="24"/>
          <w:lang w:eastAsia="zh-CN"/>
        </w:rPr>
        <w:t>m³/h（</w:t>
      </w:r>
      <w:r>
        <w:rPr>
          <w:rFonts w:hint="eastAsia" w:ascii="Times New Roman" w:hAnsi="Times New Roman" w:cs="Times New Roman"/>
          <w:sz w:val="24"/>
          <w:szCs w:val="24"/>
          <w:lang w:eastAsia="zh-CN"/>
        </w:rPr>
        <w:t>标态</w:t>
      </w:r>
      <w:r>
        <w:rPr>
          <w:rFonts w:ascii="Times New Roman" w:hAnsi="Times New Roman" w:cs="Times New Roman"/>
          <w:sz w:val="24"/>
          <w:szCs w:val="24"/>
          <w:lang w:eastAsia="zh-CN"/>
        </w:rPr>
        <w:t>））</w:t>
      </w:r>
    </w:p>
    <w:p>
      <w:pPr>
        <w:spacing w:after="0"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处理对象：城市污泥、</w:t>
      </w:r>
      <w:r>
        <w:rPr>
          <w:rFonts w:hint="eastAsia" w:ascii="Times New Roman" w:hAnsi="Times New Roman" w:cs="Times New Roman"/>
          <w:sz w:val="24"/>
          <w:szCs w:val="24"/>
          <w:lang w:eastAsia="zh-CN"/>
        </w:rPr>
        <w:t>生物质</w:t>
      </w:r>
      <w:r>
        <w:rPr>
          <w:rFonts w:ascii="Times New Roman" w:hAnsi="Times New Roman" w:cs="Times New Roman"/>
          <w:sz w:val="24"/>
          <w:szCs w:val="24"/>
          <w:lang w:eastAsia="zh-CN"/>
        </w:rPr>
        <w:t>等</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735" w:name="_Toc22202365"/>
      <w:bookmarkStart w:id="736" w:name="_Toc24969792"/>
      <w:bookmarkStart w:id="737" w:name="_Toc22202783"/>
      <w:bookmarkStart w:id="738" w:name="_Toc22202065"/>
      <w:r>
        <w:rPr>
          <w:rFonts w:hint="eastAsia" w:ascii="宋体" w:hAnsi="宋体" w:eastAsia="宋体"/>
          <w:color w:val="000000" w:themeColor="text1"/>
          <w:lang w:eastAsia="zh-CN"/>
        </w:rPr>
        <w:t>8.5废物综合利用</w:t>
      </w:r>
      <w:bookmarkEnd w:id="735"/>
      <w:bookmarkEnd w:id="736"/>
      <w:bookmarkEnd w:id="737"/>
      <w:bookmarkEnd w:id="738"/>
    </w:p>
    <w:p>
      <w:pPr>
        <w:spacing w:after="0" w:line="360" w:lineRule="auto"/>
        <w:rPr>
          <w:rFonts w:ascii="宋体" w:hAnsi="宋体"/>
          <w:sz w:val="24"/>
          <w:szCs w:val="24"/>
          <w:lang w:eastAsia="zh-CN"/>
        </w:rPr>
      </w:pPr>
      <w:r>
        <w:rPr>
          <w:rFonts w:hint="eastAsia" w:ascii="宋体" w:hAnsi="宋体"/>
          <w:sz w:val="24"/>
          <w:szCs w:val="24"/>
          <w:lang w:eastAsia="zh-CN"/>
        </w:rPr>
        <w:t xml:space="preserve">    本项目生产过程产生的一般固体废物外售，实现了废物综合利用。</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739" w:name="_Toc24969793"/>
      <w:bookmarkStart w:id="740" w:name="_Toc22202784"/>
      <w:bookmarkStart w:id="741" w:name="_Toc22202366"/>
      <w:bookmarkStart w:id="742" w:name="_Toc22202066"/>
      <w:r>
        <w:rPr>
          <w:rFonts w:hint="eastAsia" w:ascii="宋体" w:hAnsi="宋体" w:eastAsia="宋体"/>
          <w:color w:val="000000" w:themeColor="text1"/>
          <w:lang w:eastAsia="zh-CN"/>
        </w:rPr>
        <w:t>8.6环境管理要求</w:t>
      </w:r>
      <w:bookmarkEnd w:id="739"/>
      <w:bookmarkEnd w:id="740"/>
      <w:bookmarkEnd w:id="741"/>
      <w:bookmarkEnd w:id="742"/>
    </w:p>
    <w:p>
      <w:pPr>
        <w:spacing w:after="0" w:line="360" w:lineRule="auto"/>
        <w:rPr>
          <w:rFonts w:ascii="宋体" w:hAnsi="宋体"/>
          <w:sz w:val="24"/>
          <w:szCs w:val="24"/>
          <w:lang w:eastAsia="zh-CN"/>
        </w:rPr>
      </w:pPr>
      <w:r>
        <w:rPr>
          <w:rFonts w:hint="eastAsia" w:ascii="宋体" w:hAnsi="宋体"/>
          <w:sz w:val="24"/>
          <w:szCs w:val="24"/>
          <w:lang w:eastAsia="zh-CN"/>
        </w:rPr>
        <w:t xml:space="preserve">    本项目在生产过程中污染物排放均符合国家相关标准要求。</w:t>
      </w:r>
    </w:p>
    <w:p>
      <w:pPr>
        <w:spacing w:after="0" w:line="360" w:lineRule="auto"/>
        <w:ind w:firstLine="465"/>
        <w:rPr>
          <w:rFonts w:ascii="宋体" w:hAnsi="宋体"/>
          <w:sz w:val="24"/>
          <w:szCs w:val="24"/>
          <w:lang w:eastAsia="zh-CN"/>
        </w:rPr>
      </w:pPr>
      <w:r>
        <w:rPr>
          <w:rFonts w:hint="eastAsia" w:ascii="宋体" w:hAnsi="宋体"/>
          <w:sz w:val="24"/>
          <w:szCs w:val="24"/>
          <w:lang w:eastAsia="zh-CN"/>
        </w:rPr>
        <w:t>综上所述，本项目基本符合清洁生产原则要求。</w:t>
      </w:r>
      <w:bookmarkStart w:id="743" w:name="_Toc11370"/>
      <w:bookmarkStart w:id="744" w:name="_Toc18925"/>
      <w:bookmarkStart w:id="745" w:name="_Toc1613"/>
      <w:bookmarkStart w:id="746" w:name="_Toc486403397"/>
      <w:bookmarkStart w:id="747" w:name="_Toc22207"/>
      <w:bookmarkStart w:id="748" w:name="_Toc22202785"/>
      <w:bookmarkStart w:id="749" w:name="_Toc22202367"/>
      <w:bookmarkStart w:id="750" w:name="_Toc22202067"/>
      <w:bookmarkStart w:id="751" w:name="_Toc22201011"/>
      <w:bookmarkStart w:id="752" w:name="_Toc22200345"/>
      <w:bookmarkStart w:id="753" w:name="_Toc22199701"/>
      <w:bookmarkStart w:id="754" w:name="_Toc22199210"/>
      <w:bookmarkStart w:id="755" w:name="_Toc24969794"/>
      <w:bookmarkStart w:id="756" w:name="_Toc7545"/>
    </w:p>
    <w:p>
      <w:pPr>
        <w:spacing w:after="0" w:line="360" w:lineRule="auto"/>
        <w:ind w:firstLine="465"/>
        <w:jc w:val="center"/>
        <w:rPr>
          <w:rFonts w:ascii="宋体" w:hAnsi="宋体"/>
          <w:b/>
          <w:sz w:val="24"/>
          <w:szCs w:val="24"/>
          <w:lang w:eastAsia="zh-CN"/>
        </w:rPr>
      </w:pPr>
      <w:r>
        <w:rPr>
          <w:rFonts w:hint="eastAsia" w:ascii="宋体" w:hAnsi="宋体"/>
          <w:b/>
          <w:sz w:val="44"/>
          <w:szCs w:val="44"/>
          <w:lang w:eastAsia="zh-CN"/>
        </w:rPr>
        <w:t>9. 环境经济损益分析</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pStyle w:val="5"/>
        <w:keepNext w:val="0"/>
        <w:keepLines w:val="0"/>
        <w:widowControl w:val="0"/>
        <w:tabs>
          <w:tab w:val="left" w:pos="-3900"/>
          <w:tab w:val="left" w:pos="0"/>
        </w:tabs>
        <w:adjustRightInd w:val="0"/>
        <w:snapToGrid w:val="0"/>
        <w:spacing w:beforeLines="50" w:afterLines="50" w:line="360" w:lineRule="auto"/>
        <w:rPr>
          <w:rFonts w:ascii="宋体" w:hAnsi="宋体" w:eastAsia="宋体"/>
          <w:color w:val="000000" w:themeColor="text1"/>
          <w:lang w:eastAsia="zh-CN"/>
        </w:rPr>
      </w:pPr>
      <w:bookmarkStart w:id="757" w:name="_Toc421699236"/>
      <w:bookmarkStart w:id="758" w:name="_Toc483138955"/>
      <w:bookmarkStart w:id="759" w:name="_Toc472090710"/>
      <w:bookmarkStart w:id="760" w:name="_Toc485726225"/>
      <w:bookmarkStart w:id="761" w:name="_Toc24969795"/>
      <w:bookmarkStart w:id="762" w:name="_Toc22202786"/>
      <w:bookmarkStart w:id="763" w:name="_Toc22202368"/>
      <w:bookmarkStart w:id="764" w:name="_Toc22202068"/>
      <w:bookmarkStart w:id="765" w:name="_Toc22201012"/>
      <w:bookmarkStart w:id="766" w:name="_Toc22200346"/>
      <w:bookmarkStart w:id="767" w:name="_Toc22199702"/>
      <w:bookmarkStart w:id="768" w:name="_Toc22199211"/>
      <w:bookmarkStart w:id="769" w:name="_Toc22198845"/>
      <w:bookmarkStart w:id="770" w:name="_Toc22198549"/>
      <w:bookmarkStart w:id="771" w:name="_Toc22198446"/>
      <w:bookmarkStart w:id="772" w:name="_Toc22198340"/>
      <w:bookmarkStart w:id="773" w:name="_Toc22198222"/>
      <w:bookmarkStart w:id="774" w:name="_Toc22151183"/>
      <w:bookmarkStart w:id="775" w:name="_Toc22151006"/>
      <w:bookmarkStart w:id="776" w:name="_Toc21815029"/>
      <w:bookmarkStart w:id="777" w:name="_Toc21814421"/>
      <w:bookmarkStart w:id="778" w:name="_Toc21814374"/>
      <w:bookmarkStart w:id="779" w:name="_Toc21814242"/>
      <w:bookmarkStart w:id="780" w:name="_Toc25626"/>
      <w:bookmarkStart w:id="781" w:name="_Toc5078"/>
      <w:bookmarkStart w:id="782" w:name="_Toc8299"/>
      <w:bookmarkStart w:id="783" w:name="_Toc486403398"/>
      <w:bookmarkStart w:id="784" w:name="_Toc2569"/>
      <w:bookmarkStart w:id="785" w:name="_Toc15197"/>
      <w:r>
        <w:rPr>
          <w:rFonts w:hint="eastAsia" w:ascii="宋体" w:hAnsi="宋体" w:eastAsia="宋体"/>
          <w:color w:val="000000" w:themeColor="text1"/>
          <w:lang w:eastAsia="zh-CN"/>
        </w:rPr>
        <w:t>9.1</w:t>
      </w:r>
      <w:bookmarkEnd w:id="757"/>
      <w:bookmarkEnd w:id="758"/>
      <w:bookmarkEnd w:id="759"/>
      <w:r>
        <w:rPr>
          <w:rFonts w:hint="eastAsia" w:ascii="宋体" w:hAnsi="宋体" w:eastAsia="宋体"/>
          <w:color w:val="000000" w:themeColor="text1"/>
          <w:lang w:eastAsia="zh-CN"/>
        </w:rPr>
        <w:t>环境效益</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5"/>
        <w:keepNext w:val="0"/>
        <w:keepLines w:val="0"/>
        <w:widowControl w:val="0"/>
        <w:tabs>
          <w:tab w:val="left" w:pos="-3900"/>
          <w:tab w:val="left" w:pos="0"/>
        </w:tabs>
        <w:adjustRightInd w:val="0"/>
        <w:snapToGrid w:val="0"/>
        <w:spacing w:beforeLines="50" w:afterLines="50" w:line="360" w:lineRule="auto"/>
        <w:rPr>
          <w:rFonts w:eastAsia="宋体"/>
          <w:color w:val="000000" w:themeColor="text1"/>
          <w:lang w:eastAsia="zh-CN"/>
        </w:rPr>
      </w:pPr>
      <w:bookmarkStart w:id="786" w:name="_Toc22202069"/>
      <w:bookmarkStart w:id="787" w:name="_Toc22201013"/>
      <w:bookmarkStart w:id="788" w:name="_Toc22200347"/>
      <w:bookmarkStart w:id="789" w:name="_Toc22199703"/>
      <w:bookmarkStart w:id="790" w:name="_Toc22199212"/>
      <w:bookmarkStart w:id="791" w:name="_Toc22198846"/>
      <w:bookmarkStart w:id="792" w:name="_Toc22198550"/>
      <w:bookmarkStart w:id="793" w:name="_Toc22198447"/>
      <w:bookmarkStart w:id="794" w:name="_Toc22198341"/>
      <w:bookmarkStart w:id="795" w:name="_Toc22198223"/>
      <w:bookmarkStart w:id="796" w:name="_Toc22151184"/>
      <w:bookmarkStart w:id="797" w:name="_Toc22151007"/>
      <w:bookmarkStart w:id="798" w:name="_Toc21815030"/>
      <w:bookmarkStart w:id="799" w:name="_Toc21814422"/>
      <w:bookmarkStart w:id="800" w:name="_Toc21814375"/>
      <w:bookmarkStart w:id="801" w:name="_Toc21814243"/>
      <w:bookmarkStart w:id="802" w:name="_Toc486403399"/>
      <w:bookmarkStart w:id="803" w:name="_Toc728"/>
      <w:bookmarkStart w:id="804" w:name="_Toc485726226"/>
      <w:bookmarkStart w:id="805" w:name="_Toc31525"/>
      <w:bookmarkStart w:id="806" w:name="_Toc21647"/>
      <w:bookmarkStart w:id="807" w:name="_Toc24969796"/>
      <w:bookmarkStart w:id="808" w:name="_Toc22202369"/>
      <w:bookmarkStart w:id="809" w:name="_Toc22202787"/>
      <w:bookmarkStart w:id="810" w:name="_Toc1270"/>
      <w:bookmarkStart w:id="811" w:name="_Toc303006377"/>
      <w:bookmarkStart w:id="812" w:name="_Toc302836512"/>
      <w:bookmarkStart w:id="813" w:name="_Toc302983524"/>
      <w:bookmarkStart w:id="814" w:name="_Toc297883111"/>
      <w:r>
        <w:rPr>
          <w:rFonts w:hint="eastAsia" w:eastAsia="宋体"/>
          <w:color w:val="000000" w:themeColor="text1"/>
          <w:lang w:eastAsia="zh-CN"/>
        </w:rPr>
        <w:t>9.1.1</w:t>
      </w:r>
      <w:r>
        <w:rPr>
          <w:rFonts w:eastAsia="宋体"/>
          <w:color w:val="000000" w:themeColor="text1"/>
          <w:lang w:eastAsia="zh-CN"/>
        </w:rPr>
        <w:t>环保投资估算</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widowControl w:val="0"/>
        <w:spacing w:after="0" w:line="360" w:lineRule="auto"/>
        <w:ind w:firstLine="482"/>
        <w:rPr>
          <w:rFonts w:hAnsi="宋体"/>
          <w:sz w:val="24"/>
          <w:szCs w:val="24"/>
          <w:lang w:eastAsia="zh-CN"/>
        </w:rPr>
      </w:pPr>
      <w:r>
        <w:rPr>
          <w:rFonts w:hint="eastAsia" w:hAnsi="宋体"/>
          <w:sz w:val="24"/>
          <w:szCs w:val="24"/>
          <w:lang w:eastAsia="zh-CN"/>
        </w:rPr>
        <w:t>《建设项目环境保护设计规定》第六十三条指出：“凡属于污染治理和保护环境所需的装置、设备、监测手段和工程设施等均属于环境保护设施”、“凡有环境保护设施的建设项目均应列出环境保护设施的投资概算”。据此规定，本工程废气处置、废水处理均依托现有设施，其投资均用于污泥储罐的建设及</w:t>
      </w:r>
      <w:r>
        <w:rPr>
          <w:rFonts w:hint="eastAsia" w:ascii="宋体" w:hAnsi="宋体" w:cs="宋体"/>
          <w:bCs/>
          <w:color w:val="333333"/>
          <w:sz w:val="24"/>
          <w:szCs w:val="24"/>
          <w:lang w:eastAsia="zh-CN"/>
        </w:rPr>
        <w:t>污泥干燥炭化输送一体化设备</w:t>
      </w:r>
      <w:r>
        <w:rPr>
          <w:rFonts w:ascii="宋体" w:hAnsi="宋体" w:cs="宋体"/>
          <w:spacing w:val="12"/>
          <w:sz w:val="24"/>
          <w:szCs w:val="24"/>
          <w:lang w:eastAsia="zh-CN"/>
        </w:rPr>
        <w:t>及配套的附属设备和</w:t>
      </w:r>
      <w:r>
        <w:rPr>
          <w:rFonts w:ascii="宋体" w:hAnsi="宋体" w:cs="宋体"/>
          <w:spacing w:val="9"/>
          <w:sz w:val="24"/>
          <w:szCs w:val="24"/>
          <w:lang w:eastAsia="zh-CN"/>
        </w:rPr>
        <w:t>管</w:t>
      </w:r>
      <w:r>
        <w:rPr>
          <w:rFonts w:ascii="宋体" w:hAnsi="宋体" w:cs="宋体"/>
          <w:spacing w:val="12"/>
          <w:sz w:val="24"/>
          <w:szCs w:val="24"/>
          <w:lang w:eastAsia="zh-CN"/>
        </w:rPr>
        <w:t>道</w:t>
      </w:r>
      <w:r>
        <w:rPr>
          <w:rFonts w:hint="eastAsia" w:ascii="宋体" w:hAnsi="宋体" w:cs="宋体"/>
          <w:spacing w:val="12"/>
          <w:sz w:val="24"/>
          <w:szCs w:val="24"/>
          <w:lang w:eastAsia="zh-CN"/>
        </w:rPr>
        <w:t>的</w:t>
      </w:r>
      <w:r>
        <w:rPr>
          <w:rFonts w:hint="eastAsia" w:hAnsi="宋体"/>
          <w:sz w:val="24"/>
          <w:szCs w:val="24"/>
          <w:lang w:eastAsia="zh-CN"/>
        </w:rPr>
        <w:t>制造安装</w:t>
      </w:r>
    </w:p>
    <w:p>
      <w:pPr>
        <w:spacing w:after="0" w:line="360" w:lineRule="auto"/>
        <w:jc w:val="center"/>
        <w:rPr>
          <w:b/>
          <w:bCs/>
          <w:sz w:val="24"/>
          <w:szCs w:val="24"/>
        </w:rPr>
      </w:pPr>
      <w:r>
        <w:rPr>
          <w:rFonts w:hAnsi="宋体"/>
          <w:b/>
          <w:bCs/>
          <w:sz w:val="24"/>
          <w:szCs w:val="24"/>
        </w:rPr>
        <w:t>表</w:t>
      </w:r>
      <w:r>
        <w:rPr>
          <w:rFonts w:hint="eastAsia"/>
          <w:b/>
          <w:bCs/>
          <w:sz w:val="24"/>
          <w:szCs w:val="24"/>
          <w:lang w:eastAsia="zh-CN"/>
        </w:rPr>
        <w:t>9</w:t>
      </w:r>
      <w:r>
        <w:rPr>
          <w:b/>
          <w:bCs/>
          <w:sz w:val="24"/>
          <w:szCs w:val="24"/>
        </w:rPr>
        <w:t xml:space="preserve">.1-1  </w:t>
      </w:r>
      <w:r>
        <w:rPr>
          <w:rFonts w:hAnsi="宋体"/>
          <w:b/>
          <w:bCs/>
          <w:sz w:val="24"/>
          <w:szCs w:val="24"/>
        </w:rPr>
        <w:t>环保投资估算</w:t>
      </w:r>
      <w:bookmarkStart w:id="815" w:name="_Toc333063813"/>
      <w:bookmarkStart w:id="816" w:name="_Toc319689914"/>
      <w:bookmarkStart w:id="817" w:name="_Toc311019989"/>
      <w:bookmarkStart w:id="818" w:name="_Toc322967473"/>
      <w:bookmarkStart w:id="819" w:name="_Toc333063906"/>
    </w:p>
    <w:tbl>
      <w:tblPr>
        <w:tblStyle w:val="30"/>
        <w:tblW w:w="909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69"/>
        <w:gridCol w:w="2976"/>
        <w:gridCol w:w="27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369" w:type="dxa"/>
            <w:vAlign w:val="center"/>
          </w:tcPr>
          <w:p>
            <w:pPr>
              <w:spacing w:after="0" w:line="240" w:lineRule="auto"/>
              <w:jc w:val="center"/>
              <w:rPr>
                <w:rFonts w:eastAsiaTheme="minorEastAsia"/>
                <w:b/>
                <w:sz w:val="21"/>
                <w:szCs w:val="21"/>
              </w:rPr>
            </w:pPr>
          </w:p>
        </w:tc>
        <w:tc>
          <w:tcPr>
            <w:tcW w:w="2976" w:type="dxa"/>
            <w:vAlign w:val="center"/>
          </w:tcPr>
          <w:p>
            <w:pPr>
              <w:spacing w:after="0" w:line="240" w:lineRule="auto"/>
              <w:jc w:val="center"/>
              <w:rPr>
                <w:b/>
                <w:sz w:val="21"/>
                <w:szCs w:val="21"/>
                <w:lang w:eastAsia="zh-CN"/>
              </w:rPr>
            </w:pPr>
            <w:r>
              <w:rPr>
                <w:rFonts w:hint="eastAsia"/>
                <w:b/>
                <w:sz w:val="21"/>
                <w:szCs w:val="21"/>
                <w:lang w:eastAsia="zh-CN"/>
              </w:rPr>
              <w:t>投资（万元）</w:t>
            </w:r>
          </w:p>
        </w:tc>
        <w:tc>
          <w:tcPr>
            <w:tcW w:w="2751" w:type="dxa"/>
            <w:vAlign w:val="center"/>
          </w:tcPr>
          <w:p>
            <w:pPr>
              <w:spacing w:after="0" w:line="240" w:lineRule="auto"/>
              <w:jc w:val="center"/>
              <w:rPr>
                <w:b/>
                <w:sz w:val="21"/>
                <w:szCs w:val="21"/>
                <w:lang w:eastAsia="zh-CN"/>
              </w:rPr>
            </w:pPr>
            <w:r>
              <w:rPr>
                <w:rFonts w:hint="eastAsia"/>
                <w:b/>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369" w:type="dxa"/>
            <w:vAlign w:val="center"/>
          </w:tcPr>
          <w:p>
            <w:pPr>
              <w:spacing w:after="0" w:line="240" w:lineRule="auto"/>
              <w:jc w:val="center"/>
              <w:rPr>
                <w:sz w:val="21"/>
                <w:szCs w:val="21"/>
              </w:rPr>
            </w:pPr>
            <w:r>
              <w:rPr>
                <w:rFonts w:hint="eastAsia" w:hAnsi="宋体" w:eastAsiaTheme="minorEastAsia"/>
                <w:sz w:val="21"/>
                <w:szCs w:val="21"/>
                <w:lang w:eastAsia="zh-CN"/>
              </w:rPr>
              <w:t>污泥储罐</w:t>
            </w:r>
            <w:r>
              <w:rPr>
                <w:rFonts w:hint="eastAsia" w:hAnsi="宋体"/>
                <w:sz w:val="21"/>
                <w:szCs w:val="21"/>
                <w:lang w:eastAsia="zh-CN"/>
              </w:rPr>
              <w:t>及给料系统</w:t>
            </w:r>
          </w:p>
        </w:tc>
        <w:tc>
          <w:tcPr>
            <w:tcW w:w="2976" w:type="dxa"/>
            <w:vAlign w:val="center"/>
          </w:tcPr>
          <w:p>
            <w:pPr>
              <w:spacing w:after="0" w:line="240" w:lineRule="auto"/>
              <w:jc w:val="center"/>
              <w:rPr>
                <w:sz w:val="21"/>
                <w:szCs w:val="21"/>
                <w:lang w:eastAsia="zh-CN"/>
              </w:rPr>
            </w:pPr>
            <w:r>
              <w:rPr>
                <w:rFonts w:hint="eastAsia"/>
                <w:sz w:val="21"/>
                <w:szCs w:val="21"/>
                <w:lang w:eastAsia="zh-CN"/>
              </w:rPr>
              <w:t>55</w:t>
            </w:r>
          </w:p>
        </w:tc>
        <w:tc>
          <w:tcPr>
            <w:tcW w:w="2751" w:type="dxa"/>
            <w:vAlign w:val="center"/>
          </w:tcPr>
          <w:p>
            <w:pPr>
              <w:spacing w:after="0" w:line="240" w:lineRule="auto"/>
              <w:jc w:val="center"/>
              <w:rPr>
                <w:sz w:val="21"/>
                <w:szCs w:val="21"/>
                <w:lang w:eastAsia="zh-CN"/>
              </w:rPr>
            </w:pPr>
            <w:r>
              <w:rPr>
                <w:rFonts w:hint="eastAsia"/>
                <w:sz w:val="21"/>
                <w:szCs w:val="21"/>
                <w:lang w:eastAsia="zh-CN"/>
              </w:rPr>
              <w:t>含建设施工费用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369" w:type="dxa"/>
            <w:vAlign w:val="center"/>
          </w:tcPr>
          <w:p>
            <w:pPr>
              <w:spacing w:after="0" w:line="240" w:lineRule="auto"/>
              <w:jc w:val="center"/>
              <w:rPr>
                <w:rFonts w:eastAsiaTheme="minorEastAsia"/>
                <w:sz w:val="18"/>
                <w:szCs w:val="18"/>
                <w:lang w:eastAsia="zh-CN"/>
              </w:rPr>
            </w:pPr>
            <w:r>
              <w:rPr>
                <w:rFonts w:hint="eastAsia" w:hAnsi="宋体" w:cs="宋体"/>
                <w:bCs/>
                <w:sz w:val="18"/>
                <w:szCs w:val="18"/>
                <w:lang w:eastAsia="zh-CN"/>
              </w:rPr>
              <w:t>污泥及生物质干燥炭化输送一体化系统</w:t>
            </w:r>
          </w:p>
        </w:tc>
        <w:tc>
          <w:tcPr>
            <w:tcW w:w="2976" w:type="dxa"/>
            <w:vAlign w:val="center"/>
          </w:tcPr>
          <w:p>
            <w:pPr>
              <w:spacing w:after="0" w:line="240" w:lineRule="auto"/>
              <w:jc w:val="center"/>
              <w:rPr>
                <w:sz w:val="21"/>
                <w:szCs w:val="21"/>
                <w:lang w:eastAsia="zh-CN"/>
              </w:rPr>
            </w:pPr>
            <w:r>
              <w:rPr>
                <w:rFonts w:hint="eastAsia"/>
                <w:sz w:val="21"/>
                <w:szCs w:val="21"/>
                <w:lang w:eastAsia="zh-CN"/>
              </w:rPr>
              <w:t>205</w:t>
            </w:r>
          </w:p>
        </w:tc>
        <w:tc>
          <w:tcPr>
            <w:tcW w:w="2751" w:type="dxa"/>
            <w:vAlign w:val="center"/>
          </w:tcPr>
          <w:p>
            <w:pPr>
              <w:spacing w:after="0" w:line="240" w:lineRule="auto"/>
              <w:jc w:val="center"/>
              <w:rPr>
                <w:sz w:val="21"/>
                <w:szCs w:val="21"/>
                <w:lang w:eastAsia="zh-CN"/>
              </w:rPr>
            </w:pPr>
            <w:r>
              <w:rPr>
                <w:rFonts w:hint="eastAsia"/>
                <w:sz w:val="21"/>
                <w:szCs w:val="21"/>
                <w:lang w:eastAsia="zh-CN"/>
              </w:rPr>
              <w:t>含附属配套设备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369" w:type="dxa"/>
            <w:vAlign w:val="center"/>
          </w:tcPr>
          <w:p>
            <w:pPr>
              <w:spacing w:after="0" w:line="240" w:lineRule="auto"/>
              <w:jc w:val="center"/>
              <w:rPr>
                <w:sz w:val="18"/>
                <w:szCs w:val="18"/>
                <w:lang w:eastAsia="zh-CN"/>
              </w:rPr>
            </w:pPr>
            <w:r>
              <w:rPr>
                <w:rFonts w:hint="eastAsia"/>
                <w:sz w:val="18"/>
                <w:szCs w:val="18"/>
                <w:lang w:eastAsia="zh-CN"/>
              </w:rPr>
              <w:t>合计</w:t>
            </w:r>
          </w:p>
        </w:tc>
        <w:tc>
          <w:tcPr>
            <w:tcW w:w="2976" w:type="dxa"/>
            <w:vAlign w:val="center"/>
          </w:tcPr>
          <w:p>
            <w:pPr>
              <w:spacing w:after="0" w:line="240" w:lineRule="auto"/>
              <w:jc w:val="center"/>
              <w:rPr>
                <w:sz w:val="21"/>
                <w:szCs w:val="21"/>
                <w:lang w:eastAsia="zh-CN"/>
              </w:rPr>
            </w:pPr>
            <w:r>
              <w:rPr>
                <w:rFonts w:hint="eastAsia"/>
                <w:sz w:val="21"/>
                <w:szCs w:val="21"/>
                <w:lang w:eastAsia="zh-CN"/>
              </w:rPr>
              <w:t>260</w:t>
            </w:r>
          </w:p>
        </w:tc>
        <w:tc>
          <w:tcPr>
            <w:tcW w:w="2751" w:type="dxa"/>
            <w:vAlign w:val="center"/>
          </w:tcPr>
          <w:p>
            <w:pPr>
              <w:spacing w:after="0" w:line="240" w:lineRule="auto"/>
              <w:jc w:val="center"/>
              <w:rPr>
                <w:rFonts w:eastAsiaTheme="minorEastAsia"/>
                <w:sz w:val="21"/>
                <w:szCs w:val="21"/>
                <w:lang w:eastAsia="zh-CN"/>
              </w:rPr>
            </w:pPr>
          </w:p>
        </w:tc>
      </w:tr>
    </w:tbl>
    <w:p>
      <w:pPr>
        <w:spacing w:beforeLines="50" w:after="0" w:line="360" w:lineRule="auto"/>
        <w:ind w:firstLine="480" w:firstLineChars="200"/>
        <w:rPr>
          <w:b/>
          <w:sz w:val="28"/>
          <w:szCs w:val="28"/>
          <w:lang w:eastAsia="zh-CN"/>
        </w:rPr>
      </w:pPr>
      <w:r>
        <w:rPr>
          <w:rFonts w:hint="eastAsia"/>
          <w:sz w:val="24"/>
          <w:szCs w:val="24"/>
          <w:lang w:eastAsia="zh-CN"/>
        </w:rPr>
        <w:t>由上表可知，本项目投资260万元，用于建设</w:t>
      </w:r>
      <w:r>
        <w:rPr>
          <w:rFonts w:hint="eastAsia" w:hAnsi="宋体"/>
          <w:sz w:val="24"/>
          <w:szCs w:val="24"/>
          <w:lang w:eastAsia="zh-CN"/>
        </w:rPr>
        <w:t>污泥泥储罐、</w:t>
      </w:r>
      <w:r>
        <w:rPr>
          <w:rFonts w:hint="eastAsia" w:ascii="宋体" w:hAnsi="宋体" w:cs="宋体"/>
          <w:bCs/>
          <w:color w:val="333333"/>
          <w:sz w:val="24"/>
          <w:szCs w:val="24"/>
          <w:lang w:eastAsia="zh-CN"/>
        </w:rPr>
        <w:t>污泥干燥炭化输送一体化系统，</w:t>
      </w:r>
      <w:r>
        <w:rPr>
          <w:rFonts w:hint="eastAsia" w:hAnsi="宋体"/>
          <w:sz w:val="24"/>
          <w:szCs w:val="24"/>
          <w:lang w:eastAsia="zh-CN"/>
        </w:rPr>
        <w:t>均属于环保投资</w:t>
      </w:r>
      <w:r>
        <w:rPr>
          <w:rFonts w:hint="eastAsia"/>
          <w:sz w:val="24"/>
          <w:szCs w:val="24"/>
          <w:lang w:eastAsia="zh-CN"/>
        </w:rPr>
        <w:t>。</w:t>
      </w:r>
    </w:p>
    <w:p>
      <w:pPr>
        <w:pStyle w:val="5"/>
        <w:widowControl w:val="0"/>
        <w:tabs>
          <w:tab w:val="left" w:pos="-3900"/>
          <w:tab w:val="left" w:pos="0"/>
        </w:tabs>
        <w:wordWrap w:val="0"/>
        <w:adjustRightInd w:val="0"/>
        <w:snapToGrid w:val="0"/>
        <w:spacing w:beforeLines="50" w:afterLines="50" w:line="360" w:lineRule="auto"/>
        <w:rPr>
          <w:rFonts w:eastAsia="宋体"/>
          <w:color w:val="000000" w:themeColor="text1"/>
          <w:lang w:eastAsia="zh-CN"/>
        </w:rPr>
      </w:pPr>
      <w:bookmarkStart w:id="820" w:name="_Toc2486"/>
      <w:bookmarkStart w:id="821" w:name="_Toc31620"/>
      <w:bookmarkStart w:id="822" w:name="_Toc486403400"/>
      <w:bookmarkStart w:id="823" w:name="_Toc6431"/>
      <w:bookmarkStart w:id="824" w:name="_Toc28192"/>
      <w:bookmarkStart w:id="825" w:name="_Toc485726230"/>
      <w:bookmarkStart w:id="826" w:name="_Toc21814244"/>
      <w:bookmarkStart w:id="827" w:name="_Toc21814376"/>
      <w:bookmarkStart w:id="828" w:name="_Toc21814423"/>
      <w:bookmarkStart w:id="829" w:name="_Toc21815031"/>
      <w:bookmarkStart w:id="830" w:name="_Toc22151008"/>
      <w:bookmarkStart w:id="831" w:name="_Toc22151185"/>
      <w:bookmarkStart w:id="832" w:name="_Toc22198224"/>
      <w:bookmarkStart w:id="833" w:name="_Toc22198342"/>
      <w:bookmarkStart w:id="834" w:name="_Toc22198448"/>
      <w:bookmarkStart w:id="835" w:name="_Toc22198551"/>
      <w:bookmarkStart w:id="836" w:name="_Toc22198847"/>
      <w:bookmarkStart w:id="837" w:name="_Toc22199213"/>
      <w:bookmarkStart w:id="838" w:name="_Toc22199704"/>
      <w:bookmarkStart w:id="839" w:name="_Toc22200348"/>
      <w:bookmarkStart w:id="840" w:name="_Toc22201014"/>
      <w:bookmarkStart w:id="841" w:name="_Toc22202070"/>
      <w:bookmarkStart w:id="842" w:name="_Toc22202370"/>
      <w:bookmarkStart w:id="843" w:name="_Toc22202788"/>
      <w:bookmarkStart w:id="844" w:name="_Toc24969797"/>
      <w:r>
        <w:rPr>
          <w:rFonts w:hint="eastAsia" w:eastAsia="宋体"/>
          <w:color w:val="000000" w:themeColor="text1"/>
          <w:lang w:eastAsia="zh-CN"/>
        </w:rPr>
        <w:t>9.1.2环境效益</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spacing w:after="0" w:line="360" w:lineRule="auto"/>
        <w:ind w:firstLine="480" w:firstLineChars="200"/>
        <w:rPr>
          <w:sz w:val="24"/>
          <w:szCs w:val="24"/>
          <w:lang w:eastAsia="zh-CN"/>
        </w:rPr>
      </w:pPr>
      <w:r>
        <w:rPr>
          <w:rFonts w:hint="eastAsia"/>
          <w:sz w:val="24"/>
          <w:lang w:eastAsia="zh-CN"/>
        </w:rPr>
        <w:t>城镇污水处理厂污水处理过程中产生的污泥，传统上称为三泥，处理难度大，费用高，实施减量化、无害化和资源化已成为整个行业关注的课题。本项目利用现有设施处置污泥，可以保证处置过程产生的各项污染物达标排放，消除了污泥对环境的巨大不利影响，</w:t>
      </w:r>
      <w:r>
        <w:rPr>
          <w:rFonts w:hint="eastAsia"/>
          <w:sz w:val="24"/>
          <w:szCs w:val="24"/>
          <w:lang w:eastAsia="zh-CN"/>
        </w:rPr>
        <w:t>由此可见，本工程具有巨大的环境效应。</w:t>
      </w:r>
    </w:p>
    <w:p>
      <w:pPr>
        <w:pStyle w:val="5"/>
        <w:widowControl w:val="0"/>
        <w:tabs>
          <w:tab w:val="left" w:pos="-3900"/>
          <w:tab w:val="left" w:pos="0"/>
        </w:tabs>
        <w:wordWrap w:val="0"/>
        <w:adjustRightInd w:val="0"/>
        <w:snapToGrid w:val="0"/>
        <w:spacing w:beforeLines="50" w:afterLines="50" w:line="360" w:lineRule="auto"/>
        <w:rPr>
          <w:rFonts w:eastAsia="宋体"/>
          <w:color w:val="000000" w:themeColor="text1"/>
          <w:lang w:eastAsia="zh-CN"/>
        </w:rPr>
      </w:pPr>
      <w:bookmarkStart w:id="845" w:name="_Toc22199214"/>
      <w:bookmarkStart w:id="846" w:name="_Toc22198848"/>
      <w:bookmarkStart w:id="847" w:name="_Toc22198552"/>
      <w:bookmarkStart w:id="848" w:name="_Toc22198449"/>
      <w:bookmarkStart w:id="849" w:name="_Toc22198343"/>
      <w:bookmarkStart w:id="850" w:name="_Toc22151186"/>
      <w:bookmarkStart w:id="851" w:name="_Toc22198225"/>
      <w:bookmarkStart w:id="852" w:name="_Toc22199705"/>
      <w:bookmarkStart w:id="853" w:name="_Toc14794"/>
      <w:bookmarkStart w:id="854" w:name="_Toc486403401"/>
      <w:bookmarkStart w:id="855" w:name="_Toc8449"/>
      <w:bookmarkStart w:id="856" w:name="_Toc19518"/>
      <w:bookmarkStart w:id="857" w:name="_Toc21814377"/>
      <w:bookmarkStart w:id="858" w:name="_Toc21814424"/>
      <w:bookmarkStart w:id="859" w:name="_Toc21815032"/>
      <w:bookmarkStart w:id="860" w:name="_Toc14219"/>
      <w:bookmarkStart w:id="861" w:name="_Toc21814245"/>
      <w:bookmarkStart w:id="862" w:name="_Toc485726231"/>
      <w:bookmarkStart w:id="863" w:name="_Toc30869"/>
      <w:bookmarkStart w:id="864" w:name="_Toc22151009"/>
      <w:bookmarkStart w:id="865" w:name="_Toc22200349"/>
      <w:bookmarkStart w:id="866" w:name="_Toc22201015"/>
      <w:bookmarkStart w:id="867" w:name="_Toc22202071"/>
      <w:bookmarkStart w:id="868" w:name="_Toc22202371"/>
      <w:bookmarkStart w:id="869" w:name="_Toc22202789"/>
      <w:bookmarkStart w:id="870" w:name="_Toc24969798"/>
      <w:r>
        <w:rPr>
          <w:rFonts w:hint="eastAsia" w:eastAsia="宋体"/>
          <w:color w:val="000000" w:themeColor="text1"/>
          <w:lang w:eastAsia="zh-CN"/>
        </w:rPr>
        <w:t>9</w:t>
      </w:r>
      <w:r>
        <w:rPr>
          <w:rFonts w:eastAsia="宋体"/>
          <w:color w:val="000000" w:themeColor="text1"/>
          <w:lang w:eastAsia="zh-CN"/>
        </w:rPr>
        <w:t>.</w:t>
      </w:r>
      <w:r>
        <w:rPr>
          <w:rFonts w:hint="eastAsia" w:eastAsia="宋体"/>
          <w:color w:val="000000" w:themeColor="text1"/>
          <w:lang w:eastAsia="zh-CN"/>
        </w:rPr>
        <w:t>2社会效益</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spacing w:line="360" w:lineRule="auto"/>
        <w:ind w:firstLine="480" w:firstLineChars="200"/>
        <w:rPr>
          <w:sz w:val="24"/>
          <w:szCs w:val="24"/>
          <w:lang w:eastAsia="zh-CN"/>
        </w:rPr>
      </w:pPr>
      <w:r>
        <w:rPr>
          <w:rFonts w:hint="eastAsia"/>
          <w:sz w:val="24"/>
          <w:szCs w:val="24"/>
          <w:lang w:eastAsia="zh-CN"/>
        </w:rPr>
        <w:t>本工程的社会效益是显而易见的。污泥处理难度大，费用高，实施减量化、无害化和资源化已成为整个行业关注的课题。本项目的实施可有效减少污泥填埋占用土地资源，实现污泥资源的综合利用；并为当地带来就业机会，有利于构建和谐社会。</w:t>
      </w:r>
    </w:p>
    <w:bookmarkEnd w:id="811"/>
    <w:bookmarkEnd w:id="812"/>
    <w:bookmarkEnd w:id="813"/>
    <w:bookmarkEnd w:id="814"/>
    <w:bookmarkEnd w:id="815"/>
    <w:bookmarkEnd w:id="816"/>
    <w:bookmarkEnd w:id="817"/>
    <w:bookmarkEnd w:id="818"/>
    <w:bookmarkEnd w:id="819"/>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871" w:name="_Toc22202790"/>
      <w:bookmarkStart w:id="872" w:name="_Toc22202372"/>
      <w:bookmarkStart w:id="873" w:name="_Toc22201016"/>
      <w:bookmarkStart w:id="874" w:name="_Toc22202072"/>
      <w:bookmarkStart w:id="875" w:name="_Toc22200350"/>
      <w:bookmarkStart w:id="876" w:name="_Toc22199706"/>
      <w:bookmarkStart w:id="877" w:name="_Toc22199215"/>
      <w:bookmarkStart w:id="878" w:name="_Toc22198849"/>
      <w:bookmarkStart w:id="879" w:name="_Toc22198450"/>
      <w:bookmarkStart w:id="880" w:name="_Toc22198553"/>
      <w:bookmarkStart w:id="881" w:name="_Toc22198344"/>
      <w:bookmarkStart w:id="882" w:name="_Toc22198226"/>
      <w:bookmarkStart w:id="883" w:name="_Toc22151187"/>
      <w:bookmarkStart w:id="884" w:name="_Toc22151010"/>
      <w:bookmarkStart w:id="885" w:name="_Toc21814425"/>
      <w:bookmarkStart w:id="886" w:name="_Toc21815033"/>
      <w:bookmarkStart w:id="887" w:name="_Toc21814378"/>
      <w:bookmarkStart w:id="888" w:name="_Toc21814246"/>
      <w:bookmarkStart w:id="889" w:name="_Toc17906"/>
      <w:bookmarkStart w:id="890" w:name="_Toc18145"/>
      <w:bookmarkStart w:id="891" w:name="_Toc486403402"/>
      <w:bookmarkStart w:id="892" w:name="_Toc27614"/>
      <w:bookmarkStart w:id="893" w:name="_Toc20824"/>
      <w:bookmarkStart w:id="894" w:name="_Toc2094"/>
      <w:bookmarkStart w:id="895" w:name="_Toc485726232"/>
      <w:bookmarkStart w:id="896" w:name="_Toc24969799"/>
      <w:bookmarkStart w:id="897" w:name="_Toc483317202"/>
      <w:bookmarkStart w:id="898" w:name="_Toc434387546"/>
      <w:bookmarkStart w:id="899" w:name="_Toc32353"/>
      <w:bookmarkStart w:id="900" w:name="_Toc14930"/>
      <w:bookmarkStart w:id="901" w:name="_Toc13591"/>
      <w:bookmarkStart w:id="902" w:name="_Toc486403405"/>
      <w:bookmarkStart w:id="903" w:name="_Toc7230"/>
      <w:bookmarkStart w:id="904" w:name="_Toc11544"/>
      <w:r>
        <w:rPr>
          <w:rFonts w:hint="eastAsia" w:ascii="宋体" w:hAnsi="宋体" w:eastAsia="宋体"/>
          <w:color w:val="000000" w:themeColor="text1"/>
          <w:lang w:eastAsia="zh-CN"/>
        </w:rPr>
        <w:t>9</w:t>
      </w:r>
      <w:r>
        <w:rPr>
          <w:rFonts w:ascii="宋体" w:hAnsi="宋体" w:eastAsia="宋体"/>
          <w:color w:val="000000" w:themeColor="text1"/>
          <w:lang w:eastAsia="zh-CN"/>
        </w:rPr>
        <w:t>.</w:t>
      </w:r>
      <w:r>
        <w:rPr>
          <w:rFonts w:hint="eastAsia" w:ascii="宋体" w:hAnsi="宋体" w:eastAsia="宋体"/>
          <w:color w:val="000000" w:themeColor="text1"/>
          <w:lang w:eastAsia="zh-CN"/>
        </w:rPr>
        <w:t>3经济效益</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5"/>
        <w:widowControl w:val="0"/>
        <w:tabs>
          <w:tab w:val="left" w:pos="-3900"/>
          <w:tab w:val="left" w:pos="0"/>
        </w:tabs>
        <w:wordWrap w:val="0"/>
        <w:adjustRightInd w:val="0"/>
        <w:snapToGrid w:val="0"/>
        <w:spacing w:beforeLines="50" w:afterLines="50" w:line="360" w:lineRule="auto"/>
        <w:rPr>
          <w:rFonts w:eastAsia="宋体"/>
          <w:color w:val="000000" w:themeColor="text1"/>
          <w:lang w:eastAsia="zh-CN"/>
        </w:rPr>
      </w:pPr>
      <w:bookmarkStart w:id="905" w:name="_Toc22202791"/>
      <w:bookmarkStart w:id="906" w:name="_Toc22202073"/>
      <w:bookmarkStart w:id="907" w:name="_Toc22202373"/>
      <w:bookmarkStart w:id="908" w:name="_Toc22201017"/>
      <w:bookmarkStart w:id="909" w:name="_Toc22200351"/>
      <w:bookmarkStart w:id="910" w:name="_Toc22199707"/>
      <w:bookmarkStart w:id="911" w:name="_Toc22199216"/>
      <w:bookmarkStart w:id="912" w:name="_Toc22198554"/>
      <w:bookmarkStart w:id="913" w:name="_Toc22198850"/>
      <w:bookmarkStart w:id="914" w:name="_Toc22198451"/>
      <w:bookmarkStart w:id="915" w:name="_Toc22198345"/>
      <w:bookmarkStart w:id="916" w:name="_Toc22198227"/>
      <w:bookmarkStart w:id="917" w:name="_Toc22151188"/>
      <w:bookmarkStart w:id="918" w:name="_Toc21815034"/>
      <w:bookmarkStart w:id="919" w:name="_Toc22151011"/>
      <w:bookmarkStart w:id="920" w:name="_Toc21814426"/>
      <w:bookmarkStart w:id="921" w:name="_Toc21814379"/>
      <w:bookmarkStart w:id="922" w:name="_Toc21814247"/>
      <w:bookmarkStart w:id="923" w:name="_Toc6068"/>
      <w:bookmarkStart w:id="924" w:name="_Toc11007"/>
      <w:bookmarkStart w:id="925" w:name="_Toc486403403"/>
      <w:bookmarkStart w:id="926" w:name="_Toc25481"/>
      <w:bookmarkStart w:id="927" w:name="_Toc4811"/>
      <w:bookmarkStart w:id="928" w:name="_Toc485726228"/>
      <w:bookmarkStart w:id="929" w:name="_Toc24969800"/>
      <w:r>
        <w:rPr>
          <w:rFonts w:hint="eastAsia" w:eastAsia="宋体"/>
          <w:color w:val="000000" w:themeColor="text1"/>
          <w:lang w:eastAsia="zh-CN"/>
        </w:rPr>
        <w:t>9.3.1工程环境收益估算</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pPr>
        <w:pStyle w:val="2"/>
        <w:rPr>
          <w:lang w:eastAsia="zh-CN"/>
        </w:rPr>
      </w:pPr>
      <w:r>
        <w:rPr>
          <w:rFonts w:hint="eastAsia"/>
          <w:lang w:eastAsia="zh-CN"/>
        </w:rPr>
        <w:t>工程环境收益主要从减少本厂污泥委托其他单位处置费用，并适当接受其他企业污泥污泥处置所获得的收益。本工程主要收益见下表。（岳阳市污泥处置费用约230元/吨）</w:t>
      </w:r>
    </w:p>
    <w:p>
      <w:pPr>
        <w:jc w:val="center"/>
        <w:rPr>
          <w:b/>
          <w:bCs/>
          <w:sz w:val="24"/>
          <w:szCs w:val="24"/>
          <w:lang w:eastAsia="zh-CN"/>
        </w:rPr>
      </w:pPr>
      <w:r>
        <w:rPr>
          <w:rFonts w:hint="eastAsia"/>
          <w:b/>
          <w:bCs/>
          <w:sz w:val="24"/>
          <w:szCs w:val="24"/>
          <w:lang w:eastAsia="zh-CN"/>
        </w:rPr>
        <w:t>表9.3-1  工程环境收益估算一览表</w:t>
      </w:r>
    </w:p>
    <w:tbl>
      <w:tblPr>
        <w:tblStyle w:val="30"/>
        <w:tblW w:w="85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345"/>
        <w:gridCol w:w="21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5" w:type="dxa"/>
            <w:vAlign w:val="center"/>
          </w:tcPr>
          <w:p>
            <w:pPr>
              <w:spacing w:after="0" w:line="240" w:lineRule="auto"/>
              <w:jc w:val="center"/>
              <w:rPr>
                <w:b/>
                <w:bCs/>
                <w:szCs w:val="21"/>
              </w:rPr>
            </w:pPr>
            <w:r>
              <w:rPr>
                <w:rFonts w:hint="eastAsia"/>
                <w:b/>
                <w:bCs/>
                <w:szCs w:val="21"/>
              </w:rPr>
              <w:t>项目</w:t>
            </w:r>
          </w:p>
        </w:tc>
        <w:tc>
          <w:tcPr>
            <w:tcW w:w="2183" w:type="dxa"/>
            <w:vAlign w:val="center"/>
          </w:tcPr>
          <w:p>
            <w:pPr>
              <w:spacing w:after="0" w:line="240" w:lineRule="auto"/>
              <w:jc w:val="center"/>
              <w:rPr>
                <w:b/>
                <w:bCs/>
                <w:szCs w:val="21"/>
              </w:rPr>
            </w:pPr>
            <w:r>
              <w:rPr>
                <w:rFonts w:hint="eastAsia"/>
                <w:b/>
                <w:bCs/>
                <w:szCs w:val="21"/>
              </w:rPr>
              <w:t>环保收益(万元/年)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5" w:type="dxa"/>
            <w:vAlign w:val="center"/>
          </w:tcPr>
          <w:p>
            <w:pPr>
              <w:spacing w:after="0" w:line="240" w:lineRule="auto"/>
              <w:jc w:val="center"/>
              <w:rPr>
                <w:szCs w:val="21"/>
                <w:lang w:eastAsia="zh-CN"/>
              </w:rPr>
            </w:pPr>
            <w:r>
              <w:rPr>
                <w:rFonts w:hint="eastAsia"/>
                <w:szCs w:val="21"/>
                <w:lang w:eastAsia="zh-CN"/>
              </w:rPr>
              <w:t>减少污泥处置费用（按230元/t计算）</w:t>
            </w:r>
          </w:p>
        </w:tc>
        <w:tc>
          <w:tcPr>
            <w:tcW w:w="2183" w:type="dxa"/>
            <w:vAlign w:val="center"/>
          </w:tcPr>
          <w:p>
            <w:pPr>
              <w:spacing w:after="0" w:line="240" w:lineRule="auto"/>
              <w:jc w:val="center"/>
              <w:rPr>
                <w:szCs w:val="21"/>
                <w:lang w:eastAsia="zh-CN"/>
              </w:rPr>
            </w:pPr>
            <w:r>
              <w:rPr>
                <w:rFonts w:hint="eastAsia"/>
                <w:szCs w:val="21"/>
                <w:lang w:eastAsia="zh-CN"/>
              </w:rPr>
              <w:t>782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345" w:type="dxa"/>
            <w:vAlign w:val="center"/>
          </w:tcPr>
          <w:p>
            <w:pPr>
              <w:spacing w:after="0" w:line="240" w:lineRule="auto"/>
              <w:jc w:val="center"/>
              <w:rPr>
                <w:b/>
                <w:szCs w:val="21"/>
              </w:rPr>
            </w:pPr>
            <w:r>
              <w:rPr>
                <w:rFonts w:hint="eastAsia"/>
                <w:b/>
                <w:szCs w:val="21"/>
              </w:rPr>
              <w:t>合计</w:t>
            </w:r>
          </w:p>
        </w:tc>
        <w:tc>
          <w:tcPr>
            <w:tcW w:w="2183" w:type="dxa"/>
            <w:vAlign w:val="center"/>
          </w:tcPr>
          <w:p>
            <w:pPr>
              <w:spacing w:after="0" w:line="240" w:lineRule="auto"/>
              <w:jc w:val="center"/>
              <w:rPr>
                <w:b/>
                <w:szCs w:val="21"/>
              </w:rPr>
            </w:pPr>
            <w:r>
              <w:rPr>
                <w:rFonts w:hint="eastAsia"/>
                <w:b/>
                <w:szCs w:val="21"/>
                <w:lang w:eastAsia="zh-CN"/>
              </w:rPr>
              <w:t>782</w:t>
            </w:r>
          </w:p>
        </w:tc>
      </w:tr>
    </w:tbl>
    <w:p>
      <w:pPr>
        <w:pStyle w:val="5"/>
        <w:widowControl w:val="0"/>
        <w:tabs>
          <w:tab w:val="left" w:pos="-3900"/>
          <w:tab w:val="left" w:pos="0"/>
        </w:tabs>
        <w:wordWrap w:val="0"/>
        <w:adjustRightInd w:val="0"/>
        <w:snapToGrid w:val="0"/>
        <w:spacing w:beforeLines="100" w:afterLines="50" w:line="360" w:lineRule="auto"/>
        <w:rPr>
          <w:rFonts w:eastAsia="宋体"/>
          <w:color w:val="000000" w:themeColor="text1"/>
          <w:lang w:eastAsia="zh-CN"/>
        </w:rPr>
      </w:pPr>
      <w:bookmarkStart w:id="930" w:name="_Toc11744"/>
      <w:bookmarkStart w:id="931" w:name="_Toc486403404"/>
      <w:bookmarkStart w:id="932" w:name="_Toc3248"/>
      <w:bookmarkStart w:id="933" w:name="_Toc21814248"/>
      <w:bookmarkStart w:id="934" w:name="_Toc485726229"/>
      <w:bookmarkStart w:id="935" w:name="_Toc14019"/>
      <w:bookmarkStart w:id="936" w:name="_Toc25828"/>
      <w:bookmarkStart w:id="937" w:name="_Toc22202792"/>
      <w:bookmarkStart w:id="938" w:name="_Toc22202374"/>
      <w:bookmarkStart w:id="939" w:name="_Toc22201018"/>
      <w:bookmarkStart w:id="940" w:name="_Toc22202074"/>
      <w:bookmarkStart w:id="941" w:name="_Toc22200352"/>
      <w:bookmarkStart w:id="942" w:name="_Toc22199708"/>
      <w:bookmarkStart w:id="943" w:name="_Toc22199217"/>
      <w:bookmarkStart w:id="944" w:name="_Toc22198851"/>
      <w:bookmarkStart w:id="945" w:name="_Toc22198452"/>
      <w:bookmarkStart w:id="946" w:name="_Toc22198555"/>
      <w:bookmarkStart w:id="947" w:name="_Toc22198346"/>
      <w:bookmarkStart w:id="948" w:name="_Toc22198228"/>
      <w:bookmarkStart w:id="949" w:name="_Toc22151189"/>
      <w:bookmarkStart w:id="950" w:name="_Toc22151012"/>
      <w:bookmarkStart w:id="951" w:name="_Toc21814427"/>
      <w:bookmarkStart w:id="952" w:name="_Toc21815035"/>
      <w:bookmarkStart w:id="953" w:name="_Toc21814380"/>
      <w:bookmarkStart w:id="954" w:name="_Toc24969801"/>
      <w:r>
        <w:rPr>
          <w:rFonts w:hint="eastAsia" w:eastAsia="宋体"/>
          <w:color w:val="000000" w:themeColor="text1"/>
          <w:lang w:eastAsia="zh-CN"/>
        </w:rPr>
        <w:t>9.3.2环境经济损益指标分析</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spacing w:after="0" w:line="360" w:lineRule="auto"/>
        <w:ind w:firstLine="480" w:firstLineChars="200"/>
        <w:rPr>
          <w:sz w:val="24"/>
          <w:szCs w:val="24"/>
          <w:lang w:eastAsia="zh-CN"/>
        </w:rPr>
      </w:pPr>
      <w:r>
        <w:rPr>
          <w:rFonts w:hint="eastAsia"/>
          <w:sz w:val="24"/>
          <w:szCs w:val="24"/>
          <w:lang w:eastAsia="zh-CN"/>
        </w:rPr>
        <w:t>本评价主要从环境保护投资比例系数、环境经济损益系数两项指标来进行环境经济损益分析。</w:t>
      </w:r>
    </w:p>
    <w:p>
      <w:pPr>
        <w:spacing w:after="0" w:line="360" w:lineRule="auto"/>
        <w:ind w:firstLine="482" w:firstLineChars="200"/>
        <w:rPr>
          <w:b/>
          <w:sz w:val="24"/>
          <w:szCs w:val="24"/>
          <w:lang w:eastAsia="zh-CN"/>
        </w:rPr>
      </w:pPr>
      <w:r>
        <w:rPr>
          <w:b/>
          <w:sz w:val="24"/>
          <w:szCs w:val="24"/>
        </w:rPr>
        <w:fldChar w:fldCharType="begin"/>
      </w:r>
      <w:r>
        <w:rPr>
          <w:rFonts w:hint="eastAsia"/>
          <w:b/>
          <w:sz w:val="24"/>
          <w:szCs w:val="24"/>
          <w:lang w:eastAsia="zh-CN"/>
        </w:rPr>
        <w:instrText xml:space="preserve">= 1 \* GB2</w:instrText>
      </w:r>
      <w:r>
        <w:rPr>
          <w:b/>
          <w:sz w:val="24"/>
          <w:szCs w:val="24"/>
        </w:rPr>
        <w:fldChar w:fldCharType="separate"/>
      </w:r>
      <w:r>
        <w:rPr>
          <w:rFonts w:hint="eastAsia"/>
          <w:b/>
          <w:sz w:val="24"/>
          <w:szCs w:val="24"/>
          <w:lang w:eastAsia="zh-CN"/>
        </w:rPr>
        <w:t>⑴</w:t>
      </w:r>
      <w:r>
        <w:rPr>
          <w:b/>
          <w:sz w:val="24"/>
          <w:szCs w:val="24"/>
        </w:rPr>
        <w:fldChar w:fldCharType="end"/>
      </w:r>
      <w:r>
        <w:rPr>
          <w:rFonts w:hint="eastAsia"/>
          <w:b/>
          <w:sz w:val="24"/>
          <w:szCs w:val="24"/>
          <w:lang w:eastAsia="zh-CN"/>
        </w:rPr>
        <w:t>环保投资比例系数</w:t>
      </w:r>
    </w:p>
    <w:p>
      <w:pPr>
        <w:spacing w:after="0" w:line="360" w:lineRule="auto"/>
        <w:rPr>
          <w:sz w:val="24"/>
          <w:szCs w:val="24"/>
          <w:lang w:eastAsia="zh-CN"/>
        </w:rPr>
      </w:pPr>
      <w:r>
        <w:rPr>
          <w:rFonts w:hint="eastAsia"/>
          <w:sz w:val="24"/>
          <w:szCs w:val="24"/>
          <w:lang w:eastAsia="zh-CN"/>
        </w:rPr>
        <w:t>环保投资比例系数是指环保建设投资与企业建设总投资的比值，它体现了企业对环保工作的重视程度。</w:t>
      </w:r>
    </w:p>
    <w:p>
      <w:pPr>
        <w:spacing w:line="360" w:lineRule="auto"/>
        <w:jc w:val="center"/>
        <w:rPr>
          <w:sz w:val="24"/>
          <w:szCs w:val="24"/>
          <w:lang w:eastAsia="zh-CN"/>
        </w:rPr>
      </w:pPr>
      <w:r>
        <w:rPr>
          <w:sz w:val="24"/>
          <w:szCs w:val="24"/>
          <w:lang w:eastAsia="zh-CN"/>
        </w:rPr>
        <w:t>H</w:t>
      </w:r>
      <w:r>
        <w:rPr>
          <w:sz w:val="24"/>
          <w:szCs w:val="24"/>
          <w:vertAlign w:val="subscript"/>
          <w:lang w:eastAsia="zh-CN"/>
        </w:rPr>
        <w:t>Z</w:t>
      </w:r>
      <w:r>
        <w:rPr>
          <w:sz w:val="24"/>
          <w:szCs w:val="24"/>
          <w:lang w:eastAsia="zh-CN"/>
        </w:rPr>
        <w:t>=</w:t>
      </w:r>
      <w:r>
        <w:rPr>
          <w:rFonts w:hint="eastAsia"/>
          <w:sz w:val="24"/>
          <w:szCs w:val="24"/>
          <w:lang w:eastAsia="zh-CN"/>
        </w:rPr>
        <w:t>（</w:t>
      </w:r>
      <w:r>
        <w:rPr>
          <w:sz w:val="24"/>
          <w:szCs w:val="24"/>
          <w:lang w:eastAsia="zh-CN"/>
        </w:rPr>
        <w:t>E</w:t>
      </w:r>
      <w:r>
        <w:rPr>
          <w:sz w:val="24"/>
          <w:szCs w:val="24"/>
          <w:vertAlign w:val="subscript"/>
          <w:lang w:eastAsia="zh-CN"/>
        </w:rPr>
        <w:t>O</w:t>
      </w:r>
      <w:r>
        <w:rPr>
          <w:sz w:val="24"/>
          <w:szCs w:val="24"/>
          <w:lang w:eastAsia="zh-CN"/>
        </w:rPr>
        <w:t>/E</w:t>
      </w:r>
      <w:r>
        <w:rPr>
          <w:sz w:val="24"/>
          <w:szCs w:val="24"/>
          <w:vertAlign w:val="subscript"/>
          <w:lang w:eastAsia="zh-CN"/>
        </w:rPr>
        <w:t>R</w:t>
      </w:r>
      <w:r>
        <w:rPr>
          <w:rFonts w:hint="eastAsia"/>
          <w:sz w:val="24"/>
          <w:szCs w:val="24"/>
          <w:lang w:eastAsia="zh-CN"/>
        </w:rPr>
        <w:t>）</w:t>
      </w:r>
      <w:r>
        <w:rPr>
          <w:sz w:val="24"/>
          <w:szCs w:val="24"/>
          <w:lang w:eastAsia="zh-CN"/>
        </w:rPr>
        <w:t>×100%</w:t>
      </w:r>
    </w:p>
    <w:p>
      <w:pPr>
        <w:spacing w:line="360" w:lineRule="auto"/>
        <w:ind w:firstLine="480" w:firstLineChars="200"/>
        <w:rPr>
          <w:sz w:val="24"/>
          <w:szCs w:val="24"/>
          <w:lang w:eastAsia="zh-CN"/>
        </w:rPr>
      </w:pPr>
      <w:r>
        <w:rPr>
          <w:rFonts w:hint="eastAsia"/>
          <w:sz w:val="24"/>
          <w:szCs w:val="24"/>
          <w:lang w:eastAsia="zh-CN"/>
        </w:rPr>
        <w:t>式中：E</w:t>
      </w:r>
      <w:r>
        <w:rPr>
          <w:rFonts w:hint="eastAsia"/>
          <w:sz w:val="24"/>
          <w:szCs w:val="24"/>
          <w:vertAlign w:val="subscript"/>
          <w:lang w:eastAsia="zh-CN"/>
        </w:rPr>
        <w:t>O</w:t>
      </w:r>
      <w:r>
        <w:rPr>
          <w:rFonts w:hint="eastAsia"/>
          <w:sz w:val="24"/>
          <w:szCs w:val="24"/>
          <w:lang w:eastAsia="zh-CN"/>
        </w:rPr>
        <w:t>——环保建设投资，万元</w:t>
      </w:r>
    </w:p>
    <w:p>
      <w:pPr>
        <w:spacing w:line="360" w:lineRule="auto"/>
        <w:ind w:firstLine="1200" w:firstLineChars="500"/>
        <w:rPr>
          <w:sz w:val="24"/>
          <w:szCs w:val="24"/>
          <w:lang w:eastAsia="zh-CN"/>
        </w:rPr>
      </w:pPr>
      <w:r>
        <w:rPr>
          <w:rFonts w:hint="eastAsia"/>
          <w:sz w:val="24"/>
          <w:szCs w:val="24"/>
          <w:lang w:eastAsia="zh-CN"/>
        </w:rPr>
        <w:t>E</w:t>
      </w:r>
      <w:r>
        <w:rPr>
          <w:rFonts w:hint="eastAsia"/>
          <w:sz w:val="24"/>
          <w:szCs w:val="24"/>
          <w:vertAlign w:val="subscript"/>
          <w:lang w:eastAsia="zh-CN"/>
        </w:rPr>
        <w:t>R</w:t>
      </w:r>
      <w:r>
        <w:rPr>
          <w:rFonts w:hint="eastAsia"/>
          <w:sz w:val="24"/>
          <w:szCs w:val="24"/>
          <w:lang w:eastAsia="zh-CN"/>
        </w:rPr>
        <w:t>——企业建设总投资，万元</w:t>
      </w:r>
    </w:p>
    <w:p>
      <w:pPr>
        <w:spacing w:after="0" w:line="360" w:lineRule="auto"/>
        <w:ind w:firstLine="480" w:firstLineChars="200"/>
        <w:rPr>
          <w:sz w:val="24"/>
          <w:szCs w:val="24"/>
          <w:lang w:eastAsia="zh-CN"/>
        </w:rPr>
      </w:pPr>
      <w:r>
        <w:rPr>
          <w:rFonts w:hint="eastAsia"/>
          <w:sz w:val="24"/>
          <w:szCs w:val="24"/>
          <w:lang w:eastAsia="zh-CN"/>
        </w:rPr>
        <w:t>工程总投资（静态）约290万元，均属环保投资。本工程大幅度地减少了污泥外排量，减轻了对周围环境的影响，因此总的来说，该项目的环保投资比例系数是合适的。</w:t>
      </w:r>
    </w:p>
    <w:p>
      <w:pPr>
        <w:spacing w:after="0" w:line="360" w:lineRule="auto"/>
        <w:rPr>
          <w:b/>
          <w:sz w:val="24"/>
          <w:szCs w:val="24"/>
          <w:lang w:eastAsia="zh-CN"/>
        </w:rPr>
      </w:pPr>
    </w:p>
    <w:p>
      <w:pPr>
        <w:spacing w:after="0" w:line="360" w:lineRule="auto"/>
        <w:ind w:firstLine="482" w:firstLineChars="200"/>
        <w:rPr>
          <w:b/>
          <w:sz w:val="24"/>
          <w:szCs w:val="24"/>
          <w:lang w:eastAsia="zh-CN"/>
        </w:rPr>
      </w:pPr>
      <w:r>
        <w:rPr>
          <w:b/>
          <w:sz w:val="24"/>
          <w:szCs w:val="24"/>
        </w:rPr>
        <w:fldChar w:fldCharType="begin"/>
      </w:r>
      <w:r>
        <w:rPr>
          <w:rFonts w:hint="eastAsia"/>
          <w:b/>
          <w:sz w:val="24"/>
          <w:szCs w:val="24"/>
          <w:lang w:eastAsia="zh-CN"/>
        </w:rPr>
        <w:instrText xml:space="preserve">= 2 \* GB2</w:instrText>
      </w:r>
      <w:r>
        <w:rPr>
          <w:b/>
          <w:sz w:val="24"/>
          <w:szCs w:val="24"/>
        </w:rPr>
        <w:fldChar w:fldCharType="separate"/>
      </w:r>
      <w:r>
        <w:rPr>
          <w:rFonts w:hint="eastAsia"/>
          <w:b/>
          <w:sz w:val="24"/>
          <w:szCs w:val="24"/>
          <w:lang w:eastAsia="zh-CN"/>
        </w:rPr>
        <w:t>⑵</w:t>
      </w:r>
      <w:r>
        <w:rPr>
          <w:b/>
          <w:sz w:val="24"/>
          <w:szCs w:val="24"/>
        </w:rPr>
        <w:fldChar w:fldCharType="end"/>
      </w:r>
      <w:r>
        <w:rPr>
          <w:rFonts w:hint="eastAsia"/>
          <w:b/>
          <w:sz w:val="24"/>
          <w:szCs w:val="24"/>
          <w:lang w:eastAsia="zh-CN"/>
        </w:rPr>
        <w:t>环境经济效益系数</w:t>
      </w:r>
    </w:p>
    <w:p>
      <w:pPr>
        <w:spacing w:after="0" w:line="360" w:lineRule="auto"/>
        <w:ind w:firstLine="480" w:firstLineChars="200"/>
        <w:rPr>
          <w:sz w:val="24"/>
          <w:szCs w:val="24"/>
          <w:lang w:eastAsia="zh-CN"/>
        </w:rPr>
      </w:pPr>
      <w:r>
        <w:rPr>
          <w:rFonts w:hint="eastAsia"/>
          <w:sz w:val="24"/>
          <w:szCs w:val="24"/>
          <w:lang w:eastAsia="zh-CN"/>
        </w:rPr>
        <w:t>环境经济效益系数J x 是指因有效的环境保护措施而挽回的经济价值与环境保护费用之比，其表达式为：</w:t>
      </w:r>
    </w:p>
    <w:p>
      <w:pPr>
        <w:spacing w:line="360" w:lineRule="auto"/>
        <w:jc w:val="center"/>
        <w:rPr>
          <w:sz w:val="24"/>
          <w:szCs w:val="24"/>
          <w:lang w:eastAsia="zh-CN"/>
        </w:rPr>
      </w:pPr>
      <w:r>
        <w:rPr>
          <w:sz w:val="24"/>
          <w:szCs w:val="24"/>
          <w:lang w:eastAsia="zh-CN"/>
        </w:rPr>
        <w:t>Jx =Ei/Ez</w:t>
      </w:r>
    </w:p>
    <w:p>
      <w:pPr>
        <w:spacing w:after="0" w:line="360" w:lineRule="auto"/>
        <w:ind w:firstLine="480" w:firstLineChars="200"/>
        <w:rPr>
          <w:sz w:val="24"/>
          <w:szCs w:val="24"/>
          <w:lang w:eastAsia="zh-CN"/>
        </w:rPr>
      </w:pPr>
      <w:r>
        <w:rPr>
          <w:rFonts w:hint="eastAsia"/>
          <w:sz w:val="24"/>
          <w:szCs w:val="24"/>
          <w:lang w:eastAsia="zh-CN"/>
        </w:rPr>
        <w:t>式中：Ei——每年环保措施挽回的经济效益，万元</w:t>
      </w:r>
    </w:p>
    <w:p>
      <w:pPr>
        <w:spacing w:after="0" w:line="360" w:lineRule="auto"/>
        <w:ind w:firstLine="1200" w:firstLineChars="500"/>
        <w:rPr>
          <w:sz w:val="24"/>
          <w:szCs w:val="24"/>
          <w:lang w:eastAsia="zh-CN"/>
        </w:rPr>
      </w:pPr>
      <w:r>
        <w:rPr>
          <w:rFonts w:hint="eastAsia"/>
          <w:sz w:val="24"/>
          <w:szCs w:val="24"/>
          <w:lang w:eastAsia="zh-CN"/>
        </w:rPr>
        <w:t>Ez——年环保运行费用，万元</w:t>
      </w:r>
    </w:p>
    <w:p>
      <w:pPr>
        <w:spacing w:after="0" w:line="360" w:lineRule="auto"/>
        <w:ind w:firstLine="480" w:firstLineChars="200"/>
        <w:rPr>
          <w:sz w:val="24"/>
          <w:szCs w:val="24"/>
          <w:lang w:eastAsia="zh-CN"/>
        </w:rPr>
      </w:pPr>
      <w:r>
        <w:rPr>
          <w:rFonts w:hint="eastAsia"/>
          <w:sz w:val="24"/>
          <w:szCs w:val="24"/>
          <w:lang w:eastAsia="zh-CN"/>
        </w:rPr>
        <w:t>工程每年环境经济效益为782万元，年环保运行费用为170万元，则环境经济效益系数为4.6。项目风险较小，经济效益明显。</w:t>
      </w:r>
    </w:p>
    <w:p>
      <w:pPr>
        <w:pStyle w:val="4"/>
        <w:spacing w:before="0" w:after="0" w:line="360" w:lineRule="auto"/>
        <w:jc w:val="center"/>
        <w:rPr>
          <w:rFonts w:eastAsia="宋体"/>
          <w:szCs w:val="44"/>
          <w:lang w:eastAsia="zh-CN"/>
        </w:rPr>
      </w:pPr>
    </w:p>
    <w:bookmarkEnd w:id="897"/>
    <w:bookmarkEnd w:id="898"/>
    <w:p>
      <w:pPr>
        <w:pStyle w:val="4"/>
        <w:spacing w:before="0" w:after="0" w:line="360" w:lineRule="auto"/>
        <w:jc w:val="center"/>
        <w:rPr>
          <w:rFonts w:eastAsia="宋体"/>
          <w:sz w:val="36"/>
          <w:szCs w:val="36"/>
          <w:lang w:eastAsia="zh-CN"/>
        </w:rPr>
      </w:pPr>
      <w:bookmarkStart w:id="955" w:name="_Toc22198347"/>
      <w:bookmarkStart w:id="956" w:name="_Toc22198556"/>
      <w:bookmarkStart w:id="957" w:name="_Toc21814381"/>
      <w:bookmarkStart w:id="958" w:name="_Toc22151013"/>
      <w:bookmarkStart w:id="959" w:name="_Toc21815036"/>
      <w:bookmarkStart w:id="960" w:name="_Toc22199709"/>
      <w:bookmarkStart w:id="961" w:name="_Toc22198453"/>
      <w:bookmarkStart w:id="962" w:name="_Toc22151190"/>
      <w:bookmarkStart w:id="963" w:name="_Toc21814249"/>
      <w:bookmarkStart w:id="964" w:name="_Toc21814428"/>
      <w:bookmarkStart w:id="965" w:name="_Toc22198852"/>
      <w:bookmarkStart w:id="966" w:name="_Toc22199218"/>
      <w:bookmarkStart w:id="967" w:name="_Toc22198229"/>
      <w:bookmarkStart w:id="968" w:name="_Toc22200353"/>
      <w:bookmarkStart w:id="969" w:name="_Toc22201019"/>
    </w:p>
    <w:p>
      <w:pPr>
        <w:pStyle w:val="4"/>
        <w:spacing w:before="0" w:after="0" w:line="360" w:lineRule="auto"/>
        <w:jc w:val="center"/>
        <w:rPr>
          <w:rFonts w:eastAsia="宋体"/>
          <w:sz w:val="36"/>
          <w:szCs w:val="36"/>
          <w:lang w:eastAsia="zh-CN"/>
        </w:rPr>
      </w:pPr>
    </w:p>
    <w:p>
      <w:pPr>
        <w:pStyle w:val="4"/>
        <w:spacing w:before="0" w:after="0" w:line="360" w:lineRule="auto"/>
        <w:jc w:val="center"/>
        <w:rPr>
          <w:rFonts w:eastAsia="宋体"/>
          <w:sz w:val="36"/>
          <w:szCs w:val="36"/>
          <w:lang w:eastAsia="zh-CN"/>
        </w:rPr>
      </w:pPr>
      <w:bookmarkStart w:id="970" w:name="_Toc22202075"/>
      <w:bookmarkStart w:id="971" w:name="_Toc22202793"/>
      <w:bookmarkStart w:id="972" w:name="_Toc22202375"/>
    </w:p>
    <w:p>
      <w:pPr>
        <w:pStyle w:val="4"/>
        <w:spacing w:before="0" w:after="0" w:line="360" w:lineRule="auto"/>
        <w:jc w:val="center"/>
        <w:rPr>
          <w:rFonts w:eastAsia="宋体"/>
          <w:sz w:val="36"/>
          <w:szCs w:val="36"/>
          <w:lang w:eastAsia="zh-CN"/>
        </w:rPr>
      </w:pPr>
    </w:p>
    <w:p>
      <w:pPr>
        <w:spacing w:after="0" w:line="360" w:lineRule="auto"/>
        <w:ind w:firstLine="465"/>
        <w:jc w:val="center"/>
        <w:rPr>
          <w:rFonts w:ascii="宋体" w:hAnsi="宋体"/>
          <w:b/>
          <w:sz w:val="44"/>
          <w:szCs w:val="44"/>
          <w:lang w:eastAsia="zh-CN"/>
        </w:rPr>
      </w:pPr>
      <w:bookmarkStart w:id="973" w:name="_Toc24969802"/>
    </w:p>
    <w:p>
      <w:pPr>
        <w:spacing w:after="0" w:line="360" w:lineRule="auto"/>
        <w:ind w:firstLine="465"/>
        <w:jc w:val="center"/>
        <w:rPr>
          <w:rFonts w:ascii="宋体" w:hAnsi="宋体"/>
          <w:b/>
          <w:sz w:val="44"/>
          <w:szCs w:val="44"/>
          <w:lang w:eastAsia="zh-CN"/>
        </w:rPr>
      </w:pPr>
    </w:p>
    <w:p>
      <w:pPr>
        <w:spacing w:after="0" w:line="360" w:lineRule="auto"/>
        <w:ind w:firstLine="465"/>
        <w:jc w:val="center"/>
        <w:rPr>
          <w:rFonts w:ascii="宋体" w:hAnsi="宋体"/>
          <w:b/>
          <w:sz w:val="44"/>
          <w:szCs w:val="44"/>
          <w:lang w:eastAsia="zh-CN"/>
        </w:rPr>
      </w:pPr>
    </w:p>
    <w:p>
      <w:pPr>
        <w:spacing w:after="0" w:line="360" w:lineRule="auto"/>
        <w:jc w:val="center"/>
        <w:rPr>
          <w:rFonts w:ascii="宋体" w:hAnsi="宋体"/>
          <w:b/>
          <w:sz w:val="44"/>
          <w:szCs w:val="44"/>
          <w:lang w:eastAsia="zh-CN"/>
        </w:rPr>
      </w:pPr>
      <w:r>
        <w:rPr>
          <w:rFonts w:hint="eastAsia" w:ascii="宋体" w:hAnsi="宋体"/>
          <w:b/>
          <w:sz w:val="44"/>
          <w:szCs w:val="44"/>
          <w:lang w:eastAsia="zh-CN"/>
        </w:rPr>
        <w:t>10.环境管理与环境监测</w:t>
      </w:r>
      <w:bookmarkEnd w:id="899"/>
      <w:bookmarkEnd w:id="900"/>
      <w:bookmarkEnd w:id="901"/>
      <w:bookmarkEnd w:id="902"/>
      <w:bookmarkEnd w:id="903"/>
      <w:bookmarkEnd w:id="90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974" w:name="_Toc22202794"/>
      <w:bookmarkStart w:id="975" w:name="_Toc22202376"/>
      <w:bookmarkStart w:id="976" w:name="_Toc22201020"/>
      <w:bookmarkStart w:id="977" w:name="_Toc22202076"/>
      <w:bookmarkStart w:id="978" w:name="_Toc22199710"/>
      <w:bookmarkStart w:id="979" w:name="_Toc22199219"/>
      <w:bookmarkStart w:id="980" w:name="_Toc22200354"/>
      <w:bookmarkStart w:id="981" w:name="_Toc22198853"/>
      <w:bookmarkStart w:id="982" w:name="_Toc22198454"/>
      <w:bookmarkStart w:id="983" w:name="_Toc22198557"/>
      <w:bookmarkStart w:id="984" w:name="_Toc22198348"/>
      <w:bookmarkStart w:id="985" w:name="_Toc22151191"/>
      <w:bookmarkStart w:id="986" w:name="_Toc22151014"/>
      <w:bookmarkStart w:id="987" w:name="_Toc22198230"/>
      <w:bookmarkStart w:id="988" w:name="_Toc21814429"/>
      <w:bookmarkStart w:id="989" w:name="_Toc21815037"/>
      <w:bookmarkStart w:id="990" w:name="_Toc21814382"/>
      <w:bookmarkStart w:id="991" w:name="_Toc5506"/>
      <w:bookmarkStart w:id="992" w:name="_Toc486403406"/>
      <w:bookmarkStart w:id="993" w:name="_Toc27886"/>
      <w:bookmarkStart w:id="994" w:name="_Toc734"/>
      <w:bookmarkStart w:id="995" w:name="_Toc6311"/>
      <w:bookmarkStart w:id="996" w:name="_Toc31335"/>
      <w:bookmarkStart w:id="997" w:name="_Toc267946334"/>
      <w:bookmarkStart w:id="998" w:name="_Toc484073545"/>
      <w:bookmarkStart w:id="999" w:name="_Toc374013237"/>
      <w:bookmarkStart w:id="1000" w:name="_Toc21814250"/>
      <w:bookmarkStart w:id="1001" w:name="_Toc24969803"/>
      <w:r>
        <w:rPr>
          <w:rFonts w:hint="eastAsia" w:ascii="宋体" w:hAnsi="宋体" w:eastAsia="宋体"/>
          <w:color w:val="000000" w:themeColor="text1"/>
          <w:lang w:eastAsia="zh-CN"/>
        </w:rPr>
        <w:t>10</w:t>
      </w:r>
      <w:r>
        <w:rPr>
          <w:rFonts w:ascii="宋体" w:hAnsi="宋体" w:eastAsia="宋体"/>
          <w:color w:val="000000" w:themeColor="text1"/>
          <w:lang w:eastAsia="zh-CN"/>
        </w:rPr>
        <w:t>.1环境管理</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spacing w:after="0" w:line="360" w:lineRule="auto"/>
        <w:ind w:firstLine="510"/>
        <w:rPr>
          <w:sz w:val="24"/>
          <w:szCs w:val="24"/>
          <w:lang w:eastAsia="zh-CN"/>
        </w:rPr>
      </w:pPr>
      <w:r>
        <w:rPr>
          <w:sz w:val="24"/>
          <w:szCs w:val="24"/>
          <w:lang w:eastAsia="zh-CN"/>
        </w:rPr>
        <w:t>本工程属于</w:t>
      </w:r>
      <w:r>
        <w:rPr>
          <w:rFonts w:hint="eastAsia"/>
          <w:sz w:val="24"/>
          <w:szCs w:val="24"/>
          <w:lang w:eastAsia="zh-CN"/>
        </w:rPr>
        <w:t>技术研发</w:t>
      </w:r>
      <w:r>
        <w:rPr>
          <w:sz w:val="24"/>
          <w:szCs w:val="24"/>
          <w:lang w:eastAsia="zh-CN"/>
        </w:rPr>
        <w:t>项目，</w:t>
      </w:r>
      <w:r>
        <w:rPr>
          <w:rFonts w:hint="eastAsia"/>
          <w:sz w:val="24"/>
          <w:szCs w:val="24"/>
          <w:lang w:eastAsia="zh-CN"/>
        </w:rPr>
        <w:t>位于华能岳阳电厂厂区内。该公司</w:t>
      </w:r>
      <w:r>
        <w:rPr>
          <w:sz w:val="24"/>
          <w:szCs w:val="24"/>
          <w:lang w:eastAsia="zh-CN"/>
        </w:rPr>
        <w:t>已有环境管理机构（安全环保处），受分管经理直接领导，同时也接受地方环境保护主管部门的监督和检查。环境管理机构的基本任务是负责组织、落实、监督本企业的环保工作，其主要职责如下：</w:t>
      </w:r>
    </w:p>
    <w:p>
      <w:pPr>
        <w:spacing w:after="0" w:line="360" w:lineRule="auto"/>
        <w:ind w:firstLine="510"/>
        <w:rPr>
          <w:sz w:val="24"/>
          <w:szCs w:val="24"/>
          <w:lang w:eastAsia="zh-CN"/>
        </w:rPr>
      </w:pPr>
      <w:r>
        <w:rPr>
          <w:sz w:val="24"/>
          <w:szCs w:val="24"/>
          <w:lang w:eastAsia="zh-CN"/>
        </w:rPr>
        <w:t>（1）贯彻执行环境保护法规和标准，建立健全本单位的环境保护工作规章制度并监督执行，明确环保责任制及其奖惩办法。</w:t>
      </w:r>
    </w:p>
    <w:p>
      <w:pPr>
        <w:spacing w:after="0" w:line="360" w:lineRule="auto"/>
        <w:ind w:firstLine="510"/>
        <w:rPr>
          <w:sz w:val="24"/>
          <w:szCs w:val="24"/>
          <w:lang w:eastAsia="zh-CN"/>
        </w:rPr>
      </w:pPr>
      <w:r>
        <w:rPr>
          <w:sz w:val="24"/>
          <w:szCs w:val="24"/>
          <w:lang w:eastAsia="zh-CN"/>
        </w:rPr>
        <w:t>（2）确定本厂的环境目标管理，对各车间、部门及操作岗位进行监督与考核。</w:t>
      </w:r>
    </w:p>
    <w:p>
      <w:pPr>
        <w:spacing w:after="0" w:line="360" w:lineRule="auto"/>
        <w:ind w:firstLine="510"/>
        <w:rPr>
          <w:rFonts w:asciiTheme="majorHAnsi" w:hAnsiTheme="majorHAnsi" w:cstheme="majorBidi"/>
          <w:bCs/>
          <w:color w:val="000000" w:themeColor="text1"/>
          <w:sz w:val="24"/>
          <w:szCs w:val="24"/>
          <w:lang w:eastAsia="zh-CN"/>
        </w:rPr>
      </w:pPr>
      <w:r>
        <w:rPr>
          <w:sz w:val="24"/>
          <w:szCs w:val="24"/>
          <w:lang w:eastAsia="zh-CN"/>
        </w:rPr>
        <w:t>（3）建立健全环保档案，包括环评报告、环保工程验收报告、污染源监测报告、</w:t>
      </w:r>
      <w:r>
        <w:rPr>
          <w:rFonts w:asciiTheme="majorHAnsi" w:hAnsiTheme="majorHAnsi" w:cstheme="majorBidi"/>
          <w:bCs/>
          <w:color w:val="000000" w:themeColor="text1"/>
          <w:sz w:val="24"/>
          <w:szCs w:val="24"/>
          <w:lang w:eastAsia="zh-CN"/>
        </w:rPr>
        <w:t>环保设备及运行记录，做好环境统计、环境监测报表及其它环保资料的上报和保存。</w:t>
      </w:r>
    </w:p>
    <w:p>
      <w:pPr>
        <w:spacing w:after="0" w:line="360" w:lineRule="auto"/>
        <w:ind w:firstLine="510"/>
        <w:rPr>
          <w:sz w:val="24"/>
          <w:szCs w:val="24"/>
          <w:lang w:eastAsia="zh-CN"/>
        </w:rPr>
      </w:pPr>
      <w:r>
        <w:rPr>
          <w:sz w:val="24"/>
          <w:szCs w:val="24"/>
          <w:lang w:eastAsia="zh-CN"/>
        </w:rPr>
        <w:t>（4）收集有关污染物排放标准、环保法规、环保技术资料。</w:t>
      </w:r>
    </w:p>
    <w:p>
      <w:pPr>
        <w:spacing w:after="0" w:line="360" w:lineRule="auto"/>
        <w:ind w:firstLine="510"/>
        <w:rPr>
          <w:sz w:val="24"/>
          <w:szCs w:val="24"/>
          <w:lang w:eastAsia="zh-CN"/>
        </w:rPr>
      </w:pPr>
      <w:r>
        <w:rPr>
          <w:sz w:val="24"/>
          <w:szCs w:val="24"/>
          <w:lang w:eastAsia="zh-CN"/>
        </w:rPr>
        <w:t>（5）把污染源监督和“三废”排放纳入日常管理工作，并落实到车间、班组和岗位。</w:t>
      </w:r>
    </w:p>
    <w:p>
      <w:pPr>
        <w:spacing w:after="0" w:line="360" w:lineRule="auto"/>
        <w:ind w:firstLine="510"/>
        <w:rPr>
          <w:sz w:val="24"/>
          <w:szCs w:val="24"/>
          <w:lang w:eastAsia="zh-CN"/>
        </w:rPr>
      </w:pPr>
      <w:r>
        <w:rPr>
          <w:sz w:val="24"/>
          <w:szCs w:val="24"/>
          <w:lang w:eastAsia="zh-CN"/>
        </w:rPr>
        <w:t>（6</w:t>
      </w:r>
      <w:r>
        <w:rPr>
          <w:color w:val="000000" w:themeColor="text1"/>
          <w:sz w:val="26"/>
          <w:szCs w:val="26"/>
          <w:lang w:eastAsia="zh-CN"/>
        </w:rPr>
        <w:t>）</w:t>
      </w:r>
      <w:r>
        <w:rPr>
          <w:sz w:val="24"/>
          <w:szCs w:val="24"/>
          <w:lang w:eastAsia="zh-CN"/>
        </w:rPr>
        <w:t>搞好环保设施与生产主体设备的协调管理，使污染防治设施的完好率、运行率与生产主体设备相适应，并与主体设备同时运行和检修，污染防治设施发生故障时，要及时采取补救措施，防治污染事故的扩大和蔓延。</w:t>
      </w:r>
    </w:p>
    <w:p>
      <w:pPr>
        <w:spacing w:after="0" w:line="360" w:lineRule="auto"/>
        <w:ind w:firstLine="510"/>
        <w:rPr>
          <w:sz w:val="24"/>
          <w:szCs w:val="24"/>
          <w:lang w:eastAsia="zh-CN"/>
        </w:rPr>
      </w:pPr>
      <w:r>
        <w:rPr>
          <w:sz w:val="24"/>
          <w:szCs w:val="24"/>
          <w:lang w:eastAsia="zh-CN"/>
        </w:rPr>
        <w:t>（7）负责组织突发性污染事故的善后处理，追查事故原因及事故隐患。</w:t>
      </w:r>
    </w:p>
    <w:p>
      <w:pPr>
        <w:spacing w:after="0" w:line="360" w:lineRule="auto"/>
        <w:ind w:firstLine="510"/>
        <w:rPr>
          <w:sz w:val="24"/>
          <w:szCs w:val="24"/>
          <w:lang w:eastAsia="zh-CN"/>
        </w:rPr>
      </w:pPr>
      <w:r>
        <w:rPr>
          <w:sz w:val="24"/>
          <w:szCs w:val="24"/>
          <w:lang w:eastAsia="zh-CN"/>
        </w:rPr>
        <w:t>（8）除完成厂内有关环境保护工作外，还应接受政府环保部门的检查监督，并按要求上报各项管理工作执行情况,贯彻落实有关环保法规和规定。</w:t>
      </w:r>
    </w:p>
    <w:p>
      <w:pPr>
        <w:spacing w:after="0" w:line="360" w:lineRule="auto"/>
        <w:ind w:firstLine="510"/>
        <w:rPr>
          <w:sz w:val="24"/>
          <w:szCs w:val="24"/>
          <w:lang w:eastAsia="zh-CN"/>
        </w:rPr>
      </w:pPr>
      <w:r>
        <w:rPr>
          <w:sz w:val="24"/>
          <w:szCs w:val="24"/>
          <w:lang w:eastAsia="zh-CN"/>
        </w:rPr>
        <w:t>（9）配合搞好固体废物的综合利用、清洁生产以及污染物排放总量控制。</w:t>
      </w:r>
    </w:p>
    <w:p>
      <w:pPr>
        <w:spacing w:after="0" w:line="360" w:lineRule="auto"/>
        <w:ind w:firstLine="510"/>
        <w:rPr>
          <w:sz w:val="24"/>
          <w:szCs w:val="24"/>
          <w:lang w:eastAsia="zh-CN"/>
        </w:rPr>
      </w:pPr>
      <w:r>
        <w:rPr>
          <w:sz w:val="24"/>
          <w:szCs w:val="24"/>
          <w:lang w:eastAsia="zh-CN"/>
        </w:rPr>
        <w:t>（10）加强企业干部职工环境知识的教育与宣传，在教育中增加环保方针、政策、法规等内容，在科普教育中列进环保内容，教育干部职工树立安全文明生产，遵纪守法的良好习惯和保护环境、造福于周边百姓的责任心。</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002" w:name="_Toc24969804"/>
      <w:r>
        <w:rPr>
          <w:rFonts w:hint="eastAsia" w:ascii="宋体" w:hAnsi="宋体" w:eastAsia="宋体"/>
          <w:color w:val="000000" w:themeColor="text1"/>
          <w:lang w:eastAsia="zh-CN"/>
        </w:rPr>
        <w:t>10.2污染物总量控制指标分析</w:t>
      </w:r>
      <w:bookmarkEnd w:id="1002"/>
    </w:p>
    <w:p>
      <w:pPr>
        <w:spacing w:after="0" w:line="360" w:lineRule="auto"/>
        <w:rPr>
          <w:sz w:val="24"/>
          <w:szCs w:val="24"/>
          <w:lang w:eastAsia="zh-CN"/>
        </w:rPr>
      </w:pPr>
      <w:r>
        <w:rPr>
          <w:rFonts w:hint="eastAsia"/>
          <w:lang w:eastAsia="zh-CN"/>
        </w:rPr>
        <w:t xml:space="preserve">          </w:t>
      </w:r>
      <w:r>
        <w:rPr>
          <w:sz w:val="24"/>
          <w:szCs w:val="24"/>
          <w:lang w:eastAsia="zh-CN"/>
        </w:rPr>
        <w:t>本</w:t>
      </w:r>
      <w:r>
        <w:rPr>
          <w:rFonts w:hint="eastAsia"/>
          <w:sz w:val="24"/>
          <w:szCs w:val="24"/>
          <w:lang w:eastAsia="zh-CN"/>
        </w:rPr>
        <w:t>项目是研究污泥及生物质干燥炭化输送一体化的工艺参数及污泥及生物质干燥炭化输送一体化设备的结构和关键尺寸参数的试验装置</w:t>
      </w:r>
      <w:r>
        <w:rPr>
          <w:sz w:val="24"/>
          <w:szCs w:val="24"/>
          <w:lang w:eastAsia="zh-CN"/>
        </w:rPr>
        <w:t>，</w:t>
      </w:r>
      <w:r>
        <w:rPr>
          <w:rFonts w:hint="eastAsia"/>
          <w:sz w:val="24"/>
          <w:szCs w:val="24"/>
          <w:lang w:eastAsia="zh-CN"/>
        </w:rPr>
        <w:t>掺烧污泥时年新增烟气量2596万 N m</w:t>
      </w:r>
      <w:r>
        <w:rPr>
          <w:rFonts w:hint="eastAsia"/>
          <w:sz w:val="24"/>
          <w:szCs w:val="24"/>
          <w:vertAlign w:val="superscript"/>
          <w:lang w:eastAsia="zh-CN"/>
        </w:rPr>
        <w:t>3</w:t>
      </w:r>
      <w:r>
        <w:rPr>
          <w:rFonts w:hint="eastAsia"/>
          <w:sz w:val="24"/>
          <w:szCs w:val="24"/>
          <w:lang w:eastAsia="zh-CN"/>
        </w:rPr>
        <w:t>，年新增二氧化硫、氮氧化物、颗粒物排放量分别为：0.5吨、2.5吨、0.4吨。掺烧生物质时年新增烟气量1043万 N m</w:t>
      </w:r>
      <w:r>
        <w:rPr>
          <w:rFonts w:hint="eastAsia"/>
          <w:sz w:val="24"/>
          <w:szCs w:val="24"/>
          <w:vertAlign w:val="superscript"/>
          <w:lang w:eastAsia="zh-CN"/>
        </w:rPr>
        <w:t>3</w:t>
      </w:r>
      <w:r>
        <w:rPr>
          <w:rFonts w:hint="eastAsia"/>
          <w:sz w:val="24"/>
          <w:szCs w:val="24"/>
          <w:lang w:eastAsia="zh-CN"/>
        </w:rPr>
        <w:t>；年新增二氧化硫、氮氧化物、颗粒物排放量分别为：0.1吨、0.3吨、0.3吨。华能岳阳电厂排污许可证拥有主要污染物排放总量指标二氧化硫：8011吨/年，氮氧化物：6123吨/年，烟尘：1202吨/年。华能岳阳电厂2018年主要污染物排放情况二氧化硫584.86吨，氮氧化物1028.03吨，烟尘：80.19吨，均远低于总量控制指标，</w:t>
      </w:r>
      <w:r>
        <w:rPr>
          <w:sz w:val="24"/>
          <w:szCs w:val="24"/>
          <w:lang w:eastAsia="zh-CN"/>
        </w:rPr>
        <w:t>不需要新申请总量。</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003" w:name="_Toc22198854"/>
      <w:bookmarkStart w:id="1004" w:name="_Toc22198558"/>
      <w:bookmarkStart w:id="1005" w:name="_Toc22199220"/>
      <w:bookmarkStart w:id="1006" w:name="_Toc22199711"/>
      <w:bookmarkStart w:id="1007" w:name="_Toc22200355"/>
      <w:bookmarkStart w:id="1008" w:name="_Toc22202795"/>
      <w:bookmarkStart w:id="1009" w:name="_Toc22202077"/>
      <w:bookmarkStart w:id="1010" w:name="_Toc22202377"/>
      <w:bookmarkStart w:id="1011" w:name="_Toc22201021"/>
      <w:bookmarkStart w:id="1012" w:name="_Toc22151192"/>
      <w:bookmarkStart w:id="1013" w:name="_Toc22198231"/>
      <w:bookmarkStart w:id="1014" w:name="_Toc22198349"/>
      <w:bookmarkStart w:id="1015" w:name="_Toc22198455"/>
      <w:bookmarkStart w:id="1016" w:name="_Toc21815038"/>
      <w:bookmarkStart w:id="1017" w:name="_Toc22151015"/>
      <w:bookmarkStart w:id="1018" w:name="_Toc21814430"/>
      <w:bookmarkStart w:id="1019" w:name="_Toc21814383"/>
      <w:bookmarkStart w:id="1020" w:name="_Toc21814251"/>
      <w:bookmarkStart w:id="1021" w:name="_Toc267946337"/>
      <w:bookmarkStart w:id="1022" w:name="_Toc484073548"/>
      <w:bookmarkStart w:id="1023" w:name="_Toc147370051"/>
      <w:bookmarkStart w:id="1024" w:name="_Toc374013240"/>
      <w:bookmarkStart w:id="1025" w:name="_Toc11399"/>
      <w:bookmarkStart w:id="1026" w:name="_Toc15966"/>
      <w:bookmarkStart w:id="1027" w:name="_Toc3919"/>
      <w:bookmarkStart w:id="1028" w:name="_Toc486403407"/>
      <w:bookmarkStart w:id="1029" w:name="_Toc6165"/>
      <w:bookmarkStart w:id="1030" w:name="_Toc13440"/>
      <w:bookmarkStart w:id="1031" w:name="_Toc24969805"/>
      <w:r>
        <w:rPr>
          <w:rFonts w:hint="eastAsia" w:ascii="宋体" w:hAnsi="宋体" w:eastAsia="宋体"/>
          <w:color w:val="000000" w:themeColor="text1"/>
          <w:lang w:eastAsia="zh-CN"/>
        </w:rPr>
        <w:t>10</w:t>
      </w:r>
      <w:r>
        <w:rPr>
          <w:rFonts w:ascii="宋体" w:hAnsi="宋体" w:eastAsia="宋体"/>
          <w:color w:val="000000" w:themeColor="text1"/>
          <w:lang w:eastAsia="zh-CN"/>
        </w:rPr>
        <w:t>.</w:t>
      </w:r>
      <w:r>
        <w:rPr>
          <w:rFonts w:hint="eastAsia" w:ascii="宋体" w:hAnsi="宋体" w:eastAsia="宋体"/>
          <w:color w:val="000000" w:themeColor="text1"/>
          <w:lang w:eastAsia="zh-CN"/>
        </w:rPr>
        <w:t>3</w:t>
      </w:r>
      <w:r>
        <w:rPr>
          <w:rFonts w:ascii="宋体" w:hAnsi="宋体" w:eastAsia="宋体"/>
          <w:color w:val="000000" w:themeColor="text1"/>
          <w:lang w:eastAsia="zh-CN"/>
        </w:rPr>
        <w:t>环境监测计划</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spacing w:line="360" w:lineRule="auto"/>
        <w:ind w:firstLine="510"/>
        <w:rPr>
          <w:sz w:val="24"/>
          <w:szCs w:val="24"/>
          <w:lang w:eastAsia="zh-CN"/>
        </w:rPr>
      </w:pPr>
      <w:r>
        <w:rPr>
          <w:sz w:val="24"/>
          <w:szCs w:val="24"/>
          <w:lang w:eastAsia="zh-CN"/>
        </w:rPr>
        <w:t>为了</w:t>
      </w:r>
      <w:r>
        <w:rPr>
          <w:rFonts w:hint="eastAsia"/>
          <w:sz w:val="24"/>
          <w:szCs w:val="24"/>
          <w:lang w:eastAsia="zh-CN"/>
        </w:rPr>
        <w:t>项目</w:t>
      </w:r>
      <w:r>
        <w:rPr>
          <w:sz w:val="24"/>
          <w:szCs w:val="24"/>
          <w:lang w:eastAsia="zh-CN"/>
        </w:rPr>
        <w:t>运行过程各种排污行为能够实现达标排放，不对周边环境造成明显的不利影响，故必须制定污染源监测和环境质量监控计划，对本项目处理设施和环境敏感点进行监测，确保环境质量不因本项目建设而恶化。</w:t>
      </w:r>
    </w:p>
    <w:p>
      <w:pPr>
        <w:spacing w:line="360" w:lineRule="auto"/>
        <w:ind w:firstLine="510"/>
        <w:rPr>
          <w:sz w:val="24"/>
          <w:szCs w:val="24"/>
          <w:lang w:eastAsia="zh-CN"/>
        </w:rPr>
      </w:pPr>
      <w:r>
        <w:rPr>
          <w:rFonts w:hint="eastAsia"/>
          <w:sz w:val="24"/>
          <w:szCs w:val="24"/>
          <w:lang w:eastAsia="zh-CN"/>
        </w:rPr>
        <w:t>西安西热锅炉环保工程有限公司对本项目的</w:t>
      </w:r>
      <w:r>
        <w:rPr>
          <w:sz w:val="24"/>
          <w:szCs w:val="24"/>
          <w:lang w:eastAsia="zh-CN"/>
        </w:rPr>
        <w:t>环保管理及监测除执行国家、地方及集团公司的法律、制度、规定、标准外还要执行</w:t>
      </w:r>
      <w:r>
        <w:rPr>
          <w:rFonts w:hint="eastAsia"/>
          <w:sz w:val="24"/>
          <w:szCs w:val="24"/>
          <w:lang w:eastAsia="zh-CN"/>
        </w:rPr>
        <w:t>华能岳阳电厂</w:t>
      </w:r>
      <w:r>
        <w:rPr>
          <w:sz w:val="24"/>
          <w:szCs w:val="24"/>
          <w:lang w:eastAsia="zh-CN"/>
        </w:rPr>
        <w:t>制定的各项管理、监测规定和办法，并配合当地环境监测部门进行污染源监测，结合环境管理需要，</w:t>
      </w:r>
      <w:r>
        <w:rPr>
          <w:rFonts w:hint="eastAsia"/>
          <w:sz w:val="24"/>
          <w:szCs w:val="24"/>
          <w:lang w:eastAsia="zh-CN"/>
        </w:rPr>
        <w:t>西安西热锅炉环保工程有限公司为试验项目制订了</w:t>
      </w:r>
      <w:r>
        <w:rPr>
          <w:sz w:val="24"/>
          <w:szCs w:val="24"/>
          <w:lang w:eastAsia="zh-CN"/>
        </w:rPr>
        <w:t>常规监测工作计划见表</w:t>
      </w:r>
      <w:r>
        <w:rPr>
          <w:rFonts w:hint="eastAsia"/>
          <w:sz w:val="24"/>
          <w:szCs w:val="24"/>
          <w:lang w:eastAsia="zh-CN"/>
        </w:rPr>
        <w:t>10.3</w:t>
      </w:r>
      <w:r>
        <w:rPr>
          <w:sz w:val="24"/>
          <w:szCs w:val="24"/>
          <w:lang w:eastAsia="zh-CN"/>
        </w:rPr>
        <w:t>-1。</w:t>
      </w:r>
    </w:p>
    <w:p>
      <w:pPr>
        <w:jc w:val="center"/>
        <w:rPr>
          <w:rFonts w:ascii="宋体" w:hAnsi="宋体"/>
          <w:b/>
          <w:sz w:val="24"/>
          <w:szCs w:val="24"/>
          <w:u w:val="single"/>
          <w:lang w:eastAsia="zh-CN"/>
        </w:rPr>
      </w:pPr>
      <w:bookmarkStart w:id="1032" w:name="_Toc147370052"/>
      <w:bookmarkStart w:id="1033" w:name="_Toc267946338"/>
      <w:r>
        <w:rPr>
          <w:rFonts w:ascii="宋体" w:hAnsi="宋体"/>
          <w:b/>
          <w:sz w:val="24"/>
          <w:szCs w:val="24"/>
          <w:u w:val="single"/>
        </w:rPr>
        <w:t>表</w:t>
      </w:r>
      <w:r>
        <w:rPr>
          <w:rFonts w:hint="eastAsia" w:ascii="宋体" w:hAnsi="宋体"/>
          <w:b/>
          <w:sz w:val="24"/>
          <w:szCs w:val="24"/>
          <w:u w:val="single"/>
          <w:lang w:eastAsia="zh-CN"/>
        </w:rPr>
        <w:t>10.3</w:t>
      </w:r>
      <w:r>
        <w:rPr>
          <w:rFonts w:ascii="宋体" w:hAnsi="宋体"/>
          <w:b/>
          <w:sz w:val="24"/>
          <w:szCs w:val="24"/>
          <w:u w:val="single"/>
        </w:rPr>
        <w:t xml:space="preserve">-1  </w:t>
      </w:r>
      <w:r>
        <w:rPr>
          <w:rFonts w:hint="eastAsia" w:ascii="宋体" w:hAnsi="宋体"/>
          <w:b/>
          <w:sz w:val="24"/>
          <w:szCs w:val="24"/>
          <w:u w:val="single"/>
          <w:lang w:eastAsia="zh-CN"/>
        </w:rPr>
        <w:t>环境</w:t>
      </w:r>
      <w:r>
        <w:rPr>
          <w:rFonts w:ascii="宋体" w:hAnsi="宋体"/>
          <w:b/>
          <w:sz w:val="24"/>
          <w:szCs w:val="24"/>
          <w:u w:val="single"/>
        </w:rPr>
        <w:t>监测</w:t>
      </w:r>
      <w:r>
        <w:rPr>
          <w:rFonts w:hint="eastAsia" w:ascii="宋体" w:hAnsi="宋体"/>
          <w:b/>
          <w:sz w:val="24"/>
          <w:szCs w:val="24"/>
          <w:u w:val="single"/>
          <w:lang w:eastAsia="zh-CN"/>
        </w:rPr>
        <w:t>计划</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329"/>
        <w:gridCol w:w="3101"/>
        <w:gridCol w:w="1099"/>
        <w:gridCol w:w="1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pStyle w:val="67"/>
              <w:tabs>
                <w:tab w:val="left" w:pos="360"/>
                <w:tab w:val="left" w:pos="6300"/>
              </w:tabs>
              <w:ind w:left="-69"/>
              <w:jc w:val="center"/>
              <w:rPr>
                <w:rFonts w:ascii="宋体" w:hAnsi="宋体"/>
                <w:b/>
                <w:lang w:eastAsia="zh-CN"/>
              </w:rPr>
            </w:pPr>
            <w:r>
              <w:rPr>
                <w:rFonts w:ascii="宋体" w:hAnsi="宋体"/>
                <w:b/>
                <w:lang w:eastAsia="zh-CN"/>
              </w:rPr>
              <w:t>编号</w:t>
            </w:r>
          </w:p>
        </w:tc>
        <w:tc>
          <w:tcPr>
            <w:tcW w:w="2329" w:type="dxa"/>
            <w:vAlign w:val="center"/>
          </w:tcPr>
          <w:p>
            <w:pPr>
              <w:pStyle w:val="67"/>
              <w:tabs>
                <w:tab w:val="left" w:pos="360"/>
                <w:tab w:val="left" w:pos="6300"/>
              </w:tabs>
              <w:ind w:left="-69"/>
              <w:jc w:val="center"/>
              <w:rPr>
                <w:rFonts w:ascii="宋体" w:hAnsi="宋体"/>
                <w:b/>
                <w:u w:val="single"/>
                <w:lang w:eastAsia="zh-CN"/>
              </w:rPr>
            </w:pPr>
            <w:r>
              <w:rPr>
                <w:rFonts w:ascii="宋体" w:hAnsi="宋体"/>
                <w:b/>
                <w:u w:val="single"/>
                <w:lang w:eastAsia="zh-CN"/>
              </w:rPr>
              <w:t>监测点位</w:t>
            </w:r>
          </w:p>
        </w:tc>
        <w:tc>
          <w:tcPr>
            <w:tcW w:w="3101" w:type="dxa"/>
            <w:vAlign w:val="center"/>
          </w:tcPr>
          <w:p>
            <w:pPr>
              <w:pStyle w:val="67"/>
              <w:tabs>
                <w:tab w:val="left" w:pos="360"/>
                <w:tab w:val="left" w:pos="6300"/>
              </w:tabs>
              <w:ind w:left="-69"/>
              <w:jc w:val="center"/>
              <w:rPr>
                <w:rFonts w:ascii="宋体" w:hAnsi="宋体"/>
                <w:b/>
                <w:u w:val="single"/>
                <w:lang w:eastAsia="zh-CN"/>
              </w:rPr>
            </w:pPr>
            <w:r>
              <w:rPr>
                <w:rFonts w:ascii="宋体" w:hAnsi="宋体"/>
                <w:b/>
                <w:u w:val="single"/>
                <w:lang w:eastAsia="zh-CN"/>
              </w:rPr>
              <w:t>监测项目</w:t>
            </w:r>
          </w:p>
        </w:tc>
        <w:tc>
          <w:tcPr>
            <w:tcW w:w="1099" w:type="dxa"/>
            <w:vAlign w:val="center"/>
          </w:tcPr>
          <w:p>
            <w:pPr>
              <w:pStyle w:val="67"/>
              <w:tabs>
                <w:tab w:val="left" w:pos="360"/>
                <w:tab w:val="left" w:pos="6300"/>
              </w:tabs>
              <w:ind w:left="-69"/>
              <w:jc w:val="center"/>
              <w:rPr>
                <w:rFonts w:ascii="宋体" w:hAnsi="宋体"/>
                <w:b/>
                <w:u w:val="single"/>
                <w:lang w:eastAsia="zh-CN"/>
              </w:rPr>
            </w:pPr>
            <w:r>
              <w:rPr>
                <w:rFonts w:ascii="宋体" w:hAnsi="宋体"/>
                <w:b/>
                <w:u w:val="single"/>
                <w:lang w:eastAsia="zh-CN"/>
              </w:rPr>
              <w:t>监测频率</w:t>
            </w:r>
          </w:p>
        </w:tc>
        <w:tc>
          <w:tcPr>
            <w:tcW w:w="1255" w:type="dxa"/>
            <w:vAlign w:val="center"/>
          </w:tcPr>
          <w:p>
            <w:pPr>
              <w:pStyle w:val="67"/>
              <w:tabs>
                <w:tab w:val="left" w:pos="360"/>
                <w:tab w:val="left" w:pos="6300"/>
              </w:tabs>
              <w:ind w:left="-69"/>
              <w:jc w:val="center"/>
              <w:rPr>
                <w:rFonts w:ascii="宋体" w:hAnsi="宋体"/>
                <w:b/>
                <w:lang w:eastAsia="zh-CN"/>
              </w:rPr>
            </w:pPr>
            <w:r>
              <w:rPr>
                <w:rFonts w:ascii="宋体" w:hAnsi="宋体"/>
                <w:b/>
                <w:lang w:eastAsia="zh-CN"/>
              </w:rPr>
              <w:t>监测方法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pStyle w:val="67"/>
              <w:tabs>
                <w:tab w:val="left" w:pos="360"/>
                <w:tab w:val="left" w:pos="6300"/>
              </w:tabs>
              <w:ind w:left="-69"/>
              <w:jc w:val="center"/>
              <w:rPr>
                <w:rFonts w:ascii="宋体" w:hAnsi="宋体"/>
                <w:bCs/>
                <w:lang w:eastAsia="zh-CN"/>
              </w:rPr>
            </w:pPr>
            <w:r>
              <w:rPr>
                <w:rFonts w:ascii="宋体" w:hAnsi="宋体"/>
                <w:bCs/>
                <w:lang w:eastAsia="zh-CN"/>
              </w:rPr>
              <w:t>1</w:t>
            </w:r>
          </w:p>
        </w:tc>
        <w:tc>
          <w:tcPr>
            <w:tcW w:w="2329"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试验装置周边</w:t>
            </w:r>
          </w:p>
        </w:tc>
        <w:tc>
          <w:tcPr>
            <w:tcW w:w="3101"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PM</w:t>
            </w:r>
            <w:r>
              <w:rPr>
                <w:rFonts w:ascii="宋体" w:hAnsi="宋体"/>
                <w:bCs/>
                <w:u w:val="single"/>
                <w:vertAlign w:val="subscript"/>
                <w:lang w:eastAsia="zh-CN"/>
              </w:rPr>
              <w:t>10</w:t>
            </w:r>
            <w:r>
              <w:rPr>
                <w:rFonts w:ascii="宋体" w:hAnsi="宋体"/>
                <w:bCs/>
                <w:u w:val="single"/>
                <w:lang w:eastAsia="zh-CN"/>
              </w:rPr>
              <w:t>、SO</w:t>
            </w:r>
            <w:r>
              <w:rPr>
                <w:rFonts w:ascii="宋体" w:hAnsi="宋体"/>
                <w:bCs/>
                <w:u w:val="single"/>
                <w:vertAlign w:val="subscript"/>
                <w:lang w:eastAsia="zh-CN"/>
              </w:rPr>
              <w:t>2</w:t>
            </w:r>
            <w:r>
              <w:rPr>
                <w:rFonts w:ascii="宋体" w:hAnsi="宋体"/>
                <w:bCs/>
                <w:u w:val="single"/>
                <w:lang w:eastAsia="zh-CN"/>
              </w:rPr>
              <w:t>、</w:t>
            </w:r>
            <w:r>
              <w:rPr>
                <w:rFonts w:hint="eastAsia" w:ascii="宋体" w:hAnsi="宋体"/>
                <w:bCs/>
                <w:u w:val="single"/>
                <w:lang w:eastAsia="zh-CN"/>
              </w:rPr>
              <w:t>NOx、H2S、NH3</w:t>
            </w:r>
          </w:p>
        </w:tc>
        <w:tc>
          <w:tcPr>
            <w:tcW w:w="1099"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1次/月</w:t>
            </w:r>
          </w:p>
        </w:tc>
        <w:tc>
          <w:tcPr>
            <w:tcW w:w="1255" w:type="dxa"/>
            <w:vMerge w:val="restart"/>
            <w:vAlign w:val="center"/>
          </w:tcPr>
          <w:p>
            <w:pPr>
              <w:pStyle w:val="67"/>
              <w:tabs>
                <w:tab w:val="left" w:pos="360"/>
                <w:tab w:val="left" w:pos="6300"/>
              </w:tabs>
              <w:ind w:left="-69"/>
              <w:jc w:val="center"/>
              <w:rPr>
                <w:rFonts w:ascii="宋体" w:hAnsi="宋体"/>
                <w:bCs/>
                <w:lang w:eastAsia="zh-CN"/>
              </w:rPr>
            </w:pPr>
            <w:r>
              <w:rPr>
                <w:rFonts w:ascii="宋体" w:hAnsi="宋体"/>
                <w:bCs/>
                <w:lang w:eastAsia="zh-CN"/>
              </w:rPr>
              <w:t>国家标准分析方法</w:t>
            </w:r>
          </w:p>
          <w:p>
            <w:pPr>
              <w:pStyle w:val="67"/>
              <w:tabs>
                <w:tab w:val="left" w:pos="360"/>
                <w:tab w:val="left" w:pos="6300"/>
              </w:tabs>
              <w:ind w:left="-69"/>
              <w:jc w:val="center"/>
              <w:rPr>
                <w:rFonts w:ascii="宋体" w:hAnsi="宋体"/>
                <w:bCs/>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restart"/>
            <w:vAlign w:val="center"/>
          </w:tcPr>
          <w:p>
            <w:pPr>
              <w:pStyle w:val="67"/>
              <w:tabs>
                <w:tab w:val="left" w:pos="360"/>
                <w:tab w:val="left" w:pos="6300"/>
              </w:tabs>
              <w:ind w:left="-69"/>
              <w:jc w:val="center"/>
              <w:rPr>
                <w:rFonts w:ascii="宋体" w:hAnsi="宋体"/>
                <w:bCs/>
                <w:lang w:eastAsia="zh-CN"/>
              </w:rPr>
            </w:pPr>
            <w:r>
              <w:rPr>
                <w:rFonts w:hint="eastAsia" w:ascii="宋体" w:hAnsi="宋体"/>
                <w:bCs/>
                <w:lang w:eastAsia="zh-CN"/>
              </w:rPr>
              <w:t>2</w:t>
            </w:r>
          </w:p>
        </w:tc>
        <w:tc>
          <w:tcPr>
            <w:tcW w:w="2329" w:type="dxa"/>
            <w:vMerge w:val="restart"/>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锅炉烟气</w:t>
            </w:r>
          </w:p>
        </w:tc>
        <w:tc>
          <w:tcPr>
            <w:tcW w:w="3101"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SO</w:t>
            </w:r>
            <w:r>
              <w:rPr>
                <w:rFonts w:ascii="宋体" w:hAnsi="宋体"/>
                <w:bCs/>
                <w:u w:val="single"/>
                <w:vertAlign w:val="subscript"/>
                <w:lang w:eastAsia="zh-CN"/>
              </w:rPr>
              <w:t>2</w:t>
            </w:r>
            <w:r>
              <w:rPr>
                <w:rFonts w:ascii="宋体" w:hAnsi="宋体"/>
                <w:bCs/>
                <w:u w:val="single"/>
                <w:lang w:eastAsia="zh-CN"/>
              </w:rPr>
              <w:t>、</w:t>
            </w:r>
            <w:r>
              <w:rPr>
                <w:rFonts w:hint="eastAsia" w:ascii="宋体" w:hAnsi="宋体"/>
                <w:bCs/>
                <w:u w:val="single"/>
                <w:lang w:eastAsia="zh-CN"/>
              </w:rPr>
              <w:t>NOx、烟尘</w:t>
            </w:r>
          </w:p>
        </w:tc>
        <w:tc>
          <w:tcPr>
            <w:tcW w:w="1099"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在线监测</w:t>
            </w:r>
          </w:p>
        </w:tc>
        <w:tc>
          <w:tcPr>
            <w:tcW w:w="1255" w:type="dxa"/>
            <w:vMerge w:val="continue"/>
            <w:vAlign w:val="center"/>
          </w:tcPr>
          <w:p>
            <w:pPr>
              <w:pStyle w:val="67"/>
              <w:tabs>
                <w:tab w:val="left" w:pos="360"/>
                <w:tab w:val="left" w:pos="6300"/>
              </w:tabs>
              <w:ind w:left="-69"/>
              <w:jc w:val="center"/>
              <w:rPr>
                <w:rFonts w:ascii="宋体" w:hAnsi="宋体"/>
                <w:bCs/>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Merge w:val="continue"/>
            <w:vAlign w:val="center"/>
          </w:tcPr>
          <w:p>
            <w:pPr>
              <w:pStyle w:val="67"/>
              <w:tabs>
                <w:tab w:val="left" w:pos="360"/>
                <w:tab w:val="left" w:pos="6300"/>
              </w:tabs>
              <w:ind w:left="-69"/>
              <w:jc w:val="center"/>
              <w:rPr>
                <w:rFonts w:ascii="宋体" w:hAnsi="宋体"/>
                <w:bCs/>
                <w:lang w:eastAsia="zh-CN"/>
              </w:rPr>
            </w:pPr>
          </w:p>
        </w:tc>
        <w:tc>
          <w:tcPr>
            <w:tcW w:w="2329" w:type="dxa"/>
            <w:vMerge w:val="continue"/>
            <w:vAlign w:val="center"/>
          </w:tcPr>
          <w:p>
            <w:pPr>
              <w:pStyle w:val="67"/>
              <w:tabs>
                <w:tab w:val="left" w:pos="360"/>
                <w:tab w:val="left" w:pos="6300"/>
              </w:tabs>
              <w:ind w:left="-69"/>
              <w:jc w:val="center"/>
              <w:rPr>
                <w:rFonts w:ascii="宋体" w:hAnsi="宋体"/>
                <w:bCs/>
                <w:u w:val="single"/>
                <w:lang w:eastAsia="zh-CN"/>
              </w:rPr>
            </w:pPr>
          </w:p>
        </w:tc>
        <w:tc>
          <w:tcPr>
            <w:tcW w:w="3101"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二噁英、汞及其化合物</w:t>
            </w:r>
          </w:p>
        </w:tc>
        <w:tc>
          <w:tcPr>
            <w:tcW w:w="1099"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1次/季</w:t>
            </w:r>
          </w:p>
        </w:tc>
        <w:tc>
          <w:tcPr>
            <w:tcW w:w="1255" w:type="dxa"/>
            <w:vMerge w:val="continue"/>
            <w:vAlign w:val="center"/>
          </w:tcPr>
          <w:p>
            <w:pPr>
              <w:pStyle w:val="67"/>
              <w:tabs>
                <w:tab w:val="left" w:pos="360"/>
                <w:tab w:val="left" w:pos="6300"/>
              </w:tabs>
              <w:ind w:left="-69"/>
              <w:jc w:val="center"/>
              <w:rPr>
                <w:rFonts w:ascii="宋体" w:hAnsi="宋体"/>
                <w:bCs/>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pStyle w:val="67"/>
              <w:tabs>
                <w:tab w:val="left" w:pos="360"/>
                <w:tab w:val="left" w:pos="6300"/>
              </w:tabs>
              <w:ind w:left="-69"/>
              <w:jc w:val="center"/>
              <w:rPr>
                <w:rFonts w:ascii="宋体" w:hAnsi="宋体"/>
                <w:bCs/>
                <w:lang w:eastAsia="zh-CN"/>
              </w:rPr>
            </w:pPr>
            <w:r>
              <w:rPr>
                <w:rFonts w:hint="eastAsia" w:ascii="宋体" w:hAnsi="宋体"/>
                <w:bCs/>
                <w:lang w:eastAsia="zh-CN"/>
              </w:rPr>
              <w:t>3</w:t>
            </w:r>
          </w:p>
        </w:tc>
        <w:tc>
          <w:tcPr>
            <w:tcW w:w="2329"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试验装置</w:t>
            </w:r>
            <w:r>
              <w:rPr>
                <w:rFonts w:ascii="宋体" w:hAnsi="宋体"/>
                <w:bCs/>
                <w:u w:val="single"/>
                <w:lang w:eastAsia="zh-CN"/>
              </w:rPr>
              <w:t>废水</w:t>
            </w:r>
            <w:r>
              <w:rPr>
                <w:rFonts w:hint="eastAsia" w:ascii="宋体" w:hAnsi="宋体"/>
                <w:bCs/>
                <w:u w:val="single"/>
                <w:lang w:eastAsia="zh-CN"/>
              </w:rPr>
              <w:t>排口</w:t>
            </w:r>
          </w:p>
        </w:tc>
        <w:tc>
          <w:tcPr>
            <w:tcW w:w="3101"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pH值、</w:t>
            </w:r>
            <w:r>
              <w:rPr>
                <w:rFonts w:hint="eastAsia" w:ascii="宋体" w:hAnsi="宋体"/>
                <w:bCs/>
                <w:u w:val="single"/>
                <w:lang w:eastAsia="zh-CN"/>
              </w:rPr>
              <w:t>氨氮</w:t>
            </w:r>
            <w:r>
              <w:rPr>
                <w:rFonts w:ascii="宋体" w:hAnsi="宋体"/>
                <w:bCs/>
                <w:u w:val="single"/>
                <w:lang w:eastAsia="zh-CN"/>
              </w:rPr>
              <w:t>、COD</w:t>
            </w:r>
          </w:p>
        </w:tc>
        <w:tc>
          <w:tcPr>
            <w:tcW w:w="1099"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1-3次/周</w:t>
            </w:r>
          </w:p>
        </w:tc>
        <w:tc>
          <w:tcPr>
            <w:tcW w:w="1255" w:type="dxa"/>
            <w:vMerge w:val="continue"/>
            <w:vAlign w:val="center"/>
          </w:tcPr>
          <w:p>
            <w:pPr>
              <w:pStyle w:val="67"/>
              <w:tabs>
                <w:tab w:val="left" w:pos="360"/>
                <w:tab w:val="left" w:pos="6300"/>
              </w:tabs>
              <w:ind w:left="-69"/>
              <w:jc w:val="center"/>
              <w:rPr>
                <w:rFonts w:ascii="宋体" w:hAnsi="宋体"/>
                <w:bCs/>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dxa"/>
            <w:vAlign w:val="center"/>
          </w:tcPr>
          <w:p>
            <w:pPr>
              <w:pStyle w:val="67"/>
              <w:tabs>
                <w:tab w:val="left" w:pos="360"/>
                <w:tab w:val="left" w:pos="6300"/>
              </w:tabs>
              <w:ind w:left="-69"/>
              <w:jc w:val="center"/>
              <w:rPr>
                <w:rFonts w:ascii="宋体" w:hAnsi="宋体"/>
                <w:bCs/>
                <w:lang w:eastAsia="zh-CN"/>
              </w:rPr>
            </w:pPr>
            <w:r>
              <w:rPr>
                <w:rFonts w:hint="eastAsia" w:ascii="宋体" w:hAnsi="宋体"/>
                <w:bCs/>
                <w:lang w:eastAsia="zh-CN"/>
              </w:rPr>
              <w:t>4</w:t>
            </w:r>
          </w:p>
        </w:tc>
        <w:tc>
          <w:tcPr>
            <w:tcW w:w="2329" w:type="dxa"/>
            <w:vAlign w:val="center"/>
          </w:tcPr>
          <w:p>
            <w:pPr>
              <w:pStyle w:val="67"/>
              <w:tabs>
                <w:tab w:val="left" w:pos="360"/>
                <w:tab w:val="left" w:pos="6300"/>
              </w:tabs>
              <w:ind w:left="-69"/>
              <w:jc w:val="center"/>
              <w:rPr>
                <w:rFonts w:ascii="宋体" w:hAnsi="宋体"/>
                <w:bCs/>
                <w:u w:val="single"/>
                <w:lang w:eastAsia="zh-CN"/>
              </w:rPr>
            </w:pPr>
            <w:r>
              <w:rPr>
                <w:rFonts w:hint="eastAsia" w:ascii="宋体" w:hAnsi="宋体"/>
                <w:bCs/>
                <w:u w:val="single"/>
                <w:lang w:eastAsia="zh-CN"/>
              </w:rPr>
              <w:t>试验装置</w:t>
            </w:r>
            <w:r>
              <w:rPr>
                <w:rFonts w:ascii="宋体" w:hAnsi="宋体"/>
                <w:bCs/>
                <w:u w:val="single"/>
                <w:lang w:eastAsia="zh-CN"/>
              </w:rPr>
              <w:t>界外1米</w:t>
            </w:r>
          </w:p>
        </w:tc>
        <w:tc>
          <w:tcPr>
            <w:tcW w:w="3101"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噪声</w:t>
            </w:r>
          </w:p>
        </w:tc>
        <w:tc>
          <w:tcPr>
            <w:tcW w:w="1099" w:type="dxa"/>
            <w:vAlign w:val="center"/>
          </w:tcPr>
          <w:p>
            <w:pPr>
              <w:pStyle w:val="67"/>
              <w:tabs>
                <w:tab w:val="left" w:pos="360"/>
                <w:tab w:val="left" w:pos="6300"/>
              </w:tabs>
              <w:ind w:left="-69"/>
              <w:jc w:val="center"/>
              <w:rPr>
                <w:rFonts w:ascii="宋体" w:hAnsi="宋体"/>
                <w:bCs/>
                <w:u w:val="single"/>
                <w:lang w:eastAsia="zh-CN"/>
              </w:rPr>
            </w:pPr>
            <w:r>
              <w:rPr>
                <w:rFonts w:ascii="宋体" w:hAnsi="宋体"/>
                <w:bCs/>
                <w:u w:val="single"/>
                <w:lang w:eastAsia="zh-CN"/>
              </w:rPr>
              <w:t>1次/</w:t>
            </w:r>
            <w:r>
              <w:rPr>
                <w:rFonts w:hint="eastAsia" w:ascii="宋体" w:hAnsi="宋体"/>
                <w:bCs/>
                <w:u w:val="single"/>
                <w:lang w:eastAsia="zh-CN"/>
              </w:rPr>
              <w:t>季</w:t>
            </w:r>
          </w:p>
        </w:tc>
        <w:tc>
          <w:tcPr>
            <w:tcW w:w="1255" w:type="dxa"/>
            <w:vMerge w:val="continue"/>
            <w:vAlign w:val="center"/>
          </w:tcPr>
          <w:p>
            <w:pPr>
              <w:pStyle w:val="67"/>
              <w:tabs>
                <w:tab w:val="left" w:pos="360"/>
                <w:tab w:val="left" w:pos="6300"/>
              </w:tabs>
              <w:ind w:left="-69"/>
              <w:jc w:val="center"/>
              <w:rPr>
                <w:rFonts w:ascii="宋体" w:hAnsi="宋体"/>
                <w:bCs/>
                <w:lang w:eastAsia="zh-CN"/>
              </w:rPr>
            </w:pPr>
          </w:p>
        </w:tc>
      </w:tr>
      <w:bookmarkEnd w:id="1032"/>
      <w:bookmarkEnd w:id="1033"/>
    </w:tbl>
    <w:p>
      <w:pPr>
        <w:spacing w:line="360" w:lineRule="auto"/>
        <w:ind w:firstLine="480" w:firstLineChars="200"/>
        <w:rPr>
          <w:rFonts w:ascii="宋体" w:hAnsi="宋体"/>
          <w:sz w:val="24"/>
          <w:szCs w:val="24"/>
        </w:rPr>
      </w:pPr>
    </w:p>
    <w:p>
      <w:pPr>
        <w:spacing w:line="360" w:lineRule="auto"/>
        <w:ind w:firstLine="480" w:firstLineChars="200"/>
        <w:rPr>
          <w:sz w:val="24"/>
          <w:szCs w:val="24"/>
          <w:lang w:eastAsia="zh-CN"/>
        </w:rPr>
      </w:pPr>
      <w:r>
        <w:rPr>
          <w:sz w:val="24"/>
          <w:szCs w:val="24"/>
          <w:lang w:eastAsia="zh-CN"/>
        </w:rPr>
        <w:t>企业应按照环境监测管理规定和技术规范的要求，设计、建设、维护永久性采样口、采样测试平台和排污口标志。</w:t>
      </w:r>
      <w:r>
        <w:rPr>
          <w:rFonts w:hint="eastAsia"/>
          <w:sz w:val="24"/>
          <w:szCs w:val="24"/>
          <w:lang w:eastAsia="zh-CN"/>
        </w:rPr>
        <w:t>参考《排污口规范化整治技术要求》中的相关内容：</w:t>
      </w:r>
    </w:p>
    <w:p>
      <w:pPr>
        <w:spacing w:line="360" w:lineRule="auto"/>
        <w:ind w:firstLine="480" w:firstLineChars="200"/>
        <w:rPr>
          <w:bCs/>
          <w:sz w:val="24"/>
          <w:szCs w:val="24"/>
          <w:lang w:eastAsia="zh-CN"/>
        </w:rPr>
      </w:pPr>
      <w:r>
        <w:rPr>
          <w:rFonts w:hint="eastAsia"/>
          <w:bCs/>
          <w:sz w:val="24"/>
          <w:szCs w:val="24"/>
          <w:lang w:eastAsia="zh-CN"/>
        </w:rPr>
        <w:t>固</w:t>
      </w:r>
      <w:r>
        <w:rPr>
          <w:bCs/>
          <w:sz w:val="24"/>
          <w:szCs w:val="24"/>
          <w:lang w:eastAsia="zh-CN"/>
        </w:rPr>
        <w:t>体废物贮存、堆放场的整治</w:t>
      </w:r>
    </w:p>
    <w:p>
      <w:pPr>
        <w:spacing w:line="360" w:lineRule="auto"/>
        <w:ind w:firstLine="480" w:firstLineChars="200"/>
        <w:rPr>
          <w:sz w:val="24"/>
          <w:szCs w:val="24"/>
          <w:lang w:eastAsia="zh-CN"/>
        </w:rPr>
      </w:pPr>
      <w:r>
        <w:rPr>
          <w:rFonts w:hint="eastAsia"/>
          <w:sz w:val="24"/>
          <w:szCs w:val="24"/>
          <w:lang w:eastAsia="zh-CN"/>
        </w:rPr>
        <w:t>1）</w:t>
      </w:r>
      <w:r>
        <w:rPr>
          <w:sz w:val="24"/>
          <w:szCs w:val="24"/>
          <w:lang w:eastAsia="zh-CN"/>
        </w:rPr>
        <w:t>一般固体废物应设置专用贮存、</w:t>
      </w:r>
      <w:r>
        <w:rPr>
          <w:rFonts w:hint="eastAsia"/>
          <w:sz w:val="24"/>
          <w:szCs w:val="24"/>
          <w:lang w:eastAsia="zh-CN"/>
        </w:rPr>
        <w:t>堆</w:t>
      </w:r>
      <w:r>
        <w:rPr>
          <w:sz w:val="24"/>
          <w:szCs w:val="24"/>
          <w:lang w:eastAsia="zh-CN"/>
        </w:rPr>
        <w:t>放场地。易造成二次扬尘的贮存、堆放场地，应采取不定时喷洒等防治措施。</w:t>
      </w:r>
    </w:p>
    <w:p>
      <w:pPr>
        <w:spacing w:line="360" w:lineRule="auto"/>
        <w:ind w:firstLine="480" w:firstLineChars="200"/>
        <w:rPr>
          <w:sz w:val="24"/>
          <w:szCs w:val="24"/>
          <w:lang w:eastAsia="zh-CN"/>
        </w:rPr>
      </w:pPr>
      <w:r>
        <w:rPr>
          <w:rFonts w:hint="eastAsia"/>
          <w:sz w:val="24"/>
          <w:szCs w:val="24"/>
          <w:lang w:eastAsia="zh-CN"/>
        </w:rPr>
        <w:t>2）</w:t>
      </w:r>
      <w:r>
        <w:rPr>
          <w:sz w:val="24"/>
          <w:szCs w:val="24"/>
          <w:lang w:eastAsia="zh-CN"/>
        </w:rPr>
        <w:t>有毒有害固体废物等危险废物，应设置专用堆放场地，并必须有防扬散，防流失，防渗漏等防治措施。</w:t>
      </w:r>
    </w:p>
    <w:p>
      <w:pPr>
        <w:spacing w:line="360" w:lineRule="auto"/>
        <w:ind w:firstLine="480" w:firstLineChars="200"/>
        <w:rPr>
          <w:sz w:val="24"/>
          <w:szCs w:val="24"/>
          <w:lang w:eastAsia="zh-CN"/>
        </w:rPr>
      </w:pPr>
      <w:r>
        <w:rPr>
          <w:rFonts w:hint="eastAsia"/>
          <w:sz w:val="24"/>
          <w:szCs w:val="24"/>
          <w:lang w:eastAsia="zh-CN"/>
        </w:rPr>
        <w:t>3）</w:t>
      </w:r>
      <w:r>
        <w:rPr>
          <w:sz w:val="24"/>
          <w:szCs w:val="24"/>
          <w:lang w:eastAsia="zh-CN"/>
        </w:rPr>
        <w:t>临时性固体废物贮存、堆放场也应根据情况，进行相应整治。</w:t>
      </w:r>
    </w:p>
    <w:p>
      <w:pPr>
        <w:rPr>
          <w:lang w:eastAsia="zh-CN"/>
        </w:rPr>
      </w:pPr>
      <w:bookmarkStart w:id="1034" w:name="_Toc22201023"/>
      <w:bookmarkStart w:id="1035" w:name="_Toc22199713"/>
      <w:bookmarkStart w:id="1036" w:name="_Toc22202797"/>
      <w:bookmarkStart w:id="1037" w:name="_Toc22199222"/>
      <w:bookmarkStart w:id="1038" w:name="_Toc3388"/>
      <w:bookmarkStart w:id="1039" w:name="_Toc22151194"/>
      <w:bookmarkStart w:id="1040" w:name="_Toc22198457"/>
      <w:bookmarkStart w:id="1041" w:name="_Toc22200357"/>
      <w:bookmarkStart w:id="1042" w:name="_Toc22198856"/>
      <w:bookmarkStart w:id="1043" w:name="_Toc22198560"/>
      <w:bookmarkStart w:id="1044" w:name="_Toc22198351"/>
      <w:bookmarkStart w:id="1045" w:name="_Toc22198233"/>
      <w:bookmarkStart w:id="1046" w:name="_Toc22151017"/>
      <w:bookmarkStart w:id="1047" w:name="_Toc21815040"/>
      <w:bookmarkStart w:id="1048" w:name="_Toc21814432"/>
      <w:bookmarkStart w:id="1049" w:name="_Toc21814385"/>
      <w:bookmarkStart w:id="1050" w:name="_Toc21814253"/>
      <w:bookmarkStart w:id="1051" w:name="_Toc4008"/>
      <w:bookmarkStart w:id="1052" w:name="_Toc19994"/>
      <w:bookmarkStart w:id="1053" w:name="_Toc486403409"/>
      <w:bookmarkStart w:id="1054" w:name="_Toc28557"/>
      <w:bookmarkStart w:id="1055" w:name="_Toc22202379"/>
      <w:bookmarkStart w:id="1056" w:name="_Toc22202079"/>
      <w:bookmarkStart w:id="1057" w:name="_Toc3239"/>
    </w:p>
    <w:p>
      <w:pPr>
        <w:pStyle w:val="2"/>
        <w:rPr>
          <w:lang w:eastAsia="zh-CN"/>
        </w:rPr>
      </w:pPr>
    </w:p>
    <w:p>
      <w:pPr>
        <w:rPr>
          <w:lang w:eastAsia="zh-CN"/>
        </w:rPr>
      </w:pPr>
    </w:p>
    <w:p>
      <w:pPr>
        <w:pStyle w:val="2"/>
        <w:rPr>
          <w:lang w:eastAsia="zh-CN"/>
        </w:rPr>
      </w:pPr>
    </w:p>
    <w:p>
      <w:pPr>
        <w:spacing w:after="0" w:line="360" w:lineRule="auto"/>
        <w:ind w:firstLine="465"/>
        <w:jc w:val="center"/>
        <w:rPr>
          <w:rFonts w:ascii="宋体" w:hAnsi="宋体"/>
          <w:b/>
          <w:sz w:val="44"/>
          <w:szCs w:val="44"/>
          <w:lang w:eastAsia="zh-CN"/>
        </w:rPr>
      </w:pPr>
      <w:bookmarkStart w:id="1058" w:name="_Toc24969806"/>
    </w:p>
    <w:p>
      <w:pPr>
        <w:spacing w:after="0" w:line="360" w:lineRule="auto"/>
        <w:ind w:firstLine="465"/>
        <w:jc w:val="center"/>
        <w:rPr>
          <w:rFonts w:ascii="宋体" w:hAnsi="宋体"/>
          <w:b/>
          <w:sz w:val="44"/>
          <w:szCs w:val="44"/>
          <w:lang w:eastAsia="zh-CN"/>
        </w:rPr>
      </w:pPr>
    </w:p>
    <w:p>
      <w:pPr>
        <w:spacing w:after="0" w:line="360" w:lineRule="auto"/>
        <w:ind w:firstLine="465"/>
        <w:jc w:val="center"/>
        <w:rPr>
          <w:rFonts w:ascii="宋体" w:hAnsi="宋体"/>
          <w:b/>
          <w:sz w:val="44"/>
          <w:szCs w:val="44"/>
          <w:lang w:eastAsia="zh-CN"/>
        </w:rPr>
      </w:pPr>
    </w:p>
    <w:p>
      <w:pPr>
        <w:spacing w:after="0" w:line="360" w:lineRule="auto"/>
        <w:ind w:firstLine="465"/>
        <w:jc w:val="center"/>
        <w:rPr>
          <w:rFonts w:ascii="宋体" w:hAnsi="宋体"/>
          <w:b/>
          <w:sz w:val="44"/>
          <w:szCs w:val="44"/>
          <w:lang w:eastAsia="zh-CN"/>
        </w:rPr>
      </w:pPr>
    </w:p>
    <w:p>
      <w:pPr>
        <w:spacing w:after="0" w:line="360" w:lineRule="auto"/>
        <w:ind w:firstLine="465"/>
        <w:jc w:val="center"/>
        <w:rPr>
          <w:rFonts w:ascii="宋体" w:hAnsi="宋体"/>
          <w:b/>
          <w:sz w:val="44"/>
          <w:szCs w:val="44"/>
          <w:lang w:eastAsia="zh-CN"/>
        </w:rPr>
      </w:pPr>
    </w:p>
    <w:p>
      <w:pPr>
        <w:spacing w:after="0" w:line="360" w:lineRule="auto"/>
        <w:jc w:val="center"/>
        <w:rPr>
          <w:rFonts w:ascii="宋体" w:hAnsi="宋体"/>
          <w:b/>
          <w:sz w:val="44"/>
          <w:szCs w:val="44"/>
          <w:lang w:eastAsia="zh-CN"/>
        </w:rPr>
      </w:pPr>
      <w:r>
        <w:rPr>
          <w:rFonts w:hint="eastAsia" w:ascii="宋体" w:hAnsi="宋体"/>
          <w:b/>
          <w:sz w:val="44"/>
          <w:szCs w:val="44"/>
          <w:lang w:eastAsia="zh-CN"/>
        </w:rPr>
        <w:t>11.环境影响评价结论</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059" w:name="_Toc22151018"/>
      <w:bookmarkStart w:id="1060" w:name="_Toc21815041"/>
      <w:bookmarkStart w:id="1061" w:name="_Toc14435"/>
      <w:bookmarkStart w:id="1062" w:name="_Toc21814433"/>
      <w:bookmarkStart w:id="1063" w:name="_Toc21814254"/>
      <w:bookmarkStart w:id="1064" w:name="_Toc22130"/>
      <w:bookmarkStart w:id="1065" w:name="_Toc21814386"/>
      <w:bookmarkStart w:id="1066" w:name="_Toc486403410"/>
      <w:bookmarkStart w:id="1067" w:name="_Toc25033"/>
      <w:bookmarkStart w:id="1068" w:name="_Toc2223"/>
      <w:bookmarkStart w:id="1069" w:name="_Toc22308"/>
      <w:bookmarkStart w:id="1070" w:name="_Toc22198234"/>
      <w:bookmarkStart w:id="1071" w:name="_Toc22151195"/>
      <w:bookmarkStart w:id="1072" w:name="_Toc22198857"/>
      <w:bookmarkStart w:id="1073" w:name="_Toc22199223"/>
      <w:bookmarkStart w:id="1074" w:name="_Toc22198352"/>
      <w:bookmarkStart w:id="1075" w:name="_Toc22198561"/>
      <w:bookmarkStart w:id="1076" w:name="_Toc22198458"/>
      <w:bookmarkStart w:id="1077" w:name="_Toc22200358"/>
      <w:bookmarkStart w:id="1078" w:name="_Toc22202380"/>
      <w:bookmarkStart w:id="1079" w:name="_Toc22202798"/>
      <w:bookmarkStart w:id="1080" w:name="_Toc22202080"/>
      <w:bookmarkStart w:id="1081" w:name="_Toc22201024"/>
      <w:bookmarkStart w:id="1082" w:name="_Toc22199714"/>
      <w:bookmarkStart w:id="1083" w:name="_Toc24969807"/>
      <w:r>
        <w:rPr>
          <w:rFonts w:hint="eastAsia" w:ascii="宋体" w:hAnsi="宋体" w:eastAsia="宋体"/>
          <w:color w:val="000000" w:themeColor="text1"/>
          <w:lang w:eastAsia="zh-CN"/>
        </w:rPr>
        <w:t>11.1项目基本情况</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pStyle w:val="27"/>
        <w:shd w:val="clear" w:color="auto" w:fill="FFFFFF"/>
        <w:spacing w:before="0" w:beforeAutospacing="0" w:after="0" w:afterAutospacing="0" w:line="360" w:lineRule="auto"/>
        <w:ind w:firstLine="480"/>
        <w:rPr>
          <w:rStyle w:val="33"/>
          <w:rFonts w:ascii="宋体" w:hAnsi="宋体" w:eastAsia="宋体"/>
          <w:b w:val="0"/>
          <w:shd w:val="clear" w:color="auto" w:fill="FFFFFF"/>
          <w:lang w:eastAsia="zh-CN"/>
        </w:rPr>
      </w:pPr>
      <w:r>
        <w:rPr>
          <w:rFonts w:hint="eastAsia" w:ascii="宋体" w:hAnsi="宋体" w:eastAsia="宋体"/>
          <w:lang w:eastAsia="zh-CN"/>
        </w:rPr>
        <w:t>城镇污水处理场污水处理过程中产生的污泥，这些污泥含有大量污染物及重金属, 产生量大，含水率高，不可以直接外排环境，一直是行业的老大难问题。城市污泥一体化处理系统是华能自主知识产权、创新技术路线的城市污泥处理系统。</w:t>
      </w:r>
      <w:r>
        <w:rPr>
          <w:rFonts w:hint="eastAsia" w:eastAsia="宋体" w:asciiTheme="minorEastAsia" w:hAnsiTheme="minorEastAsia" w:cstheme="minorEastAsia"/>
          <w:lang w:eastAsia="zh-CN"/>
        </w:rPr>
        <w:t xml:space="preserve">西安西热锅炉环保工程有限公司依托华能岳阳电厂 </w:t>
      </w:r>
      <w:r>
        <w:rPr>
          <w:rFonts w:hint="eastAsia" w:ascii="宋体" w:hAnsi="宋体" w:eastAsia="宋体"/>
          <w:color w:val="3A3A3A"/>
          <w:lang w:eastAsia="zh-CN"/>
        </w:rPr>
        <w:t>600MW</w:t>
      </w:r>
      <w:r>
        <w:rPr>
          <w:rFonts w:hint="eastAsia" w:ascii="宋体" w:hAnsi="宋体" w:eastAsia="宋体" w:cs="宋体"/>
          <w:color w:val="000000"/>
          <w:lang w:eastAsia="zh-CN"/>
        </w:rPr>
        <w:t>超超临界</w:t>
      </w:r>
      <w:r>
        <w:rPr>
          <w:rFonts w:hint="eastAsia" w:ascii="宋体" w:hAnsi="宋体" w:eastAsia="宋体"/>
          <w:color w:val="3A3A3A"/>
          <w:lang w:eastAsia="zh-CN"/>
        </w:rPr>
        <w:t>机组</w:t>
      </w:r>
      <w:r>
        <w:rPr>
          <w:rFonts w:hint="eastAsia" w:eastAsia="宋体" w:asciiTheme="minorEastAsia" w:hAnsiTheme="minorEastAsia" w:cstheme="minorEastAsia"/>
          <w:lang w:eastAsia="zh-CN"/>
        </w:rPr>
        <w:t>，搭建燃煤电厂污泥及生物质干燥炭化一体化</w:t>
      </w:r>
      <w:r>
        <w:rPr>
          <w:rStyle w:val="33"/>
          <w:rFonts w:hint="eastAsia" w:ascii="宋体" w:hAnsi="宋体"/>
          <w:b w:val="0"/>
          <w:shd w:val="clear" w:color="auto" w:fill="FFFFFF"/>
          <w:lang w:eastAsia="zh-CN"/>
        </w:rPr>
        <w:t>处理系统关键技术研发</w:t>
      </w:r>
      <w:r>
        <w:rPr>
          <w:rStyle w:val="33"/>
          <w:rFonts w:hint="eastAsia" w:ascii="宋体" w:hAnsi="宋体" w:eastAsia="宋体"/>
          <w:b w:val="0"/>
          <w:shd w:val="clear" w:color="auto" w:fill="FFFFFF"/>
          <w:lang w:eastAsia="zh-CN"/>
        </w:rPr>
        <w:t>平台，用于：</w:t>
      </w:r>
    </w:p>
    <w:p>
      <w:pPr>
        <w:pStyle w:val="27"/>
        <w:shd w:val="clear" w:color="auto" w:fill="FFFFFF"/>
        <w:spacing w:before="0" w:beforeAutospacing="0" w:after="0" w:afterAutospacing="0" w:line="360" w:lineRule="auto"/>
        <w:ind w:firstLine="480"/>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1.研究污泥和不同生物质的干馏产物气/固态成分规律；</w:t>
      </w:r>
    </w:p>
    <w:p>
      <w:pPr>
        <w:pStyle w:val="27"/>
        <w:shd w:val="clear" w:color="auto" w:fill="FFFFFF"/>
        <w:spacing w:before="0" w:beforeAutospacing="0" w:after="0" w:afterAutospacing="0" w:line="360" w:lineRule="auto"/>
        <w:ind w:firstLine="480"/>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2.通过平衡计算和数值模拟等手段了解不同类型污泥和生物质定型干燥、炭化、输送一体化处理工艺参数确定一体化设备的结构和关键尺寸参数；</w:t>
      </w:r>
    </w:p>
    <w:p>
      <w:pPr>
        <w:pStyle w:val="27"/>
        <w:shd w:val="clear" w:color="auto" w:fill="FFFFFF"/>
        <w:spacing w:before="0" w:beforeAutospacing="0" w:after="0" w:afterAutospacing="0" w:line="360" w:lineRule="auto"/>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3.建立100t/d干燥炭化输送一体化中试试验台，开展中试试验，验证系统和关键设备的设计能力；</w:t>
      </w:r>
    </w:p>
    <w:p>
      <w:pPr>
        <w:pStyle w:val="27"/>
        <w:shd w:val="clear" w:color="auto" w:fill="FFFFFF"/>
        <w:spacing w:before="0" w:beforeAutospacing="0" w:after="0" w:afterAutospacing="0" w:line="360" w:lineRule="auto"/>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4.研发300t/d工程和干燥炭化输送一体化设备设计方案；</w:t>
      </w:r>
    </w:p>
    <w:p>
      <w:pPr>
        <w:pStyle w:val="27"/>
        <w:shd w:val="clear" w:color="auto" w:fill="FFFFFF"/>
        <w:spacing w:before="0" w:beforeAutospacing="0" w:after="0" w:afterAutospacing="0" w:line="360" w:lineRule="auto"/>
        <w:rPr>
          <w:rFonts w:eastAsia="宋体" w:asciiTheme="minorEastAsia" w:hAnsiTheme="minorEastAsia" w:cstheme="minorEastAsia"/>
          <w:lang w:eastAsia="zh-CN"/>
        </w:rPr>
      </w:pPr>
      <w:r>
        <w:rPr>
          <w:rFonts w:hint="eastAsia" w:eastAsia="宋体" w:asciiTheme="minorEastAsia" w:hAnsiTheme="minorEastAsia" w:cstheme="minorEastAsia"/>
          <w:lang w:eastAsia="zh-CN"/>
        </w:rPr>
        <w:t xml:space="preserve">     5.提出针对电厂污水零排放后污泥处置技术，研发30t/d的干燥炭化输送一体化技术。</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084" w:name="_Toc10924"/>
      <w:bookmarkStart w:id="1085" w:name="_Toc4739"/>
      <w:bookmarkStart w:id="1086" w:name="_Toc486403411"/>
      <w:bookmarkStart w:id="1087" w:name="_Toc25612"/>
      <w:bookmarkStart w:id="1088" w:name="_Toc105"/>
      <w:bookmarkStart w:id="1089" w:name="_Toc20588"/>
      <w:bookmarkStart w:id="1090" w:name="_Toc21814255"/>
      <w:bookmarkStart w:id="1091" w:name="_Toc21814387"/>
      <w:bookmarkStart w:id="1092" w:name="_Toc21814434"/>
      <w:bookmarkStart w:id="1093" w:name="_Toc21815042"/>
      <w:bookmarkStart w:id="1094" w:name="_Toc22151019"/>
      <w:bookmarkStart w:id="1095" w:name="_Toc22151196"/>
      <w:bookmarkStart w:id="1096" w:name="_Toc22198235"/>
      <w:bookmarkStart w:id="1097" w:name="_Toc22198353"/>
      <w:bookmarkStart w:id="1098" w:name="_Toc22198459"/>
      <w:bookmarkStart w:id="1099" w:name="_Toc22198562"/>
      <w:bookmarkStart w:id="1100" w:name="_Toc22198858"/>
      <w:bookmarkStart w:id="1101" w:name="_Toc22199224"/>
      <w:bookmarkStart w:id="1102" w:name="_Toc22199715"/>
      <w:bookmarkStart w:id="1103" w:name="_Toc22200359"/>
      <w:bookmarkStart w:id="1104" w:name="_Toc22201025"/>
      <w:bookmarkStart w:id="1105" w:name="_Toc22202081"/>
      <w:bookmarkStart w:id="1106" w:name="_Toc22202381"/>
      <w:bookmarkStart w:id="1107" w:name="_Toc22202799"/>
      <w:bookmarkStart w:id="1108" w:name="_Toc24969808"/>
      <w:r>
        <w:rPr>
          <w:rFonts w:hint="eastAsia" w:ascii="宋体" w:hAnsi="宋体" w:eastAsia="宋体"/>
          <w:color w:val="000000" w:themeColor="text1"/>
          <w:lang w:eastAsia="zh-CN"/>
        </w:rPr>
        <w:t>11.2项目建设产业政策及规划符合性</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pStyle w:val="18"/>
        <w:spacing w:after="0" w:line="360" w:lineRule="auto"/>
        <w:ind w:left="0" w:firstLine="480"/>
        <w:rPr>
          <w:sz w:val="24"/>
          <w:szCs w:val="24"/>
          <w:lang w:eastAsia="zh-CN"/>
        </w:rPr>
      </w:pPr>
      <w:r>
        <w:rPr>
          <w:sz w:val="24"/>
          <w:szCs w:val="24"/>
          <w:lang w:eastAsia="zh-CN"/>
        </w:rPr>
        <w:t>根据</w:t>
      </w:r>
      <w:r>
        <w:rPr>
          <w:rFonts w:hint="eastAsia"/>
          <w:sz w:val="24"/>
          <w:szCs w:val="24"/>
          <w:lang w:eastAsia="zh-CN"/>
        </w:rPr>
        <w:t>：“</w:t>
      </w:r>
      <w:r>
        <w:rPr>
          <w:sz w:val="24"/>
          <w:szCs w:val="24"/>
          <w:lang w:eastAsia="zh-CN"/>
        </w:rPr>
        <w:t>国家发展改革委员会《产业结构调整指导目录（2014年本）》及</w:t>
      </w:r>
      <w:r>
        <w:fldChar w:fldCharType="begin"/>
      </w:r>
      <w:r>
        <w:instrText xml:space="preserve"> HYPERLINK "http://www.sdpc.gov.cn/zcfb/zcfbl/2013ling/W020130226380863208670.pdf" </w:instrText>
      </w:r>
      <w:r>
        <w:fldChar w:fldCharType="separate"/>
      </w:r>
      <w:r>
        <w:rPr>
          <w:sz w:val="24"/>
          <w:szCs w:val="24"/>
          <w:lang w:eastAsia="zh-CN"/>
        </w:rPr>
        <w:t>《国家发展改革委关于修改&lt;产业结构调整指导目录（2011年本）&gt;有关条款的决定》</w:t>
      </w:r>
      <w:r>
        <w:rPr>
          <w:sz w:val="24"/>
          <w:szCs w:val="24"/>
          <w:lang w:eastAsia="zh-CN"/>
        </w:rPr>
        <w:fldChar w:fldCharType="end"/>
      </w:r>
      <w:r>
        <w:rPr>
          <w:sz w:val="24"/>
          <w:szCs w:val="24"/>
          <w:lang w:eastAsia="zh-CN"/>
        </w:rPr>
        <w:t>（2013）</w:t>
      </w:r>
      <w:r>
        <w:rPr>
          <w:rFonts w:hint="eastAsia"/>
          <w:sz w:val="24"/>
          <w:szCs w:val="24"/>
          <w:lang w:eastAsia="zh-CN"/>
        </w:rPr>
        <w:t>”</w:t>
      </w:r>
      <w:r>
        <w:rPr>
          <w:sz w:val="24"/>
          <w:szCs w:val="24"/>
          <w:lang w:eastAsia="zh-CN"/>
        </w:rPr>
        <w:t>中要求，本项目不属于限制类和淘汰类项目，符合国家产业政策。</w:t>
      </w:r>
    </w:p>
    <w:p>
      <w:pPr>
        <w:pStyle w:val="18"/>
        <w:spacing w:after="0" w:line="360" w:lineRule="auto"/>
        <w:ind w:left="0" w:firstLine="480"/>
        <w:rPr>
          <w:sz w:val="24"/>
          <w:szCs w:val="24"/>
          <w:lang w:eastAsia="zh-CN"/>
        </w:rPr>
      </w:pPr>
      <w:r>
        <w:rPr>
          <w:rFonts w:hint="eastAsia"/>
          <w:sz w:val="24"/>
          <w:szCs w:val="24"/>
          <w:lang w:eastAsia="zh-CN"/>
        </w:rPr>
        <w:t>本</w:t>
      </w:r>
      <w:r>
        <w:rPr>
          <w:sz w:val="24"/>
          <w:szCs w:val="24"/>
          <w:lang w:eastAsia="zh-CN"/>
        </w:rPr>
        <w:t>项目选址位于</w:t>
      </w:r>
      <w:r>
        <w:rPr>
          <w:rFonts w:hint="eastAsia"/>
          <w:sz w:val="24"/>
          <w:szCs w:val="24"/>
          <w:lang w:eastAsia="zh-CN"/>
        </w:rPr>
        <w:t>华能岳阳电厂</w:t>
      </w:r>
      <w:r>
        <w:rPr>
          <w:sz w:val="24"/>
          <w:szCs w:val="24"/>
          <w:lang w:eastAsia="zh-CN"/>
        </w:rPr>
        <w:t>现有生产厂区内，不需新征用地。</w:t>
      </w:r>
      <w:r>
        <w:rPr>
          <w:rFonts w:hint="eastAsia"/>
          <w:sz w:val="24"/>
          <w:szCs w:val="24"/>
          <w:lang w:eastAsia="zh-CN"/>
        </w:rPr>
        <w:t>华能岳阳电厂</w:t>
      </w:r>
      <w:r>
        <w:rPr>
          <w:sz w:val="24"/>
          <w:szCs w:val="24"/>
          <w:lang w:eastAsia="zh-CN"/>
        </w:rPr>
        <w:t>生产区属于工业工地，同时根据</w:t>
      </w:r>
      <w:r>
        <w:rPr>
          <w:rFonts w:hint="eastAsia"/>
          <w:sz w:val="24"/>
          <w:szCs w:val="24"/>
          <w:lang w:eastAsia="zh-CN"/>
        </w:rPr>
        <w:t>岳阳</w:t>
      </w:r>
      <w:r>
        <w:rPr>
          <w:sz w:val="24"/>
          <w:szCs w:val="24"/>
          <w:lang w:eastAsia="zh-CN"/>
        </w:rPr>
        <w:t>市城市总体规划2013-2030年总体布局规划属于规划的工业用地。因此，该项目厂址符合</w:t>
      </w:r>
      <w:r>
        <w:rPr>
          <w:rFonts w:hint="eastAsia"/>
          <w:sz w:val="24"/>
          <w:szCs w:val="24"/>
          <w:lang w:eastAsia="zh-CN"/>
        </w:rPr>
        <w:t>岳阳</w:t>
      </w:r>
      <w:r>
        <w:rPr>
          <w:sz w:val="24"/>
          <w:szCs w:val="24"/>
          <w:lang w:eastAsia="zh-CN"/>
        </w:rPr>
        <w:t>市城市总体规划和</w:t>
      </w:r>
      <w:r>
        <w:rPr>
          <w:rFonts w:hint="eastAsia"/>
          <w:sz w:val="24"/>
          <w:szCs w:val="24"/>
          <w:lang w:eastAsia="zh-CN"/>
        </w:rPr>
        <w:t>岳阳</w:t>
      </w:r>
      <w:r>
        <w:rPr>
          <w:sz w:val="24"/>
          <w:szCs w:val="24"/>
          <w:lang w:eastAsia="zh-CN"/>
        </w:rPr>
        <w:t>市土地利用规划。</w:t>
      </w:r>
    </w:p>
    <w:p>
      <w:pPr>
        <w:pStyle w:val="18"/>
        <w:spacing w:after="0" w:line="360" w:lineRule="auto"/>
        <w:ind w:left="0" w:firstLine="480"/>
        <w:rPr>
          <w:sz w:val="24"/>
          <w:lang w:eastAsia="zh-CN"/>
        </w:rPr>
      </w:pPr>
      <w:r>
        <w:rPr>
          <w:sz w:val="24"/>
          <w:szCs w:val="24"/>
          <w:lang w:eastAsia="zh-CN"/>
        </w:rPr>
        <w:t>从总体布局上来看，项目所在区域</w:t>
      </w:r>
      <w:r>
        <w:rPr>
          <w:rFonts w:hint="eastAsia"/>
          <w:sz w:val="24"/>
          <w:szCs w:val="24"/>
          <w:lang w:eastAsia="zh-CN"/>
        </w:rPr>
        <w:t>为岳阳市北部工业走廊，</w:t>
      </w:r>
      <w:r>
        <w:rPr>
          <w:sz w:val="24"/>
          <w:szCs w:val="24"/>
          <w:lang w:eastAsia="zh-CN"/>
        </w:rPr>
        <w:t>没有饮用水源保护区、以及县以上政府规划部门确定的特殊保护区域、也不是生态敏感脆弱区。项目不会对周围的环境敏感目标造成影响。</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109" w:name="_Toc9767"/>
      <w:bookmarkStart w:id="1110" w:name="_Toc21027"/>
      <w:bookmarkStart w:id="1111" w:name="_Toc486403412"/>
      <w:bookmarkStart w:id="1112" w:name="_Toc3530"/>
      <w:bookmarkStart w:id="1113" w:name="_Toc18790"/>
      <w:bookmarkStart w:id="1114" w:name="_Toc20248"/>
      <w:bookmarkStart w:id="1115" w:name="_Toc21814256"/>
      <w:bookmarkStart w:id="1116" w:name="_Toc21814388"/>
      <w:bookmarkStart w:id="1117" w:name="_Toc21814435"/>
      <w:bookmarkStart w:id="1118" w:name="_Toc21815043"/>
      <w:bookmarkStart w:id="1119" w:name="_Toc22151020"/>
      <w:bookmarkStart w:id="1120" w:name="_Toc22151197"/>
      <w:bookmarkStart w:id="1121" w:name="_Toc22198236"/>
      <w:bookmarkStart w:id="1122" w:name="_Toc22198354"/>
      <w:bookmarkStart w:id="1123" w:name="_Toc22198460"/>
      <w:bookmarkStart w:id="1124" w:name="_Toc22198563"/>
      <w:bookmarkStart w:id="1125" w:name="_Toc22198859"/>
      <w:bookmarkStart w:id="1126" w:name="_Toc22199225"/>
      <w:bookmarkStart w:id="1127" w:name="_Toc22199716"/>
      <w:bookmarkStart w:id="1128" w:name="_Toc22200360"/>
      <w:bookmarkStart w:id="1129" w:name="_Toc22201026"/>
      <w:bookmarkStart w:id="1130" w:name="_Toc22202082"/>
      <w:bookmarkStart w:id="1131" w:name="_Toc22202382"/>
      <w:bookmarkStart w:id="1132" w:name="_Toc22202800"/>
      <w:bookmarkStart w:id="1133" w:name="_Toc24969809"/>
      <w:r>
        <w:rPr>
          <w:rFonts w:hint="eastAsia" w:ascii="宋体" w:hAnsi="宋体" w:eastAsia="宋体"/>
          <w:color w:val="000000" w:themeColor="text1"/>
          <w:lang w:eastAsia="zh-CN"/>
        </w:rPr>
        <w:t>11.3项目周围地区环境质量现状</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18"/>
        <w:spacing w:after="0" w:line="360" w:lineRule="auto"/>
        <w:ind w:left="0" w:firstLine="480"/>
        <w:rPr>
          <w:sz w:val="24"/>
          <w:lang w:eastAsia="zh-CN"/>
        </w:rPr>
      </w:pPr>
      <w:r>
        <w:rPr>
          <w:rFonts w:hint="eastAsia"/>
          <w:sz w:val="24"/>
          <w:lang w:eastAsia="zh-CN"/>
        </w:rPr>
        <w:t>项目区域</w:t>
      </w:r>
      <w:r>
        <w:rPr>
          <w:sz w:val="24"/>
          <w:lang w:eastAsia="zh-CN"/>
        </w:rPr>
        <w:t>SO</w:t>
      </w:r>
      <w:r>
        <w:rPr>
          <w:sz w:val="24"/>
          <w:vertAlign w:val="subscript"/>
          <w:lang w:eastAsia="zh-CN"/>
        </w:rPr>
        <w:t>2</w:t>
      </w:r>
      <w:r>
        <w:rPr>
          <w:sz w:val="24"/>
          <w:lang w:eastAsia="zh-CN"/>
        </w:rPr>
        <w:t>、NO</w:t>
      </w:r>
      <w:r>
        <w:rPr>
          <w:sz w:val="24"/>
          <w:vertAlign w:val="subscript"/>
          <w:lang w:eastAsia="zh-CN"/>
        </w:rPr>
        <w:t>2</w:t>
      </w:r>
      <w:r>
        <w:rPr>
          <w:sz w:val="24"/>
          <w:lang w:eastAsia="zh-CN"/>
        </w:rPr>
        <w:t>、PM</w:t>
      </w:r>
      <w:r>
        <w:rPr>
          <w:sz w:val="24"/>
          <w:vertAlign w:val="subscript"/>
          <w:lang w:eastAsia="zh-CN"/>
        </w:rPr>
        <w:t>10</w:t>
      </w:r>
      <w:r>
        <w:rPr>
          <w:sz w:val="24"/>
          <w:lang w:eastAsia="zh-CN"/>
        </w:rPr>
        <w:t>小时平均浓度和日平均浓度均满足《环境空气质量标准》（GB3095-2012）中二级标准限值要求。</w:t>
      </w:r>
    </w:p>
    <w:p>
      <w:pPr>
        <w:pStyle w:val="18"/>
        <w:spacing w:after="0" w:line="360" w:lineRule="auto"/>
        <w:ind w:left="0" w:firstLine="480"/>
        <w:rPr>
          <w:sz w:val="24"/>
          <w:szCs w:val="24"/>
          <w:lang w:eastAsia="zh-CN"/>
        </w:rPr>
      </w:pPr>
      <w:r>
        <w:rPr>
          <w:rFonts w:hint="eastAsia"/>
          <w:sz w:val="24"/>
          <w:lang w:eastAsia="zh-CN"/>
        </w:rPr>
        <w:t>长江按环境功能区划分为Ⅲ类水域，其水质应满GB3838-2002《地表水环境质量标准》中Ⅲ类水域标准。</w:t>
      </w:r>
      <w:r>
        <w:rPr>
          <w:sz w:val="24"/>
          <w:szCs w:val="24"/>
          <w:lang w:eastAsia="zh-CN"/>
        </w:rPr>
        <w:t>根据岳阳市环境监测中心公布的近6个月的岳阳市环境质量状况（2017年9 月~2018年2月），</w:t>
      </w:r>
      <w:r>
        <w:rPr>
          <w:rFonts w:hint="eastAsia"/>
          <w:sz w:val="24"/>
          <w:szCs w:val="24"/>
          <w:lang w:eastAsia="zh-CN"/>
        </w:rPr>
        <w:t>长江</w:t>
      </w:r>
      <w:r>
        <w:rPr>
          <w:sz w:val="24"/>
          <w:szCs w:val="24"/>
          <w:lang w:eastAsia="zh-CN"/>
        </w:rPr>
        <w:t>城陵矶断面</w:t>
      </w:r>
      <w:r>
        <w:rPr>
          <w:rFonts w:hint="eastAsia"/>
          <w:sz w:val="24"/>
          <w:szCs w:val="24"/>
          <w:lang w:eastAsia="zh-CN"/>
        </w:rPr>
        <w:t>的</w:t>
      </w:r>
      <w:r>
        <w:rPr>
          <w:sz w:val="24"/>
          <w:szCs w:val="24"/>
          <w:lang w:eastAsia="zh-CN"/>
        </w:rPr>
        <w:t>水质各监测因子均达到《地表水环境 质量标准》（GB3838-2002）中的</w:t>
      </w:r>
      <w:r>
        <w:rPr>
          <w:rFonts w:hint="eastAsia" w:ascii="宋体" w:hAnsi="宋体" w:cs="宋体"/>
          <w:sz w:val="24"/>
          <w:szCs w:val="24"/>
          <w:lang w:eastAsia="zh-CN"/>
        </w:rPr>
        <w:t>Ⅲ</w:t>
      </w:r>
      <w:r>
        <w:rPr>
          <w:sz w:val="24"/>
          <w:szCs w:val="24"/>
          <w:lang w:eastAsia="zh-CN"/>
        </w:rPr>
        <w:t>类水质标准，水质状况</w:t>
      </w:r>
      <w:r>
        <w:rPr>
          <w:rFonts w:hint="eastAsia"/>
          <w:sz w:val="24"/>
          <w:szCs w:val="24"/>
          <w:lang w:eastAsia="zh-CN"/>
        </w:rPr>
        <w:t>为</w:t>
      </w:r>
      <w:r>
        <w:rPr>
          <w:sz w:val="24"/>
          <w:szCs w:val="24"/>
          <w:lang w:eastAsia="zh-CN"/>
        </w:rPr>
        <w:t>优。湖南永蓝检测技术有限公司</w:t>
      </w:r>
      <w:r>
        <w:rPr>
          <w:color w:val="000000"/>
          <w:sz w:val="24"/>
          <w:szCs w:val="24"/>
          <w:lang w:eastAsia="zh-CN"/>
        </w:rPr>
        <w:t>2017年9月</w:t>
      </w:r>
      <w:r>
        <w:rPr>
          <w:sz w:val="24"/>
          <w:szCs w:val="24"/>
          <w:lang w:eastAsia="zh-CN"/>
        </w:rPr>
        <w:t>20～22日</w:t>
      </w:r>
      <w:r>
        <w:rPr>
          <w:color w:val="000000"/>
          <w:sz w:val="24"/>
          <w:szCs w:val="24"/>
          <w:lang w:eastAsia="zh-CN"/>
        </w:rPr>
        <w:t>对东洞庭湖常规</w:t>
      </w:r>
      <w:r>
        <w:rPr>
          <w:rFonts w:hint="eastAsia"/>
          <w:color w:val="000000"/>
          <w:sz w:val="24"/>
          <w:szCs w:val="24"/>
          <w:lang w:eastAsia="zh-CN"/>
        </w:rPr>
        <w:t>断面的</w:t>
      </w:r>
      <w:r>
        <w:rPr>
          <w:color w:val="000000"/>
          <w:sz w:val="24"/>
          <w:szCs w:val="24"/>
          <w:lang w:eastAsia="zh-CN"/>
        </w:rPr>
        <w:t>监测数据</w:t>
      </w:r>
      <w:r>
        <w:rPr>
          <w:rFonts w:hint="eastAsia"/>
          <w:color w:val="000000"/>
          <w:sz w:val="24"/>
          <w:szCs w:val="24"/>
          <w:lang w:eastAsia="zh-CN"/>
        </w:rPr>
        <w:t>结果分析，</w:t>
      </w:r>
      <w:r>
        <w:rPr>
          <w:sz w:val="24"/>
          <w:szCs w:val="24"/>
          <w:lang w:eastAsia="zh-CN"/>
        </w:rPr>
        <w:t>东洞庭湖各监测因子均能满足《地表水环境质量标准》（GB3838-2002）</w:t>
      </w:r>
      <w:r>
        <w:rPr>
          <w:rFonts w:hint="eastAsia"/>
          <w:sz w:val="24"/>
          <w:szCs w:val="24"/>
          <w:lang w:eastAsia="zh-CN"/>
        </w:rPr>
        <w:t>Ⅲ</w:t>
      </w:r>
      <w:r>
        <w:rPr>
          <w:sz w:val="24"/>
          <w:szCs w:val="24"/>
          <w:lang w:eastAsia="zh-CN"/>
        </w:rPr>
        <w:t>类标准要求</w:t>
      </w:r>
      <w:r>
        <w:rPr>
          <w:rFonts w:hint="eastAsia"/>
          <w:sz w:val="24"/>
          <w:szCs w:val="24"/>
          <w:lang w:eastAsia="zh-CN"/>
        </w:rPr>
        <w:t>。</w:t>
      </w:r>
    </w:p>
    <w:p>
      <w:pPr>
        <w:pStyle w:val="18"/>
        <w:spacing w:after="0" w:line="360" w:lineRule="auto"/>
        <w:ind w:left="0" w:firstLine="480"/>
        <w:rPr>
          <w:sz w:val="24"/>
          <w:lang w:eastAsia="zh-CN"/>
        </w:rPr>
      </w:pPr>
      <w:r>
        <w:rPr>
          <w:rFonts w:hint="eastAsia"/>
          <w:sz w:val="24"/>
          <w:lang w:eastAsia="zh-CN"/>
        </w:rPr>
        <w:t>项目厂界及环境敏感点昼间和夜间均能满足《声环境质量标准》（GB3096-2008）3类标准要求。</w:t>
      </w:r>
    </w:p>
    <w:p>
      <w:pPr>
        <w:pStyle w:val="18"/>
        <w:spacing w:after="0" w:line="360" w:lineRule="auto"/>
        <w:ind w:left="0" w:firstLine="480"/>
        <w:rPr>
          <w:sz w:val="24"/>
          <w:szCs w:val="24"/>
          <w:lang w:eastAsia="zh-CN"/>
        </w:rPr>
      </w:pPr>
      <w:r>
        <w:rPr>
          <w:sz w:val="24"/>
          <w:szCs w:val="24"/>
          <w:lang w:eastAsia="zh-CN"/>
        </w:rPr>
        <w:t>项目厂区地下水各项监测指标均满足《地下水质量标准》（GB/T14848-93）中</w:t>
      </w:r>
      <w:r>
        <w:rPr>
          <w:rFonts w:hint="eastAsia" w:ascii="宋体" w:hAnsi="宋体" w:cs="宋体"/>
          <w:sz w:val="24"/>
          <w:szCs w:val="24"/>
          <w:lang w:eastAsia="zh-CN"/>
        </w:rPr>
        <w:t>Ⅲ</w:t>
      </w:r>
      <w:r>
        <w:rPr>
          <w:sz w:val="24"/>
          <w:szCs w:val="24"/>
          <w:lang w:eastAsia="zh-CN"/>
        </w:rPr>
        <w:t>类标准要求。</w:t>
      </w:r>
    </w:p>
    <w:p>
      <w:pPr>
        <w:pStyle w:val="18"/>
        <w:spacing w:after="0" w:line="360" w:lineRule="auto"/>
        <w:ind w:left="0" w:firstLine="480"/>
        <w:rPr>
          <w:sz w:val="24"/>
          <w:lang w:eastAsia="zh-CN"/>
        </w:rPr>
      </w:pPr>
      <w:r>
        <w:rPr>
          <w:sz w:val="24"/>
          <w:szCs w:val="24"/>
          <w:lang w:eastAsia="zh-CN"/>
        </w:rPr>
        <w:t>项目厂区内及周边用地土壤中的所有指标均满足《土壤环境质量标准》（GB15618-1995）二级标准限值要求。</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134" w:name="_Toc25683"/>
      <w:bookmarkStart w:id="1135" w:name="_Toc7804"/>
      <w:bookmarkStart w:id="1136" w:name="_Toc486403413"/>
      <w:bookmarkStart w:id="1137" w:name="_Toc3242"/>
      <w:bookmarkStart w:id="1138" w:name="_Toc5175"/>
      <w:bookmarkStart w:id="1139" w:name="_Toc1271"/>
      <w:bookmarkStart w:id="1140" w:name="_Toc21814257"/>
      <w:bookmarkStart w:id="1141" w:name="_Toc21814389"/>
      <w:bookmarkStart w:id="1142" w:name="_Toc21814436"/>
      <w:bookmarkStart w:id="1143" w:name="_Toc21815044"/>
      <w:bookmarkStart w:id="1144" w:name="_Toc22151021"/>
      <w:bookmarkStart w:id="1145" w:name="_Toc22151198"/>
      <w:bookmarkStart w:id="1146" w:name="_Toc22198237"/>
      <w:bookmarkStart w:id="1147" w:name="_Toc22198355"/>
      <w:bookmarkStart w:id="1148" w:name="_Toc22198461"/>
      <w:bookmarkStart w:id="1149" w:name="_Toc22198564"/>
      <w:bookmarkStart w:id="1150" w:name="_Toc22198860"/>
      <w:bookmarkStart w:id="1151" w:name="_Toc22199226"/>
      <w:bookmarkStart w:id="1152" w:name="_Toc22199717"/>
      <w:bookmarkStart w:id="1153" w:name="_Toc22200361"/>
      <w:bookmarkStart w:id="1154" w:name="_Toc22201027"/>
      <w:bookmarkStart w:id="1155" w:name="_Toc22202083"/>
      <w:bookmarkStart w:id="1156" w:name="_Toc22202383"/>
      <w:bookmarkStart w:id="1157" w:name="_Toc22202801"/>
      <w:bookmarkStart w:id="1158" w:name="_Toc24969810"/>
      <w:r>
        <w:rPr>
          <w:rFonts w:hint="eastAsia" w:ascii="宋体" w:hAnsi="宋体" w:eastAsia="宋体"/>
          <w:color w:val="000000" w:themeColor="text1"/>
          <w:lang w:eastAsia="zh-CN"/>
        </w:rPr>
        <w:t>11.4环境影响预测与评价</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pStyle w:val="18"/>
        <w:spacing w:after="0" w:line="360" w:lineRule="auto"/>
        <w:ind w:left="0" w:firstLine="480"/>
        <w:rPr>
          <w:sz w:val="24"/>
          <w:szCs w:val="24"/>
          <w:lang w:eastAsia="zh-CN"/>
        </w:rPr>
      </w:pPr>
      <w:r>
        <w:rPr>
          <w:rFonts w:hint="eastAsia"/>
          <w:sz w:val="24"/>
          <w:lang w:eastAsia="zh-CN"/>
        </w:rPr>
        <w:t>本项目产生的废气主要为污泥掺烧的烟气。污泥及干燥炭化输送在密闭系统内进行，产生的废气与锅炉尾气</w:t>
      </w:r>
      <w:r>
        <w:rPr>
          <w:rFonts w:hint="eastAsia"/>
          <w:sz w:val="24"/>
          <w:szCs w:val="24"/>
          <w:lang w:eastAsia="zh-CN"/>
        </w:rPr>
        <w:t>经脱硫脱硝除尘处理后排放能够满足《火电厂大气污染物排放标准》（GB13223-2011）、《全面实施燃煤电厂超低排放和节能改造工作方案》要求标准。锅炉焚烧污泥的技术性能指标能够满足GB18484-2001《危险废物焚烧污染控制标准》中烟气停留时间、燃烧效率、焚烧去除率和焚烧残渣的热灼减率的要求。锅炉焚烧污泥技术可行。</w:t>
      </w:r>
    </w:p>
    <w:p>
      <w:pPr>
        <w:pStyle w:val="18"/>
        <w:tabs>
          <w:tab w:val="left" w:pos="426"/>
        </w:tabs>
        <w:spacing w:after="0" w:line="360" w:lineRule="auto"/>
        <w:ind w:left="0" w:firstLine="426"/>
        <w:rPr>
          <w:sz w:val="24"/>
          <w:szCs w:val="24"/>
          <w:lang w:eastAsia="zh-CN"/>
        </w:rPr>
      </w:pPr>
      <w:r>
        <w:rPr>
          <w:rFonts w:hint="eastAsia"/>
          <w:sz w:val="24"/>
          <w:szCs w:val="24"/>
          <w:lang w:eastAsia="zh-CN"/>
        </w:rPr>
        <w:t xml:space="preserve"> 项目废水主要是锅炉排污水。本工程不新增废水，</w:t>
      </w:r>
      <w:r>
        <w:rPr>
          <w:rFonts w:hint="eastAsia" w:ascii="宋体" w:hAnsi="宋体"/>
          <w:color w:val="3A3A3A"/>
          <w:lang w:eastAsia="zh-CN"/>
        </w:rPr>
        <w:t xml:space="preserve"> 600MW</w:t>
      </w:r>
      <w:r>
        <w:rPr>
          <w:rFonts w:hint="eastAsia" w:ascii="宋体" w:hAnsi="宋体" w:cs="宋体"/>
          <w:color w:val="000000"/>
          <w:lang w:eastAsia="zh-CN"/>
        </w:rPr>
        <w:t>超超临界</w:t>
      </w:r>
      <w:r>
        <w:rPr>
          <w:rFonts w:hint="eastAsia" w:ascii="宋体" w:hAnsi="宋体"/>
          <w:color w:val="3A3A3A"/>
          <w:lang w:eastAsia="zh-CN"/>
        </w:rPr>
        <w:t>机组</w:t>
      </w:r>
      <w:r>
        <w:rPr>
          <w:rFonts w:hint="eastAsia"/>
          <w:sz w:val="24"/>
          <w:szCs w:val="24"/>
          <w:lang w:eastAsia="zh-CN"/>
        </w:rPr>
        <w:t>配两台循环水泵、一根循环水管（DN3200）及一条循环水沟（3m×3.5m）。循环水排水是清净水直接排入长江，其他各种废水分类收集后送至工业废水集中处理站，处理合格后的废水符合《污水综合排放标准》GB8978-96中一级标准要求，全部回用。华能岳阳电厂正常运行时，耗水指标为0.119m</w:t>
      </w:r>
      <w:r>
        <w:rPr>
          <w:sz w:val="24"/>
          <w:szCs w:val="24"/>
          <w:vertAlign w:val="superscript"/>
          <w:lang w:eastAsia="zh-CN"/>
        </w:rPr>
        <w:t>3</w:t>
      </w:r>
      <w:r>
        <w:rPr>
          <w:rFonts w:hint="eastAsia"/>
          <w:sz w:val="24"/>
          <w:szCs w:val="24"/>
          <w:lang w:eastAsia="zh-CN"/>
        </w:rPr>
        <w:t>/GW·s。不外排工业和生活污水。华能岳阳电厂非正常工况废水，经工业废水集中处理站处理合格后排到灰场，以备回用。</w:t>
      </w:r>
    </w:p>
    <w:p>
      <w:pPr>
        <w:pStyle w:val="18"/>
        <w:spacing w:after="0" w:line="360" w:lineRule="auto"/>
        <w:ind w:left="0" w:firstLine="480"/>
        <w:rPr>
          <w:sz w:val="24"/>
          <w:szCs w:val="24"/>
          <w:lang w:eastAsia="zh-CN"/>
        </w:rPr>
      </w:pPr>
      <w:r>
        <w:rPr>
          <w:rFonts w:hint="eastAsia"/>
          <w:sz w:val="24"/>
          <w:szCs w:val="24"/>
          <w:lang w:eastAsia="zh-CN"/>
        </w:rPr>
        <w:t>项目固体废物主要是锅炉燃烧产生的炉渣，锅炉炉渣属于一般固废，全部外售综合利用。项目所产生的一般工业固体废物均得到有效的回收利用或处置，排放量为零。</w:t>
      </w:r>
    </w:p>
    <w:p>
      <w:pPr>
        <w:pStyle w:val="18"/>
        <w:spacing w:after="0" w:line="360" w:lineRule="auto"/>
        <w:ind w:left="0" w:firstLine="480"/>
        <w:rPr>
          <w:sz w:val="24"/>
          <w:szCs w:val="24"/>
          <w:lang w:eastAsia="zh-CN"/>
        </w:rPr>
      </w:pPr>
      <w:r>
        <w:rPr>
          <w:rFonts w:hint="eastAsia"/>
          <w:sz w:val="24"/>
          <w:szCs w:val="24"/>
          <w:lang w:eastAsia="zh-CN"/>
        </w:rPr>
        <w:t>根据目前的监测情况，华能岳阳电厂厂界</w:t>
      </w:r>
      <w:r>
        <w:rPr>
          <w:sz w:val="24"/>
          <w:szCs w:val="24"/>
          <w:lang w:eastAsia="zh-CN"/>
        </w:rPr>
        <w:t>噪声可满足《工业企业厂界环境噪声排放标准》（GB12348-2008）的要求。</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159" w:name="_Toc22820"/>
      <w:bookmarkStart w:id="1160" w:name="_Toc13945"/>
      <w:bookmarkStart w:id="1161" w:name="_Toc486403414"/>
      <w:bookmarkStart w:id="1162" w:name="_Toc12976"/>
      <w:bookmarkStart w:id="1163" w:name="_Toc26525"/>
      <w:bookmarkStart w:id="1164" w:name="_Toc9895"/>
      <w:bookmarkStart w:id="1165" w:name="_Toc21814258"/>
      <w:bookmarkStart w:id="1166" w:name="_Toc21814390"/>
      <w:bookmarkStart w:id="1167" w:name="_Toc21814437"/>
      <w:bookmarkStart w:id="1168" w:name="_Toc21815045"/>
      <w:bookmarkStart w:id="1169" w:name="_Toc22151022"/>
      <w:bookmarkStart w:id="1170" w:name="_Toc22151199"/>
      <w:bookmarkStart w:id="1171" w:name="_Toc22198238"/>
      <w:bookmarkStart w:id="1172" w:name="_Toc22198356"/>
      <w:bookmarkStart w:id="1173" w:name="_Toc22198462"/>
      <w:bookmarkStart w:id="1174" w:name="_Toc22198565"/>
      <w:bookmarkStart w:id="1175" w:name="_Toc22198861"/>
      <w:bookmarkStart w:id="1176" w:name="_Toc22199227"/>
      <w:bookmarkStart w:id="1177" w:name="_Toc22199718"/>
      <w:bookmarkStart w:id="1178" w:name="_Toc22200362"/>
      <w:bookmarkStart w:id="1179" w:name="_Toc22201028"/>
      <w:bookmarkStart w:id="1180" w:name="_Toc22202084"/>
      <w:bookmarkStart w:id="1181" w:name="_Toc22202384"/>
      <w:bookmarkStart w:id="1182" w:name="_Toc22202802"/>
      <w:bookmarkStart w:id="1183" w:name="_Toc24969811"/>
      <w:r>
        <w:rPr>
          <w:rFonts w:hint="eastAsia" w:ascii="宋体" w:hAnsi="宋体" w:eastAsia="宋体"/>
          <w:color w:val="000000" w:themeColor="text1"/>
          <w:lang w:eastAsia="zh-CN"/>
        </w:rPr>
        <w:t>11.5环保措施</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pPr>
        <w:pStyle w:val="18"/>
        <w:spacing w:after="0" w:line="360" w:lineRule="auto"/>
        <w:ind w:left="0" w:firstLine="426"/>
        <w:jc w:val="both"/>
        <w:rPr>
          <w:sz w:val="24"/>
          <w:szCs w:val="24"/>
          <w:lang w:eastAsia="zh-CN"/>
        </w:rPr>
      </w:pPr>
      <w:r>
        <w:rPr>
          <w:rFonts w:hint="eastAsia"/>
          <w:sz w:val="24"/>
          <w:szCs w:val="24"/>
          <w:lang w:eastAsia="zh-CN"/>
        </w:rPr>
        <w:t xml:space="preserve"> 本项目产生的废气主要为污泥掺烧的烟气。掺烧烟气、干化废气、污泥储仓收集的废气均依托锅炉脱硫脱硝除尘处理后排放，均能做到达标排放。其他尾气也都分别采取了处理措施，确保达标排放：碎煤系统尾气：在碎煤机间设有布袋除尘设施，尾气排放量 20000Nm</w:t>
      </w:r>
      <w:r>
        <w:rPr>
          <w:rFonts w:hint="eastAsia"/>
          <w:sz w:val="24"/>
          <w:szCs w:val="24"/>
          <w:vertAlign w:val="superscript"/>
          <w:lang w:eastAsia="zh-CN"/>
        </w:rPr>
        <w:t>3</w:t>
      </w:r>
      <w:r>
        <w:rPr>
          <w:rFonts w:hint="eastAsia"/>
          <w:sz w:val="24"/>
          <w:szCs w:val="24"/>
          <w:lang w:eastAsia="zh-CN"/>
        </w:rPr>
        <w:t>/h，排尘浓度小于 10mg/m</w:t>
      </w:r>
      <w:r>
        <w:rPr>
          <w:rFonts w:hint="eastAsia"/>
          <w:sz w:val="24"/>
          <w:szCs w:val="24"/>
          <w:vertAlign w:val="superscript"/>
          <w:lang w:eastAsia="zh-CN"/>
        </w:rPr>
        <w:t>3</w:t>
      </w:r>
      <w:r>
        <w:rPr>
          <w:rFonts w:hint="eastAsia"/>
          <w:sz w:val="24"/>
          <w:szCs w:val="24"/>
          <w:lang w:eastAsia="zh-CN"/>
        </w:rPr>
        <w:t>（按除尘率 99.8%计算,下同 ）。灰库尾气:灰库安装布袋除尘器，废气排放量</w:t>
      </w:r>
      <w:r>
        <w:rPr>
          <w:sz w:val="24"/>
          <w:szCs w:val="24"/>
          <w:lang w:eastAsia="zh-CN"/>
        </w:rPr>
        <w:t>30000Nm</w:t>
      </w:r>
      <w:r>
        <w:rPr>
          <w:sz w:val="24"/>
          <w:szCs w:val="24"/>
          <w:vertAlign w:val="superscript"/>
          <w:lang w:eastAsia="zh-CN"/>
        </w:rPr>
        <w:t>3</w:t>
      </w:r>
      <w:r>
        <w:rPr>
          <w:rFonts w:hint="eastAsia"/>
          <w:sz w:val="24"/>
          <w:szCs w:val="24"/>
          <w:lang w:eastAsia="zh-CN"/>
        </w:rPr>
        <w:t>/h，排尘浓度小于 10mg/m</w:t>
      </w:r>
      <w:r>
        <w:rPr>
          <w:rFonts w:hint="eastAsia"/>
          <w:sz w:val="24"/>
          <w:szCs w:val="24"/>
          <w:vertAlign w:val="superscript"/>
          <w:lang w:eastAsia="zh-CN"/>
        </w:rPr>
        <w:t>3</w:t>
      </w:r>
      <w:r>
        <w:rPr>
          <w:rFonts w:hint="eastAsia"/>
          <w:sz w:val="24"/>
          <w:szCs w:val="24"/>
          <w:lang w:eastAsia="zh-CN"/>
        </w:rPr>
        <w:t>煤粉制备系统尾气：煤制粉均采用密闭设置、负压，有严格的措施，以减少物料损耗和空气污染，技术是成熟的。煤粉制备系统采用中速磨，无煤粉库，煤粉及尾气直接进入锅炉燃烧系统，无尾气外排。石灰石粉贮储罐尾气: 石灰石粉贮储罐安装 1 台布袋除尘器，废气排放量 1000Nm</w:t>
      </w:r>
      <w:r>
        <w:rPr>
          <w:rFonts w:hint="eastAsia"/>
          <w:sz w:val="24"/>
          <w:szCs w:val="24"/>
          <w:vertAlign w:val="superscript"/>
          <w:lang w:eastAsia="zh-CN"/>
        </w:rPr>
        <w:t>3</w:t>
      </w:r>
      <w:r>
        <w:rPr>
          <w:rFonts w:hint="eastAsia"/>
          <w:sz w:val="24"/>
          <w:szCs w:val="24"/>
          <w:lang w:eastAsia="zh-CN"/>
        </w:rPr>
        <w:t>/h，排尘浓度小于10mg/m</w:t>
      </w:r>
      <w:r>
        <w:rPr>
          <w:rFonts w:hint="eastAsia"/>
          <w:sz w:val="24"/>
          <w:szCs w:val="24"/>
          <w:vertAlign w:val="superscript"/>
          <w:lang w:eastAsia="zh-CN"/>
        </w:rPr>
        <w:t>3</w:t>
      </w:r>
      <w:r>
        <w:rPr>
          <w:rFonts w:hint="eastAsia"/>
          <w:sz w:val="24"/>
          <w:szCs w:val="24"/>
          <w:lang w:eastAsia="zh-CN"/>
        </w:rPr>
        <w:t>。</w:t>
      </w:r>
    </w:p>
    <w:p>
      <w:pPr>
        <w:pStyle w:val="18"/>
        <w:spacing w:after="0" w:line="360" w:lineRule="auto"/>
        <w:ind w:left="0" w:firstLine="426"/>
        <w:rPr>
          <w:sz w:val="24"/>
          <w:szCs w:val="24"/>
          <w:lang w:eastAsia="zh-CN"/>
        </w:rPr>
      </w:pPr>
      <w:r>
        <w:rPr>
          <w:rFonts w:hint="eastAsia"/>
          <w:sz w:val="24"/>
          <w:szCs w:val="24"/>
          <w:lang w:eastAsia="zh-CN"/>
        </w:rPr>
        <w:t>项目废水主要是依托锅炉排污水。除锅炉冷却水是清净水直接排入长江，其他各种废水分类收集后送至工业废水集中处理站，处理合格后的废水符合《污水综合排放标准》GB8978-96中一级标准要求，全部回用。（1）酸、碱废水：本期工程排放量约200t/d，锅炉补给水处理和凝结水处理系统的含酸、碱废水拟先排入废水处理站中和池中和处理后作冲渣用水。（2）锅炉非经常性废水：锅炉非经常性废水包括锅炉化学清洗水（一般6年1次）、锅炉排污水、空气预热器冲洗水、静电除尘器冲洗水等，这类废水中主要污染物为pH值、悬浮物和少量联胺，拟排入废水处理站集中处理，经处理后，使排水达到《污水综合排放标准》（GB 8978—1996）中的三级标准，锅炉酸洗废液中的污染物主要为酸，排放量约2000t/次，处理后用作冲渣补充水。（3）脱硫废水：排放的废水中总悬浮固体（SS）浓度较高、呈弱酸性，排放量约15t/h，单独处理后作灰场防尘或干灰调湿用水。（4）煤系统排水：本期工程的煤场和输煤系统等的间断冲洗排水和煤场雨水经沉淀处理后作煤场冲洗用水。（5）生活污水：生活污水排放量约5t/h，经生活污水处理站处理后作厂区绿化用水。（6）含油污水：本工程的少量含油污水排入油水分离处理装置进行处理，处理后的排水进工业废水集中处理站处理后作冲渣用水。（7）全厂工业和生活废水全部回收利用，废水重复利用率100%。（8）煤场初期雨水:煤场初期雨水收集后排入沉煤池沉淀后全部作煤场冲洗用水。电厂雨水排入雨水管网。</w:t>
      </w:r>
    </w:p>
    <w:p>
      <w:pPr>
        <w:pStyle w:val="18"/>
        <w:spacing w:after="0" w:line="360" w:lineRule="auto"/>
        <w:ind w:left="0" w:firstLine="426"/>
        <w:rPr>
          <w:sz w:val="24"/>
          <w:szCs w:val="24"/>
          <w:lang w:eastAsia="zh-CN"/>
        </w:rPr>
      </w:pPr>
      <w:r>
        <w:rPr>
          <w:rFonts w:hint="eastAsia"/>
          <w:sz w:val="24"/>
          <w:szCs w:val="24"/>
          <w:lang w:eastAsia="zh-CN"/>
        </w:rPr>
        <w:t xml:space="preserve"> 本项目固体废物主要是锅炉燃烧产生的炉渣，除渣系统：在每台锅炉底部安装一台大倾角水浸式刮板捞渣机将炉底渣连续捞出，炉渣经过捞渣机的倾斜段脱水，使排渣的含水率不大于 30%，然后直接排入储渣储罐，在储渣储罐下部再装入汽车外运。捞渣机溢流下的水经高效浓缩机、缓冲水储罐及过滤器冷却后，供除渣系统循环使用。每台炉捞渣机出口头部下设 1 台有效容积 110m</w:t>
      </w:r>
      <w:r>
        <w:rPr>
          <w:rFonts w:hint="eastAsia"/>
          <w:sz w:val="24"/>
          <w:szCs w:val="24"/>
          <w:vertAlign w:val="superscript"/>
          <w:lang w:eastAsia="zh-CN"/>
        </w:rPr>
        <w:t>3</w:t>
      </w:r>
      <w:r>
        <w:rPr>
          <w:rFonts w:hint="eastAsia"/>
          <w:sz w:val="24"/>
          <w:szCs w:val="24"/>
          <w:lang w:eastAsia="zh-CN"/>
        </w:rPr>
        <w:t>储渣储罐，可贮存锅炉满负荷工况 12h排渣量。除渣供水系统高效浓缩机、缓冲水储罐、除渣供水泵均布置在锅炉房外一侧，每台炉设置一套，高效浓缩机及缓冲水储罐内的积渣由排污泵输送至捞渣机尾部。锅炉底渣全部考虑综合利用，底渣外运采用汽车运输。考虑到用户对渣需求的不均衡性或当渣暂无综合利用时，可将渣汽车运至灰场堆放。除灰系统采用正压浓相气力输送系统。在灰库顶部设有布袋除尘器，灰库内的空气经过滤收尘后直接排向大气。为便于飞灰综合利用，采取粗、细灰分排、分贮方式，共设 3 座干灰库，其中 2座粗灰库、1 座细灰库，每座灰库有效容积约 2000m储渣储罐，可贮存锅炉满负荷工况 24h排渣量。烟气脱硫系统副产品-石膏，据有关协议文件，已有综合利用途径，因此，其处理系统为：将石膏浆真空脱水后由汽车运至用户，临时无用户时，则运至灰场分开堆放。催化脱硝产生的废催化剂厂家回收。项目所产生的一般工业固体废物均得到有效的回收利用或处置，排放量为零。</w:t>
      </w:r>
    </w:p>
    <w:p>
      <w:pPr>
        <w:rPr>
          <w:rFonts w:ascii="宋体" w:hAnsi="宋体"/>
          <w:sz w:val="24"/>
          <w:szCs w:val="24"/>
          <w:lang w:eastAsia="zh-CN"/>
        </w:rPr>
      </w:pPr>
      <w:r>
        <w:rPr>
          <w:rFonts w:hint="eastAsia" w:ascii="宋体" w:hAnsi="宋体"/>
          <w:sz w:val="24"/>
          <w:szCs w:val="24"/>
          <w:lang w:eastAsia="zh-CN"/>
        </w:rPr>
        <w:t xml:space="preserve">    根据GB18599—2001《一般工业固体废物贮存、处置场污染控制标准》Ⅱ类一般工业固体废物贮存、处置场地的要求建设污染防治区。</w:t>
      </w:r>
    </w:p>
    <w:p>
      <w:pPr>
        <w:pStyle w:val="18"/>
        <w:spacing w:after="0" w:line="360" w:lineRule="auto"/>
        <w:ind w:left="0" w:firstLine="480"/>
        <w:rPr>
          <w:sz w:val="24"/>
          <w:szCs w:val="24"/>
          <w:lang w:eastAsia="zh-CN"/>
        </w:rPr>
      </w:pPr>
      <w:r>
        <w:rPr>
          <w:sz w:val="24"/>
          <w:szCs w:val="24"/>
          <w:lang w:eastAsia="zh-CN"/>
        </w:rPr>
        <w:t>本项目噪声源主要为</w:t>
      </w:r>
      <w:r>
        <w:rPr>
          <w:rFonts w:hint="eastAsia"/>
          <w:sz w:val="24"/>
          <w:szCs w:val="24"/>
          <w:lang w:eastAsia="zh-CN"/>
        </w:rPr>
        <w:t>锅炉</w:t>
      </w:r>
      <w:r>
        <w:rPr>
          <w:sz w:val="24"/>
          <w:szCs w:val="24"/>
          <w:lang w:eastAsia="zh-CN"/>
        </w:rPr>
        <w:t>、机泵等，采用的噪声防治措施如下：选用低噪声电机；对机泵采取减振措施；将压缩机布置在厂房内，对压缩机配用的大型电机均加隔声罩并设置减振等。通过以上措施，可减少噪声影响。</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184" w:name="_Toc21815046"/>
      <w:bookmarkStart w:id="1185" w:name="_Toc22151023"/>
      <w:bookmarkStart w:id="1186" w:name="_Toc22151200"/>
      <w:bookmarkStart w:id="1187" w:name="_Toc22198239"/>
      <w:bookmarkStart w:id="1188" w:name="_Toc22198862"/>
      <w:bookmarkStart w:id="1189" w:name="_Toc22198357"/>
      <w:bookmarkStart w:id="1190" w:name="_Toc22198566"/>
      <w:bookmarkStart w:id="1191" w:name="_Toc22200363"/>
      <w:bookmarkStart w:id="1192" w:name="_Toc22199228"/>
      <w:bookmarkStart w:id="1193" w:name="_Toc22199719"/>
      <w:bookmarkStart w:id="1194" w:name="_Toc22201029"/>
      <w:bookmarkStart w:id="1195" w:name="_Toc22202085"/>
      <w:bookmarkStart w:id="1196" w:name="_Toc22202385"/>
      <w:bookmarkStart w:id="1197" w:name="_Toc22202803"/>
      <w:bookmarkStart w:id="1198" w:name="_Toc21814438"/>
      <w:bookmarkStart w:id="1199" w:name="_Toc22198463"/>
      <w:bookmarkStart w:id="1200" w:name="_Toc21814391"/>
      <w:bookmarkStart w:id="1201" w:name="_Toc21814259"/>
      <w:bookmarkStart w:id="1202" w:name="_Toc11491"/>
      <w:bookmarkStart w:id="1203" w:name="_Toc8782"/>
      <w:bookmarkStart w:id="1204" w:name="_Toc21469"/>
      <w:bookmarkStart w:id="1205" w:name="_Toc486403415"/>
      <w:bookmarkStart w:id="1206" w:name="_Toc23383"/>
      <w:bookmarkStart w:id="1207" w:name="_Toc26915"/>
      <w:bookmarkStart w:id="1208" w:name="_Toc24969812"/>
      <w:r>
        <w:rPr>
          <w:rFonts w:hint="eastAsia" w:ascii="宋体" w:hAnsi="宋体" w:eastAsia="宋体"/>
          <w:color w:val="000000" w:themeColor="text1"/>
          <w:lang w:eastAsia="zh-CN"/>
        </w:rPr>
        <w:t>11.6总量控制</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pStyle w:val="18"/>
        <w:spacing w:after="0" w:line="360" w:lineRule="auto"/>
        <w:ind w:left="0" w:firstLine="480"/>
        <w:rPr>
          <w:sz w:val="24"/>
          <w:lang w:eastAsia="zh-CN"/>
        </w:rPr>
      </w:pPr>
      <w:r>
        <w:rPr>
          <w:sz w:val="24"/>
          <w:lang w:eastAsia="zh-CN"/>
        </w:rPr>
        <w:t>本</w:t>
      </w:r>
      <w:r>
        <w:rPr>
          <w:rFonts w:hint="eastAsia"/>
          <w:sz w:val="24"/>
          <w:lang w:eastAsia="zh-CN"/>
        </w:rPr>
        <w:t>项目是研究污泥及生物质干燥炭化输送一体化的工艺参数及污泥及生物质干燥炭化输送一体化设备的结构和关键尺寸参数的试验装置，掺烧污泥时年新增烟气量2596万 N m</w:t>
      </w:r>
      <w:r>
        <w:rPr>
          <w:rFonts w:hint="eastAsia"/>
          <w:sz w:val="24"/>
          <w:vertAlign w:val="superscript"/>
          <w:lang w:eastAsia="zh-CN"/>
        </w:rPr>
        <w:t>3</w:t>
      </w:r>
      <w:r>
        <w:rPr>
          <w:rFonts w:hint="eastAsia"/>
          <w:sz w:val="24"/>
          <w:lang w:eastAsia="zh-CN"/>
        </w:rPr>
        <w:t>，年新增二氧化硫、氮氧化物、颗粒物排放量分别为：0.5吨、2.5吨、0.4吨。掺烧生物质时年新增烟气量1043万 N m</w:t>
      </w:r>
      <w:r>
        <w:rPr>
          <w:rFonts w:hint="eastAsia"/>
          <w:sz w:val="24"/>
          <w:vertAlign w:val="superscript"/>
          <w:lang w:eastAsia="zh-CN"/>
        </w:rPr>
        <w:t>3</w:t>
      </w:r>
      <w:r>
        <w:rPr>
          <w:rFonts w:hint="eastAsia"/>
          <w:sz w:val="24"/>
          <w:lang w:eastAsia="zh-CN"/>
        </w:rPr>
        <w:t>；年新增二氧化硫、氮氧化物、颗粒物排放量分别为：0.1吨、0.3吨、0.3吨。华能岳阳电厂排污许可证拥有主要污染物排放总量指标二氧化硫：8011吨/年，氮氧化物：6123吨/年，烟尘：1202吨/年。华能岳阳电厂2018年主要污染物排放情况二氧化硫584.86吨，氮氧化物1028.03吨，烟尘：80.19吨，均远低于总量控制指标，</w:t>
      </w:r>
      <w:r>
        <w:rPr>
          <w:sz w:val="24"/>
          <w:lang w:eastAsia="zh-CN"/>
        </w:rPr>
        <w:t>不需要新申请总量。</w:t>
      </w:r>
    </w:p>
    <w:p>
      <w:pPr>
        <w:pStyle w:val="5"/>
        <w:widowControl w:val="0"/>
        <w:tabs>
          <w:tab w:val="left" w:pos="-3900"/>
          <w:tab w:val="left" w:pos="0"/>
        </w:tabs>
        <w:wordWrap w:val="0"/>
        <w:adjustRightInd w:val="0"/>
        <w:snapToGrid w:val="0"/>
        <w:spacing w:beforeLines="50" w:afterLines="50" w:line="360" w:lineRule="auto"/>
        <w:rPr>
          <w:rFonts w:ascii="宋体" w:hAnsi="宋体" w:eastAsia="宋体"/>
          <w:color w:val="000000" w:themeColor="text1"/>
          <w:lang w:eastAsia="zh-CN"/>
        </w:rPr>
      </w:pPr>
      <w:bookmarkStart w:id="1209" w:name="_Toc14461"/>
      <w:bookmarkStart w:id="1210" w:name="_Toc14952"/>
      <w:bookmarkStart w:id="1211" w:name="_Toc486403416"/>
      <w:bookmarkStart w:id="1212" w:name="_Toc1285"/>
      <w:bookmarkStart w:id="1213" w:name="_Toc8766"/>
      <w:bookmarkStart w:id="1214" w:name="_Toc30902"/>
      <w:bookmarkStart w:id="1215" w:name="_Toc21814260"/>
      <w:bookmarkStart w:id="1216" w:name="_Toc21814392"/>
      <w:bookmarkStart w:id="1217" w:name="_Toc21814439"/>
      <w:bookmarkStart w:id="1218" w:name="_Toc21815047"/>
      <w:bookmarkStart w:id="1219" w:name="_Toc22151024"/>
      <w:bookmarkStart w:id="1220" w:name="_Toc22202086"/>
      <w:bookmarkStart w:id="1221" w:name="_Toc22200364"/>
      <w:bookmarkStart w:id="1222" w:name="_Toc22202386"/>
      <w:bookmarkStart w:id="1223" w:name="_Toc22202804"/>
      <w:bookmarkStart w:id="1224" w:name="_Toc24969813"/>
      <w:bookmarkStart w:id="1225" w:name="_Toc22201030"/>
      <w:bookmarkStart w:id="1226" w:name="_Toc22151201"/>
      <w:bookmarkStart w:id="1227" w:name="_Toc22199720"/>
      <w:bookmarkStart w:id="1228" w:name="_Toc22199229"/>
      <w:bookmarkStart w:id="1229" w:name="_Toc22198863"/>
      <w:bookmarkStart w:id="1230" w:name="_Toc22198567"/>
      <w:bookmarkStart w:id="1231" w:name="_Toc22198464"/>
      <w:bookmarkStart w:id="1232" w:name="_Toc22198358"/>
      <w:bookmarkStart w:id="1233" w:name="_Toc22198240"/>
      <w:r>
        <w:rPr>
          <w:rFonts w:hint="eastAsia" w:ascii="宋体" w:hAnsi="宋体" w:eastAsia="宋体"/>
          <w:color w:val="000000" w:themeColor="text1"/>
          <w:lang w:eastAsia="zh-CN"/>
        </w:rPr>
        <w:t>11.7结论与建议</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18"/>
        <w:spacing w:after="0" w:line="360" w:lineRule="auto"/>
        <w:ind w:left="0" w:firstLine="480"/>
        <w:rPr>
          <w:sz w:val="24"/>
          <w:lang w:eastAsia="zh-CN"/>
        </w:rPr>
      </w:pPr>
      <w:r>
        <w:rPr>
          <w:rFonts w:hint="eastAsia"/>
          <w:sz w:val="24"/>
          <w:lang w:eastAsia="zh-CN"/>
        </w:rPr>
        <w:t>西安西热锅炉环保工程有限公司依托华能岳阳电厂的燃煤电厂污泥及生物质干燥炭化一体化处理系统研发项目符合国家相关产业政策，项目建设不会改变区域目前环境空气质量级别，项目环境影响在可接受范围内。在全面充分落实本环评报告书的各项污染防治措施后，废气实现达标排放，最大限度地减缓对周边环境的影响；项目建设具有良好的经济、社会和环境效益，从环境保护角度而言，工程是可行的。</w:t>
      </w:r>
    </w:p>
    <w:p>
      <w:pPr>
        <w:pStyle w:val="18"/>
        <w:spacing w:after="0" w:line="360" w:lineRule="auto"/>
        <w:ind w:left="0" w:firstLine="480"/>
        <w:rPr>
          <w:sz w:val="24"/>
          <w:lang w:eastAsia="zh-CN"/>
        </w:rPr>
      </w:pPr>
    </w:p>
    <w:p>
      <w:pPr>
        <w:pStyle w:val="18"/>
        <w:spacing w:after="0" w:line="360" w:lineRule="auto"/>
        <w:ind w:left="0"/>
        <w:rPr>
          <w:sz w:val="24"/>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before="7" w:line="220" w:lineRule="exact"/>
        <w:rPr>
          <w:lang w:eastAsia="zh-CN"/>
        </w:rPr>
      </w:pPr>
    </w:p>
    <w:p>
      <w:pPr>
        <w:spacing w:line="360" w:lineRule="auto"/>
        <w:ind w:firstLine="465"/>
        <w:jc w:val="center"/>
        <w:rPr>
          <w:rFonts w:ascii="宋体" w:hAnsi="宋体" w:cs="宋体"/>
          <w:b/>
          <w:sz w:val="24"/>
          <w:szCs w:val="24"/>
          <w:lang w:eastAsia="zh-CN"/>
        </w:rPr>
      </w:pPr>
    </w:p>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附件1</w:t>
      </w:r>
    </w:p>
    <w:p>
      <w:pPr>
        <w:spacing w:line="360" w:lineRule="auto"/>
        <w:ind w:firstLine="465"/>
        <w:jc w:val="center"/>
        <w:rPr>
          <w:rFonts w:ascii="宋体" w:hAnsi="宋体" w:cs="宋体"/>
          <w:b/>
          <w:sz w:val="24"/>
          <w:szCs w:val="24"/>
          <w:lang w:eastAsia="zh-CN"/>
        </w:rPr>
      </w:pPr>
      <w:r>
        <w:rPr>
          <w:rFonts w:hint="eastAsia" w:ascii="宋体" w:hAnsi="宋体" w:cs="宋体"/>
          <w:b/>
          <w:sz w:val="24"/>
          <w:szCs w:val="24"/>
        </w:rPr>
        <w:drawing>
          <wp:inline distT="0" distB="0" distL="0" distR="0">
            <wp:extent cx="5638800" cy="659638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28" cstate="print"/>
                    <a:srcRect/>
                    <a:stretch>
                      <a:fillRect/>
                    </a:stretch>
                  </pic:blipFill>
                  <pic:spPr>
                    <a:xfrm>
                      <a:off x="0" y="0"/>
                      <a:ext cx="5638800" cy="6596884"/>
                    </a:xfrm>
                    <a:prstGeom prst="rect">
                      <a:avLst/>
                    </a:prstGeom>
                    <a:noFill/>
                    <a:ln w="9525">
                      <a:noFill/>
                      <a:miter lim="800000"/>
                      <a:headEnd/>
                      <a:tailEnd/>
                    </a:ln>
                  </pic:spPr>
                </pic:pic>
              </a:graphicData>
            </a:graphic>
          </wp:inline>
        </w:drawing>
      </w:r>
    </w:p>
    <w:p>
      <w:pPr>
        <w:pStyle w:val="2"/>
        <w:ind w:left="0" w:firstLine="0"/>
        <w:jc w:val="center"/>
        <w:rPr>
          <w:rFonts w:ascii="宋体" w:hAnsi="宋体"/>
          <w:b/>
          <w:sz w:val="24"/>
          <w:szCs w:val="24"/>
          <w:lang w:eastAsia="zh-CN"/>
        </w:rPr>
      </w:pPr>
      <w:r>
        <w:rPr>
          <w:rFonts w:hint="eastAsia" w:ascii="宋体" w:hAnsi="宋体"/>
          <w:b/>
          <w:sz w:val="24"/>
          <w:szCs w:val="24"/>
          <w:lang w:eastAsia="zh-CN"/>
        </w:rPr>
        <w:t>附件2</w:t>
      </w:r>
    </w:p>
    <w:p>
      <w:pPr>
        <w:jc w:val="center"/>
        <w:rPr>
          <w:rFonts w:ascii="宋体" w:hAnsi="宋体"/>
          <w:b/>
          <w:sz w:val="32"/>
          <w:szCs w:val="32"/>
          <w:shd w:val="clear" w:color="auto" w:fill="FFFFFF"/>
          <w:lang w:eastAsia="zh-CN"/>
        </w:rPr>
      </w:pPr>
      <w:r>
        <w:rPr>
          <w:rStyle w:val="33"/>
          <w:rFonts w:hint="eastAsia" w:ascii="宋体" w:hAnsi="宋体"/>
          <w:sz w:val="32"/>
          <w:szCs w:val="32"/>
          <w:shd w:val="clear" w:color="auto" w:fill="FFFFFF"/>
          <w:lang w:eastAsia="zh-CN"/>
        </w:rPr>
        <w:t>西安西热锅炉环保工程有限公司燃煤电厂污泥及生物质干燥炭化一体化处理系统关键技术研发项目</w:t>
      </w:r>
      <w:r>
        <w:rPr>
          <w:rFonts w:hint="eastAsia" w:ascii="Times" w:hAnsi="Times" w:cs="Times"/>
          <w:b/>
          <w:bCs/>
          <w:color w:val="000000"/>
          <w:spacing w:val="14"/>
          <w:sz w:val="32"/>
          <w:szCs w:val="32"/>
          <w:lang w:eastAsia="zh-CN"/>
        </w:rPr>
        <w:t>环境影响评价执行标准函</w:t>
      </w:r>
    </w:p>
    <w:p>
      <w:pPr>
        <w:rPr>
          <w:lang w:eastAsia="zh-CN"/>
        </w:rPr>
      </w:pPr>
    </w:p>
    <w:p>
      <w:pPr>
        <w:pStyle w:val="13"/>
        <w:rPr>
          <w:lang w:eastAsia="zh-CN"/>
        </w:rPr>
      </w:pPr>
    </w:p>
    <w:p>
      <w:pPr>
        <w:pStyle w:val="6"/>
        <w:spacing w:line="560" w:lineRule="exact"/>
        <w:rPr>
          <w:b w:val="0"/>
          <w:color w:val="666666"/>
          <w:sz w:val="28"/>
          <w:szCs w:val="28"/>
          <w:lang w:eastAsia="zh-CN"/>
        </w:rPr>
      </w:pPr>
      <w:bookmarkStart w:id="1234" w:name="_Toc24969814"/>
      <w:bookmarkStart w:id="1235" w:name="_Toc23327932"/>
      <w:r>
        <w:rPr>
          <w:b w:val="0"/>
          <w:color w:val="666666"/>
          <w:sz w:val="28"/>
          <w:szCs w:val="28"/>
          <w:lang w:eastAsia="zh-CN"/>
        </w:rPr>
        <w:t>西安</w:t>
      </w:r>
      <w:r>
        <w:rPr>
          <w:rFonts w:hint="eastAsia"/>
          <w:b w:val="0"/>
          <w:color w:val="666666"/>
          <w:sz w:val="28"/>
          <w:szCs w:val="28"/>
          <w:lang w:eastAsia="zh-CN"/>
        </w:rPr>
        <w:t>西</w:t>
      </w:r>
      <w:r>
        <w:rPr>
          <w:b w:val="0"/>
          <w:color w:val="666666"/>
          <w:sz w:val="28"/>
          <w:szCs w:val="28"/>
          <w:lang w:eastAsia="zh-CN"/>
        </w:rPr>
        <w:t>热</w:t>
      </w:r>
      <w:r>
        <w:rPr>
          <w:rFonts w:hint="eastAsia"/>
          <w:b w:val="0"/>
          <w:color w:val="666666"/>
          <w:sz w:val="28"/>
          <w:szCs w:val="28"/>
          <w:lang w:eastAsia="zh-CN"/>
        </w:rPr>
        <w:t>锅炉环保工程有限公司</w:t>
      </w:r>
      <w:r>
        <w:rPr>
          <w:b w:val="0"/>
          <w:color w:val="666666"/>
          <w:sz w:val="28"/>
          <w:szCs w:val="28"/>
          <w:lang w:eastAsia="zh-CN"/>
        </w:rPr>
        <w:t>：</w:t>
      </w:r>
      <w:bookmarkEnd w:id="1234"/>
      <w:bookmarkEnd w:id="1235"/>
    </w:p>
    <w:p>
      <w:pPr>
        <w:pStyle w:val="6"/>
        <w:spacing w:line="560" w:lineRule="exact"/>
        <w:ind w:firstLine="560" w:firstLineChars="200"/>
        <w:rPr>
          <w:b w:val="0"/>
          <w:color w:val="666666"/>
          <w:sz w:val="28"/>
          <w:szCs w:val="28"/>
          <w:lang w:eastAsia="zh-CN"/>
        </w:rPr>
      </w:pPr>
      <w:bookmarkStart w:id="1236" w:name="_Toc24969815"/>
      <w:bookmarkStart w:id="1237" w:name="_Toc23327933"/>
      <w:r>
        <w:rPr>
          <w:b w:val="0"/>
          <w:color w:val="666666"/>
          <w:sz w:val="28"/>
          <w:szCs w:val="28"/>
          <w:lang w:eastAsia="zh-CN"/>
        </w:rPr>
        <w:t>根据国家相关环境保护规定及环境标准执行要求，结合项目实际情况，</w:t>
      </w:r>
      <w:r>
        <w:rPr>
          <w:rFonts w:hint="eastAsia"/>
          <w:b w:val="0"/>
          <w:color w:val="666666"/>
          <w:sz w:val="28"/>
          <w:szCs w:val="28"/>
          <w:lang w:eastAsia="zh-CN"/>
        </w:rPr>
        <w:t>西安西热锅炉环保工程</w:t>
      </w:r>
      <w:r>
        <w:rPr>
          <w:b w:val="0"/>
          <w:color w:val="666666"/>
          <w:sz w:val="28"/>
          <w:szCs w:val="28"/>
          <w:lang w:eastAsia="zh-CN"/>
        </w:rPr>
        <w:t>有限公司燃煤电厂污泥及</w:t>
      </w:r>
      <w:r>
        <w:rPr>
          <w:rFonts w:hint="eastAsia"/>
          <w:b w:val="0"/>
          <w:color w:val="666666"/>
          <w:sz w:val="28"/>
          <w:szCs w:val="28"/>
          <w:lang w:eastAsia="zh-CN"/>
        </w:rPr>
        <w:t>生</w:t>
      </w:r>
      <w:r>
        <w:rPr>
          <w:b w:val="0"/>
          <w:color w:val="666666"/>
          <w:sz w:val="28"/>
          <w:szCs w:val="28"/>
          <w:lang w:eastAsia="zh-CN"/>
        </w:rPr>
        <w:t>物质干燥炭化一体化处理系统关键技术研发项目环境影响评价执行下列标准：</w:t>
      </w:r>
      <w:bookmarkEnd w:id="1236"/>
      <w:bookmarkEnd w:id="1237"/>
    </w:p>
    <w:p>
      <w:pPr>
        <w:pStyle w:val="6"/>
        <w:spacing w:line="560" w:lineRule="exact"/>
        <w:rPr>
          <w:b w:val="0"/>
          <w:color w:val="666666"/>
          <w:sz w:val="28"/>
          <w:szCs w:val="28"/>
          <w:lang w:eastAsia="zh-CN"/>
        </w:rPr>
      </w:pPr>
      <w:bookmarkStart w:id="1238" w:name="_Toc23327934"/>
      <w:bookmarkStart w:id="1239" w:name="_Toc24969816"/>
      <w:r>
        <w:rPr>
          <w:b w:val="0"/>
          <w:color w:val="666666"/>
          <w:sz w:val="28"/>
          <w:szCs w:val="28"/>
          <w:lang w:eastAsia="zh-CN"/>
        </w:rPr>
        <w:t>一、环境质量标准：</w:t>
      </w:r>
      <w:bookmarkEnd w:id="1238"/>
      <w:bookmarkEnd w:id="1239"/>
    </w:p>
    <w:p>
      <w:pPr>
        <w:pStyle w:val="6"/>
        <w:spacing w:line="560" w:lineRule="exact"/>
        <w:ind w:firstLine="560" w:firstLineChars="200"/>
        <w:rPr>
          <w:b w:val="0"/>
          <w:color w:val="666666"/>
          <w:sz w:val="28"/>
          <w:szCs w:val="28"/>
          <w:lang w:eastAsia="zh-CN"/>
        </w:rPr>
      </w:pPr>
      <w:bookmarkStart w:id="1240" w:name="_Toc23327935"/>
      <w:bookmarkStart w:id="1241" w:name="_Toc24969817"/>
      <w:r>
        <w:rPr>
          <w:b w:val="0"/>
          <w:color w:val="666666"/>
          <w:sz w:val="28"/>
          <w:szCs w:val="28"/>
          <w:lang w:eastAsia="zh-CN"/>
        </w:rPr>
        <w:t>（1）地表水环境质量标准：执行GB3838-2002《地表水环境质量标准》Ⅲ</w:t>
      </w:r>
      <w:r>
        <w:rPr>
          <w:b w:val="0"/>
          <w:color w:val="666666"/>
          <w:sz w:val="28"/>
          <w:szCs w:val="28"/>
        </w:rPr>
        <w:fldChar w:fldCharType="begin"/>
      </w:r>
      <w:r>
        <w:rPr>
          <w:b w:val="0"/>
          <w:color w:val="666666"/>
          <w:sz w:val="28"/>
          <w:szCs w:val="28"/>
          <w:lang w:eastAsia="zh-CN"/>
        </w:rPr>
        <w:instrText xml:space="preserve"> = 4 \* ROMAN \* MERGEFORMAT </w:instrText>
      </w:r>
      <w:r>
        <w:rPr>
          <w:b w:val="0"/>
          <w:color w:val="666666"/>
          <w:sz w:val="28"/>
          <w:szCs w:val="28"/>
        </w:rPr>
        <w:fldChar w:fldCharType="end"/>
      </w:r>
      <w:r>
        <w:rPr>
          <w:b w:val="0"/>
          <w:color w:val="666666"/>
          <w:sz w:val="28"/>
          <w:szCs w:val="28"/>
          <w:lang w:eastAsia="zh-CN"/>
        </w:rPr>
        <w:t>类标准。</w:t>
      </w:r>
      <w:bookmarkEnd w:id="1240"/>
      <w:bookmarkEnd w:id="1241"/>
    </w:p>
    <w:p>
      <w:pPr>
        <w:pStyle w:val="6"/>
        <w:spacing w:line="560" w:lineRule="exact"/>
        <w:ind w:firstLine="560" w:firstLineChars="200"/>
        <w:rPr>
          <w:b w:val="0"/>
          <w:bCs w:val="0"/>
          <w:color w:val="666666"/>
          <w:sz w:val="28"/>
          <w:szCs w:val="28"/>
          <w:lang w:eastAsia="zh-CN"/>
        </w:rPr>
      </w:pPr>
      <w:bookmarkStart w:id="1242" w:name="_Toc24969818"/>
      <w:bookmarkStart w:id="1243" w:name="_Toc23327936"/>
      <w:r>
        <w:rPr>
          <w:b w:val="0"/>
          <w:color w:val="666666"/>
          <w:sz w:val="28"/>
          <w:szCs w:val="28"/>
          <w:lang w:eastAsia="zh-CN"/>
        </w:rPr>
        <w:t>（2）环境空气质量标准：执行《环境空气质量标准》GB (3095-2012)中的二级标准；NH</w:t>
      </w:r>
      <w:r>
        <w:rPr>
          <w:b w:val="0"/>
          <w:color w:val="666666"/>
          <w:sz w:val="28"/>
          <w:szCs w:val="28"/>
          <w:vertAlign w:val="subscript"/>
          <w:lang w:eastAsia="zh-CN"/>
        </w:rPr>
        <w:t>3</w:t>
      </w:r>
      <w:r>
        <w:rPr>
          <w:rFonts w:hint="eastAsia" w:ascii="宋体" w:hAnsi="宋体" w:eastAsia="宋体"/>
          <w:b w:val="0"/>
          <w:color w:val="666666"/>
          <w:sz w:val="28"/>
          <w:szCs w:val="28"/>
          <w:lang w:eastAsia="zh-CN"/>
        </w:rPr>
        <w:t>、</w:t>
      </w:r>
      <w:r>
        <w:rPr>
          <w:b w:val="0"/>
          <w:color w:val="666666"/>
          <w:sz w:val="28"/>
          <w:szCs w:val="28"/>
          <w:lang w:eastAsia="zh-CN"/>
        </w:rPr>
        <w:t>H</w:t>
      </w:r>
      <w:r>
        <w:rPr>
          <w:b w:val="0"/>
          <w:color w:val="666666"/>
          <w:sz w:val="28"/>
          <w:szCs w:val="28"/>
          <w:vertAlign w:val="subscript"/>
          <w:lang w:eastAsia="zh-CN"/>
        </w:rPr>
        <w:t>2</w:t>
      </w:r>
      <w:r>
        <w:rPr>
          <w:b w:val="0"/>
          <w:color w:val="666666"/>
          <w:sz w:val="28"/>
          <w:szCs w:val="28"/>
          <w:lang w:eastAsia="zh-CN"/>
        </w:rPr>
        <w:t>S参照执行《环境影响评价技术导则》附录D。</w:t>
      </w:r>
      <w:bookmarkEnd w:id="1242"/>
      <w:bookmarkEnd w:id="1243"/>
    </w:p>
    <w:p>
      <w:pPr>
        <w:pStyle w:val="6"/>
        <w:spacing w:line="560" w:lineRule="exact"/>
        <w:ind w:firstLine="560" w:firstLineChars="200"/>
        <w:rPr>
          <w:b w:val="0"/>
          <w:color w:val="666666"/>
          <w:sz w:val="28"/>
          <w:szCs w:val="28"/>
          <w:lang w:eastAsia="zh-CN"/>
        </w:rPr>
      </w:pPr>
      <w:bookmarkStart w:id="1244" w:name="_Toc24969819"/>
      <w:bookmarkStart w:id="1245" w:name="_Toc23327937"/>
      <w:r>
        <w:rPr>
          <w:b w:val="0"/>
          <w:color w:val="666666"/>
          <w:sz w:val="28"/>
          <w:szCs w:val="28"/>
          <w:lang w:eastAsia="zh-CN"/>
        </w:rPr>
        <w:t>（3）地下水环境质量标准：执行《地下水质量标准（GB/T14848-2017）中的Ⅲ类标准。</w:t>
      </w:r>
      <w:bookmarkEnd w:id="1244"/>
      <w:bookmarkEnd w:id="1245"/>
    </w:p>
    <w:p>
      <w:pPr>
        <w:spacing w:line="560" w:lineRule="exact"/>
        <w:ind w:firstLine="560" w:firstLineChars="200"/>
        <w:outlineLvl w:val="2"/>
        <w:rPr>
          <w:rFonts w:ascii="宋体" w:hAnsi="宋体"/>
          <w:color w:val="666666"/>
          <w:sz w:val="28"/>
          <w:szCs w:val="28"/>
          <w:lang w:eastAsia="zh-CN"/>
        </w:rPr>
      </w:pPr>
      <w:bookmarkStart w:id="1246" w:name="_Toc23327938"/>
      <w:bookmarkStart w:id="1247" w:name="_Toc24969820"/>
      <w:r>
        <w:rPr>
          <w:rFonts w:hint="eastAsia" w:ascii="宋体" w:hAnsi="宋体"/>
          <w:color w:val="666666"/>
          <w:sz w:val="28"/>
          <w:szCs w:val="28"/>
          <w:lang w:eastAsia="zh-CN"/>
        </w:rPr>
        <w:t>（</w:t>
      </w:r>
      <w:r>
        <w:rPr>
          <w:rFonts w:ascii="宋体" w:hAnsi="宋体"/>
          <w:color w:val="666666"/>
          <w:sz w:val="28"/>
          <w:szCs w:val="28"/>
          <w:lang w:eastAsia="zh-CN"/>
        </w:rPr>
        <w:t>4</w:t>
      </w:r>
      <w:r>
        <w:rPr>
          <w:rFonts w:hint="eastAsia" w:ascii="宋体" w:hAnsi="宋体"/>
          <w:color w:val="666666"/>
          <w:sz w:val="28"/>
          <w:szCs w:val="28"/>
          <w:lang w:eastAsia="zh-CN"/>
        </w:rPr>
        <w:t>）土壤环境质量标准</w:t>
      </w:r>
      <w:r>
        <w:rPr>
          <w:rFonts w:ascii="宋体" w:hAnsi="宋体"/>
          <w:color w:val="666666"/>
          <w:sz w:val="28"/>
          <w:szCs w:val="28"/>
          <w:lang w:eastAsia="zh-CN"/>
        </w:rPr>
        <w:t>:</w:t>
      </w:r>
      <w:r>
        <w:rPr>
          <w:rFonts w:hint="eastAsia" w:ascii="宋体" w:hAnsi="宋体"/>
          <w:color w:val="666666"/>
          <w:sz w:val="28"/>
          <w:szCs w:val="28"/>
          <w:lang w:eastAsia="zh-CN"/>
        </w:rPr>
        <w:t>项目所在区域执行《土壤环境质量农用地土壤污染风险管控标准（试行）》（</w:t>
      </w:r>
      <w:r>
        <w:rPr>
          <w:rFonts w:ascii="宋体" w:hAnsi="宋体"/>
          <w:color w:val="666666"/>
          <w:sz w:val="28"/>
          <w:szCs w:val="28"/>
          <w:lang w:eastAsia="zh-CN"/>
        </w:rPr>
        <w:t>GB15618-2018</w:t>
      </w:r>
      <w:r>
        <w:rPr>
          <w:rFonts w:hint="eastAsia" w:ascii="宋体" w:hAnsi="宋体"/>
          <w:color w:val="666666"/>
          <w:sz w:val="28"/>
          <w:szCs w:val="28"/>
          <w:lang w:eastAsia="zh-CN"/>
        </w:rPr>
        <w:t>），填埋场内部执行《土壤环境质量 建设用地土壤污染风险管控标准（试行）》（</w:t>
      </w:r>
      <w:r>
        <w:rPr>
          <w:rFonts w:ascii="宋体" w:hAnsi="宋体"/>
          <w:color w:val="666666"/>
          <w:sz w:val="28"/>
          <w:szCs w:val="28"/>
          <w:lang w:eastAsia="zh-CN"/>
        </w:rPr>
        <w:t>GB36600-2018</w:t>
      </w:r>
      <w:r>
        <w:rPr>
          <w:rFonts w:hint="eastAsia" w:ascii="宋体" w:hAnsi="宋体"/>
          <w:color w:val="666666"/>
          <w:sz w:val="28"/>
          <w:szCs w:val="28"/>
          <w:lang w:eastAsia="zh-CN"/>
        </w:rPr>
        <w:t>）。</w:t>
      </w:r>
      <w:bookmarkEnd w:id="1246"/>
      <w:bookmarkEnd w:id="1247"/>
    </w:p>
    <w:p>
      <w:pPr>
        <w:pStyle w:val="6"/>
        <w:spacing w:line="560" w:lineRule="exact"/>
        <w:ind w:firstLine="560" w:firstLineChars="200"/>
        <w:rPr>
          <w:b w:val="0"/>
          <w:color w:val="666666"/>
          <w:sz w:val="28"/>
          <w:szCs w:val="28"/>
          <w:lang w:eastAsia="zh-CN"/>
        </w:rPr>
      </w:pPr>
      <w:bookmarkStart w:id="1248" w:name="_Toc24969821"/>
      <w:bookmarkStart w:id="1249" w:name="_Toc23327939"/>
      <w:r>
        <w:rPr>
          <w:b w:val="0"/>
          <w:color w:val="666666"/>
          <w:sz w:val="28"/>
          <w:szCs w:val="28"/>
          <w:lang w:eastAsia="zh-CN"/>
        </w:rPr>
        <w:t>（5）声环境质量标准：项目所在区域声环境功能为3类区域，声环境执行《声环境质量标准》（GB3096-2008）的3类标准。</w:t>
      </w:r>
      <w:bookmarkEnd w:id="1248"/>
      <w:bookmarkEnd w:id="1249"/>
    </w:p>
    <w:p>
      <w:pPr>
        <w:pStyle w:val="6"/>
        <w:spacing w:line="560" w:lineRule="exact"/>
        <w:rPr>
          <w:b w:val="0"/>
          <w:color w:val="666666"/>
          <w:sz w:val="28"/>
          <w:szCs w:val="28"/>
          <w:lang w:eastAsia="zh-CN"/>
        </w:rPr>
      </w:pPr>
      <w:bookmarkStart w:id="1250" w:name="_Toc23327940"/>
      <w:bookmarkStart w:id="1251" w:name="_Toc24969822"/>
      <w:r>
        <w:rPr>
          <w:b w:val="0"/>
          <w:color w:val="666666"/>
          <w:sz w:val="28"/>
          <w:szCs w:val="28"/>
          <w:lang w:eastAsia="zh-CN"/>
        </w:rPr>
        <w:t>二、污染物排放标准:</w:t>
      </w:r>
      <w:bookmarkEnd w:id="1250"/>
      <w:bookmarkEnd w:id="1251"/>
    </w:p>
    <w:p>
      <w:pPr>
        <w:pStyle w:val="6"/>
        <w:spacing w:line="560" w:lineRule="exact"/>
        <w:ind w:firstLine="560" w:firstLineChars="200"/>
        <w:rPr>
          <w:b w:val="0"/>
          <w:bCs w:val="0"/>
          <w:color w:val="666666"/>
          <w:sz w:val="24"/>
          <w:szCs w:val="24"/>
          <w:lang w:eastAsia="zh-CN"/>
        </w:rPr>
      </w:pPr>
      <w:bookmarkStart w:id="1252" w:name="_Toc23327941"/>
      <w:bookmarkStart w:id="1253" w:name="_Toc24969823"/>
      <w:r>
        <w:rPr>
          <w:b w:val="0"/>
          <w:color w:val="666666"/>
          <w:sz w:val="28"/>
          <w:szCs w:val="28"/>
          <w:lang w:eastAsia="zh-CN"/>
        </w:rPr>
        <w:t>（1）废气：项目烟气执行超低排放标准，项目无组织废气H</w:t>
      </w:r>
      <w:r>
        <w:rPr>
          <w:b w:val="0"/>
          <w:color w:val="666666"/>
          <w:sz w:val="28"/>
          <w:szCs w:val="28"/>
          <w:vertAlign w:val="subscript"/>
          <w:lang w:eastAsia="zh-CN"/>
        </w:rPr>
        <w:t>2</w:t>
      </w:r>
      <w:r>
        <w:rPr>
          <w:b w:val="0"/>
          <w:color w:val="666666"/>
          <w:sz w:val="28"/>
          <w:szCs w:val="28"/>
          <w:lang w:eastAsia="zh-CN"/>
        </w:rPr>
        <w:t>S、NH</w:t>
      </w:r>
      <w:r>
        <w:rPr>
          <w:b w:val="0"/>
          <w:color w:val="666666"/>
          <w:sz w:val="28"/>
          <w:szCs w:val="28"/>
          <w:vertAlign w:val="subscript"/>
          <w:lang w:eastAsia="zh-CN"/>
        </w:rPr>
        <w:t>3</w:t>
      </w:r>
      <w:r>
        <w:rPr>
          <w:b w:val="0"/>
          <w:color w:val="666666"/>
          <w:sz w:val="28"/>
          <w:szCs w:val="28"/>
          <w:lang w:eastAsia="zh-CN"/>
        </w:rPr>
        <w:t>执行</w:t>
      </w:r>
      <w:r>
        <w:rPr>
          <w:b w:val="0"/>
          <w:color w:val="666666"/>
          <w:sz w:val="24"/>
          <w:szCs w:val="24"/>
          <w:lang w:eastAsia="zh-CN"/>
        </w:rPr>
        <w:t>《恶臭污染物排放标准》（GB14554-93）表1恶臭污染物厂界标准值。</w:t>
      </w:r>
      <w:bookmarkEnd w:id="1252"/>
      <w:bookmarkEnd w:id="1253"/>
    </w:p>
    <w:p>
      <w:pPr>
        <w:pStyle w:val="6"/>
        <w:spacing w:line="560" w:lineRule="exact"/>
        <w:ind w:firstLine="560" w:firstLineChars="200"/>
        <w:rPr>
          <w:b w:val="0"/>
          <w:color w:val="666666"/>
          <w:sz w:val="28"/>
          <w:szCs w:val="28"/>
          <w:lang w:eastAsia="zh-CN"/>
        </w:rPr>
      </w:pPr>
      <w:bookmarkStart w:id="1254" w:name="_Toc23327942"/>
      <w:bookmarkStart w:id="1255" w:name="_Toc24969824"/>
      <w:r>
        <w:rPr>
          <w:b w:val="0"/>
          <w:color w:val="666666"/>
          <w:sz w:val="28"/>
          <w:szCs w:val="28"/>
          <w:lang w:eastAsia="zh-CN"/>
        </w:rPr>
        <w:t>（2）噪声：项目施工期噪声执行《建筑施工场界环境噪声排放限值》（GB12523-2011）；营运期噪声执行《工业企业厂界环境噪声排放标准》（GB12348-2008）3类区标准。</w:t>
      </w:r>
      <w:bookmarkEnd w:id="1254"/>
      <w:bookmarkEnd w:id="1255"/>
    </w:p>
    <w:p>
      <w:pPr>
        <w:pStyle w:val="29"/>
        <w:spacing w:line="480" w:lineRule="exact"/>
        <w:ind w:firstLine="560"/>
        <w:rPr>
          <w:rFonts w:ascii="宋体" w:hAnsi="宋体" w:cs="宋体"/>
          <w:color w:val="666666"/>
          <w:kern w:val="0"/>
          <w:sz w:val="28"/>
          <w:szCs w:val="28"/>
        </w:rPr>
      </w:pPr>
      <w:r>
        <w:rPr>
          <w:rFonts w:hint="eastAsia" w:ascii="宋体" w:hAnsi="宋体" w:cs="宋体"/>
          <w:color w:val="666666"/>
          <w:kern w:val="0"/>
          <w:sz w:val="28"/>
          <w:szCs w:val="28"/>
        </w:rPr>
        <w:t>（3）废水：项目废水执行华能岳阳电厂污水处理场进水标准。</w:t>
      </w:r>
    </w:p>
    <w:p>
      <w:pPr>
        <w:pStyle w:val="29"/>
        <w:spacing w:line="480" w:lineRule="exact"/>
        <w:ind w:firstLine="560"/>
        <w:rPr>
          <w:rFonts w:ascii="宋体" w:hAnsi="宋体" w:cs="宋体"/>
          <w:color w:val="666666"/>
          <w:kern w:val="0"/>
          <w:sz w:val="28"/>
          <w:szCs w:val="28"/>
        </w:rPr>
      </w:pPr>
      <w:r>
        <w:rPr>
          <w:rFonts w:hint="eastAsia" w:ascii="宋体" w:hAnsi="宋体" w:cs="宋体"/>
          <w:color w:val="666666"/>
          <w:kern w:val="0"/>
          <w:sz w:val="28"/>
          <w:szCs w:val="28"/>
        </w:rPr>
        <w:t>（4）固体废物：一般固废执行《一般工业固体废物贮存、处置场污染控制标准》（GB18599-2001）及2013年修改单；危险废物执行《危险废物贮存污染控制标准》（GB18597-2001）及2013年修改单。</w:t>
      </w:r>
    </w:p>
    <w:p>
      <w:pPr>
        <w:pStyle w:val="6"/>
        <w:spacing w:line="560" w:lineRule="exact"/>
        <w:ind w:firstLine="562" w:firstLineChars="200"/>
        <w:rPr>
          <w:color w:val="666666"/>
          <w:sz w:val="28"/>
          <w:szCs w:val="28"/>
          <w:lang w:eastAsia="zh-CN"/>
        </w:rPr>
      </w:pPr>
    </w:p>
    <w:p>
      <w:pPr>
        <w:pStyle w:val="6"/>
        <w:spacing w:before="322" w:after="20" w:line="500" w:lineRule="exact"/>
        <w:rPr>
          <w:color w:val="666666"/>
          <w:sz w:val="28"/>
          <w:szCs w:val="28"/>
          <w:lang w:eastAsia="zh-CN"/>
        </w:rPr>
      </w:pPr>
    </w:p>
    <w:p>
      <w:pPr>
        <w:rPr>
          <w:rFonts w:ascii="宋体" w:hAnsi="宋体"/>
          <w:color w:val="666666"/>
          <w:sz w:val="28"/>
          <w:szCs w:val="28"/>
          <w:lang w:eastAsia="zh-CN"/>
        </w:rPr>
      </w:pPr>
    </w:p>
    <w:p>
      <w:pPr>
        <w:ind w:right="-192"/>
        <w:rPr>
          <w:rFonts w:ascii="宋体" w:hAnsi="宋体"/>
          <w:color w:val="666666"/>
          <w:sz w:val="28"/>
          <w:szCs w:val="28"/>
          <w:lang w:eastAsia="zh-CN"/>
        </w:rPr>
      </w:pPr>
      <w:r>
        <w:rPr>
          <w:color w:val="666666"/>
          <w:sz w:val="28"/>
          <w:szCs w:val="28"/>
          <w:lang w:eastAsia="zh-CN"/>
        </w:rPr>
        <w:t xml:space="preserve"> </w:t>
      </w:r>
      <w:r>
        <w:rPr>
          <w:rFonts w:hint="eastAsia"/>
          <w:color w:val="666666"/>
          <w:sz w:val="28"/>
          <w:szCs w:val="28"/>
          <w:lang w:eastAsia="zh-CN"/>
        </w:rPr>
        <w:t xml:space="preserve">                                                                                                     </w:t>
      </w:r>
      <w:r>
        <w:rPr>
          <w:color w:val="666666"/>
          <w:sz w:val="28"/>
          <w:szCs w:val="28"/>
          <w:lang w:eastAsia="zh-CN"/>
        </w:rPr>
        <w:t xml:space="preserve"> 2019年   月    日</w:t>
      </w:r>
    </w:p>
    <w:p>
      <w:pPr>
        <w:pStyle w:val="6"/>
        <w:spacing w:before="322" w:after="20" w:line="500" w:lineRule="exact"/>
        <w:rPr>
          <w:color w:val="666666"/>
          <w:sz w:val="28"/>
          <w:szCs w:val="28"/>
          <w:lang w:eastAsia="zh-CN"/>
        </w:rPr>
      </w:pPr>
    </w:p>
    <w:p>
      <w:pPr>
        <w:rPr>
          <w:lang w:eastAsia="zh-CN"/>
        </w:rPr>
      </w:pPr>
    </w:p>
    <w:p>
      <w:pPr>
        <w:spacing w:line="360" w:lineRule="auto"/>
        <w:jc w:val="both"/>
        <w:rPr>
          <w:rFonts w:ascii="宋体" w:hAnsi="宋体" w:cs="宋体"/>
          <w:b/>
          <w:sz w:val="24"/>
          <w:szCs w:val="24"/>
          <w:lang w:eastAsia="zh-CN"/>
        </w:rPr>
      </w:pPr>
    </w:p>
    <w:p>
      <w:pPr>
        <w:pStyle w:val="2"/>
        <w:rPr>
          <w:rFonts w:ascii="宋体" w:hAnsi="宋体" w:cs="宋体"/>
          <w:b/>
          <w:sz w:val="24"/>
          <w:szCs w:val="24"/>
          <w:lang w:eastAsia="zh-CN"/>
        </w:rPr>
      </w:pPr>
    </w:p>
    <w:p>
      <w:pPr>
        <w:pStyle w:val="2"/>
        <w:ind w:left="0" w:firstLine="0"/>
        <w:jc w:val="center"/>
        <w:rPr>
          <w:rFonts w:ascii="宋体" w:hAnsi="宋体" w:cs="宋体"/>
          <w:b/>
          <w:sz w:val="24"/>
          <w:szCs w:val="24"/>
          <w:lang w:eastAsia="zh-CN"/>
        </w:rPr>
      </w:pPr>
      <w:r>
        <w:rPr>
          <w:rFonts w:hint="eastAsia" w:ascii="宋体" w:hAnsi="宋体" w:cs="宋体"/>
          <w:b/>
          <w:sz w:val="24"/>
          <w:szCs w:val="24"/>
          <w:lang w:eastAsia="zh-CN"/>
        </w:rPr>
        <w:t>附件3  质保单及检测报告</w:t>
      </w:r>
      <w:r>
        <w:rPr>
          <w:rFonts w:ascii="宋体" w:hAnsi="宋体" w:cs="宋体"/>
          <w:b/>
          <w:sz w:val="24"/>
          <w:szCs w:val="24"/>
        </w:rPr>
        <w:drawing>
          <wp:inline distT="0" distB="0" distL="0" distR="0">
            <wp:extent cx="5972175" cy="7239000"/>
            <wp:effectExtent l="19050" t="0" r="9281" b="0"/>
            <wp:docPr id="15" name="图片 14" descr="微信图片_2019120411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图片_20191204110956.png"/>
                    <pic:cNvPicPr>
                      <a:picLocks noChangeAspect="1"/>
                    </pic:cNvPicPr>
                  </pic:nvPicPr>
                  <pic:blipFill>
                    <a:blip r:embed="rId29" cstate="print"/>
                    <a:stretch>
                      <a:fillRect/>
                    </a:stretch>
                  </pic:blipFill>
                  <pic:spPr>
                    <a:xfrm>
                      <a:off x="0" y="0"/>
                      <a:ext cx="5972937" cy="7239627"/>
                    </a:xfrm>
                    <a:prstGeom prst="rect">
                      <a:avLst/>
                    </a:prstGeom>
                  </pic:spPr>
                </pic:pic>
              </a:graphicData>
            </a:graphic>
          </wp:inline>
        </w:drawing>
      </w:r>
    </w:p>
    <w:p>
      <w:pPr>
        <w:spacing w:line="360" w:lineRule="auto"/>
        <w:jc w:val="center"/>
        <w:rPr>
          <w:rFonts w:ascii="宋体" w:hAnsi="宋体" w:cs="宋体"/>
          <w:b/>
          <w:sz w:val="24"/>
          <w:szCs w:val="24"/>
          <w:lang w:eastAsia="zh-CN"/>
        </w:rPr>
      </w:pPr>
      <w:r>
        <w:rPr>
          <w:rFonts w:ascii="宋体" w:hAnsi="宋体" w:cs="宋体"/>
          <w:b/>
          <w:sz w:val="24"/>
          <w:szCs w:val="24"/>
        </w:rPr>
        <w:drawing>
          <wp:anchor distT="0" distB="0" distL="114300" distR="114300" simplePos="0" relativeHeight="251674624" behindDoc="0" locked="0" layoutInCell="1" allowOverlap="1">
            <wp:simplePos x="0" y="0"/>
            <wp:positionH relativeFrom="column">
              <wp:posOffset>552450</wp:posOffset>
            </wp:positionH>
            <wp:positionV relativeFrom="paragraph">
              <wp:posOffset>-2065020</wp:posOffset>
            </wp:positionV>
            <wp:extent cx="6048375" cy="10858500"/>
            <wp:effectExtent l="19050" t="0" r="9525" b="0"/>
            <wp:wrapNone/>
            <wp:docPr id="30" name="图片 29" descr="微信图片_201911271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微信图片_20191127182001.jpg"/>
                    <pic:cNvPicPr>
                      <a:picLocks noChangeAspect="1"/>
                    </pic:cNvPicPr>
                  </pic:nvPicPr>
                  <pic:blipFill>
                    <a:blip r:embed="rId30" cstate="print"/>
                    <a:stretch>
                      <a:fillRect/>
                    </a:stretch>
                  </pic:blipFill>
                  <pic:spPr>
                    <a:xfrm>
                      <a:off x="0" y="0"/>
                      <a:ext cx="6048375" cy="10858500"/>
                    </a:xfrm>
                    <a:prstGeom prst="rect">
                      <a:avLst/>
                    </a:prstGeom>
                  </pic:spPr>
                </pic:pic>
              </a:graphicData>
            </a:graphic>
          </wp:anchor>
        </w:drawing>
      </w:r>
    </w:p>
    <w:p>
      <w:pPr>
        <w:spacing w:line="360" w:lineRule="auto"/>
        <w:jc w:val="center"/>
        <w:rPr>
          <w:rFonts w:ascii="宋体" w:hAnsi="宋体" w:cs="宋体"/>
          <w:b/>
          <w:sz w:val="24"/>
          <w:szCs w:val="24"/>
          <w:lang w:eastAsia="zh-CN"/>
        </w:rPr>
      </w:pPr>
    </w:p>
    <w:p>
      <w:pPr>
        <w:spacing w:line="360" w:lineRule="auto"/>
        <w:jc w:val="center"/>
        <w:rPr>
          <w:rFonts w:ascii="宋体" w:hAnsi="宋体" w:cs="宋体"/>
          <w:b/>
          <w:sz w:val="24"/>
          <w:szCs w:val="24"/>
          <w:lang w:eastAsia="zh-CN"/>
        </w:rPr>
      </w:pPr>
    </w:p>
    <w:p>
      <w:pPr>
        <w:spacing w:line="360" w:lineRule="auto"/>
        <w:jc w:val="center"/>
        <w:rPr>
          <w:rFonts w:ascii="宋体" w:hAnsi="宋体" w:cs="宋体"/>
          <w:b/>
          <w:sz w:val="24"/>
          <w:szCs w:val="24"/>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rPr>
          <w:lang w:eastAsia="zh-CN"/>
        </w:rPr>
      </w:pPr>
      <w:r>
        <w:drawing>
          <wp:anchor distT="0" distB="0" distL="114300" distR="114300" simplePos="0" relativeHeight="251675648" behindDoc="0" locked="0" layoutInCell="1" allowOverlap="1">
            <wp:simplePos x="0" y="0"/>
            <wp:positionH relativeFrom="column">
              <wp:posOffset>-28575</wp:posOffset>
            </wp:positionH>
            <wp:positionV relativeFrom="paragraph">
              <wp:posOffset>-2436495</wp:posOffset>
            </wp:positionV>
            <wp:extent cx="6400800" cy="10544175"/>
            <wp:effectExtent l="19050" t="0" r="0" b="0"/>
            <wp:wrapNone/>
            <wp:docPr id="32" name="图片 31" descr="微信图片_2019112718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微信图片_20191127182016.jpg"/>
                    <pic:cNvPicPr>
                      <a:picLocks noChangeAspect="1"/>
                    </pic:cNvPicPr>
                  </pic:nvPicPr>
                  <pic:blipFill>
                    <a:blip r:embed="rId31" cstate="print"/>
                    <a:stretch>
                      <a:fillRect/>
                    </a:stretch>
                  </pic:blipFill>
                  <pic:spPr>
                    <a:xfrm>
                      <a:off x="0" y="0"/>
                      <a:ext cx="6400800" cy="10544175"/>
                    </a:xfrm>
                    <a:prstGeom prst="rect">
                      <a:avLst/>
                    </a:prstGeom>
                  </pic:spPr>
                </pic:pic>
              </a:graphicData>
            </a:graphic>
          </wp:anchor>
        </w:drawing>
      </w:r>
    </w:p>
    <w:p>
      <w:pPr>
        <w:rPr>
          <w:lang w:eastAsia="zh-CN"/>
        </w:rPr>
      </w:pPr>
    </w:p>
    <w:p>
      <w:pPr>
        <w:pStyle w:val="2"/>
        <w:rPr>
          <w:lang w:eastAsia="zh-CN"/>
        </w:rPr>
      </w:pPr>
    </w:p>
    <w:p>
      <w:pPr>
        <w:spacing w:line="360" w:lineRule="auto"/>
        <w:jc w:val="center"/>
        <w:rPr>
          <w:rFonts w:ascii="宋体" w:hAnsi="宋体" w:cs="宋体"/>
          <w:b/>
          <w:sz w:val="24"/>
          <w:szCs w:val="24"/>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r>
        <w:drawing>
          <wp:anchor distT="0" distB="0" distL="114300" distR="114300" simplePos="0" relativeHeight="251676672" behindDoc="1" locked="0" layoutInCell="1" allowOverlap="1">
            <wp:simplePos x="0" y="0"/>
            <wp:positionH relativeFrom="column">
              <wp:posOffset>-28575</wp:posOffset>
            </wp:positionH>
            <wp:positionV relativeFrom="paragraph">
              <wp:posOffset>-2436495</wp:posOffset>
            </wp:positionV>
            <wp:extent cx="6400800" cy="10544175"/>
            <wp:effectExtent l="19050" t="0" r="0" b="0"/>
            <wp:wrapNone/>
            <wp:docPr id="34" name="图片 33" descr="微信图片_2019112718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微信图片_20191127183716.jpg"/>
                    <pic:cNvPicPr>
                      <a:picLocks noChangeAspect="1"/>
                    </pic:cNvPicPr>
                  </pic:nvPicPr>
                  <pic:blipFill>
                    <a:blip r:embed="rId32" cstate="print"/>
                    <a:stretch>
                      <a:fillRect/>
                    </a:stretch>
                  </pic:blipFill>
                  <pic:spPr>
                    <a:xfrm>
                      <a:off x="0" y="0"/>
                      <a:ext cx="6400800" cy="10544175"/>
                    </a:xfrm>
                    <a:prstGeom prst="rect">
                      <a:avLst/>
                    </a:prstGeom>
                  </pic:spPr>
                </pic:pic>
              </a:graphicData>
            </a:graphic>
          </wp:anchor>
        </w:drawing>
      </w: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pStyle w:val="2"/>
        <w:rPr>
          <w:lang w:eastAsia="zh-CN"/>
        </w:rPr>
      </w:pPr>
      <w:r>
        <w:rPr>
          <w:rFonts w:hint="eastAsia"/>
        </w:rPr>
        <w:drawing>
          <wp:inline distT="0" distB="0" distL="0" distR="0">
            <wp:extent cx="6400800" cy="10542270"/>
            <wp:effectExtent l="19050" t="0" r="0" b="0"/>
            <wp:docPr id="19" name="图片 34" descr="微信图片_2019112718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 descr="微信图片_20191127183739.jpg"/>
                    <pic:cNvPicPr>
                      <a:picLocks noChangeAspect="1"/>
                    </pic:cNvPicPr>
                  </pic:nvPicPr>
                  <pic:blipFill>
                    <a:blip r:embed="rId33" cstate="print"/>
                    <a:stretch>
                      <a:fillRect/>
                    </a:stretch>
                  </pic:blipFill>
                  <pic:spPr>
                    <a:xfrm>
                      <a:off x="0" y="0"/>
                      <a:ext cx="6400800" cy="10542270"/>
                    </a:xfrm>
                    <a:prstGeom prst="rect">
                      <a:avLst/>
                    </a:prstGeom>
                  </pic:spPr>
                </pic:pic>
              </a:graphicData>
            </a:graphic>
          </wp:inline>
        </w:drawing>
      </w:r>
      <w:r>
        <w:rPr>
          <w:rFonts w:ascii="宋体" w:hAnsi="宋体" w:cs="宋体"/>
          <w:b/>
          <w:sz w:val="24"/>
          <w:szCs w:val="24"/>
          <w:lang w:eastAsia="zh-CN"/>
        </w:rPr>
        <w:t xml:space="preserve"> </w:t>
      </w:r>
      <w:r>
        <w:rPr>
          <w:rFonts w:ascii="宋体" w:hAnsi="宋体" w:cs="宋体"/>
          <w:b/>
          <w:sz w:val="24"/>
          <w:szCs w:val="24"/>
        </w:rPr>
        <w:drawing>
          <wp:inline distT="0" distB="0" distL="0" distR="0">
            <wp:extent cx="5894705" cy="6934200"/>
            <wp:effectExtent l="19050" t="0" r="0" b="0"/>
            <wp:docPr id="18" name="图片 16" descr="微信图片_2019120411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微信图片_20191204111002.png"/>
                    <pic:cNvPicPr>
                      <a:picLocks noChangeAspect="1"/>
                    </pic:cNvPicPr>
                  </pic:nvPicPr>
                  <pic:blipFill>
                    <a:blip r:embed="rId34" cstate="print"/>
                    <a:stretch>
                      <a:fillRect/>
                    </a:stretch>
                  </pic:blipFill>
                  <pic:spPr>
                    <a:xfrm>
                      <a:off x="0" y="0"/>
                      <a:ext cx="5895099" cy="6934651"/>
                    </a:xfrm>
                    <a:prstGeom prst="rect">
                      <a:avLst/>
                    </a:prstGeom>
                  </pic:spPr>
                </pic:pic>
              </a:graphicData>
            </a:graphic>
          </wp:inline>
        </w:drawing>
      </w:r>
    </w:p>
    <w:p>
      <w:pPr>
        <w:spacing w:line="360" w:lineRule="auto"/>
        <w:jc w:val="center"/>
        <w:rPr>
          <w:rFonts w:hint="eastAsia" w:ascii="宋体" w:hAnsi="宋体" w:cs="宋体"/>
          <w:b/>
          <w:sz w:val="24"/>
          <w:szCs w:val="24"/>
          <w:lang w:eastAsia="zh-CN"/>
        </w:rPr>
      </w:pPr>
    </w:p>
    <w:p>
      <w:pPr>
        <w:spacing w:line="360" w:lineRule="auto"/>
        <w:jc w:val="center"/>
        <w:rPr>
          <w:rFonts w:ascii="宋体" w:hAnsi="宋体"/>
          <w:b/>
          <w:sz w:val="24"/>
          <w:szCs w:val="24"/>
          <w:lang w:eastAsia="zh-CN"/>
        </w:rPr>
      </w:pPr>
      <w:r>
        <w:rPr>
          <w:rFonts w:hint="eastAsia" w:ascii="宋体" w:hAnsi="宋体" w:cs="宋体"/>
          <w:b/>
          <w:sz w:val="24"/>
          <w:szCs w:val="24"/>
          <w:lang w:eastAsia="zh-CN"/>
        </w:rPr>
        <w:t>附图</w:t>
      </w:r>
      <w:r>
        <w:rPr>
          <w:rFonts w:hint="eastAsia" w:ascii="宋体" w:hAnsi="宋体"/>
          <w:b/>
          <w:sz w:val="24"/>
          <w:szCs w:val="24"/>
          <w:lang w:eastAsia="zh-CN"/>
        </w:rPr>
        <w:t>1</w:t>
      </w:r>
      <w:r>
        <w:rPr>
          <w:rFonts w:hint="eastAsia" w:ascii="宋体" w:hAnsi="宋体" w:cs="宋体"/>
          <w:b/>
          <w:sz w:val="24"/>
          <w:szCs w:val="24"/>
          <w:lang w:eastAsia="zh-CN"/>
        </w:rPr>
        <w:t>环境保护目标图</w:t>
      </w:r>
    </w:p>
    <w:p>
      <w:pPr>
        <w:spacing w:line="360" w:lineRule="auto"/>
        <w:jc w:val="center"/>
        <w:rPr>
          <w:rFonts w:ascii="宋体" w:hAnsi="宋体" w:cs="宋体"/>
          <w:b/>
          <w:sz w:val="24"/>
          <w:szCs w:val="24"/>
          <w:lang w:eastAsia="zh-CN"/>
        </w:rPr>
      </w:pPr>
      <w:r>
        <w:drawing>
          <wp:inline distT="0" distB="0" distL="0" distR="0">
            <wp:extent cx="5410200" cy="4665980"/>
            <wp:effectExtent l="1905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noChangeArrowheads="1"/>
                    </pic:cNvPicPr>
                  </pic:nvPicPr>
                  <pic:blipFill>
                    <a:blip r:embed="rId35" cstate="print"/>
                    <a:srcRect/>
                    <a:stretch>
                      <a:fillRect/>
                    </a:stretch>
                  </pic:blipFill>
                  <pic:spPr>
                    <a:xfrm>
                      <a:off x="0" y="0"/>
                      <a:ext cx="5410200" cy="4666511"/>
                    </a:xfrm>
                    <a:prstGeom prst="rect">
                      <a:avLst/>
                    </a:prstGeom>
                    <a:noFill/>
                    <a:ln w="9525">
                      <a:noFill/>
                      <a:miter lim="800000"/>
                      <a:headEnd/>
                      <a:tailEnd/>
                    </a:ln>
                  </pic:spPr>
                </pic:pic>
              </a:graphicData>
            </a:graphic>
          </wp:inline>
        </w:drawing>
      </w:r>
    </w:p>
    <w:p>
      <w:pPr>
        <w:pStyle w:val="2"/>
        <w:ind w:left="0" w:firstLine="0"/>
        <w:jc w:val="both"/>
        <w:rPr>
          <w:lang w:eastAsia="zh-CN"/>
        </w:rPr>
      </w:pPr>
    </w:p>
    <w:tbl>
      <w:tblPr>
        <w:tblStyle w:val="30"/>
        <w:tblW w:w="5000" w:type="pct"/>
        <w:tblInd w:w="0" w:type="dxa"/>
        <w:tblLayout w:type="autofit"/>
        <w:tblCellMar>
          <w:top w:w="0" w:type="dxa"/>
          <w:left w:w="108" w:type="dxa"/>
          <w:bottom w:w="0" w:type="dxa"/>
          <w:right w:w="108" w:type="dxa"/>
        </w:tblCellMar>
      </w:tblPr>
      <w:tblGrid>
        <w:gridCol w:w="679"/>
        <w:gridCol w:w="689"/>
        <w:gridCol w:w="690"/>
        <w:gridCol w:w="690"/>
        <w:gridCol w:w="692"/>
        <w:gridCol w:w="692"/>
        <w:gridCol w:w="692"/>
        <w:gridCol w:w="692"/>
        <w:gridCol w:w="692"/>
        <w:gridCol w:w="692"/>
        <w:gridCol w:w="692"/>
        <w:gridCol w:w="690"/>
        <w:gridCol w:w="690"/>
        <w:gridCol w:w="690"/>
        <w:gridCol w:w="634"/>
      </w:tblGrid>
      <w:tr>
        <w:tblPrEx>
          <w:tblCellMar>
            <w:top w:w="0" w:type="dxa"/>
            <w:left w:w="108" w:type="dxa"/>
            <w:bottom w:w="0" w:type="dxa"/>
            <w:right w:w="108" w:type="dxa"/>
          </w:tblCellMar>
        </w:tblPrEx>
        <w:tc>
          <w:tcPr>
            <w:tcW w:w="330"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代号</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①</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②</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③</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④</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⑤</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⑥</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⑦</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⑧</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⑨</w:t>
            </w:r>
          </w:p>
        </w:tc>
        <w:tc>
          <w:tcPr>
            <w:tcW w:w="336"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⑩</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⑪</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⑫</w:t>
            </w:r>
          </w:p>
        </w:tc>
        <w:tc>
          <w:tcPr>
            <w:tcW w:w="335"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⑬</w:t>
            </w:r>
          </w:p>
        </w:tc>
        <w:tc>
          <w:tcPr>
            <w:tcW w:w="308" w:type="pct"/>
          </w:tcPr>
          <w:p>
            <w:pPr>
              <w:rPr>
                <w:rFonts w:ascii="Cambria Math" w:hAnsi="Cambria Math" w:cs="Cambria Math" w:eastAsiaTheme="minorEastAsia"/>
                <w:b/>
                <w:sz w:val="20"/>
                <w:szCs w:val="20"/>
              </w:rPr>
            </w:pPr>
            <w:r>
              <w:rPr>
                <w:rFonts w:ascii="Cambria Math" w:hAnsi="Cambria Math" w:cs="Cambria Math" w:eastAsiaTheme="minorEastAsia"/>
                <w:b/>
                <w:sz w:val="20"/>
                <w:szCs w:val="20"/>
              </w:rPr>
              <w:t>⑭</w:t>
            </w:r>
          </w:p>
        </w:tc>
      </w:tr>
      <w:tr>
        <w:tblPrEx>
          <w:tblCellMar>
            <w:top w:w="0" w:type="dxa"/>
            <w:left w:w="108" w:type="dxa"/>
            <w:bottom w:w="0" w:type="dxa"/>
            <w:right w:w="108" w:type="dxa"/>
          </w:tblCellMar>
        </w:tblPrEx>
        <w:trPr>
          <w:trHeight w:val="2388" w:hRule="atLeast"/>
        </w:trPr>
        <w:tc>
          <w:tcPr>
            <w:tcW w:w="330" w:type="pct"/>
          </w:tcPr>
          <w:p>
            <w:pPr>
              <w:rPr>
                <w:rFonts w:ascii="Cambria Math" w:hAnsi="Cambria Math" w:cs="Cambria Math" w:eastAsiaTheme="minorEastAsia"/>
                <w:b/>
                <w:sz w:val="20"/>
                <w:szCs w:val="20"/>
              </w:rPr>
            </w:pPr>
            <w:r>
              <w:rPr>
                <w:rFonts w:hint="eastAsia" w:ascii="Cambria Math" w:hAnsi="Cambria Math" w:cs="Cambria Math"/>
                <w:b/>
                <w:sz w:val="20"/>
                <w:szCs w:val="20"/>
                <w:lang w:eastAsia="zh-CN"/>
              </w:rPr>
              <w:t>环境保护</w:t>
            </w:r>
            <w:r>
              <w:rPr>
                <w:rFonts w:hint="eastAsia" w:ascii="Cambria Math" w:hAnsi="Cambria Math" w:cs="Cambria Math" w:eastAsiaTheme="minorEastAsia"/>
                <w:b/>
                <w:sz w:val="20"/>
                <w:szCs w:val="20"/>
              </w:rPr>
              <w:t>名称</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擂鼓台村</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长江村</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苏家坡</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光明村</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洪家洲社区</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泰格职业技术学院</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林纸医院</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新建山小区</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城陵矶红旗组</w:t>
            </w:r>
          </w:p>
        </w:tc>
        <w:tc>
          <w:tcPr>
            <w:tcW w:w="336"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紫园小区</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恒泰雅园</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长江</w:t>
            </w:r>
          </w:p>
        </w:tc>
        <w:tc>
          <w:tcPr>
            <w:tcW w:w="335"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湘江</w:t>
            </w:r>
          </w:p>
        </w:tc>
        <w:tc>
          <w:tcPr>
            <w:tcW w:w="308" w:type="pct"/>
          </w:tcPr>
          <w:p>
            <w:pPr>
              <w:rPr>
                <w:rFonts w:ascii="Cambria Math" w:hAnsi="Cambria Math" w:cs="Cambria Math" w:eastAsiaTheme="minorEastAsia"/>
                <w:b/>
                <w:sz w:val="20"/>
                <w:szCs w:val="20"/>
              </w:rPr>
            </w:pPr>
            <w:r>
              <w:rPr>
                <w:rFonts w:hint="eastAsia" w:ascii="Cambria Math" w:hAnsi="Cambria Math" w:cs="Cambria Math" w:eastAsiaTheme="minorEastAsia"/>
                <w:b/>
                <w:sz w:val="20"/>
                <w:szCs w:val="20"/>
              </w:rPr>
              <w:t>芭蕉湖</w:t>
            </w:r>
          </w:p>
        </w:tc>
      </w:tr>
    </w:tbl>
    <w:p>
      <w:pPr>
        <w:rPr>
          <w:lang w:eastAsia="zh-CN"/>
        </w:rPr>
      </w:pPr>
    </w:p>
    <w:p>
      <w:pPr>
        <w:jc w:val="center"/>
        <w:rPr>
          <w:b/>
          <w:sz w:val="24"/>
          <w:szCs w:val="24"/>
          <w:lang w:eastAsia="zh-CN"/>
        </w:rPr>
      </w:pPr>
      <w:r>
        <w:rPr>
          <w:rFonts w:hint="eastAsia"/>
          <w:b/>
          <w:sz w:val="24"/>
          <w:szCs w:val="24"/>
          <w:lang w:eastAsia="zh-CN"/>
        </w:rPr>
        <w:t>附图2项目平面布置图</w:t>
      </w:r>
    </w:p>
    <w:p>
      <w:pPr>
        <w:pStyle w:val="2"/>
        <w:ind w:left="-993" w:firstLine="0"/>
        <w:jc w:val="right"/>
        <w:rPr>
          <w:lang w:eastAsia="zh-CN"/>
        </w:rPr>
      </w:pPr>
      <w:r>
        <w:rPr>
          <w:rFonts w:hint="eastAsia"/>
        </w:rPr>
        <w:drawing>
          <wp:inline distT="0" distB="0" distL="0" distR="0">
            <wp:extent cx="6867525" cy="5872480"/>
            <wp:effectExtent l="19050" t="0" r="952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15" cstate="print"/>
                    <a:srcRect/>
                    <a:stretch>
                      <a:fillRect/>
                    </a:stretch>
                  </pic:blipFill>
                  <pic:spPr>
                    <a:xfrm>
                      <a:off x="0" y="0"/>
                      <a:ext cx="6873615" cy="5877946"/>
                    </a:xfrm>
                    <a:prstGeom prst="rect">
                      <a:avLst/>
                    </a:prstGeom>
                    <a:noFill/>
                    <a:ln w="9525">
                      <a:noFill/>
                      <a:miter lim="800000"/>
                      <a:headEnd/>
                      <a:tailEnd/>
                    </a:ln>
                  </pic:spPr>
                </pic:pic>
              </a:graphicData>
            </a:graphic>
          </wp:inline>
        </w:drawing>
      </w:r>
    </w:p>
    <w:p>
      <w:pPr>
        <w:rPr>
          <w:b/>
          <w:sz w:val="24"/>
          <w:szCs w:val="24"/>
          <w:lang w:eastAsia="zh-CN"/>
        </w:rPr>
      </w:pPr>
    </w:p>
    <w:p>
      <w:pPr>
        <w:pStyle w:val="2"/>
        <w:ind w:left="0" w:firstLine="0"/>
        <w:jc w:val="both"/>
        <w:rPr>
          <w:b/>
          <w:sz w:val="24"/>
          <w:szCs w:val="24"/>
          <w:lang w:eastAsia="zh-CN"/>
        </w:rPr>
      </w:pPr>
    </w:p>
    <w:p>
      <w:pPr>
        <w:pStyle w:val="2"/>
        <w:ind w:left="0" w:firstLine="0"/>
        <w:jc w:val="center"/>
        <w:rPr>
          <w:b/>
          <w:sz w:val="24"/>
          <w:szCs w:val="24"/>
          <w:lang w:eastAsia="zh-CN"/>
        </w:rPr>
      </w:pPr>
    </w:p>
    <w:p>
      <w:pPr>
        <w:pStyle w:val="2"/>
        <w:ind w:left="0" w:firstLine="0"/>
        <w:jc w:val="center"/>
        <w:rPr>
          <w:b/>
          <w:sz w:val="24"/>
          <w:szCs w:val="24"/>
          <w:lang w:eastAsia="zh-CN"/>
        </w:rPr>
      </w:pPr>
      <w:r>
        <w:rPr>
          <w:rFonts w:hint="eastAsia"/>
          <w:b/>
          <w:sz w:val="24"/>
          <w:szCs w:val="24"/>
          <w:lang w:eastAsia="zh-CN"/>
        </w:rPr>
        <w:t>附图3项目地理位置图</w:t>
      </w:r>
    </w:p>
    <w:p>
      <w:pPr>
        <w:jc w:val="center"/>
        <w:rPr>
          <w:lang w:eastAsia="zh-CN"/>
        </w:rPr>
      </w:pPr>
    </w:p>
    <w:p>
      <w:pPr>
        <w:rPr>
          <w:lang w:eastAsia="zh-CN"/>
        </w:rPr>
      </w:pPr>
    </w:p>
    <w:p>
      <w:pPr>
        <w:jc w:val="center"/>
        <w:rPr>
          <w:lang w:eastAsia="zh-CN"/>
        </w:rPr>
      </w:pPr>
      <w:r>
        <w:drawing>
          <wp:inline distT="0" distB="0" distL="0" distR="0">
            <wp:extent cx="5257800" cy="5143500"/>
            <wp:effectExtent l="19050" t="0" r="0" b="0"/>
            <wp:docPr id="27" name="图片 9" descr="c:\users\zq\desktop\地理位置图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c:\users\zq\desktop\地理位置图_副本.png"/>
                    <pic:cNvPicPr>
                      <a:picLocks noChangeAspect="1" noChangeArrowheads="1"/>
                    </pic:cNvPicPr>
                  </pic:nvPicPr>
                  <pic:blipFill>
                    <a:blip r:embed="rId20" cstate="print"/>
                    <a:srcRect/>
                    <a:stretch>
                      <a:fillRect/>
                    </a:stretch>
                  </pic:blipFill>
                  <pic:spPr>
                    <a:xfrm>
                      <a:off x="0" y="0"/>
                      <a:ext cx="5257800" cy="5143500"/>
                    </a:xfrm>
                    <a:prstGeom prst="rect">
                      <a:avLst/>
                    </a:prstGeom>
                    <a:noFill/>
                    <a:ln w="9525">
                      <a:noFill/>
                      <a:miter lim="800000"/>
                      <a:headEnd/>
                      <a:tailEnd/>
                    </a:ln>
                  </pic:spPr>
                </pic:pic>
              </a:graphicData>
            </a:graphic>
          </wp:inline>
        </w:drawing>
      </w:r>
    </w:p>
    <w:p>
      <w:pPr>
        <w:tabs>
          <w:tab w:val="left" w:pos="2310"/>
        </w:tabs>
        <w:rPr>
          <w:lang w:eastAsia="zh-CN"/>
        </w:rPr>
      </w:pPr>
      <w:r>
        <w:rPr>
          <w:lang w:eastAsia="zh-CN"/>
        </w:rPr>
        <w:tab/>
      </w:r>
    </w:p>
    <w:p>
      <w:pPr>
        <w:pStyle w:val="2"/>
        <w:rPr>
          <w:lang w:eastAsia="zh-CN"/>
        </w:rPr>
      </w:pPr>
    </w:p>
    <w:p>
      <w:pPr>
        <w:pStyle w:val="2"/>
        <w:ind w:left="0" w:firstLine="0"/>
        <w:rPr>
          <w:lang w:eastAsia="zh-CN"/>
        </w:rPr>
      </w:pPr>
    </w:p>
    <w:p>
      <w:pPr>
        <w:rPr>
          <w:lang w:eastAsia="zh-CN"/>
        </w:rPr>
      </w:pPr>
    </w:p>
    <w:p>
      <w:pPr>
        <w:pStyle w:val="2"/>
        <w:rPr>
          <w:lang w:eastAsia="zh-CN"/>
        </w:rPr>
      </w:pPr>
    </w:p>
    <w:p>
      <w:pPr>
        <w:rPr>
          <w:lang w:eastAsia="zh-CN"/>
        </w:rPr>
      </w:pPr>
    </w:p>
    <w:p>
      <w:pPr>
        <w:pStyle w:val="2"/>
        <w:ind w:left="0" w:firstLine="0"/>
        <w:jc w:val="center"/>
        <w:rPr>
          <w:b/>
          <w:sz w:val="24"/>
          <w:szCs w:val="24"/>
          <w:lang w:eastAsia="zh-CN"/>
        </w:rPr>
      </w:pPr>
    </w:p>
    <w:p>
      <w:pPr>
        <w:pStyle w:val="2"/>
        <w:ind w:left="0" w:firstLine="0"/>
        <w:jc w:val="center"/>
        <w:rPr>
          <w:b/>
          <w:sz w:val="24"/>
          <w:szCs w:val="24"/>
          <w:lang w:eastAsia="zh-CN"/>
        </w:rPr>
      </w:pPr>
    </w:p>
    <w:p>
      <w:pPr>
        <w:pStyle w:val="2"/>
        <w:ind w:left="0" w:firstLine="0"/>
        <w:jc w:val="center"/>
        <w:rPr>
          <w:b/>
          <w:sz w:val="24"/>
          <w:szCs w:val="24"/>
          <w:lang w:eastAsia="zh-CN"/>
        </w:rPr>
      </w:pPr>
      <w:r>
        <w:rPr>
          <w:rFonts w:hint="eastAsia"/>
          <w:b/>
          <w:sz w:val="24"/>
          <w:szCs w:val="24"/>
          <w:lang w:eastAsia="zh-CN"/>
        </w:rPr>
        <w:t>附图4无组织废气检测布点图</w:t>
      </w:r>
    </w:p>
    <w:p>
      <w:pPr>
        <w:rPr>
          <w:lang w:eastAsia="zh-CN"/>
        </w:rPr>
      </w:pPr>
    </w:p>
    <w:p>
      <w:pPr>
        <w:rPr>
          <w:lang w:eastAsia="zh-CN"/>
        </w:rPr>
      </w:pPr>
    </w:p>
    <w:p>
      <w:pPr>
        <w:rPr>
          <w:lang w:eastAsia="zh-CN"/>
        </w:rPr>
      </w:pPr>
    </w:p>
    <w:p>
      <w:pPr>
        <w:rPr>
          <w:lang w:eastAsia="zh-CN"/>
        </w:rPr>
      </w:pPr>
    </w:p>
    <w:p>
      <w:pPr>
        <w:rPr>
          <w:lang w:eastAsia="zh-CN"/>
        </w:rPr>
      </w:pPr>
      <w:r>
        <w:rPr>
          <w:rFonts w:hint="eastAsia"/>
        </w:rPr>
        <w:drawing>
          <wp:inline distT="0" distB="0" distL="0" distR="0">
            <wp:extent cx="5579745" cy="5067300"/>
            <wp:effectExtent l="19050" t="0" r="1642"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22" cstate="print"/>
                    <a:srcRect/>
                    <a:stretch>
                      <a:fillRect/>
                    </a:stretch>
                  </pic:blipFill>
                  <pic:spPr>
                    <a:xfrm>
                      <a:off x="0" y="0"/>
                      <a:ext cx="5581650" cy="5068791"/>
                    </a:xfrm>
                    <a:prstGeom prst="rect">
                      <a:avLst/>
                    </a:prstGeom>
                    <a:noFill/>
                    <a:ln w="9525">
                      <a:noFill/>
                      <a:miter lim="800000"/>
                      <a:headEnd/>
                      <a:tailEnd/>
                    </a:ln>
                  </pic:spPr>
                </pic:pic>
              </a:graphicData>
            </a:graphic>
          </wp:inline>
        </w:drawing>
      </w:r>
    </w:p>
    <w:p>
      <w:pPr>
        <w:rPr>
          <w:lang w:eastAsia="zh-CN"/>
        </w:rPr>
      </w:pPr>
    </w:p>
    <w:p>
      <w:pPr>
        <w:tabs>
          <w:tab w:val="left" w:pos="5385"/>
        </w:tabs>
        <w:jc w:val="center"/>
        <w:rPr>
          <w:lang w:eastAsia="zh-CN"/>
        </w:rPr>
      </w:pPr>
      <w:r>
        <w:rPr>
          <w:rFonts w:hint="eastAsia"/>
          <w:b/>
          <w:sz w:val="24"/>
          <w:szCs w:val="24"/>
          <w:lang w:eastAsia="zh-CN"/>
        </w:rPr>
        <w:t>附图5噪声检测布点图</w:t>
      </w:r>
    </w:p>
    <w:p>
      <w:pPr>
        <w:pStyle w:val="2"/>
        <w:rPr>
          <w:lang w:eastAsia="zh-CN"/>
        </w:rPr>
      </w:pPr>
    </w:p>
    <w:p>
      <w:pPr>
        <w:rPr>
          <w:lang w:eastAsia="zh-CN"/>
        </w:rPr>
      </w:pPr>
    </w:p>
    <w:p>
      <w:pPr>
        <w:pStyle w:val="2"/>
        <w:rPr>
          <w:lang w:eastAsia="zh-CN"/>
        </w:rPr>
      </w:pPr>
    </w:p>
    <w:p>
      <w:pPr>
        <w:rPr>
          <w:lang w:eastAsia="zh-CN"/>
        </w:rPr>
      </w:pPr>
    </w:p>
    <w:p>
      <w:pPr>
        <w:pStyle w:val="2"/>
        <w:rPr>
          <w:lang w:eastAsia="zh-CN"/>
        </w:rPr>
      </w:pPr>
    </w:p>
    <w:p>
      <w:pPr>
        <w:rPr>
          <w:lang w:eastAsia="zh-CN"/>
        </w:rPr>
      </w:pPr>
    </w:p>
    <w:p>
      <w:pPr>
        <w:rPr>
          <w:lang w:eastAsia="zh-CN"/>
        </w:rPr>
      </w:pPr>
      <w:r>
        <w:drawing>
          <wp:inline distT="0" distB="0" distL="0" distR="0">
            <wp:extent cx="5638800" cy="4119880"/>
            <wp:effectExtent l="1905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noChangeArrowheads="1"/>
                    </pic:cNvPicPr>
                  </pic:nvPicPr>
                  <pic:blipFill>
                    <a:blip r:embed="rId23" cstate="print"/>
                    <a:srcRect/>
                    <a:stretch>
                      <a:fillRect/>
                    </a:stretch>
                  </pic:blipFill>
                  <pic:spPr>
                    <a:xfrm>
                      <a:off x="0" y="0"/>
                      <a:ext cx="5638800" cy="4119880"/>
                    </a:xfrm>
                    <a:prstGeom prst="rect">
                      <a:avLst/>
                    </a:prstGeom>
                    <a:noFill/>
                    <a:ln w="9525">
                      <a:noFill/>
                      <a:miter lim="800000"/>
                      <a:headEnd/>
                      <a:tailEnd/>
                    </a:ln>
                  </pic:spPr>
                </pic:pic>
              </a:graphicData>
            </a:graphic>
          </wp:inline>
        </w:drawing>
      </w:r>
    </w:p>
    <w:p>
      <w:pPr>
        <w:rPr>
          <w:b/>
          <w:sz w:val="24"/>
          <w:szCs w:val="24"/>
          <w:lang w:eastAsia="zh-CN"/>
        </w:rPr>
      </w:pPr>
    </w:p>
    <w:p>
      <w:pPr>
        <w:jc w:val="center"/>
        <w:rPr>
          <w:b/>
          <w:sz w:val="24"/>
          <w:szCs w:val="24"/>
          <w:lang w:eastAsia="zh-CN"/>
        </w:rPr>
      </w:pPr>
    </w:p>
    <w:p>
      <w:pPr>
        <w:jc w:val="center"/>
        <w:rPr>
          <w:b/>
          <w:sz w:val="24"/>
          <w:szCs w:val="24"/>
          <w:lang w:eastAsia="zh-CN"/>
        </w:rPr>
      </w:pPr>
    </w:p>
    <w:p>
      <w:pPr>
        <w:jc w:val="center"/>
        <w:rPr>
          <w:b/>
          <w:sz w:val="24"/>
          <w:szCs w:val="24"/>
          <w:lang w:eastAsia="zh-CN"/>
        </w:rPr>
      </w:pPr>
      <w:r>
        <w:rPr>
          <w:rFonts w:hint="eastAsia"/>
          <w:b/>
          <w:sz w:val="24"/>
          <w:szCs w:val="24"/>
          <w:lang w:eastAsia="zh-CN"/>
        </w:rPr>
        <w:t>表1土壤环境影响评价自查表</w:t>
      </w:r>
    </w:p>
    <w:p>
      <w:pPr>
        <w:tabs>
          <w:tab w:val="left" w:pos="3840"/>
        </w:tabs>
        <w:rPr>
          <w:lang w:eastAsia="zh-CN"/>
        </w:rPr>
      </w:pPr>
      <w:r>
        <w:rPr>
          <w:lang w:eastAsia="zh-CN"/>
        </w:rPr>
        <w:tab/>
      </w:r>
    </w:p>
    <w:p>
      <w:pPr>
        <w:pStyle w:val="2"/>
        <w:jc w:val="center"/>
        <w:rPr>
          <w:lang w:eastAsia="zh-CN"/>
        </w:rPr>
      </w:pPr>
      <w:r>
        <w:rPr>
          <w:rFonts w:hint="eastAsia"/>
        </w:rPr>
        <w:drawing>
          <wp:inline distT="0" distB="0" distL="0" distR="0">
            <wp:extent cx="5638800" cy="5289550"/>
            <wp:effectExtent l="19050" t="0" r="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noChangeArrowheads="1"/>
                    </pic:cNvPicPr>
                  </pic:nvPicPr>
                  <pic:blipFill>
                    <a:blip r:embed="rId36" cstate="print"/>
                    <a:srcRect/>
                    <a:stretch>
                      <a:fillRect/>
                    </a:stretch>
                  </pic:blipFill>
                  <pic:spPr>
                    <a:xfrm>
                      <a:off x="0" y="0"/>
                      <a:ext cx="5642610" cy="5288280"/>
                    </a:xfrm>
                    <a:prstGeom prst="rect">
                      <a:avLst/>
                    </a:prstGeom>
                    <a:noFill/>
                    <a:ln w="9525">
                      <a:noFill/>
                      <a:miter lim="800000"/>
                      <a:headEnd/>
                      <a:tailEnd/>
                    </a:ln>
                  </pic:spPr>
                </pic:pic>
              </a:graphicData>
            </a:graphic>
          </wp:inline>
        </w:drawing>
      </w:r>
    </w:p>
    <w:p>
      <w:pPr>
        <w:rPr>
          <w:lang w:eastAsia="zh-CN"/>
        </w:rPr>
      </w:pPr>
    </w:p>
    <w:p>
      <w:pPr>
        <w:rPr>
          <w:lang w:eastAsia="zh-CN"/>
        </w:rPr>
      </w:pPr>
    </w:p>
    <w:p>
      <w:pPr>
        <w:tabs>
          <w:tab w:val="left" w:pos="3930"/>
        </w:tabs>
        <w:rPr>
          <w:lang w:eastAsia="zh-CN"/>
        </w:rPr>
      </w:pPr>
      <w:r>
        <w:rPr>
          <w:lang w:eastAsia="zh-CN"/>
        </w:rPr>
        <w:tab/>
      </w:r>
    </w:p>
    <w:p>
      <w:pPr>
        <w:jc w:val="both"/>
        <w:rPr>
          <w:rFonts w:ascii="宋体" w:hAnsi="宋体"/>
          <w:b/>
          <w:sz w:val="24"/>
          <w:szCs w:val="24"/>
          <w:lang w:eastAsia="zh-CN"/>
        </w:rPr>
      </w:pPr>
    </w:p>
    <w:p>
      <w:pPr>
        <w:pStyle w:val="2"/>
        <w:rPr>
          <w:rFonts w:ascii="宋体" w:hAnsi="宋体"/>
          <w:b/>
          <w:sz w:val="24"/>
          <w:szCs w:val="24"/>
          <w:lang w:eastAsia="zh-CN"/>
        </w:rPr>
      </w:pPr>
    </w:p>
    <w:p>
      <w:pPr>
        <w:rPr>
          <w:rFonts w:ascii="宋体" w:hAnsi="宋体"/>
          <w:b/>
          <w:sz w:val="24"/>
          <w:szCs w:val="24"/>
          <w:lang w:eastAsia="zh-CN"/>
        </w:rPr>
      </w:pPr>
    </w:p>
    <w:p>
      <w:pPr>
        <w:jc w:val="center"/>
        <w:rPr>
          <w:rFonts w:ascii="宋体" w:hAnsi="宋体"/>
          <w:b/>
          <w:sz w:val="24"/>
          <w:szCs w:val="24"/>
          <w:lang w:eastAsia="zh-CN"/>
        </w:rPr>
      </w:pPr>
      <w:r>
        <w:rPr>
          <w:rFonts w:hint="eastAsia" w:ascii="宋体" w:hAnsi="宋体"/>
          <w:b/>
          <w:sz w:val="24"/>
          <w:szCs w:val="24"/>
          <w:lang w:eastAsia="zh-CN"/>
        </w:rPr>
        <w:t>表2大气环境影响评价自查表</w:t>
      </w:r>
    </w:p>
    <w:tbl>
      <w:tblPr>
        <w:tblStyle w:val="30"/>
        <w:tblW w:w="90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7"/>
        <w:gridCol w:w="838"/>
        <w:gridCol w:w="910"/>
        <w:gridCol w:w="360"/>
        <w:gridCol w:w="360"/>
        <w:gridCol w:w="680"/>
        <w:gridCol w:w="360"/>
        <w:gridCol w:w="360"/>
        <w:gridCol w:w="360"/>
        <w:gridCol w:w="360"/>
        <w:gridCol w:w="360"/>
        <w:gridCol w:w="200"/>
        <w:gridCol w:w="1132"/>
        <w:gridCol w:w="978"/>
        <w:gridCol w:w="376"/>
        <w:gridCol w:w="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585" w:type="dxa"/>
            <w:gridSpan w:val="2"/>
            <w:shd w:val="clear" w:color="auto" w:fill="auto"/>
            <w:vAlign w:val="center"/>
          </w:tcPr>
          <w:p>
            <w:pPr>
              <w:spacing w:after="0" w:line="240" w:lineRule="auto"/>
              <w:jc w:val="center"/>
              <w:rPr>
                <w:rFonts w:ascii="宋体" w:hAnsi="宋体" w:cs="Times New Roman"/>
                <w:b/>
                <w:color w:val="000000"/>
                <w:sz w:val="16"/>
                <w:szCs w:val="16"/>
              </w:rPr>
            </w:pPr>
            <w:r>
              <w:rPr>
                <w:rFonts w:hint="eastAsia" w:ascii="Times New Roman" w:hAnsi="Times New Roman" w:cs="Times New Roman"/>
                <w:b/>
                <w:color w:val="000000"/>
                <w:sz w:val="16"/>
                <w:szCs w:val="16"/>
                <w:lang w:eastAsia="zh-CN"/>
              </w:rPr>
              <w:t>工作内容</w:t>
            </w:r>
          </w:p>
        </w:tc>
        <w:tc>
          <w:tcPr>
            <w:tcW w:w="7452" w:type="dxa"/>
            <w:gridSpan w:val="14"/>
            <w:shd w:val="clear" w:color="auto" w:fill="auto"/>
            <w:vAlign w:val="center"/>
          </w:tcPr>
          <w:p>
            <w:pPr>
              <w:spacing w:after="0" w:line="240" w:lineRule="auto"/>
              <w:jc w:val="center"/>
              <w:rPr>
                <w:rFonts w:ascii="宋体" w:hAnsi="宋体" w:cs="Times New Roman"/>
                <w:b/>
                <w:color w:val="000000"/>
                <w:sz w:val="16"/>
                <w:szCs w:val="16"/>
              </w:rPr>
            </w:pPr>
            <w:r>
              <w:rPr>
                <w:rFonts w:hint="eastAsia" w:ascii="Times New Roman" w:hAnsi="Times New Roman" w:cs="Times New Roman"/>
                <w:b/>
                <w:color w:val="000000"/>
                <w:sz w:val="16"/>
                <w:szCs w:val="16"/>
                <w:lang w:eastAsia="zh-CN"/>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7"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评价等级与范围</w:t>
            </w: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评价等级</w:t>
            </w:r>
          </w:p>
        </w:tc>
        <w:tc>
          <w:tcPr>
            <w:tcW w:w="3750" w:type="dxa"/>
            <w:gridSpan w:val="8"/>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一级</w:t>
            </w:r>
            <w:r>
              <w:rPr>
                <w:rFonts w:hint="eastAsia" w:ascii="仿宋" w:hAnsi="仿宋" w:eastAsia="仿宋" w:cs="Times New Roman"/>
                <w:color w:val="000000"/>
                <w:sz w:val="16"/>
                <w:szCs w:val="16"/>
                <w:lang w:eastAsia="zh-CN"/>
              </w:rPr>
              <w:t>□</w:t>
            </w:r>
          </w:p>
        </w:tc>
        <w:tc>
          <w:tcPr>
            <w:tcW w:w="2670"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二级□</w:t>
            </w:r>
          </w:p>
        </w:tc>
        <w:tc>
          <w:tcPr>
            <w:tcW w:w="1032" w:type="dxa"/>
            <w:gridSpan w:val="2"/>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三级</w:t>
            </w:r>
            <w:r>
              <w:rPr>
                <w:rFonts w:ascii="Wingdings 2" w:hAnsi="Wingdings 2"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评价范围</w:t>
            </w:r>
          </w:p>
        </w:tc>
        <w:tc>
          <w:tcPr>
            <w:tcW w:w="3750" w:type="dxa"/>
            <w:gridSpan w:val="8"/>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边长</w:t>
            </w:r>
            <w:r>
              <w:rPr>
                <w:rFonts w:ascii="Times New Roman" w:hAnsi="Times New Roman" w:cs="Times New Roman"/>
                <w:color w:val="000000"/>
                <w:sz w:val="16"/>
                <w:szCs w:val="16"/>
                <w:lang w:eastAsia="zh-CN"/>
              </w:rPr>
              <w:t>=50km</w:t>
            </w:r>
            <w:r>
              <w:rPr>
                <w:rFonts w:hint="eastAsia" w:ascii="仿宋" w:hAnsi="仿宋" w:eastAsia="仿宋" w:cs="Times New Roman"/>
                <w:color w:val="000000"/>
                <w:sz w:val="16"/>
                <w:szCs w:val="16"/>
                <w:lang w:eastAsia="zh-CN"/>
              </w:rPr>
              <w:t>□</w:t>
            </w:r>
          </w:p>
        </w:tc>
        <w:tc>
          <w:tcPr>
            <w:tcW w:w="2670"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边长</w:t>
            </w:r>
            <w:r>
              <w:rPr>
                <w:rFonts w:ascii="Times New Roman" w:hAnsi="Times New Roman" w:cs="Times New Roman"/>
                <w:color w:val="000000"/>
                <w:sz w:val="16"/>
                <w:szCs w:val="16"/>
                <w:lang w:eastAsia="zh-CN"/>
              </w:rPr>
              <w:t>5</w:t>
            </w:r>
            <w:r>
              <w:rPr>
                <w:rFonts w:hint="eastAsia" w:ascii="宋体" w:hAnsi="宋体" w:cs="宋体"/>
                <w:color w:val="000000"/>
                <w:sz w:val="16"/>
                <w:szCs w:val="16"/>
                <w:lang w:eastAsia="zh-CN"/>
              </w:rPr>
              <w:t>～</w:t>
            </w:r>
            <w:r>
              <w:rPr>
                <w:rFonts w:ascii="Times New Roman" w:hAnsi="Times New Roman" w:cs="Times New Roman"/>
                <w:color w:val="000000"/>
                <w:sz w:val="16"/>
                <w:szCs w:val="16"/>
                <w:lang w:eastAsia="zh-CN"/>
              </w:rPr>
              <w:t>50km</w:t>
            </w:r>
            <w:r>
              <w:rPr>
                <w:rFonts w:hint="eastAsia" w:ascii="宋体" w:hAnsi="宋体" w:cs="宋体"/>
                <w:color w:val="000000"/>
                <w:sz w:val="16"/>
                <w:szCs w:val="16"/>
                <w:lang w:eastAsia="zh-CN"/>
              </w:rPr>
              <w:t>□</w:t>
            </w:r>
          </w:p>
        </w:tc>
        <w:tc>
          <w:tcPr>
            <w:tcW w:w="1032" w:type="dxa"/>
            <w:gridSpan w:val="2"/>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边长</w:t>
            </w:r>
            <w:r>
              <w:rPr>
                <w:rFonts w:ascii="Times New Roman" w:hAnsi="Times New Roman" w:cs="Times New Roman"/>
                <w:color w:val="000000"/>
                <w:sz w:val="16"/>
                <w:szCs w:val="16"/>
                <w:lang w:eastAsia="zh-CN"/>
              </w:rPr>
              <w:t>=5 km</w:t>
            </w:r>
            <w:r>
              <w:rPr>
                <w:rFonts w:ascii="Wingdings 2" w:hAnsi="Wingdings 2"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评价因子</w:t>
            </w:r>
          </w:p>
        </w:tc>
        <w:tc>
          <w:tcPr>
            <w:tcW w:w="838" w:type="dxa"/>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SO</w:t>
            </w:r>
            <w:r>
              <w:rPr>
                <w:rFonts w:ascii="Times New Roman" w:hAnsi="Times New Roman" w:eastAsia="Times New Roman" w:cs="Times New Roman"/>
                <w:color w:val="000000"/>
                <w:sz w:val="16"/>
                <w:szCs w:val="16"/>
                <w:vertAlign w:val="subscript"/>
              </w:rPr>
              <w:t xml:space="preserve">2 </w:t>
            </w:r>
            <w:r>
              <w:rPr>
                <w:rFonts w:ascii="Times New Roman" w:hAnsi="Times New Roman" w:eastAsia="Times New Roman" w:cs="Times New Roman"/>
                <w:color w:val="000000"/>
                <w:sz w:val="16"/>
                <w:szCs w:val="16"/>
              </w:rPr>
              <w:t>+NO</w:t>
            </w:r>
            <w:r>
              <w:rPr>
                <w:rFonts w:ascii="Times New Roman" w:hAnsi="Times New Roman" w:eastAsia="Times New Roman" w:cs="Times New Roman"/>
                <w:i/>
                <w:iCs/>
                <w:color w:val="000000"/>
                <w:sz w:val="16"/>
                <w:szCs w:val="16"/>
                <w:vertAlign w:val="subscript"/>
              </w:rPr>
              <w:t>x</w:t>
            </w:r>
            <w:r>
              <w:rPr>
                <w:rFonts w:hint="eastAsia" w:ascii="宋体" w:hAnsi="宋体" w:cs="Times New Roman"/>
                <w:color w:val="000000"/>
                <w:sz w:val="16"/>
                <w:szCs w:val="16"/>
              </w:rPr>
              <w:t>排放量</w:t>
            </w:r>
          </w:p>
        </w:tc>
        <w:tc>
          <w:tcPr>
            <w:tcW w:w="1270" w:type="dxa"/>
            <w:gridSpan w:val="2"/>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r>
              <w:rPr>
                <w:rFonts w:ascii="Times New Roman" w:hAnsi="Times New Roman" w:eastAsia="仿宋" w:cs="Times New Roman"/>
                <w:color w:val="000000"/>
                <w:sz w:val="16"/>
                <w:szCs w:val="16"/>
                <w:lang w:eastAsia="zh-CN"/>
              </w:rPr>
              <w:t xml:space="preserve"> 2000t/a</w:t>
            </w:r>
            <w:r>
              <w:rPr>
                <w:rFonts w:hint="eastAsia" w:ascii="仿宋" w:hAnsi="仿宋" w:eastAsia="仿宋" w:cs="Times New Roman"/>
                <w:color w:val="000000"/>
                <w:sz w:val="16"/>
                <w:szCs w:val="16"/>
                <w:lang w:eastAsia="zh-CN"/>
              </w:rPr>
              <w:t>□</w:t>
            </w:r>
          </w:p>
        </w:tc>
        <w:tc>
          <w:tcPr>
            <w:tcW w:w="5150" w:type="dxa"/>
            <w:gridSpan w:val="10"/>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仿宋" w:cs="Times New Roman"/>
                <w:color w:val="000000"/>
                <w:sz w:val="16"/>
                <w:szCs w:val="16"/>
              </w:rPr>
              <w:t>500~ 2000t/a</w:t>
            </w:r>
            <w:r>
              <w:rPr>
                <w:rFonts w:hint="eastAsia" w:ascii="仿宋" w:hAnsi="仿宋" w:eastAsia="仿宋" w:cs="Times New Roman"/>
                <w:color w:val="000000"/>
                <w:sz w:val="16"/>
                <w:szCs w:val="16"/>
              </w:rPr>
              <w:t>□</w:t>
            </w:r>
          </w:p>
        </w:tc>
        <w:tc>
          <w:tcPr>
            <w:tcW w:w="1032" w:type="dxa"/>
            <w:gridSpan w:val="2"/>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r>
              <w:rPr>
                <w:rFonts w:ascii="Times New Roman" w:hAnsi="Times New Roman" w:eastAsia="仿宋" w:cs="Times New Roman"/>
                <w:color w:val="000000"/>
                <w:sz w:val="16"/>
                <w:szCs w:val="16"/>
                <w:lang w:eastAsia="zh-CN"/>
              </w:rPr>
              <w:t>500 t/a</w:t>
            </w:r>
            <w:r>
              <w:rPr>
                <w:rFonts w:hint="eastAsia" w:ascii="MS Mincho" w:hAnsi="MS Mincho" w:eastAsia="MS Mincho"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评价因子</w:t>
            </w:r>
          </w:p>
        </w:tc>
        <w:tc>
          <w:tcPr>
            <w:tcW w:w="4310" w:type="dxa"/>
            <w:gridSpan w:val="10"/>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基本污染物</w:t>
            </w:r>
            <w:r>
              <w:rPr>
                <w:rFonts w:ascii="Times New Roman" w:hAnsi="Times New Roman" w:cs="Times New Roman"/>
                <w:color w:val="000000"/>
                <w:sz w:val="16"/>
                <w:szCs w:val="16"/>
                <w:lang w:eastAsia="zh-CN"/>
              </w:rPr>
              <w:t xml:space="preserve"> (   SO</w:t>
            </w:r>
            <w:r>
              <w:rPr>
                <w:rFonts w:ascii="Times New Roman" w:hAnsi="Times New Roman" w:cs="Times New Roman"/>
                <w:color w:val="000000"/>
                <w:sz w:val="16"/>
                <w:szCs w:val="16"/>
                <w:vertAlign w:val="subscript"/>
                <w:lang w:eastAsia="zh-CN"/>
              </w:rPr>
              <w:t>2</w:t>
            </w:r>
            <w:r>
              <w:rPr>
                <w:rFonts w:ascii="Times New Roman" w:hAnsi="Times New Roman" w:cs="Times New Roman"/>
                <w:color w:val="000000"/>
                <w:sz w:val="16"/>
                <w:szCs w:val="16"/>
                <w:lang w:eastAsia="zh-CN"/>
              </w:rPr>
              <w:t>、NO</w:t>
            </w:r>
            <w:r>
              <w:rPr>
                <w:rFonts w:ascii="Times New Roman" w:hAnsi="Times New Roman" w:cs="Times New Roman"/>
                <w:color w:val="000000"/>
                <w:sz w:val="16"/>
                <w:szCs w:val="16"/>
                <w:vertAlign w:val="subscript"/>
                <w:lang w:eastAsia="zh-CN"/>
              </w:rPr>
              <w:t xml:space="preserve">X </w:t>
            </w:r>
            <w:r>
              <w:rPr>
                <w:rFonts w:ascii="Times New Roman" w:hAnsi="Times New Roman" w:cs="Times New Roman"/>
                <w:color w:val="000000"/>
                <w:sz w:val="16"/>
                <w:szCs w:val="16"/>
                <w:lang w:eastAsia="zh-CN"/>
              </w:rPr>
              <w:t>、PM</w:t>
            </w:r>
            <w:r>
              <w:rPr>
                <w:rFonts w:ascii="Times New Roman" w:hAnsi="Times New Roman" w:cs="Times New Roman"/>
                <w:color w:val="000000"/>
                <w:sz w:val="16"/>
                <w:szCs w:val="16"/>
                <w:vertAlign w:val="subscript"/>
                <w:lang w:eastAsia="zh-CN"/>
              </w:rPr>
              <w:t>10</w:t>
            </w:r>
            <w:r>
              <w:rPr>
                <w:rFonts w:ascii="Times New Roman" w:hAnsi="Times New Roman" w:cs="Times New Roman"/>
                <w:color w:val="000000"/>
                <w:sz w:val="16"/>
                <w:szCs w:val="16"/>
                <w:lang w:eastAsia="zh-CN"/>
              </w:rPr>
              <w:t xml:space="preserve">        )</w:t>
            </w: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包括二次</w:t>
            </w:r>
            <w:r>
              <w:rPr>
                <w:rFonts w:ascii="Times New Roman" w:hAnsi="Times New Roman" w:cs="Times New Roman"/>
                <w:color w:val="000000"/>
                <w:sz w:val="16"/>
                <w:szCs w:val="16"/>
                <w:lang w:eastAsia="zh-CN"/>
              </w:rPr>
              <w:t>PM</w:t>
            </w:r>
            <w:r>
              <w:rPr>
                <w:rFonts w:ascii="Times New Roman" w:hAnsi="Times New Roman" w:cs="Times New Roman"/>
                <w:color w:val="000000"/>
                <w:sz w:val="16"/>
                <w:szCs w:val="16"/>
                <w:vertAlign w:val="subscript"/>
                <w:lang w:eastAsia="zh-CN"/>
              </w:rPr>
              <w:t>2.5</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4310" w:type="dxa"/>
            <w:gridSpan w:val="10"/>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其他污染物</w:t>
            </w:r>
            <w:r>
              <w:rPr>
                <w:rFonts w:ascii="Times New Roman" w:hAnsi="Times New Roman" w:cs="Times New Roman"/>
                <w:color w:val="000000"/>
                <w:sz w:val="16"/>
                <w:szCs w:val="16"/>
                <w:lang w:eastAsia="zh-CN"/>
              </w:rPr>
              <w:t xml:space="preserve"> (    </w:t>
            </w:r>
            <w:r>
              <w:rPr>
                <w:rFonts w:hint="eastAsia" w:ascii="宋体" w:hAnsi="宋体" w:cs="宋体"/>
                <w:color w:val="000000"/>
                <w:sz w:val="16"/>
                <w:szCs w:val="16"/>
                <w:lang w:eastAsia="zh-CN"/>
              </w:rPr>
              <w:t>氨、</w:t>
            </w:r>
            <w:r>
              <w:rPr>
                <w:rFonts w:ascii="Times New Roman" w:hAnsi="Times New Roman" w:cs="Times New Roman"/>
                <w:color w:val="000000"/>
                <w:sz w:val="16"/>
                <w:szCs w:val="16"/>
                <w:lang w:eastAsia="zh-CN"/>
              </w:rPr>
              <w:t>H2S   )</w:t>
            </w: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不包括二次</w:t>
            </w:r>
            <w:r>
              <w:rPr>
                <w:rFonts w:ascii="Times New Roman" w:hAnsi="Times New Roman" w:cs="Times New Roman"/>
                <w:color w:val="000000"/>
                <w:sz w:val="16"/>
                <w:szCs w:val="16"/>
                <w:lang w:eastAsia="zh-CN"/>
              </w:rPr>
              <w:t>PM</w:t>
            </w:r>
            <w:r>
              <w:rPr>
                <w:rFonts w:ascii="Times New Roman" w:hAnsi="Times New Roman" w:cs="Times New Roman"/>
                <w:color w:val="000000"/>
                <w:sz w:val="16"/>
                <w:szCs w:val="16"/>
                <w:vertAlign w:val="subscript"/>
                <w:lang w:eastAsia="zh-CN"/>
              </w:rPr>
              <w:t>2.5</w:t>
            </w:r>
            <w:r>
              <w:rPr>
                <w:rFonts w:hint="eastAsia" w:ascii="MS Mincho" w:hAnsi="MS Mincho" w:eastAsia="MS Mincho"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评价标准</w:t>
            </w: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评价标准</w:t>
            </w:r>
          </w:p>
        </w:tc>
        <w:tc>
          <w:tcPr>
            <w:tcW w:w="3030" w:type="dxa"/>
            <w:gridSpan w:val="6"/>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国家标准</w:t>
            </w:r>
            <w:r>
              <w:rPr>
                <w:rFonts w:hint="eastAsia" w:ascii="MS Mincho" w:hAnsi="MS Mincho" w:eastAsia="MS Mincho" w:cs="MS Mincho"/>
                <w:color w:val="000000"/>
                <w:sz w:val="16"/>
                <w:szCs w:val="16"/>
                <w:lang w:eastAsia="zh-CN"/>
              </w:rPr>
              <w:t>☑</w:t>
            </w:r>
          </w:p>
        </w:tc>
        <w:tc>
          <w:tcPr>
            <w:tcW w:w="1280"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地方标准</w:t>
            </w:r>
            <w:r>
              <w:rPr>
                <w:rFonts w:hint="eastAsia" w:ascii="仿宋" w:hAnsi="仿宋" w:eastAsia="仿宋" w:cs="Times New Roman"/>
                <w:color w:val="000000"/>
                <w:sz w:val="16"/>
                <w:szCs w:val="16"/>
                <w:lang w:eastAsia="zh-CN"/>
              </w:rPr>
              <w:t>□</w:t>
            </w:r>
          </w:p>
        </w:tc>
        <w:tc>
          <w:tcPr>
            <w:tcW w:w="2486" w:type="dxa"/>
            <w:gridSpan w:val="3"/>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附录</w:t>
            </w:r>
            <w:r>
              <w:rPr>
                <w:rFonts w:ascii="Times New Roman" w:hAnsi="Times New Roman" w:cs="Times New Roman"/>
                <w:color w:val="000000"/>
                <w:sz w:val="16"/>
                <w:szCs w:val="16"/>
                <w:lang w:eastAsia="zh-CN"/>
              </w:rPr>
              <w:t>D</w:t>
            </w:r>
            <w:r>
              <w:rPr>
                <w:rFonts w:hint="eastAsia" w:ascii="仿宋" w:hAnsi="仿宋" w:eastAsia="仿宋" w:cs="Times New Roman"/>
                <w:color w:val="000000"/>
                <w:sz w:val="16"/>
                <w:szCs w:val="16"/>
                <w:lang w:eastAsia="zh-CN"/>
              </w:rPr>
              <w:t>□</w:t>
            </w:r>
          </w:p>
        </w:tc>
        <w:tc>
          <w:tcPr>
            <w:tcW w:w="656"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其他标准</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现状评价</w:t>
            </w: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环境功能区</w:t>
            </w:r>
          </w:p>
        </w:tc>
        <w:tc>
          <w:tcPr>
            <w:tcW w:w="3750" w:type="dxa"/>
            <w:gridSpan w:val="8"/>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一类区</w:t>
            </w:r>
            <w:r>
              <w:rPr>
                <w:rFonts w:hint="eastAsia" w:ascii="仿宋" w:hAnsi="仿宋" w:eastAsia="仿宋" w:cs="Times New Roman"/>
                <w:color w:val="000000"/>
                <w:sz w:val="16"/>
                <w:szCs w:val="16"/>
                <w:lang w:eastAsia="zh-CN"/>
              </w:rPr>
              <w:t>□</w:t>
            </w:r>
          </w:p>
        </w:tc>
        <w:tc>
          <w:tcPr>
            <w:tcW w:w="1692" w:type="dxa"/>
            <w:gridSpan w:val="3"/>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二类区</w:t>
            </w:r>
            <w:r>
              <w:rPr>
                <w:rFonts w:hint="eastAsia" w:ascii="MS Mincho" w:hAnsi="MS Mincho" w:eastAsia="MS Mincho" w:cs="Times New Roman"/>
                <w:color w:val="000000"/>
                <w:sz w:val="16"/>
                <w:szCs w:val="16"/>
                <w:lang w:eastAsia="zh-CN"/>
              </w:rPr>
              <w:t>☑</w:t>
            </w:r>
          </w:p>
        </w:tc>
        <w:tc>
          <w:tcPr>
            <w:tcW w:w="2010" w:type="dxa"/>
            <w:gridSpan w:val="3"/>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一类区和二类区</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评价基准年</w:t>
            </w:r>
          </w:p>
        </w:tc>
        <w:tc>
          <w:tcPr>
            <w:tcW w:w="7452" w:type="dxa"/>
            <w:gridSpan w:val="14"/>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（2018、</w:t>
            </w:r>
            <w:r>
              <w:rPr>
                <w:rFonts w:ascii="Times New Roman" w:hAnsi="Times New Roman" w:cs="Times New Roman"/>
                <w:color w:val="000000"/>
                <w:sz w:val="16"/>
                <w:szCs w:val="16"/>
                <w:lang w:eastAsia="zh-CN"/>
              </w:rPr>
              <w:t>2019</w:t>
            </w:r>
            <w:r>
              <w:rPr>
                <w:rFonts w:hint="eastAsia" w:ascii="宋体" w:hAnsi="宋体" w:cs="宋体"/>
                <w:color w:val="000000"/>
                <w:sz w:val="16"/>
                <w:szCs w:val="16"/>
                <w:lang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现状调查数据来源</w:t>
            </w:r>
          </w:p>
        </w:tc>
        <w:tc>
          <w:tcPr>
            <w:tcW w:w="3750" w:type="dxa"/>
            <w:gridSpan w:val="8"/>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长期例行监测数据</w:t>
            </w:r>
            <w:r>
              <w:rPr>
                <w:rFonts w:ascii="Wingdings 2" w:hAnsi="Wingdings 2" w:cs="Times New Roman"/>
                <w:color w:val="000000"/>
                <w:sz w:val="16"/>
                <w:szCs w:val="16"/>
              </w:rPr>
              <w:t></w:t>
            </w:r>
          </w:p>
        </w:tc>
        <w:tc>
          <w:tcPr>
            <w:tcW w:w="2670" w:type="dxa"/>
            <w:gridSpan w:val="4"/>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宋体" w:hAnsi="宋体" w:cs="Times New Roman"/>
                <w:color w:val="000000"/>
                <w:sz w:val="16"/>
                <w:szCs w:val="16"/>
                <w:lang w:eastAsia="zh-CN"/>
              </w:rPr>
              <w:t>主管部门发布的数据</w:t>
            </w:r>
            <w:r>
              <w:rPr>
                <w:rFonts w:hint="eastAsia" w:ascii="仿宋" w:hAnsi="仿宋" w:eastAsia="仿宋" w:cs="Times New Roman"/>
                <w:color w:val="000000"/>
                <w:sz w:val="16"/>
                <w:szCs w:val="16"/>
                <w:lang w:eastAsia="zh-CN"/>
              </w:rPr>
              <w:t>□</w:t>
            </w:r>
          </w:p>
        </w:tc>
        <w:tc>
          <w:tcPr>
            <w:tcW w:w="1032" w:type="dxa"/>
            <w:gridSpan w:val="2"/>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现状补充监测</w:t>
            </w:r>
            <w:r>
              <w:rPr>
                <w:rFonts w:hint="eastAsia" w:ascii="MS Mincho" w:hAnsi="MS Mincho" w:eastAsia="MS Mincho" w:cs="Times New Roman"/>
                <w:color w:val="000000"/>
                <w:sz w:val="16"/>
                <w:szCs w:val="16"/>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shd w:val="clear" w:color="auto" w:fill="auto"/>
            <w:vAlign w:val="center"/>
          </w:tcPr>
          <w:p>
            <w:pPr>
              <w:spacing w:after="0" w:line="240" w:lineRule="auto"/>
              <w:jc w:val="center"/>
              <w:rPr>
                <w:rFonts w:ascii="Times New Roman" w:hAnsi="Times New Roman" w:cs="Times New Roman"/>
                <w:color w:val="000000"/>
                <w:sz w:val="16"/>
                <w:szCs w:val="16"/>
                <w:lang w:eastAsia="zh-CN"/>
              </w:rPr>
            </w:pPr>
            <w:r>
              <w:rPr>
                <w:rFonts w:hint="eastAsia" w:ascii="Times New Roman" w:hAnsi="Times New Roman" w:cs="Times New Roman"/>
                <w:color w:val="000000"/>
                <w:sz w:val="16"/>
                <w:szCs w:val="16"/>
                <w:lang w:eastAsia="zh-CN"/>
              </w:rPr>
              <w:t>现状</w:t>
            </w:r>
          </w:p>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w:t>
            </w:r>
          </w:p>
        </w:tc>
        <w:tc>
          <w:tcPr>
            <w:tcW w:w="4310" w:type="dxa"/>
            <w:gridSpan w:val="10"/>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达标区</w:t>
            </w:r>
            <w:r>
              <w:rPr>
                <w:rFonts w:ascii="Wingdings 2" w:hAnsi="Wingdings 2" w:cs="宋体"/>
                <w:color w:val="000000"/>
                <w:sz w:val="16"/>
                <w:szCs w:val="16"/>
                <w:lang w:eastAsia="zh-CN"/>
              </w:rPr>
              <w:t></w:t>
            </w: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不达标区</w:t>
            </w:r>
            <w:r>
              <w:rPr>
                <w:rFonts w:ascii="Wingdings 2" w:hAnsi="Wingdings 2"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污染源</w:t>
            </w: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调查内容</w:t>
            </w:r>
          </w:p>
        </w:tc>
        <w:tc>
          <w:tcPr>
            <w:tcW w:w="3390" w:type="dxa"/>
            <w:gridSpan w:val="7"/>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本项目正常排放源</w:t>
            </w:r>
            <w:r>
              <w:rPr>
                <w:rFonts w:hint="eastAsia" w:ascii="MS Mincho" w:hAnsi="MS Mincho" w:eastAsia="MS Mincho" w:cs="Times New Roman"/>
                <w:color w:val="000000"/>
                <w:sz w:val="16"/>
                <w:szCs w:val="16"/>
                <w:lang w:eastAsia="zh-CN"/>
              </w:rPr>
              <w:t>☑</w:t>
            </w:r>
          </w:p>
        </w:tc>
        <w:tc>
          <w:tcPr>
            <w:tcW w:w="920" w:type="dxa"/>
            <w:gridSpan w:val="3"/>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拟替代的污染源</w:t>
            </w:r>
            <w:r>
              <w:rPr>
                <w:rFonts w:hint="eastAsia" w:ascii="仿宋" w:hAnsi="仿宋" w:eastAsia="仿宋" w:cs="Times New Roman"/>
                <w:color w:val="000000"/>
                <w:sz w:val="16"/>
                <w:szCs w:val="16"/>
                <w:lang w:eastAsia="zh-CN"/>
              </w:rPr>
              <w:t>□</w:t>
            </w:r>
          </w:p>
        </w:tc>
        <w:tc>
          <w:tcPr>
            <w:tcW w:w="2486" w:type="dxa"/>
            <w:gridSpan w:val="3"/>
            <w:vMerge w:val="restart"/>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其他在建、拟建项目污染源</w:t>
            </w:r>
            <w:r>
              <w:rPr>
                <w:rFonts w:hint="eastAsia" w:ascii="仿宋" w:hAnsi="仿宋" w:eastAsia="仿宋" w:cs="Times New Roman"/>
                <w:color w:val="000000"/>
                <w:sz w:val="16"/>
                <w:szCs w:val="16"/>
                <w:lang w:eastAsia="zh-CN"/>
              </w:rPr>
              <w:t>□</w:t>
            </w:r>
          </w:p>
        </w:tc>
        <w:tc>
          <w:tcPr>
            <w:tcW w:w="656"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区域污染源</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调查</w:t>
            </w: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3390" w:type="dxa"/>
            <w:gridSpan w:val="7"/>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本项目非正常排放源</w:t>
            </w:r>
            <w:r>
              <w:rPr>
                <w:rFonts w:hint="eastAsia" w:ascii="仿宋" w:hAnsi="仿宋" w:eastAsia="仿宋" w:cs="Times New Roman"/>
                <w:color w:val="000000"/>
                <w:sz w:val="16"/>
                <w:szCs w:val="16"/>
                <w:lang w:eastAsia="zh-CN"/>
              </w:rPr>
              <w:t>□</w:t>
            </w:r>
          </w:p>
        </w:tc>
        <w:tc>
          <w:tcPr>
            <w:tcW w:w="920" w:type="dxa"/>
            <w:gridSpan w:val="3"/>
            <w:vMerge w:val="continue"/>
            <w:vAlign w:val="center"/>
          </w:tcPr>
          <w:p>
            <w:pPr>
              <w:spacing w:after="0" w:line="240" w:lineRule="auto"/>
              <w:jc w:val="center"/>
              <w:rPr>
                <w:rFonts w:ascii="宋体" w:hAnsi="宋体" w:cs="Times New Roman"/>
                <w:color w:val="000000"/>
                <w:sz w:val="16"/>
                <w:szCs w:val="16"/>
                <w:lang w:eastAsia="zh-CN"/>
              </w:rPr>
            </w:pPr>
          </w:p>
        </w:tc>
        <w:tc>
          <w:tcPr>
            <w:tcW w:w="2486" w:type="dxa"/>
            <w:gridSpan w:val="3"/>
            <w:vMerge w:val="continue"/>
            <w:vAlign w:val="center"/>
          </w:tcPr>
          <w:p>
            <w:pPr>
              <w:spacing w:after="0" w:line="240" w:lineRule="auto"/>
              <w:jc w:val="center"/>
              <w:rPr>
                <w:rFonts w:ascii="宋体" w:hAnsi="宋体" w:cs="Times New Roman"/>
                <w:color w:val="000000"/>
                <w:sz w:val="16"/>
                <w:szCs w:val="16"/>
                <w:lang w:eastAsia="zh-CN"/>
              </w:rPr>
            </w:pPr>
          </w:p>
        </w:tc>
        <w:tc>
          <w:tcPr>
            <w:tcW w:w="656" w:type="dxa"/>
            <w:vMerge w:val="continue"/>
            <w:vAlign w:val="center"/>
          </w:tcPr>
          <w:p>
            <w:pPr>
              <w:spacing w:after="0" w:line="240" w:lineRule="auto"/>
              <w:jc w:val="center"/>
              <w:rPr>
                <w:rFonts w:ascii="宋体" w:hAnsi="宋体" w:cs="Times New Roman"/>
                <w:color w:val="000000"/>
                <w:sz w:val="16"/>
                <w:szCs w:val="16"/>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lang w:eastAsia="zh-CN"/>
              </w:rPr>
            </w:pPr>
          </w:p>
        </w:tc>
        <w:tc>
          <w:tcPr>
            <w:tcW w:w="838" w:type="dxa"/>
            <w:vMerge w:val="continue"/>
            <w:vAlign w:val="center"/>
          </w:tcPr>
          <w:p>
            <w:pPr>
              <w:spacing w:after="0" w:line="240" w:lineRule="auto"/>
              <w:jc w:val="center"/>
              <w:rPr>
                <w:rFonts w:ascii="宋体" w:hAnsi="宋体" w:cs="Times New Roman"/>
                <w:color w:val="000000"/>
                <w:sz w:val="16"/>
                <w:szCs w:val="16"/>
                <w:lang w:eastAsia="zh-CN"/>
              </w:rPr>
            </w:pPr>
          </w:p>
        </w:tc>
        <w:tc>
          <w:tcPr>
            <w:tcW w:w="3390" w:type="dxa"/>
            <w:gridSpan w:val="7"/>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现有污染源</w:t>
            </w:r>
            <w:r>
              <w:rPr>
                <w:rFonts w:hint="eastAsia" w:ascii="仿宋" w:hAnsi="仿宋" w:eastAsia="仿宋" w:cs="Times New Roman"/>
                <w:color w:val="000000"/>
                <w:sz w:val="16"/>
                <w:szCs w:val="16"/>
                <w:lang w:eastAsia="zh-CN"/>
              </w:rPr>
              <w:t>□</w:t>
            </w:r>
          </w:p>
        </w:tc>
        <w:tc>
          <w:tcPr>
            <w:tcW w:w="920" w:type="dxa"/>
            <w:gridSpan w:val="3"/>
            <w:vMerge w:val="continue"/>
            <w:vAlign w:val="center"/>
          </w:tcPr>
          <w:p>
            <w:pPr>
              <w:spacing w:after="0" w:line="240" w:lineRule="auto"/>
              <w:jc w:val="center"/>
              <w:rPr>
                <w:rFonts w:ascii="宋体" w:hAnsi="宋体" w:cs="Times New Roman"/>
                <w:color w:val="000000"/>
                <w:sz w:val="16"/>
                <w:szCs w:val="16"/>
              </w:rPr>
            </w:pPr>
          </w:p>
        </w:tc>
        <w:tc>
          <w:tcPr>
            <w:tcW w:w="2486" w:type="dxa"/>
            <w:gridSpan w:val="3"/>
            <w:vMerge w:val="continue"/>
            <w:vAlign w:val="center"/>
          </w:tcPr>
          <w:p>
            <w:pPr>
              <w:spacing w:after="0" w:line="240" w:lineRule="auto"/>
              <w:jc w:val="center"/>
              <w:rPr>
                <w:rFonts w:ascii="宋体" w:hAnsi="宋体" w:cs="Times New Roman"/>
                <w:color w:val="000000"/>
                <w:sz w:val="16"/>
                <w:szCs w:val="16"/>
              </w:rPr>
            </w:pPr>
          </w:p>
        </w:tc>
        <w:tc>
          <w:tcPr>
            <w:tcW w:w="656" w:type="dxa"/>
            <w:vMerge w:val="continue"/>
            <w:vAlign w:val="center"/>
          </w:tcPr>
          <w:p>
            <w:pPr>
              <w:spacing w:after="0" w:line="240" w:lineRule="auto"/>
              <w:jc w:val="center"/>
              <w:rPr>
                <w:rFonts w:ascii="宋体" w:hAnsi="宋体" w:cs="Times New Roman"/>
                <w:color w:val="000000"/>
                <w:sz w:val="16"/>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大气环境影响预测与</w:t>
            </w: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预测模型</w:t>
            </w:r>
          </w:p>
        </w:tc>
        <w:tc>
          <w:tcPr>
            <w:tcW w:w="910" w:type="dxa"/>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8"/>
              </w:rPr>
              <w:t>AERMOD</w:t>
            </w:r>
          </w:p>
        </w:tc>
        <w:tc>
          <w:tcPr>
            <w:tcW w:w="1760" w:type="dxa"/>
            <w:gridSpan w:val="4"/>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8"/>
              </w:rPr>
              <w:t>ADMS</w:t>
            </w:r>
          </w:p>
        </w:tc>
        <w:tc>
          <w:tcPr>
            <w:tcW w:w="1640" w:type="dxa"/>
            <w:gridSpan w:val="5"/>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8"/>
              </w:rPr>
              <w:t>AUSTAL2000</w:t>
            </w:r>
          </w:p>
        </w:tc>
        <w:tc>
          <w:tcPr>
            <w:tcW w:w="1132" w:type="dxa"/>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EDMS/AEDT</w:t>
            </w:r>
          </w:p>
        </w:tc>
        <w:tc>
          <w:tcPr>
            <w:tcW w:w="978" w:type="dxa"/>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8"/>
              </w:rPr>
              <w:t>CALPUFF</w:t>
            </w:r>
          </w:p>
        </w:tc>
        <w:tc>
          <w:tcPr>
            <w:tcW w:w="376"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lang w:eastAsia="zh-CN"/>
              </w:rPr>
              <w:t>网格模型</w:t>
            </w:r>
          </w:p>
        </w:tc>
        <w:tc>
          <w:tcPr>
            <w:tcW w:w="656"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评价</w:t>
            </w: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910" w:type="dxa"/>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p>
        </w:tc>
        <w:tc>
          <w:tcPr>
            <w:tcW w:w="1760" w:type="dxa"/>
            <w:gridSpan w:val="4"/>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p>
        </w:tc>
        <w:tc>
          <w:tcPr>
            <w:tcW w:w="1640" w:type="dxa"/>
            <w:gridSpan w:val="5"/>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p>
        </w:tc>
        <w:tc>
          <w:tcPr>
            <w:tcW w:w="1132" w:type="dxa"/>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rPr>
              <w:t>□</w:t>
            </w:r>
          </w:p>
        </w:tc>
        <w:tc>
          <w:tcPr>
            <w:tcW w:w="978" w:type="dxa"/>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p>
        </w:tc>
        <w:tc>
          <w:tcPr>
            <w:tcW w:w="376" w:type="dxa"/>
            <w:shd w:val="clear" w:color="auto" w:fill="auto"/>
            <w:vAlign w:val="center"/>
          </w:tcPr>
          <w:p>
            <w:pPr>
              <w:spacing w:after="0" w:line="240" w:lineRule="auto"/>
              <w:jc w:val="center"/>
              <w:rPr>
                <w:rFonts w:ascii="仿宋" w:hAnsi="仿宋" w:eastAsia="仿宋" w:cs="Times New Roman"/>
                <w:color w:val="000000"/>
                <w:sz w:val="16"/>
                <w:szCs w:val="16"/>
              </w:rPr>
            </w:pPr>
            <w:r>
              <w:rPr>
                <w:rFonts w:hint="eastAsia" w:ascii="仿宋" w:hAnsi="仿宋" w:eastAsia="仿宋" w:cs="Times New Roman"/>
                <w:color w:val="000000"/>
                <w:sz w:val="16"/>
                <w:szCs w:val="16"/>
                <w:lang w:eastAsia="zh-CN"/>
              </w:rPr>
              <w:t>□</w:t>
            </w:r>
          </w:p>
        </w:tc>
        <w:tc>
          <w:tcPr>
            <w:tcW w:w="656" w:type="dxa"/>
            <w:shd w:val="clear" w:color="auto" w:fill="auto"/>
            <w:vAlign w:val="center"/>
          </w:tcPr>
          <w:p>
            <w:pPr>
              <w:spacing w:after="0" w:line="240" w:lineRule="auto"/>
              <w:jc w:val="center"/>
              <w:rPr>
                <w:rFonts w:ascii="MS Mincho" w:hAnsi="MS Mincho" w:eastAsia="MS Mincho" w:cs="Times New Roman"/>
                <w:color w:val="000000"/>
                <w:sz w:val="16"/>
                <w:szCs w:val="16"/>
              </w:rPr>
            </w:pPr>
            <w:r>
              <w:rPr>
                <w:rFonts w:hint="eastAsia" w:ascii="MS Mincho" w:hAnsi="MS Mincho" w:eastAsia="MS Mincho" w:cs="MS Mincho"/>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预测范围</w:t>
            </w:r>
          </w:p>
        </w:tc>
        <w:tc>
          <w:tcPr>
            <w:tcW w:w="2670" w:type="dxa"/>
            <w:gridSpan w:val="5"/>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边长</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50km</w:t>
            </w:r>
            <w:r>
              <w:rPr>
                <w:rFonts w:hint="eastAsia" w:ascii="仿宋" w:hAnsi="仿宋" w:eastAsia="仿宋" w:cs="Times New Roman"/>
                <w:color w:val="000000"/>
                <w:sz w:val="16"/>
                <w:szCs w:val="16"/>
                <w:lang w:eastAsia="zh-CN"/>
              </w:rPr>
              <w:t>□</w:t>
            </w:r>
          </w:p>
        </w:tc>
        <w:tc>
          <w:tcPr>
            <w:tcW w:w="3750" w:type="dxa"/>
            <w:gridSpan w:val="7"/>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边长</w:t>
            </w:r>
            <w:r>
              <w:rPr>
                <w:rFonts w:ascii="Times New Roman" w:hAnsi="Times New Roman" w:cs="Times New Roman"/>
                <w:color w:val="000000"/>
                <w:sz w:val="16"/>
                <w:szCs w:val="16"/>
                <w:lang w:eastAsia="zh-CN"/>
              </w:rPr>
              <w:t>5</w:t>
            </w:r>
            <w:r>
              <w:rPr>
                <w:rFonts w:hint="eastAsia" w:ascii="宋体" w:hAnsi="宋体" w:cs="Times New Roman"/>
                <w:color w:val="000000"/>
                <w:sz w:val="16"/>
                <w:szCs w:val="16"/>
                <w:lang w:eastAsia="zh-CN"/>
              </w:rPr>
              <w:t>～</w:t>
            </w:r>
            <w:r>
              <w:rPr>
                <w:rFonts w:ascii="Times New Roman" w:hAnsi="Times New Roman" w:cs="Times New Roman"/>
                <w:color w:val="000000"/>
                <w:sz w:val="16"/>
                <w:szCs w:val="16"/>
                <w:lang w:eastAsia="zh-CN"/>
              </w:rPr>
              <w:t>50km</w:t>
            </w:r>
            <w:r>
              <w:rPr>
                <w:rFonts w:hint="eastAsia" w:ascii="宋体" w:hAnsi="宋体" w:cs="Times New Roman"/>
                <w:color w:val="000000"/>
                <w:sz w:val="16"/>
                <w:szCs w:val="16"/>
                <w:lang w:eastAsia="zh-CN"/>
              </w:rPr>
              <w:t>□</w:t>
            </w:r>
          </w:p>
        </w:tc>
        <w:tc>
          <w:tcPr>
            <w:tcW w:w="1032" w:type="dxa"/>
            <w:gridSpan w:val="2"/>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边长</w:t>
            </w:r>
            <w:r>
              <w:rPr>
                <w:rFonts w:ascii="Times New Roman" w:hAnsi="Times New Roman" w:cs="Times New Roman"/>
                <w:color w:val="000000"/>
                <w:sz w:val="16"/>
                <w:szCs w:val="16"/>
                <w:lang w:eastAsia="zh-CN"/>
              </w:rPr>
              <w:t>=5 km</w:t>
            </w:r>
            <w:r>
              <w:rPr>
                <w:rFonts w:ascii="Wingdings 2" w:hAnsi="Wingdings 2"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预测因子</w:t>
            </w:r>
          </w:p>
        </w:tc>
        <w:tc>
          <w:tcPr>
            <w:tcW w:w="4310" w:type="dxa"/>
            <w:gridSpan w:val="10"/>
            <w:vMerge w:val="restart"/>
            <w:shd w:val="clear" w:color="auto" w:fill="auto"/>
            <w:noWrap/>
            <w:vAlign w:val="center"/>
          </w:tcPr>
          <w:p>
            <w:pPr>
              <w:spacing w:after="0" w:line="240" w:lineRule="auto"/>
              <w:jc w:val="center"/>
              <w:rPr>
                <w:rFonts w:ascii="Calibri" w:hAnsi="Calibri" w:eastAsia="Times New Roman" w:cs="宋体"/>
                <w:color w:val="000000"/>
                <w:lang w:eastAsia="zh-CN"/>
              </w:rPr>
            </w:pPr>
            <w:r>
              <w:rPr>
                <w:rFonts w:ascii="Calibri" w:hAnsi="Calibri" w:eastAsia="Times New Roman" w:cs="宋体"/>
                <w:color w:val="000000"/>
              </w:rPr>
              <w:drawing>
                <wp:anchor distT="0" distB="0" distL="114300" distR="114300" simplePos="0" relativeHeight="251665408" behindDoc="0" locked="0" layoutInCell="1" allowOverlap="1">
                  <wp:simplePos x="0" y="0"/>
                  <wp:positionH relativeFrom="column">
                    <wp:posOffset>0</wp:posOffset>
                  </wp:positionH>
                  <wp:positionV relativeFrom="paragraph">
                    <wp:posOffset>333375</wp:posOffset>
                  </wp:positionV>
                  <wp:extent cx="381000" cy="219075"/>
                  <wp:effectExtent l="0" t="0" r="0" b="0"/>
                  <wp:wrapNone/>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4"/>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371475" cy="200025"/>
                          </a:xfrm>
                          <a:prstGeom prst="rect">
                            <a:avLst/>
                          </a:prstGeom>
                          <a:noFill/>
                        </pic:spPr>
                      </pic:pic>
                    </a:graphicData>
                  </a:graphic>
                </wp:anchor>
              </w:drawing>
            </w:r>
            <w:r>
              <w:rPr>
                <w:rFonts w:ascii="Calibri" w:hAnsi="Calibri" w:eastAsia="Times New Roman" w:cs="宋体"/>
                <w:color w:val="000000"/>
              </w:rPr>
              <w:drawing>
                <wp:anchor distT="0" distB="0" distL="114300" distR="114300" simplePos="0" relativeHeight="251666432" behindDoc="0" locked="0" layoutInCell="1" allowOverlap="1">
                  <wp:simplePos x="0" y="0"/>
                  <wp:positionH relativeFrom="column">
                    <wp:posOffset>2543175</wp:posOffset>
                  </wp:positionH>
                  <wp:positionV relativeFrom="paragraph">
                    <wp:posOffset>333375</wp:posOffset>
                  </wp:positionV>
                  <wp:extent cx="381000" cy="219075"/>
                  <wp:effectExtent l="0" t="0" r="635" b="0"/>
                  <wp:wrapNone/>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3"/>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371475" cy="200025"/>
                          </a:xfrm>
                          <a:prstGeom prst="rect">
                            <a:avLst/>
                          </a:prstGeom>
                          <a:noFill/>
                        </pic:spPr>
                      </pic:pic>
                    </a:graphicData>
                  </a:graphic>
                </wp:anchor>
              </w:drawing>
            </w:r>
          </w:p>
          <w:tbl>
            <w:tblPr>
              <w:tblStyle w:val="30"/>
              <w:tblW w:w="4040" w:type="dxa"/>
              <w:tblCellSpacing w:w="0" w:type="dxa"/>
              <w:tblInd w:w="0" w:type="dxa"/>
              <w:tblLayout w:type="fixed"/>
              <w:tblCellMar>
                <w:top w:w="0" w:type="dxa"/>
                <w:left w:w="0" w:type="dxa"/>
                <w:bottom w:w="0" w:type="dxa"/>
                <w:right w:w="0" w:type="dxa"/>
              </w:tblCellMar>
            </w:tblPr>
            <w:tblGrid>
              <w:gridCol w:w="4040"/>
            </w:tblGrid>
            <w:tr>
              <w:tblPrEx>
                <w:tblCellMar>
                  <w:top w:w="0" w:type="dxa"/>
                  <w:left w:w="0" w:type="dxa"/>
                  <w:bottom w:w="0" w:type="dxa"/>
                  <w:right w:w="0" w:type="dxa"/>
                </w:tblCellMar>
              </w:tblPrEx>
              <w:trPr>
                <w:trHeight w:val="208" w:hRule="atLeast"/>
                <w:tblCellSpacing w:w="0" w:type="dxa"/>
              </w:trPr>
              <w:tc>
                <w:tcPr>
                  <w:tcW w:w="4040" w:type="dxa"/>
                  <w:vMerge w:val="restart"/>
                  <w:tcBorders>
                    <w:top w:val="single" w:color="auto" w:sz="4" w:space="0"/>
                    <w:left w:val="single" w:color="auto" w:sz="4" w:space="0"/>
                    <w:bottom w:val="single" w:color="auto" w:sz="4" w:space="0"/>
                    <w:right w:val="single" w:color="auto" w:sz="4" w:space="0"/>
                  </w:tcBorders>
                  <w:shd w:val="clear" w:color="auto" w:fill="auto"/>
                  <w:vAlign w:val="bottom"/>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预测因子</w:t>
                  </w:r>
                  <w:r>
                    <w:rPr>
                      <w:rFonts w:ascii="Times New Roman" w:hAnsi="Times New Roman" w:cs="Times New Roman"/>
                      <w:color w:val="000000"/>
                      <w:sz w:val="16"/>
                      <w:szCs w:val="16"/>
                    </w:rPr>
                    <w:t xml:space="preserve">(  SO2、NOX、PM10、H2S、 </w:t>
                  </w:r>
                  <w:r>
                    <w:rPr>
                      <w:rFonts w:hint="eastAsia" w:ascii="宋体" w:hAnsi="宋体" w:cs="Times New Roman"/>
                      <w:color w:val="000000"/>
                      <w:sz w:val="16"/>
                      <w:szCs w:val="16"/>
                    </w:rPr>
                    <w:t>氨</w:t>
                  </w:r>
                  <w:r>
                    <w:rPr>
                      <w:rFonts w:ascii="Times New Roman" w:hAnsi="Times New Roman" w:cs="Times New Roman"/>
                      <w:color w:val="000000"/>
                      <w:sz w:val="16"/>
                      <w:szCs w:val="16"/>
                    </w:rPr>
                    <w:t xml:space="preserve">   )</w:t>
                  </w:r>
                </w:p>
              </w:tc>
            </w:tr>
            <w:tr>
              <w:tblPrEx>
                <w:tblCellMar>
                  <w:top w:w="0" w:type="dxa"/>
                  <w:left w:w="0" w:type="dxa"/>
                  <w:bottom w:w="0" w:type="dxa"/>
                  <w:right w:w="0" w:type="dxa"/>
                </w:tblCellMar>
              </w:tblPrEx>
              <w:trPr>
                <w:trHeight w:val="208" w:hRule="atLeast"/>
                <w:tblCellSpacing w:w="0" w:type="dxa"/>
              </w:trPr>
              <w:tc>
                <w:tcPr>
                  <w:tcW w:w="404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宋体" w:hAnsi="宋体" w:cs="Times New Roman"/>
                      <w:color w:val="000000"/>
                      <w:sz w:val="16"/>
                      <w:szCs w:val="16"/>
                    </w:rPr>
                  </w:pPr>
                </w:p>
              </w:tc>
            </w:tr>
          </w:tbl>
          <w:p>
            <w:pPr>
              <w:spacing w:after="0" w:line="240" w:lineRule="auto"/>
              <w:jc w:val="center"/>
              <w:rPr>
                <w:rFonts w:ascii="Calibri" w:hAnsi="Calibri" w:eastAsia="Times New Roman" w:cs="宋体"/>
                <w:color w:val="000000"/>
                <w:lang w:eastAsia="zh-CN"/>
              </w:rPr>
            </w:pP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包括二次</w:t>
            </w:r>
            <w:r>
              <w:rPr>
                <w:rFonts w:ascii="Times New Roman" w:hAnsi="Times New Roman" w:cs="Times New Roman"/>
                <w:color w:val="000000"/>
                <w:sz w:val="16"/>
                <w:szCs w:val="16"/>
                <w:lang w:eastAsia="zh-CN"/>
              </w:rPr>
              <w:t>PM</w:t>
            </w:r>
            <w:r>
              <w:rPr>
                <w:rFonts w:ascii="Times New Roman" w:hAnsi="Times New Roman" w:cs="Times New Roman"/>
                <w:color w:val="000000"/>
                <w:sz w:val="16"/>
                <w:szCs w:val="16"/>
                <w:vertAlign w:val="subscript"/>
                <w:lang w:eastAsia="zh-CN"/>
              </w:rPr>
              <w:t>2.5</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4310" w:type="dxa"/>
            <w:gridSpan w:val="10"/>
            <w:vMerge w:val="continue"/>
            <w:vAlign w:val="center"/>
          </w:tcPr>
          <w:p>
            <w:pPr>
              <w:spacing w:after="0" w:line="240" w:lineRule="auto"/>
              <w:jc w:val="center"/>
              <w:rPr>
                <w:rFonts w:ascii="Calibri" w:hAnsi="Calibri" w:eastAsia="Times New Roman" w:cs="宋体"/>
                <w:color w:val="000000"/>
                <w:lang w:eastAsia="zh-CN"/>
              </w:rPr>
            </w:pP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不包括二次</w:t>
            </w:r>
            <w:r>
              <w:rPr>
                <w:rFonts w:ascii="Times New Roman" w:hAnsi="Times New Roman" w:cs="Times New Roman"/>
                <w:color w:val="000000"/>
                <w:sz w:val="16"/>
                <w:szCs w:val="16"/>
                <w:lang w:eastAsia="zh-CN"/>
              </w:rPr>
              <w:t>PM</w:t>
            </w:r>
            <w:r>
              <w:rPr>
                <w:rFonts w:ascii="Times New Roman" w:hAnsi="Times New Roman" w:cs="Times New Roman"/>
                <w:color w:val="000000"/>
                <w:sz w:val="16"/>
                <w:szCs w:val="16"/>
                <w:vertAlign w:val="subscript"/>
                <w:lang w:eastAsia="zh-CN"/>
              </w:rPr>
              <w:t>2.5</w:t>
            </w:r>
            <w:r>
              <w:rPr>
                <w:rFonts w:ascii="Wingdings 2" w:hAnsi="Wingdings 2"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正常排放短期浓度贡献值</w:t>
            </w:r>
          </w:p>
        </w:tc>
        <w:tc>
          <w:tcPr>
            <w:tcW w:w="4310" w:type="dxa"/>
            <w:gridSpan w:val="10"/>
            <w:shd w:val="clear" w:color="auto" w:fill="auto"/>
            <w:noWrap/>
            <w:vAlign w:val="center"/>
          </w:tcPr>
          <w:p>
            <w:pPr>
              <w:spacing w:after="0" w:line="240" w:lineRule="auto"/>
              <w:jc w:val="center"/>
              <w:rPr>
                <w:rFonts w:ascii="Times New Roman" w:hAnsi="Times New Roman" w:eastAsia="Times New Roman" w:cs="Times New Roman"/>
                <w:color w:val="000000"/>
                <w:lang w:eastAsia="zh-CN"/>
              </w:rPr>
            </w:pPr>
            <w:r>
              <w:rPr>
                <w:rFonts w:ascii="Times New Roman" w:hAnsi="Times New Roman" w:eastAsia="Times New Roman" w:cs="Times New Roman"/>
                <w:color w:val="000000"/>
              </w:rPr>
              <w:drawing>
                <wp:anchor distT="0" distB="0" distL="114300" distR="114300" simplePos="0" relativeHeight="251667456" behindDoc="0" locked="0" layoutInCell="1" allowOverlap="1">
                  <wp:simplePos x="0" y="0"/>
                  <wp:positionH relativeFrom="column">
                    <wp:posOffset>390525</wp:posOffset>
                  </wp:positionH>
                  <wp:positionV relativeFrom="paragraph">
                    <wp:posOffset>276225</wp:posOffset>
                  </wp:positionV>
                  <wp:extent cx="247650" cy="209550"/>
                  <wp:effectExtent l="0" t="0" r="635" b="635"/>
                  <wp:wrapNone/>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2"/>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228600" cy="190500"/>
                          </a:xfrm>
                          <a:prstGeom prst="rect">
                            <a:avLst/>
                          </a:prstGeom>
                          <a:noFill/>
                        </pic:spPr>
                      </pic:pic>
                    </a:graphicData>
                  </a:graphic>
                </wp:anchor>
              </w:drawing>
            </w:r>
            <w:r>
              <w:rPr>
                <w:rFonts w:ascii="Times New Roman" w:hAnsi="Times New Roman" w:eastAsia="Times New Roman" w:cs="Times New Roman"/>
                <w:color w:val="000000"/>
              </w:rPr>
              <w:drawing>
                <wp:anchor distT="0" distB="0" distL="114300" distR="114300" simplePos="0" relativeHeight="251669504" behindDoc="0" locked="0" layoutInCell="1" allowOverlap="1">
                  <wp:simplePos x="0" y="0"/>
                  <wp:positionH relativeFrom="column">
                    <wp:posOffset>390525</wp:posOffset>
                  </wp:positionH>
                  <wp:positionV relativeFrom="paragraph">
                    <wp:posOffset>466725</wp:posOffset>
                  </wp:positionV>
                  <wp:extent cx="247650" cy="171450"/>
                  <wp:effectExtent l="0" t="0" r="635" b="635"/>
                  <wp:wrapNone/>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0"/>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228600" cy="152400"/>
                          </a:xfrm>
                          <a:prstGeom prst="rect">
                            <a:avLst/>
                          </a:prstGeom>
                          <a:noFill/>
                        </pic:spPr>
                      </pic:pic>
                    </a:graphicData>
                  </a:graphic>
                </wp:anchor>
              </w:drawing>
            </w:r>
            <w:r>
              <w:rPr>
                <w:rFonts w:ascii="Times New Roman" w:hAnsi="Times New Roman" w:eastAsia="Times New Roman" w:cs="Times New Roman"/>
                <w:color w:val="000000"/>
              </w:rPr>
              <w:drawing>
                <wp:anchor distT="0" distB="0" distL="114300" distR="114300" simplePos="0" relativeHeight="251668480" behindDoc="0" locked="0" layoutInCell="1" allowOverlap="1">
                  <wp:simplePos x="0" y="0"/>
                  <wp:positionH relativeFrom="column">
                    <wp:posOffset>2543175</wp:posOffset>
                  </wp:positionH>
                  <wp:positionV relativeFrom="paragraph">
                    <wp:posOffset>276225</wp:posOffset>
                  </wp:positionV>
                  <wp:extent cx="381000" cy="209550"/>
                  <wp:effectExtent l="0" t="0" r="635" b="635"/>
                  <wp:wrapNone/>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1"/>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371475" cy="190500"/>
                          </a:xfrm>
                          <a:prstGeom prst="rect">
                            <a:avLst/>
                          </a:prstGeom>
                          <a:noFill/>
                        </pic:spPr>
                      </pic:pic>
                    </a:graphicData>
                  </a:graphic>
                </wp:anchor>
              </w:drawing>
            </w:r>
            <w:r>
              <w:rPr>
                <w:rFonts w:ascii="Times New Roman" w:hAnsi="Times New Roman" w:eastAsia="Times New Roman" w:cs="Times New Roman"/>
                <w:color w:val="000000"/>
              </w:rPr>
              <w:drawing>
                <wp:anchor distT="0" distB="0" distL="114300" distR="114300" simplePos="0" relativeHeight="251670528" behindDoc="0" locked="0" layoutInCell="1" allowOverlap="1">
                  <wp:simplePos x="0" y="0"/>
                  <wp:positionH relativeFrom="column">
                    <wp:posOffset>2543175</wp:posOffset>
                  </wp:positionH>
                  <wp:positionV relativeFrom="paragraph">
                    <wp:posOffset>466725</wp:posOffset>
                  </wp:positionV>
                  <wp:extent cx="381000" cy="171450"/>
                  <wp:effectExtent l="0" t="0" r="635" b="635"/>
                  <wp:wrapNone/>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9"/>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371475" cy="152400"/>
                          </a:xfrm>
                          <a:prstGeom prst="rect">
                            <a:avLst/>
                          </a:prstGeom>
                          <a:noFill/>
                        </pic:spPr>
                      </pic:pic>
                    </a:graphicData>
                  </a:graphic>
                </wp:anchor>
              </w:drawing>
            </w:r>
          </w:p>
          <w:tbl>
            <w:tblPr>
              <w:tblStyle w:val="30"/>
              <w:tblW w:w="4040" w:type="dxa"/>
              <w:tblCellSpacing w:w="0" w:type="dxa"/>
              <w:tblInd w:w="0" w:type="dxa"/>
              <w:tblLayout w:type="fixed"/>
              <w:tblCellMar>
                <w:top w:w="0" w:type="dxa"/>
                <w:left w:w="0" w:type="dxa"/>
                <w:bottom w:w="0" w:type="dxa"/>
                <w:right w:w="0" w:type="dxa"/>
              </w:tblCellMar>
            </w:tblPr>
            <w:tblGrid>
              <w:gridCol w:w="4040"/>
            </w:tblGrid>
            <w:tr>
              <w:tblPrEx>
                <w:tblCellMar>
                  <w:top w:w="0" w:type="dxa"/>
                  <w:left w:w="0" w:type="dxa"/>
                  <w:bottom w:w="0" w:type="dxa"/>
                  <w:right w:w="0" w:type="dxa"/>
                </w:tblCellMar>
              </w:tblPrEx>
              <w:trPr>
                <w:trHeight w:val="450" w:hRule="atLeast"/>
                <w:tblCellSpacing w:w="0" w:type="dxa"/>
              </w:trPr>
              <w:tc>
                <w:tcPr>
                  <w:tcW w:w="404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最大占标率</w:t>
                  </w:r>
                  <w:r>
                    <w:rPr>
                      <w:rFonts w:hint="eastAsia" w:ascii="仿宋" w:hAnsi="仿宋" w:eastAsia="仿宋" w:cs="Times New Roman"/>
                      <w:color w:val="000000"/>
                      <w:sz w:val="16"/>
                      <w:szCs w:val="16"/>
                    </w:rPr>
                    <w:t>≤</w:t>
                  </w:r>
                  <w:r>
                    <w:rPr>
                      <w:rFonts w:ascii="Times New Roman" w:hAnsi="Times New Roman" w:cs="Times New Roman"/>
                      <w:color w:val="000000"/>
                      <w:sz w:val="16"/>
                      <w:szCs w:val="16"/>
                    </w:rPr>
                    <w:t>100%</w:t>
                  </w:r>
                  <w:r>
                    <w:rPr>
                      <w:rFonts w:ascii="Wingdings 2" w:hAnsi="Wingdings 2" w:cs="Times New Roman"/>
                      <w:color w:val="000000"/>
                      <w:sz w:val="16"/>
                      <w:szCs w:val="16"/>
                    </w:rPr>
                    <w:t></w:t>
                  </w:r>
                </w:p>
              </w:tc>
            </w:tr>
          </w:tbl>
          <w:p>
            <w:pPr>
              <w:spacing w:after="0" w:line="240" w:lineRule="auto"/>
              <w:jc w:val="center"/>
              <w:rPr>
                <w:rFonts w:ascii="Times New Roman" w:hAnsi="Times New Roman" w:eastAsia="Times New Roman" w:cs="Times New Roman"/>
                <w:color w:val="000000"/>
                <w:lang w:eastAsia="zh-CN"/>
              </w:rPr>
            </w:pP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最大占标率</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100%</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正常排放年均浓度贡献值</w:t>
            </w:r>
          </w:p>
        </w:tc>
        <w:tc>
          <w:tcPr>
            <w:tcW w:w="910"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一类区</w:t>
            </w:r>
          </w:p>
        </w:tc>
        <w:tc>
          <w:tcPr>
            <w:tcW w:w="3400" w:type="dxa"/>
            <w:gridSpan w:val="9"/>
            <w:shd w:val="clear" w:color="auto" w:fill="auto"/>
            <w:vAlign w:val="center"/>
          </w:tcPr>
          <w:p>
            <w:pPr>
              <w:spacing w:after="0" w:line="240" w:lineRule="auto"/>
              <w:jc w:val="center"/>
              <w:rPr>
                <w:rFonts w:ascii="宋体" w:hAnsi="宋体" w:cs="Times New Roman"/>
                <w:color w:val="000000"/>
                <w:sz w:val="16"/>
                <w:szCs w:val="16"/>
              </w:rPr>
            </w:pPr>
            <w:bookmarkStart w:id="1256" w:name="RANGE!D96"/>
            <w:r>
              <w:rPr>
                <w:rFonts w:hint="eastAsia" w:ascii="Times New Roman" w:hAnsi="Times New Roman" w:cs="Times New Roman"/>
                <w:color w:val="000000"/>
                <w:sz w:val="16"/>
                <w:szCs w:val="16"/>
                <w:lang w:eastAsia="zh-CN"/>
              </w:rPr>
              <w:t>最大占标率</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10%</w:t>
            </w:r>
            <w:r>
              <w:rPr>
                <w:rFonts w:ascii="Wingdings 2" w:hAnsi="Wingdings 2" w:cs="Times New Roman"/>
                <w:color w:val="000000"/>
                <w:sz w:val="16"/>
                <w:szCs w:val="16"/>
                <w:lang w:eastAsia="zh-CN"/>
              </w:rPr>
              <w:t></w:t>
            </w:r>
            <w:bookmarkEnd w:id="1256"/>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最大标率</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 xml:space="preserve">10% </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910"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二类区</w:t>
            </w:r>
          </w:p>
        </w:tc>
        <w:tc>
          <w:tcPr>
            <w:tcW w:w="3400" w:type="dxa"/>
            <w:gridSpan w:val="9"/>
            <w:shd w:val="clear" w:color="auto" w:fill="auto"/>
            <w:noWrap/>
            <w:vAlign w:val="center"/>
          </w:tcPr>
          <w:p>
            <w:pPr>
              <w:spacing w:after="0" w:line="240" w:lineRule="auto"/>
              <w:jc w:val="center"/>
              <w:rPr>
                <w:rFonts w:ascii="Times New Roman" w:hAnsi="Times New Roman" w:eastAsia="Times New Roman" w:cs="Times New Roman"/>
                <w:color w:val="000000"/>
                <w:lang w:eastAsia="zh-CN"/>
              </w:rPr>
            </w:pPr>
            <w:r>
              <w:rPr>
                <w:rFonts w:ascii="Times New Roman" w:hAnsi="Times New Roman" w:eastAsia="Times New Roman" w:cs="Times New Roman"/>
                <w:color w:val="000000"/>
              </w:rPr>
              <w:drawing>
                <wp:anchor distT="0" distB="0" distL="114300" distR="114300" simplePos="0" relativeHeight="251671552" behindDoc="0" locked="0" layoutInCell="1" allowOverlap="1">
                  <wp:simplePos x="0" y="0"/>
                  <wp:positionH relativeFrom="column">
                    <wp:posOffset>447675</wp:posOffset>
                  </wp:positionH>
                  <wp:positionV relativeFrom="paragraph">
                    <wp:posOffset>142875</wp:posOffset>
                  </wp:positionV>
                  <wp:extent cx="381000" cy="219075"/>
                  <wp:effectExtent l="0" t="0" r="635" b="0"/>
                  <wp:wrapNone/>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8"/>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371475" cy="200025"/>
                          </a:xfrm>
                          <a:prstGeom prst="rect">
                            <a:avLst/>
                          </a:prstGeom>
                          <a:noFill/>
                        </pic:spPr>
                      </pic:pic>
                    </a:graphicData>
                  </a:graphic>
                </wp:anchor>
              </w:drawing>
            </w:r>
          </w:p>
          <w:tbl>
            <w:tblPr>
              <w:tblStyle w:val="30"/>
              <w:tblW w:w="3179" w:type="dxa"/>
              <w:tblCellSpacing w:w="0" w:type="dxa"/>
              <w:tblInd w:w="0" w:type="dxa"/>
              <w:tblLayout w:type="fixed"/>
              <w:tblCellMar>
                <w:top w:w="0" w:type="dxa"/>
                <w:left w:w="0" w:type="dxa"/>
                <w:bottom w:w="0" w:type="dxa"/>
                <w:right w:w="0" w:type="dxa"/>
              </w:tblCellMar>
            </w:tblPr>
            <w:tblGrid>
              <w:gridCol w:w="3179"/>
            </w:tblGrid>
            <w:tr>
              <w:tblPrEx>
                <w:tblCellMar>
                  <w:top w:w="0" w:type="dxa"/>
                  <w:left w:w="0" w:type="dxa"/>
                  <w:bottom w:w="0" w:type="dxa"/>
                  <w:right w:w="0" w:type="dxa"/>
                </w:tblCellMar>
              </w:tblPrEx>
              <w:trPr>
                <w:trHeight w:val="240" w:hRule="atLeast"/>
                <w:tblCellSpacing w:w="0" w:type="dxa"/>
              </w:trPr>
              <w:tc>
                <w:tcPr>
                  <w:tcW w:w="3179"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最大占标率</w:t>
                  </w:r>
                  <w:r>
                    <w:rPr>
                      <w:rFonts w:hint="eastAsia" w:ascii="仿宋" w:hAnsi="仿宋" w:eastAsia="仿宋" w:cs="Times New Roman"/>
                      <w:color w:val="000000"/>
                      <w:sz w:val="16"/>
                      <w:szCs w:val="16"/>
                    </w:rPr>
                    <w:t>≤</w:t>
                  </w:r>
                  <w:r>
                    <w:rPr>
                      <w:rFonts w:ascii="Times New Roman" w:hAnsi="Times New Roman" w:cs="Times New Roman"/>
                      <w:color w:val="000000"/>
                      <w:sz w:val="16"/>
                      <w:szCs w:val="16"/>
                    </w:rPr>
                    <w:t>30%</w:t>
                  </w:r>
                  <w:r>
                    <w:rPr>
                      <w:rFonts w:ascii="Wingdings 2" w:hAnsi="Wingdings 2" w:cs="Times New Roman"/>
                      <w:color w:val="000000"/>
                      <w:sz w:val="16"/>
                      <w:szCs w:val="16"/>
                    </w:rPr>
                    <w:t></w:t>
                  </w:r>
                </w:p>
              </w:tc>
            </w:tr>
          </w:tbl>
          <w:p>
            <w:pPr>
              <w:spacing w:after="0" w:line="240" w:lineRule="auto"/>
              <w:jc w:val="center"/>
              <w:rPr>
                <w:rFonts w:ascii="Times New Roman" w:hAnsi="Times New Roman" w:eastAsia="Times New Roman" w:cs="Times New Roman"/>
                <w:color w:val="000000"/>
                <w:lang w:eastAsia="zh-CN"/>
              </w:rPr>
            </w:pPr>
          </w:p>
        </w:tc>
        <w:tc>
          <w:tcPr>
            <w:tcW w:w="3142" w:type="dxa"/>
            <w:gridSpan w:val="4"/>
            <w:shd w:val="clear" w:color="auto" w:fill="auto"/>
            <w:noWrap/>
            <w:vAlign w:val="center"/>
          </w:tcPr>
          <w:p>
            <w:pPr>
              <w:spacing w:after="0" w:line="240" w:lineRule="auto"/>
              <w:jc w:val="center"/>
              <w:rPr>
                <w:rFonts w:ascii="Times New Roman" w:hAnsi="Times New Roman" w:eastAsia="Times New Roman" w:cs="Times New Roman"/>
                <w:color w:val="000000"/>
                <w:lang w:eastAsia="zh-CN"/>
              </w:rPr>
            </w:pPr>
            <w:r>
              <w:rPr>
                <w:rFonts w:ascii="Times New Roman" w:hAnsi="Times New Roman" w:eastAsia="Times New Roman" w:cs="Times New Roman"/>
                <w:color w:val="000000"/>
              </w:rPr>
              <w:drawing>
                <wp:anchor distT="0" distB="0" distL="114300" distR="114300" simplePos="0" relativeHeight="251672576" behindDoc="0" locked="0" layoutInCell="1" allowOverlap="1">
                  <wp:simplePos x="0" y="0"/>
                  <wp:positionH relativeFrom="column">
                    <wp:posOffset>628650</wp:posOffset>
                  </wp:positionH>
                  <wp:positionV relativeFrom="paragraph">
                    <wp:posOffset>142875</wp:posOffset>
                  </wp:positionV>
                  <wp:extent cx="247650" cy="219075"/>
                  <wp:effectExtent l="0" t="0" r="0" b="0"/>
                  <wp:wrapNone/>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7"/>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a:xfrm>
                            <a:off x="0" y="0"/>
                            <a:ext cx="228600" cy="200025"/>
                          </a:xfrm>
                          <a:prstGeom prst="rect">
                            <a:avLst/>
                          </a:prstGeom>
                          <a:noFill/>
                        </pic:spPr>
                      </pic:pic>
                    </a:graphicData>
                  </a:graphic>
                </wp:anchor>
              </w:drawing>
            </w:r>
          </w:p>
          <w:tbl>
            <w:tblPr>
              <w:tblStyle w:val="30"/>
              <w:tblW w:w="2280" w:type="dxa"/>
              <w:tblCellSpacing w:w="0" w:type="dxa"/>
              <w:tblInd w:w="0" w:type="dxa"/>
              <w:tblLayout w:type="fixed"/>
              <w:tblCellMar>
                <w:top w:w="0" w:type="dxa"/>
                <w:left w:w="0" w:type="dxa"/>
                <w:bottom w:w="0" w:type="dxa"/>
                <w:right w:w="0" w:type="dxa"/>
              </w:tblCellMar>
            </w:tblPr>
            <w:tblGrid>
              <w:gridCol w:w="2280"/>
            </w:tblGrid>
            <w:tr>
              <w:tblPrEx>
                <w:tblCellMar>
                  <w:top w:w="0" w:type="dxa"/>
                  <w:left w:w="0" w:type="dxa"/>
                  <w:bottom w:w="0" w:type="dxa"/>
                  <w:right w:w="0" w:type="dxa"/>
                </w:tblCellMar>
              </w:tblPrEx>
              <w:trPr>
                <w:trHeight w:val="240" w:hRule="atLeast"/>
                <w:tblCellSpacing w:w="0" w:type="dxa"/>
              </w:trPr>
              <w:tc>
                <w:tcPr>
                  <w:tcW w:w="228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最大标率</w:t>
                  </w:r>
                  <w:r>
                    <w:rPr>
                      <w:rFonts w:hint="eastAsia" w:ascii="仿宋" w:hAnsi="仿宋" w:eastAsia="仿宋" w:cs="Times New Roman"/>
                      <w:color w:val="000000"/>
                      <w:sz w:val="16"/>
                      <w:szCs w:val="16"/>
                    </w:rPr>
                    <w:t>＞</w:t>
                  </w:r>
                  <w:r>
                    <w:rPr>
                      <w:rFonts w:ascii="Times New Roman" w:hAnsi="Times New Roman" w:cs="Times New Roman"/>
                      <w:color w:val="000000"/>
                      <w:sz w:val="16"/>
                      <w:szCs w:val="16"/>
                    </w:rPr>
                    <w:t xml:space="preserve">30% </w:t>
                  </w:r>
                  <w:r>
                    <w:rPr>
                      <w:rFonts w:hint="eastAsia" w:ascii="仿宋" w:hAnsi="仿宋" w:eastAsia="仿宋" w:cs="Times New Roman"/>
                      <w:color w:val="000000"/>
                      <w:sz w:val="16"/>
                      <w:szCs w:val="16"/>
                    </w:rPr>
                    <w:t>□</w:t>
                  </w:r>
                </w:p>
              </w:tc>
            </w:tr>
          </w:tbl>
          <w:p>
            <w:pPr>
              <w:spacing w:after="0" w:line="240" w:lineRule="auto"/>
              <w:jc w:val="center"/>
              <w:rPr>
                <w:rFonts w:ascii="Times New Roman" w:hAnsi="Times New Roman" w:eastAsia="Times New Roman" w:cs="Times New Roman"/>
                <w:color w:val="00000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非正常排放</w:t>
            </w:r>
            <w:r>
              <w:rPr>
                <w:rFonts w:ascii="Times New Roman" w:hAnsi="Times New Roman" w:cs="Times New Roman"/>
                <w:color w:val="000000"/>
                <w:sz w:val="16"/>
                <w:szCs w:val="16"/>
                <w:lang w:eastAsia="zh-CN"/>
              </w:rPr>
              <w:t>1h</w:t>
            </w:r>
            <w:r>
              <w:rPr>
                <w:rFonts w:hint="eastAsia" w:ascii="宋体" w:hAnsi="宋体" w:cs="Times New Roman"/>
                <w:color w:val="000000"/>
                <w:sz w:val="16"/>
                <w:szCs w:val="16"/>
                <w:lang w:eastAsia="zh-CN"/>
              </w:rPr>
              <w:t>浓度贡献值</w:t>
            </w:r>
          </w:p>
        </w:tc>
        <w:tc>
          <w:tcPr>
            <w:tcW w:w="1630" w:type="dxa"/>
            <w:gridSpan w:val="3"/>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非正常持续时长（</w:t>
            </w:r>
            <w:r>
              <w:rPr>
                <w:rFonts w:ascii="Times New Roman" w:hAnsi="Times New Roman" w:cs="Times New Roman"/>
                <w:color w:val="000000"/>
                <w:sz w:val="16"/>
                <w:szCs w:val="16"/>
                <w:lang w:eastAsia="zh-CN"/>
              </w:rPr>
              <w:t>0.5</w:t>
            </w:r>
            <w:r>
              <w:rPr>
                <w:rFonts w:hint="eastAsia" w:ascii="宋体" w:hAnsi="宋体" w:cs="Times New Roman"/>
                <w:color w:val="000000"/>
                <w:sz w:val="16"/>
                <w:szCs w:val="16"/>
                <w:lang w:eastAsia="zh-CN"/>
              </w:rPr>
              <w:t>）</w:t>
            </w:r>
            <w:r>
              <w:rPr>
                <w:rFonts w:ascii="Times New Roman" w:hAnsi="Times New Roman" w:cs="Times New Roman"/>
                <w:color w:val="000000"/>
                <w:sz w:val="16"/>
                <w:szCs w:val="16"/>
                <w:lang w:eastAsia="zh-CN"/>
              </w:rPr>
              <w:t>h</w:t>
            </w:r>
          </w:p>
        </w:tc>
        <w:tc>
          <w:tcPr>
            <w:tcW w:w="3812" w:type="dxa"/>
            <w:gridSpan w:val="8"/>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占标率</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 xml:space="preserve">100% </w:t>
            </w:r>
            <w:r>
              <w:rPr>
                <w:rFonts w:ascii="Wingdings 2" w:hAnsi="Wingdings 2" w:cs="Times New Roman"/>
                <w:color w:val="000000"/>
                <w:sz w:val="16"/>
                <w:szCs w:val="16"/>
                <w:lang w:eastAsia="zh-CN"/>
              </w:rPr>
              <w:t></w:t>
            </w:r>
          </w:p>
        </w:tc>
        <w:tc>
          <w:tcPr>
            <w:tcW w:w="2010" w:type="dxa"/>
            <w:gridSpan w:val="3"/>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占标率</w:t>
            </w:r>
            <w:r>
              <w:rPr>
                <w:rFonts w:hint="eastAsia" w:ascii="仿宋" w:hAnsi="仿宋" w:eastAsia="仿宋" w:cs="Times New Roman"/>
                <w:color w:val="000000"/>
                <w:sz w:val="16"/>
                <w:szCs w:val="16"/>
                <w:lang w:eastAsia="zh-CN"/>
              </w:rPr>
              <w:t>＞</w:t>
            </w:r>
            <w:r>
              <w:rPr>
                <w:rFonts w:ascii="Times New Roman" w:hAnsi="Times New Roman" w:cs="Times New Roman"/>
                <w:color w:val="000000"/>
                <w:sz w:val="16"/>
                <w:szCs w:val="16"/>
                <w:lang w:eastAsia="zh-CN"/>
              </w:rPr>
              <w:t>100%</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保证率日平均浓度和年平均浓度叠加值</w:t>
            </w:r>
          </w:p>
        </w:tc>
        <w:tc>
          <w:tcPr>
            <w:tcW w:w="4310" w:type="dxa"/>
            <w:gridSpan w:val="10"/>
            <w:shd w:val="clear" w:color="auto" w:fill="auto"/>
            <w:noWrap/>
            <w:vAlign w:val="center"/>
          </w:tcPr>
          <w:p>
            <w:pPr>
              <w:spacing w:after="0" w:line="240" w:lineRule="auto"/>
              <w:jc w:val="center"/>
              <w:rPr>
                <w:rFonts w:ascii="Times New Roman" w:hAnsi="Times New Roman" w:eastAsia="Times New Roman" w:cs="Times New Roman"/>
                <w:color w:val="000000"/>
                <w:lang w:eastAsia="zh-CN"/>
              </w:rPr>
            </w:pPr>
            <w:r>
              <w:rPr>
                <w:rFonts w:ascii="Times New Roman" w:hAnsi="Times New Roman" w:eastAsia="Times New Roman" w:cs="Times New Roman"/>
                <w:color w:val="000000"/>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285750" cy="200025"/>
                  <wp:effectExtent l="0" t="0" r="0" b="635"/>
                  <wp:wrapNone/>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6"/>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a:xfrm>
                            <a:off x="0" y="0"/>
                            <a:ext cx="276225" cy="200025"/>
                          </a:xfrm>
                          <a:prstGeom prst="rect">
                            <a:avLst/>
                          </a:prstGeom>
                          <a:noFill/>
                        </pic:spPr>
                      </pic:pic>
                    </a:graphicData>
                  </a:graphic>
                </wp:anchor>
              </w:drawing>
            </w:r>
          </w:p>
          <w:tbl>
            <w:tblPr>
              <w:tblStyle w:val="30"/>
              <w:tblW w:w="4040" w:type="dxa"/>
              <w:tblCellSpacing w:w="0" w:type="dxa"/>
              <w:tblInd w:w="0" w:type="dxa"/>
              <w:tblLayout w:type="fixed"/>
              <w:tblCellMar>
                <w:top w:w="0" w:type="dxa"/>
                <w:left w:w="0" w:type="dxa"/>
                <w:bottom w:w="0" w:type="dxa"/>
                <w:right w:w="0" w:type="dxa"/>
              </w:tblCellMar>
            </w:tblPr>
            <w:tblGrid>
              <w:gridCol w:w="4040"/>
            </w:tblGrid>
            <w:tr>
              <w:tblPrEx>
                <w:tblCellMar>
                  <w:top w:w="0" w:type="dxa"/>
                  <w:left w:w="0" w:type="dxa"/>
                  <w:bottom w:w="0" w:type="dxa"/>
                  <w:right w:w="0" w:type="dxa"/>
                </w:tblCellMar>
              </w:tblPrEx>
              <w:trPr>
                <w:trHeight w:val="660" w:hRule="atLeast"/>
                <w:tblCellSpacing w:w="0" w:type="dxa"/>
              </w:trPr>
              <w:tc>
                <w:tcPr>
                  <w:tcW w:w="404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达标</w:t>
                  </w:r>
                  <w:r>
                    <w:rPr>
                      <w:rFonts w:hint="eastAsia" w:ascii="MS Mincho" w:hAnsi="MS Mincho" w:eastAsia="MS Mincho" w:cs="Times New Roman"/>
                      <w:color w:val="000000"/>
                      <w:sz w:val="16"/>
                      <w:szCs w:val="16"/>
                    </w:rPr>
                    <w:t>☑</w:t>
                  </w:r>
                </w:p>
              </w:tc>
            </w:tr>
          </w:tbl>
          <w:p>
            <w:pPr>
              <w:spacing w:after="0" w:line="240" w:lineRule="auto"/>
              <w:jc w:val="center"/>
              <w:rPr>
                <w:rFonts w:ascii="Times New Roman" w:hAnsi="Times New Roman" w:eastAsia="Times New Roman" w:cs="Times New Roman"/>
                <w:color w:val="000000"/>
                <w:lang w:eastAsia="zh-CN"/>
              </w:rPr>
            </w:pPr>
          </w:p>
        </w:tc>
        <w:tc>
          <w:tcPr>
            <w:tcW w:w="3142"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Times New Roman"/>
                <w:color w:val="000000"/>
                <w:sz w:val="16"/>
                <w:szCs w:val="16"/>
              </w:rPr>
              <w:t>不达标</w:t>
            </w:r>
            <w:r>
              <w:rPr>
                <w:rFonts w:hint="eastAsia" w:ascii="仿宋" w:hAnsi="仿宋" w:eastAsia="仿宋" w:cs="Times New Roman"/>
                <w:color w:val="000000"/>
                <w:sz w:val="16"/>
                <w:szCs w:val="16"/>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区域环境质量的整体变化情况</w:t>
            </w:r>
          </w:p>
        </w:tc>
        <w:tc>
          <w:tcPr>
            <w:tcW w:w="4310" w:type="dxa"/>
            <w:gridSpan w:val="10"/>
            <w:shd w:val="clear" w:color="auto" w:fill="auto"/>
            <w:vAlign w:val="center"/>
          </w:tcPr>
          <w:p>
            <w:pPr>
              <w:spacing w:after="0" w:line="240" w:lineRule="auto"/>
              <w:jc w:val="center"/>
              <w:rPr>
                <w:rFonts w:ascii="Times New Roman" w:hAnsi="Times New Roman" w:eastAsia="Times New Roman" w:cs="Times New Roman"/>
                <w:i/>
                <w:iCs/>
                <w:color w:val="000000"/>
                <w:sz w:val="16"/>
                <w:szCs w:val="16"/>
              </w:rPr>
            </w:pPr>
            <w:r>
              <w:rPr>
                <w:rFonts w:ascii="Times New Roman" w:hAnsi="Times New Roman" w:eastAsia="Times New Roman" w:cs="Times New Roman"/>
                <w:i/>
                <w:iCs/>
                <w:color w:val="000000"/>
                <w:sz w:val="16"/>
                <w:szCs w:val="16"/>
              </w:rPr>
              <w:t xml:space="preserve">k </w:t>
            </w:r>
            <w:r>
              <w:rPr>
                <w:rFonts w:hint="eastAsia" w:ascii="仿宋" w:hAnsi="仿宋" w:eastAsia="仿宋" w:cs="Times New Roman"/>
                <w:color w:val="000000"/>
                <w:sz w:val="16"/>
                <w:szCs w:val="16"/>
              </w:rPr>
              <w:t>≤</w:t>
            </w:r>
            <w:r>
              <w:rPr>
                <w:rFonts w:ascii="Times New Roman" w:hAnsi="Times New Roman" w:eastAsia="Times New Roman" w:cs="Times New Roman"/>
                <w:color w:val="000000"/>
                <w:sz w:val="16"/>
                <w:szCs w:val="16"/>
              </w:rPr>
              <w:t xml:space="preserve">-20% </w:t>
            </w:r>
            <w:r>
              <w:rPr>
                <w:rFonts w:hint="eastAsia" w:ascii="MS Mincho" w:hAnsi="MS Mincho" w:eastAsia="MS Mincho" w:cs="Times New Roman"/>
                <w:color w:val="000000"/>
                <w:sz w:val="16"/>
                <w:szCs w:val="16"/>
              </w:rPr>
              <w:t>☑</w:t>
            </w:r>
          </w:p>
        </w:tc>
        <w:tc>
          <w:tcPr>
            <w:tcW w:w="3142" w:type="dxa"/>
            <w:gridSpan w:val="4"/>
            <w:shd w:val="clear" w:color="auto" w:fill="auto"/>
            <w:vAlign w:val="center"/>
          </w:tcPr>
          <w:p>
            <w:pPr>
              <w:spacing w:after="0" w:line="240" w:lineRule="auto"/>
              <w:jc w:val="center"/>
              <w:rPr>
                <w:rFonts w:ascii="Times New Roman" w:hAnsi="Times New Roman" w:eastAsia="Times New Roman" w:cs="Times New Roman"/>
                <w:i/>
                <w:iCs/>
                <w:color w:val="000000"/>
                <w:sz w:val="16"/>
                <w:szCs w:val="16"/>
              </w:rPr>
            </w:pPr>
            <w:r>
              <w:rPr>
                <w:rFonts w:ascii="Times New Roman" w:hAnsi="Times New Roman" w:eastAsia="Times New Roman" w:cs="Times New Roman"/>
                <w:i/>
                <w:iCs/>
                <w:color w:val="000000"/>
                <w:sz w:val="16"/>
                <w:szCs w:val="16"/>
              </w:rPr>
              <w:t>k</w:t>
            </w:r>
            <w:r>
              <w:rPr>
                <w:rFonts w:hint="eastAsia" w:ascii="仿宋" w:hAnsi="仿宋" w:eastAsia="仿宋" w:cs="Times New Roman"/>
                <w:color w:val="000000"/>
                <w:sz w:val="16"/>
                <w:szCs w:val="16"/>
              </w:rPr>
              <w:t>＞</w:t>
            </w:r>
            <w:r>
              <w:rPr>
                <w:rFonts w:ascii="Times New Roman" w:hAnsi="Times New Roman" w:eastAsia="Times New Roman" w:cs="Times New Roman"/>
                <w:color w:val="000000"/>
                <w:sz w:val="16"/>
                <w:szCs w:val="16"/>
              </w:rPr>
              <w:t xml:space="preserve">-20% </w:t>
            </w:r>
            <w:r>
              <w:rPr>
                <w:rFonts w:hint="eastAsia" w:ascii="仿宋" w:hAnsi="仿宋" w:eastAsia="仿宋" w:cs="Times New Roman"/>
                <w:color w:val="000000"/>
                <w:sz w:val="16"/>
                <w:szCs w:val="16"/>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环境监测</w:t>
            </w:r>
          </w:p>
        </w:tc>
        <w:tc>
          <w:tcPr>
            <w:tcW w:w="838"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污染源监测</w:t>
            </w:r>
          </w:p>
        </w:tc>
        <w:tc>
          <w:tcPr>
            <w:tcW w:w="4110" w:type="dxa"/>
            <w:gridSpan w:val="9"/>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监测因子：（SO2、NOX、PM10、</w:t>
            </w:r>
            <w:r>
              <w:rPr>
                <w:rFonts w:hint="eastAsia" w:ascii="宋体" w:hAnsi="宋体" w:cs="宋体"/>
                <w:color w:val="000000"/>
                <w:sz w:val="16"/>
                <w:szCs w:val="16"/>
                <w:lang w:eastAsia="zh-CN"/>
              </w:rPr>
              <w:br w:type="textWrapping"/>
            </w:r>
            <w:r>
              <w:rPr>
                <w:rFonts w:hint="eastAsia" w:ascii="宋体" w:hAnsi="宋体" w:cs="宋体"/>
                <w:color w:val="000000"/>
                <w:sz w:val="16"/>
                <w:szCs w:val="16"/>
                <w:lang w:eastAsia="zh-CN"/>
              </w:rPr>
              <w:t>氨、</w:t>
            </w:r>
            <w:r>
              <w:rPr>
                <w:rFonts w:ascii="Times New Roman" w:hAnsi="Times New Roman" w:cs="Times New Roman"/>
                <w:color w:val="000000"/>
                <w:sz w:val="16"/>
                <w:szCs w:val="16"/>
                <w:lang w:eastAsia="zh-CN"/>
              </w:rPr>
              <w:t>H2S</w:t>
            </w:r>
            <w:r>
              <w:rPr>
                <w:rFonts w:hint="eastAsia" w:ascii="宋体" w:hAnsi="宋体" w:cs="宋体"/>
                <w:color w:val="000000"/>
                <w:sz w:val="16"/>
                <w:szCs w:val="16"/>
                <w:lang w:eastAsia="zh-CN"/>
              </w:rPr>
              <w:t>）</w:t>
            </w:r>
          </w:p>
        </w:tc>
        <w:tc>
          <w:tcPr>
            <w:tcW w:w="2686"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有组织废气监测</w:t>
            </w:r>
            <w:r>
              <w:rPr>
                <w:rFonts w:ascii="Wingdings 2" w:hAnsi="Wingdings 2" w:cs="Times New Roman"/>
                <w:color w:val="000000"/>
                <w:sz w:val="16"/>
                <w:szCs w:val="16"/>
                <w:lang w:eastAsia="zh-CN"/>
              </w:rPr>
              <w:t></w:t>
            </w:r>
          </w:p>
        </w:tc>
        <w:tc>
          <w:tcPr>
            <w:tcW w:w="656" w:type="dxa"/>
            <w:vMerge w:val="restart"/>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无监测</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747"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计划</w:t>
            </w:r>
          </w:p>
        </w:tc>
        <w:tc>
          <w:tcPr>
            <w:tcW w:w="838" w:type="dxa"/>
            <w:vMerge w:val="continue"/>
            <w:vAlign w:val="center"/>
          </w:tcPr>
          <w:p>
            <w:pPr>
              <w:spacing w:after="0" w:line="240" w:lineRule="auto"/>
              <w:jc w:val="center"/>
              <w:rPr>
                <w:rFonts w:ascii="宋体" w:hAnsi="宋体" w:cs="Times New Roman"/>
                <w:color w:val="000000"/>
                <w:sz w:val="16"/>
                <w:szCs w:val="16"/>
              </w:rPr>
            </w:pPr>
          </w:p>
        </w:tc>
        <w:tc>
          <w:tcPr>
            <w:tcW w:w="4110" w:type="dxa"/>
            <w:gridSpan w:val="9"/>
            <w:vMerge w:val="continue"/>
            <w:vAlign w:val="center"/>
          </w:tcPr>
          <w:p>
            <w:pPr>
              <w:spacing w:after="0" w:line="240" w:lineRule="auto"/>
              <w:jc w:val="center"/>
              <w:rPr>
                <w:rFonts w:ascii="宋体" w:hAnsi="宋体" w:cs="Times New Roman"/>
                <w:color w:val="000000"/>
                <w:sz w:val="16"/>
                <w:szCs w:val="16"/>
              </w:rPr>
            </w:pPr>
          </w:p>
        </w:tc>
        <w:tc>
          <w:tcPr>
            <w:tcW w:w="2686"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无组织废气监测</w:t>
            </w:r>
            <w:r>
              <w:rPr>
                <w:rFonts w:hint="eastAsia" w:ascii="MS Mincho" w:hAnsi="MS Mincho" w:eastAsia="MS Mincho" w:cs="Times New Roman"/>
                <w:color w:val="000000"/>
                <w:sz w:val="16"/>
                <w:szCs w:val="16"/>
                <w:lang w:eastAsia="zh-CN"/>
              </w:rPr>
              <w:t>☑</w:t>
            </w:r>
          </w:p>
        </w:tc>
        <w:tc>
          <w:tcPr>
            <w:tcW w:w="656" w:type="dxa"/>
            <w:vMerge w:val="continue"/>
            <w:vAlign w:val="center"/>
          </w:tcPr>
          <w:p>
            <w:pPr>
              <w:spacing w:after="0" w:line="240" w:lineRule="auto"/>
              <w:jc w:val="center"/>
              <w:rPr>
                <w:rFonts w:ascii="宋体" w:hAnsi="宋体" w:cs="Times New Roman"/>
                <w:color w:val="000000"/>
                <w:sz w:val="16"/>
                <w:szCs w:val="16"/>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747" w:type="dxa"/>
            <w:shd w:val="clear" w:color="auto" w:fill="auto"/>
            <w:vAlign w:val="center"/>
          </w:tcPr>
          <w:p>
            <w:pPr>
              <w:spacing w:after="0" w:line="240" w:lineRule="auto"/>
              <w:jc w:val="center"/>
              <w:rPr>
                <w:rFonts w:ascii="Calibri" w:hAnsi="Calibri" w:eastAsia="Times New Roman"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环境质量监测</w:t>
            </w:r>
          </w:p>
        </w:tc>
        <w:tc>
          <w:tcPr>
            <w:tcW w:w="4110" w:type="dxa"/>
            <w:gridSpan w:val="9"/>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监测因子：（</w:t>
            </w:r>
            <w:r>
              <w:rPr>
                <w:rFonts w:hint="eastAsia" w:ascii="宋体" w:hAnsi="宋体" w:cs="Times New Roman"/>
                <w:color w:val="000000"/>
                <w:sz w:val="16"/>
                <w:szCs w:val="16"/>
                <w:lang w:eastAsia="zh-CN"/>
              </w:rPr>
              <w:t>）</w:t>
            </w:r>
          </w:p>
        </w:tc>
        <w:tc>
          <w:tcPr>
            <w:tcW w:w="2686" w:type="dxa"/>
            <w:gridSpan w:val="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监测点位数（）</w:t>
            </w:r>
          </w:p>
        </w:tc>
        <w:tc>
          <w:tcPr>
            <w:tcW w:w="656"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无监测</w:t>
            </w:r>
            <w:r>
              <w:rPr>
                <w:rFonts w:hint="eastAsia" w:ascii="MS Mincho" w:hAnsi="MS Mincho" w:eastAsia="MS Mincho"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47" w:type="dxa"/>
            <w:vMerge w:val="restart"/>
            <w:shd w:val="clear" w:color="auto" w:fill="auto"/>
            <w:vAlign w:val="center"/>
          </w:tcPr>
          <w:p>
            <w:pPr>
              <w:spacing w:after="0" w:line="240" w:lineRule="auto"/>
              <w:jc w:val="center"/>
              <w:rPr>
                <w:rFonts w:ascii="Times New Roman" w:hAnsi="Times New Roman" w:cs="Times New Roman"/>
                <w:color w:val="000000"/>
                <w:sz w:val="16"/>
                <w:szCs w:val="16"/>
                <w:lang w:eastAsia="zh-CN"/>
              </w:rPr>
            </w:pPr>
            <w:r>
              <w:rPr>
                <w:rFonts w:hint="eastAsia" w:ascii="Times New Roman" w:hAnsi="Times New Roman" w:cs="Times New Roman"/>
                <w:color w:val="000000"/>
                <w:sz w:val="16"/>
                <w:szCs w:val="16"/>
                <w:lang w:eastAsia="zh-CN"/>
              </w:rPr>
              <w:t>评价</w:t>
            </w:r>
          </w:p>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结论</w:t>
            </w: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环境影响</w:t>
            </w:r>
          </w:p>
        </w:tc>
        <w:tc>
          <w:tcPr>
            <w:tcW w:w="7452" w:type="dxa"/>
            <w:gridSpan w:val="14"/>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可以接受</w:t>
            </w:r>
            <w:r>
              <w:rPr>
                <w:rFonts w:hint="eastAsia" w:ascii="MS Mincho" w:hAnsi="MS Mincho" w:eastAsia="MS Mincho" w:cs="Times New Roman"/>
                <w:color w:val="000000"/>
                <w:sz w:val="16"/>
                <w:szCs w:val="16"/>
                <w:lang w:eastAsia="zh-CN"/>
              </w:rPr>
              <w:t>☑</w:t>
            </w:r>
            <w:r>
              <w:rPr>
                <w:rFonts w:hint="eastAsia" w:ascii="宋体" w:hAnsi="宋体" w:cs="Times New Roman"/>
                <w:color w:val="000000"/>
                <w:sz w:val="16"/>
                <w:szCs w:val="16"/>
                <w:lang w:eastAsia="zh-CN"/>
              </w:rPr>
              <w:t>不可以接受</w:t>
            </w:r>
            <w:r>
              <w:rPr>
                <w:rFonts w:hint="eastAsia" w:ascii="仿宋" w:hAnsi="仿宋" w:eastAsia="仿宋" w:cs="Times New Roman"/>
                <w:color w:val="000000"/>
                <w:sz w:val="16"/>
                <w:szCs w:val="16"/>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747" w:type="dxa"/>
            <w:vMerge w:val="continue"/>
            <w:vAlign w:val="center"/>
          </w:tcPr>
          <w:p>
            <w:pPr>
              <w:spacing w:after="0" w:line="240" w:lineRule="auto"/>
              <w:jc w:val="center"/>
              <w:rPr>
                <w:rFonts w:ascii="宋体" w:hAnsi="宋体" w:cs="Times New Roman"/>
                <w:color w:val="000000"/>
                <w:sz w:val="16"/>
                <w:szCs w:val="16"/>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大气环境防护距离</w:t>
            </w:r>
          </w:p>
        </w:tc>
        <w:tc>
          <w:tcPr>
            <w:tcW w:w="7452" w:type="dxa"/>
            <w:gridSpan w:val="14"/>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距（厂界）厂界最远（</w:t>
            </w:r>
            <w:r>
              <w:rPr>
                <w:rFonts w:ascii="Times New Roman" w:hAnsi="Times New Roman" w:cs="Times New Roman"/>
                <w:color w:val="000000"/>
                <w:sz w:val="16"/>
                <w:szCs w:val="16"/>
                <w:lang w:eastAsia="zh-CN"/>
              </w:rPr>
              <w:t>0</w:t>
            </w:r>
            <w:r>
              <w:rPr>
                <w:rFonts w:hint="eastAsia" w:ascii="宋体" w:hAnsi="宋体" w:cs="Times New Roman"/>
                <w:color w:val="000000"/>
                <w:sz w:val="16"/>
                <w:szCs w:val="16"/>
                <w:lang w:eastAsia="zh-CN"/>
              </w:rPr>
              <w:t>）</w:t>
            </w:r>
            <w:r>
              <w:rPr>
                <w:rFonts w:ascii="Times New Roman" w:hAnsi="Times New Roman" w:cs="Times New Roman"/>
                <w:color w:val="000000"/>
                <w:sz w:val="16"/>
                <w:szCs w:val="16"/>
                <w:lang w:eastAsia="zh-CN"/>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747" w:type="dxa"/>
            <w:vMerge w:val="continue"/>
            <w:vAlign w:val="center"/>
          </w:tcPr>
          <w:p>
            <w:pPr>
              <w:spacing w:after="0" w:line="240" w:lineRule="auto"/>
              <w:jc w:val="center"/>
              <w:rPr>
                <w:rFonts w:ascii="宋体" w:hAnsi="宋体" w:cs="Times New Roman"/>
                <w:color w:val="000000"/>
                <w:sz w:val="16"/>
                <w:szCs w:val="16"/>
                <w:lang w:eastAsia="zh-CN"/>
              </w:rPr>
            </w:pPr>
          </w:p>
        </w:tc>
        <w:tc>
          <w:tcPr>
            <w:tcW w:w="838" w:type="dxa"/>
            <w:shd w:val="clear" w:color="auto" w:fill="auto"/>
            <w:vAlign w:val="center"/>
          </w:tcPr>
          <w:p>
            <w:pPr>
              <w:spacing w:after="0" w:line="240" w:lineRule="auto"/>
              <w:jc w:val="center"/>
              <w:rPr>
                <w:rFonts w:ascii="宋体" w:hAnsi="宋体" w:cs="Times New Roman"/>
                <w:color w:val="000000"/>
                <w:sz w:val="16"/>
                <w:szCs w:val="16"/>
              </w:rPr>
            </w:pPr>
            <w:r>
              <w:rPr>
                <w:rFonts w:hint="eastAsia" w:ascii="Times New Roman" w:hAnsi="Times New Roman" w:cs="Times New Roman"/>
                <w:color w:val="000000"/>
                <w:sz w:val="16"/>
                <w:szCs w:val="16"/>
                <w:lang w:eastAsia="zh-CN"/>
              </w:rPr>
              <w:t>污染源年排放量</w:t>
            </w:r>
          </w:p>
        </w:tc>
        <w:tc>
          <w:tcPr>
            <w:tcW w:w="2310" w:type="dxa"/>
            <w:gridSpan w:val="4"/>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SO</w:t>
            </w:r>
            <w:r>
              <w:rPr>
                <w:rFonts w:ascii="Times New Roman" w:hAnsi="Times New Roman" w:eastAsia="Times New Roman" w:cs="Times New Roman"/>
                <w:color w:val="000000"/>
                <w:sz w:val="16"/>
                <w:szCs w:val="16"/>
                <w:vertAlign w:val="subscript"/>
              </w:rPr>
              <w:t>2</w:t>
            </w:r>
            <w:r>
              <w:rPr>
                <w:rFonts w:ascii="Times New Roman" w:hAnsi="Times New Roman" w:eastAsia="Times New Roman" w:cs="Times New Roman"/>
                <w:color w:val="000000"/>
                <w:sz w:val="16"/>
                <w:szCs w:val="16"/>
              </w:rPr>
              <w:t>:</w:t>
            </w:r>
            <w:r>
              <w:rPr>
                <w:rFonts w:hint="eastAsia" w:ascii="宋体" w:hAnsi="宋体" w:cs="Times New Roman"/>
                <w:color w:val="000000"/>
                <w:sz w:val="16"/>
                <w:szCs w:val="16"/>
              </w:rPr>
              <w:t>（119.73）</w:t>
            </w:r>
            <w:r>
              <w:rPr>
                <w:rFonts w:ascii="Times New Roman" w:hAnsi="Times New Roman" w:eastAsia="Times New Roman" w:cs="Times New Roman"/>
                <w:color w:val="000000"/>
                <w:sz w:val="16"/>
                <w:szCs w:val="16"/>
              </w:rPr>
              <w:t>t/a</w:t>
            </w:r>
          </w:p>
        </w:tc>
        <w:tc>
          <w:tcPr>
            <w:tcW w:w="2000" w:type="dxa"/>
            <w:gridSpan w:val="6"/>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NO</w:t>
            </w:r>
            <w:r>
              <w:rPr>
                <w:rFonts w:ascii="Times New Roman" w:hAnsi="Times New Roman" w:eastAsia="Times New Roman" w:cs="Times New Roman"/>
                <w:color w:val="000000"/>
                <w:sz w:val="16"/>
                <w:szCs w:val="16"/>
                <w:vertAlign w:val="subscript"/>
              </w:rPr>
              <w:t>x</w:t>
            </w:r>
            <w:r>
              <w:rPr>
                <w:rFonts w:ascii="Times New Roman" w:hAnsi="Times New Roman" w:eastAsia="Times New Roman" w:cs="Times New Roman"/>
                <w:color w:val="000000"/>
                <w:sz w:val="16"/>
                <w:szCs w:val="16"/>
              </w:rPr>
              <w:t>:</w:t>
            </w:r>
            <w:r>
              <w:rPr>
                <w:rFonts w:hint="eastAsia" w:ascii="宋体" w:hAnsi="宋体" w:cs="Times New Roman"/>
                <w:color w:val="000000"/>
                <w:sz w:val="16"/>
                <w:szCs w:val="16"/>
              </w:rPr>
              <w:t>（238.00）</w:t>
            </w:r>
            <w:r>
              <w:rPr>
                <w:rFonts w:ascii="Times New Roman" w:hAnsi="Times New Roman" w:eastAsia="Times New Roman" w:cs="Times New Roman"/>
                <w:color w:val="000000"/>
                <w:sz w:val="16"/>
                <w:szCs w:val="16"/>
              </w:rPr>
              <w:t>t/a</w:t>
            </w:r>
          </w:p>
        </w:tc>
        <w:tc>
          <w:tcPr>
            <w:tcW w:w="2486" w:type="dxa"/>
            <w:gridSpan w:val="3"/>
            <w:shd w:val="clear" w:color="auto" w:fill="auto"/>
            <w:vAlign w:val="center"/>
          </w:tcPr>
          <w:p>
            <w:pPr>
              <w:spacing w:after="0" w:line="240" w:lineRule="auto"/>
              <w:jc w:val="center"/>
              <w:rPr>
                <w:rFonts w:ascii="宋体" w:hAnsi="宋体" w:cs="Times New Roman"/>
                <w:color w:val="000000"/>
                <w:sz w:val="16"/>
                <w:szCs w:val="16"/>
              </w:rPr>
            </w:pPr>
            <w:r>
              <w:rPr>
                <w:rFonts w:hint="eastAsia" w:ascii="宋体" w:hAnsi="宋体" w:cs="宋体"/>
                <w:color w:val="000000"/>
                <w:sz w:val="16"/>
                <w:szCs w:val="16"/>
                <w:lang w:eastAsia="zh-CN"/>
              </w:rPr>
              <w:t>颗粒物</w:t>
            </w:r>
            <w:r>
              <w:rPr>
                <w:rFonts w:ascii="Times New Roman" w:hAnsi="Times New Roman" w:cs="Times New Roman"/>
                <w:color w:val="000000"/>
                <w:sz w:val="16"/>
                <w:szCs w:val="16"/>
                <w:lang w:eastAsia="zh-CN"/>
              </w:rPr>
              <w:t>:</w:t>
            </w:r>
            <w:r>
              <w:rPr>
                <w:rFonts w:hint="eastAsia" w:ascii="宋体" w:hAnsi="宋体" w:cs="宋体"/>
                <w:color w:val="000000"/>
                <w:sz w:val="16"/>
                <w:szCs w:val="16"/>
                <w:lang w:eastAsia="zh-CN"/>
              </w:rPr>
              <w:t>（18.73）</w:t>
            </w:r>
            <w:r>
              <w:rPr>
                <w:rFonts w:ascii="Times New Roman" w:hAnsi="Times New Roman" w:cs="Times New Roman"/>
                <w:color w:val="000000"/>
                <w:sz w:val="16"/>
                <w:szCs w:val="16"/>
                <w:lang w:eastAsia="zh-CN"/>
              </w:rPr>
              <w:t>t/a</w:t>
            </w:r>
          </w:p>
        </w:tc>
        <w:tc>
          <w:tcPr>
            <w:tcW w:w="656" w:type="dxa"/>
            <w:shd w:val="clear" w:color="auto" w:fill="auto"/>
            <w:vAlign w:val="center"/>
          </w:tcPr>
          <w:p>
            <w:pPr>
              <w:spacing w:after="0"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VOC</w:t>
            </w:r>
            <w:r>
              <w:rPr>
                <w:rFonts w:ascii="Times New Roman" w:hAnsi="Times New Roman" w:eastAsia="Times New Roman" w:cs="Times New Roman"/>
                <w:color w:val="000000"/>
                <w:sz w:val="16"/>
                <w:szCs w:val="16"/>
                <w:vertAlign w:val="subscript"/>
              </w:rPr>
              <w:t>s</w:t>
            </w:r>
            <w:r>
              <w:rPr>
                <w:rFonts w:ascii="Times New Roman" w:hAnsi="Times New Roman" w:eastAsia="Times New Roman" w:cs="Times New Roman"/>
                <w:color w:val="000000"/>
                <w:sz w:val="16"/>
                <w:szCs w:val="16"/>
              </w:rPr>
              <w:t>:</w:t>
            </w:r>
            <w:r>
              <w:rPr>
                <w:rFonts w:hint="eastAsia" w:ascii="宋体" w:hAnsi="宋体" w:cs="Times New Roman"/>
                <w:color w:val="000000"/>
                <w:sz w:val="16"/>
                <w:szCs w:val="16"/>
              </w:rPr>
              <w:t>（）</w:t>
            </w:r>
            <w:r>
              <w:rPr>
                <w:rFonts w:ascii="Times New Roman" w:hAnsi="Times New Roman" w:eastAsia="Times New Roman" w:cs="Times New Roman"/>
                <w:color w:val="000000"/>
                <w:sz w:val="16"/>
                <w:szCs w:val="16"/>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9037" w:type="dxa"/>
            <w:gridSpan w:val="16"/>
            <w:shd w:val="clear" w:color="auto" w:fill="auto"/>
            <w:vAlign w:val="center"/>
          </w:tcPr>
          <w:p>
            <w:pPr>
              <w:spacing w:after="0" w:line="240" w:lineRule="auto"/>
              <w:jc w:val="center"/>
              <w:rPr>
                <w:rFonts w:ascii="宋体" w:hAnsi="宋体" w:cs="Times New Roman"/>
                <w:color w:val="000000"/>
                <w:sz w:val="16"/>
                <w:szCs w:val="16"/>
                <w:lang w:eastAsia="zh-CN"/>
              </w:rPr>
            </w:pPr>
            <w:r>
              <w:rPr>
                <w:rFonts w:hint="eastAsia" w:ascii="Times New Roman" w:hAnsi="Times New Roman" w:cs="Times New Roman"/>
                <w:color w:val="000000"/>
                <w:sz w:val="16"/>
                <w:szCs w:val="16"/>
                <w:lang w:eastAsia="zh-CN"/>
              </w:rPr>
              <w:t>注：“</w:t>
            </w:r>
            <w:r>
              <w:rPr>
                <w:rFonts w:hint="eastAsia" w:ascii="仿宋" w:hAnsi="仿宋" w:eastAsia="仿宋" w:cs="Times New Roman"/>
                <w:color w:val="000000"/>
                <w:sz w:val="16"/>
                <w:szCs w:val="16"/>
                <w:lang w:eastAsia="zh-CN"/>
              </w:rPr>
              <w:t>□</w:t>
            </w:r>
            <w:r>
              <w:rPr>
                <w:rFonts w:hint="eastAsia" w:ascii="宋体" w:hAnsi="宋体" w:cs="Times New Roman"/>
                <w:color w:val="000000"/>
                <w:sz w:val="16"/>
                <w:szCs w:val="16"/>
                <w:lang w:eastAsia="zh-CN"/>
              </w:rPr>
              <w:t>”为勾选项，填“√”；</w:t>
            </w:r>
            <w:r>
              <w:rPr>
                <w:rFonts w:ascii="Times New Roman" w:hAnsi="Times New Roman" w:cs="Times New Roman"/>
                <w:color w:val="000000"/>
                <w:sz w:val="16"/>
                <w:szCs w:val="16"/>
                <w:lang w:eastAsia="zh-CN"/>
              </w:rPr>
              <w:t>“</w:t>
            </w:r>
            <w:r>
              <w:rPr>
                <w:rFonts w:hint="eastAsia" w:ascii="宋体" w:hAnsi="宋体" w:cs="Times New Roman"/>
                <w:color w:val="000000"/>
                <w:sz w:val="16"/>
                <w:szCs w:val="16"/>
                <w:lang w:eastAsia="zh-CN"/>
              </w:rPr>
              <w:t>（）</w:t>
            </w:r>
            <w:r>
              <w:rPr>
                <w:rFonts w:ascii="Times New Roman" w:hAnsi="Times New Roman" w:cs="Times New Roman"/>
                <w:color w:val="000000"/>
                <w:sz w:val="16"/>
                <w:szCs w:val="16"/>
                <w:lang w:eastAsia="zh-CN"/>
              </w:rPr>
              <w:t xml:space="preserve">” </w:t>
            </w:r>
            <w:r>
              <w:rPr>
                <w:rFonts w:hint="eastAsia" w:ascii="宋体" w:hAnsi="宋体" w:cs="Times New Roman"/>
                <w:color w:val="000000"/>
                <w:sz w:val="16"/>
                <w:szCs w:val="16"/>
                <w:lang w:eastAsia="zh-CN"/>
              </w:rPr>
              <w:t>为内容填写项</w:t>
            </w:r>
          </w:p>
        </w:tc>
      </w:tr>
    </w:tbl>
    <w:p>
      <w:pP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p>
    <w:p>
      <w:pPr>
        <w:jc w:val="center"/>
        <w:rPr>
          <w:rFonts w:ascii="宋体" w:hAnsi="宋体"/>
          <w:b/>
          <w:bCs/>
          <w:sz w:val="24"/>
          <w:szCs w:val="24"/>
          <w:lang w:eastAsia="zh-CN"/>
        </w:rPr>
      </w:pPr>
      <w:r>
        <w:rPr>
          <w:rFonts w:hint="eastAsia" w:ascii="宋体" w:hAnsi="宋体"/>
          <w:b/>
          <w:bCs/>
          <w:sz w:val="24"/>
          <w:szCs w:val="24"/>
          <w:lang w:eastAsia="zh-CN"/>
        </w:rPr>
        <w:t>表3   建设项目环境风险简单分析内容表</w:t>
      </w:r>
    </w:p>
    <w:tbl>
      <w:tblPr>
        <w:tblStyle w:val="30"/>
        <w:tblW w:w="848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59"/>
        <w:gridCol w:w="1387"/>
        <w:gridCol w:w="1384"/>
        <w:gridCol w:w="1384"/>
        <w:gridCol w:w="1384"/>
        <w:gridCol w:w="13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adjustRightInd w:val="0"/>
              <w:snapToGrid w:val="0"/>
              <w:rPr>
                <w:sz w:val="21"/>
                <w:szCs w:val="21"/>
              </w:rPr>
            </w:pPr>
            <w:r>
              <w:rPr>
                <w:sz w:val="21"/>
                <w:szCs w:val="21"/>
              </w:rPr>
              <w:t>建设项目名称</w:t>
            </w:r>
          </w:p>
        </w:tc>
        <w:tc>
          <w:tcPr>
            <w:tcW w:w="6923" w:type="dxa"/>
            <w:gridSpan w:val="5"/>
            <w:shd w:val="clear" w:color="auto" w:fill="auto"/>
            <w:vAlign w:val="center"/>
          </w:tcPr>
          <w:p>
            <w:pPr>
              <w:pStyle w:val="13"/>
              <w:wordWrap w:val="0"/>
              <w:adjustRightInd w:val="0"/>
              <w:snapToGrid w:val="0"/>
              <w:jc w:val="center"/>
              <w:rPr>
                <w:sz w:val="21"/>
                <w:szCs w:val="21"/>
                <w:lang w:eastAsia="zh-CN"/>
              </w:rPr>
            </w:pPr>
            <w:r>
              <w:rPr>
                <w:rFonts w:hint="eastAsia"/>
                <w:szCs w:val="21"/>
                <w:lang w:eastAsia="zh-CN"/>
              </w:rPr>
              <w:t>燃煤电厂污泥及生物质干燥炭化输送一体化试验装置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wordWrap w:val="0"/>
              <w:adjustRightInd w:val="0"/>
              <w:snapToGrid w:val="0"/>
              <w:rPr>
                <w:sz w:val="21"/>
                <w:szCs w:val="21"/>
              </w:rPr>
            </w:pPr>
            <w:r>
              <w:rPr>
                <w:sz w:val="21"/>
                <w:szCs w:val="21"/>
              </w:rPr>
              <w:t>建设地点</w:t>
            </w:r>
          </w:p>
        </w:tc>
        <w:tc>
          <w:tcPr>
            <w:tcW w:w="1387" w:type="dxa"/>
            <w:shd w:val="clear" w:color="auto" w:fill="auto"/>
            <w:vAlign w:val="center"/>
          </w:tcPr>
          <w:p>
            <w:pPr>
              <w:pStyle w:val="13"/>
              <w:wordWrap w:val="0"/>
              <w:adjustRightInd w:val="0"/>
              <w:snapToGrid w:val="0"/>
              <w:rPr>
                <w:sz w:val="21"/>
                <w:szCs w:val="21"/>
              </w:rPr>
            </w:pPr>
            <w:r>
              <w:rPr>
                <w:sz w:val="21"/>
                <w:szCs w:val="21"/>
              </w:rPr>
              <w:t>（湖南）省</w:t>
            </w:r>
          </w:p>
        </w:tc>
        <w:tc>
          <w:tcPr>
            <w:tcW w:w="1384" w:type="dxa"/>
            <w:shd w:val="clear" w:color="auto" w:fill="auto"/>
            <w:vAlign w:val="center"/>
          </w:tcPr>
          <w:p>
            <w:pPr>
              <w:pStyle w:val="13"/>
              <w:wordWrap w:val="0"/>
              <w:adjustRightInd w:val="0"/>
              <w:snapToGrid w:val="0"/>
              <w:rPr>
                <w:sz w:val="21"/>
                <w:szCs w:val="21"/>
              </w:rPr>
            </w:pPr>
            <w:r>
              <w:rPr>
                <w:sz w:val="21"/>
                <w:szCs w:val="21"/>
              </w:rPr>
              <w:t>（岳阳）市</w:t>
            </w:r>
          </w:p>
        </w:tc>
        <w:tc>
          <w:tcPr>
            <w:tcW w:w="1384" w:type="dxa"/>
            <w:shd w:val="clear" w:color="auto" w:fill="auto"/>
            <w:vAlign w:val="center"/>
          </w:tcPr>
          <w:p>
            <w:pPr>
              <w:pStyle w:val="13"/>
              <w:wordWrap w:val="0"/>
              <w:adjustRightInd w:val="0"/>
              <w:snapToGrid w:val="0"/>
              <w:rPr>
                <w:sz w:val="21"/>
                <w:szCs w:val="21"/>
              </w:rPr>
            </w:pPr>
            <w:r>
              <w:rPr>
                <w:sz w:val="21"/>
                <w:szCs w:val="21"/>
              </w:rPr>
              <w:t>（</w:t>
            </w:r>
            <w:r>
              <w:rPr>
                <w:rFonts w:hint="eastAsia"/>
                <w:szCs w:val="21"/>
              </w:rPr>
              <w:t>临港</w:t>
            </w:r>
            <w:r>
              <w:rPr>
                <w:sz w:val="21"/>
                <w:szCs w:val="21"/>
              </w:rPr>
              <w:t>）区</w:t>
            </w:r>
          </w:p>
        </w:tc>
        <w:tc>
          <w:tcPr>
            <w:tcW w:w="1384" w:type="dxa"/>
            <w:shd w:val="clear" w:color="auto" w:fill="auto"/>
            <w:vAlign w:val="center"/>
          </w:tcPr>
          <w:p>
            <w:pPr>
              <w:pStyle w:val="13"/>
              <w:wordWrap w:val="0"/>
              <w:adjustRightInd w:val="0"/>
              <w:snapToGrid w:val="0"/>
              <w:rPr>
                <w:sz w:val="21"/>
                <w:szCs w:val="21"/>
              </w:rPr>
            </w:pPr>
            <w:r>
              <w:rPr>
                <w:sz w:val="21"/>
                <w:szCs w:val="21"/>
              </w:rPr>
              <w:t>（</w:t>
            </w:r>
            <w:r>
              <w:rPr>
                <w:rFonts w:hint="eastAsia"/>
                <w:sz w:val="21"/>
                <w:szCs w:val="21"/>
              </w:rPr>
              <w:t>/</w:t>
            </w:r>
            <w:r>
              <w:rPr>
                <w:sz w:val="21"/>
                <w:szCs w:val="21"/>
              </w:rPr>
              <w:t>）县</w:t>
            </w:r>
          </w:p>
        </w:tc>
        <w:tc>
          <w:tcPr>
            <w:tcW w:w="1384" w:type="dxa"/>
            <w:shd w:val="clear" w:color="auto" w:fill="auto"/>
            <w:vAlign w:val="center"/>
          </w:tcPr>
          <w:p>
            <w:pPr>
              <w:pStyle w:val="13"/>
              <w:wordWrap w:val="0"/>
              <w:adjustRightInd w:val="0"/>
              <w:snapToGrid w:val="0"/>
              <w:rPr>
                <w:sz w:val="21"/>
                <w:szCs w:val="21"/>
              </w:rPr>
            </w:pPr>
            <w:r>
              <w:rPr>
                <w:sz w:val="21"/>
                <w:szCs w:val="21"/>
              </w:rPr>
              <w:t>（/）园区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wordWrap w:val="0"/>
              <w:adjustRightInd w:val="0"/>
              <w:snapToGrid w:val="0"/>
              <w:rPr>
                <w:sz w:val="21"/>
                <w:szCs w:val="21"/>
              </w:rPr>
            </w:pPr>
            <w:r>
              <w:rPr>
                <w:sz w:val="21"/>
                <w:szCs w:val="21"/>
              </w:rPr>
              <w:t>地理坐标</w:t>
            </w:r>
          </w:p>
        </w:tc>
        <w:tc>
          <w:tcPr>
            <w:tcW w:w="1387" w:type="dxa"/>
            <w:shd w:val="clear" w:color="auto" w:fill="auto"/>
            <w:vAlign w:val="center"/>
          </w:tcPr>
          <w:p>
            <w:pPr>
              <w:pStyle w:val="13"/>
              <w:wordWrap w:val="0"/>
              <w:adjustRightInd w:val="0"/>
              <w:snapToGrid w:val="0"/>
              <w:jc w:val="center"/>
              <w:rPr>
                <w:sz w:val="21"/>
                <w:szCs w:val="21"/>
              </w:rPr>
            </w:pPr>
            <w:r>
              <w:rPr>
                <w:sz w:val="21"/>
                <w:szCs w:val="21"/>
              </w:rPr>
              <w:t>经度</w:t>
            </w:r>
          </w:p>
        </w:tc>
        <w:tc>
          <w:tcPr>
            <w:tcW w:w="1384" w:type="dxa"/>
            <w:shd w:val="clear" w:color="auto" w:fill="auto"/>
            <w:vAlign w:val="center"/>
          </w:tcPr>
          <w:p>
            <w:pPr>
              <w:wordWrap w:val="0"/>
              <w:jc w:val="center"/>
              <w:textAlignment w:val="center"/>
              <w:rPr>
                <w:sz w:val="21"/>
                <w:szCs w:val="21"/>
              </w:rPr>
            </w:pPr>
            <w:r>
              <w:rPr>
                <w:rFonts w:hint="eastAsia"/>
                <w:sz w:val="21"/>
                <w:szCs w:val="21"/>
              </w:rPr>
              <w:t>113.</w:t>
            </w:r>
            <w:r>
              <w:rPr>
                <w:rFonts w:hint="eastAsia"/>
                <w:szCs w:val="21"/>
              </w:rPr>
              <w:t>166184</w:t>
            </w:r>
          </w:p>
        </w:tc>
        <w:tc>
          <w:tcPr>
            <w:tcW w:w="1384" w:type="dxa"/>
            <w:shd w:val="clear" w:color="auto" w:fill="auto"/>
            <w:vAlign w:val="center"/>
          </w:tcPr>
          <w:p>
            <w:pPr>
              <w:pStyle w:val="13"/>
              <w:wordWrap w:val="0"/>
              <w:adjustRightInd w:val="0"/>
              <w:snapToGrid w:val="0"/>
              <w:jc w:val="center"/>
              <w:rPr>
                <w:sz w:val="21"/>
                <w:szCs w:val="21"/>
              </w:rPr>
            </w:pPr>
            <w:r>
              <w:rPr>
                <w:sz w:val="21"/>
                <w:szCs w:val="21"/>
              </w:rPr>
              <w:t>纬度</w:t>
            </w:r>
          </w:p>
        </w:tc>
        <w:tc>
          <w:tcPr>
            <w:tcW w:w="2768" w:type="dxa"/>
            <w:gridSpan w:val="2"/>
            <w:shd w:val="clear" w:color="auto" w:fill="auto"/>
            <w:vAlign w:val="center"/>
          </w:tcPr>
          <w:p>
            <w:pPr>
              <w:pStyle w:val="13"/>
              <w:wordWrap w:val="0"/>
              <w:adjustRightInd w:val="0"/>
              <w:snapToGrid w:val="0"/>
              <w:jc w:val="center"/>
              <w:rPr>
                <w:sz w:val="21"/>
                <w:szCs w:val="21"/>
              </w:rPr>
            </w:pPr>
            <w:r>
              <w:rPr>
                <w:sz w:val="21"/>
                <w:szCs w:val="21"/>
              </w:rPr>
              <w:t>29.</w:t>
            </w:r>
            <w:r>
              <w:rPr>
                <w:rFonts w:hint="eastAsia"/>
                <w:szCs w:val="21"/>
              </w:rPr>
              <w:t>453102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wordWrap w:val="0"/>
              <w:adjustRightInd w:val="0"/>
              <w:snapToGrid w:val="0"/>
              <w:rPr>
                <w:sz w:val="21"/>
                <w:szCs w:val="21"/>
              </w:rPr>
            </w:pPr>
            <w:r>
              <w:rPr>
                <w:sz w:val="21"/>
                <w:szCs w:val="21"/>
              </w:rPr>
              <w:t>主要危险物质及分布</w:t>
            </w:r>
          </w:p>
        </w:tc>
        <w:tc>
          <w:tcPr>
            <w:tcW w:w="6923" w:type="dxa"/>
            <w:gridSpan w:val="5"/>
            <w:shd w:val="clear" w:color="auto" w:fill="auto"/>
            <w:vAlign w:val="center"/>
          </w:tcPr>
          <w:p>
            <w:pPr>
              <w:pStyle w:val="13"/>
              <w:wordWrap w:val="0"/>
              <w:adjustRightInd w:val="0"/>
              <w:snapToGrid w:val="0"/>
              <w:rPr>
                <w:sz w:val="21"/>
                <w:szCs w:val="21"/>
                <w:lang w:eastAsia="zh-CN"/>
              </w:rPr>
            </w:pPr>
            <w:r>
              <w:rPr>
                <w:sz w:val="21"/>
                <w:szCs w:val="21"/>
                <w:lang w:eastAsia="zh-CN"/>
              </w:rPr>
              <w:t>主要危险物质为H</w:t>
            </w:r>
            <w:r>
              <w:rPr>
                <w:sz w:val="21"/>
                <w:szCs w:val="21"/>
                <w:vertAlign w:val="subscript"/>
                <w:lang w:eastAsia="zh-CN"/>
              </w:rPr>
              <w:t>2</w:t>
            </w:r>
            <w:r>
              <w:rPr>
                <w:sz w:val="21"/>
                <w:szCs w:val="21"/>
                <w:lang w:eastAsia="zh-CN"/>
              </w:rPr>
              <w:t>S、NH</w:t>
            </w:r>
            <w:r>
              <w:rPr>
                <w:sz w:val="21"/>
                <w:szCs w:val="21"/>
                <w:vertAlign w:val="subscript"/>
                <w:lang w:eastAsia="zh-CN"/>
              </w:rPr>
              <w:t>3</w:t>
            </w:r>
            <w:r>
              <w:rPr>
                <w:sz w:val="21"/>
                <w:szCs w:val="21"/>
                <w:lang w:eastAsia="zh-CN"/>
              </w:rPr>
              <w:t>、</w:t>
            </w:r>
            <w:r>
              <w:rPr>
                <w:rFonts w:hint="eastAsia"/>
                <w:szCs w:val="21"/>
                <w:lang w:eastAsia="zh-CN"/>
              </w:rPr>
              <w:t>SO2,</w:t>
            </w:r>
            <w:r>
              <w:rPr>
                <w:sz w:val="21"/>
                <w:szCs w:val="21"/>
                <w:lang w:eastAsia="zh-CN"/>
              </w:rPr>
              <w:t>主要分布在</w:t>
            </w:r>
            <w:r>
              <w:rPr>
                <w:rFonts w:hint="eastAsia"/>
                <w:szCs w:val="21"/>
                <w:lang w:eastAsia="zh-CN"/>
              </w:rPr>
              <w:t>污泥储罐、输送管道和锅炉炉膛。</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wordWrap w:val="0"/>
              <w:adjustRightInd w:val="0"/>
              <w:snapToGrid w:val="0"/>
              <w:rPr>
                <w:sz w:val="21"/>
                <w:szCs w:val="21"/>
                <w:lang w:eastAsia="zh-CN"/>
              </w:rPr>
            </w:pPr>
            <w:r>
              <w:rPr>
                <w:sz w:val="21"/>
                <w:szCs w:val="21"/>
                <w:lang w:eastAsia="zh-CN"/>
              </w:rPr>
              <w:t>环境影响途径及危害后果（大气、地表水、地下水等）</w:t>
            </w:r>
          </w:p>
        </w:tc>
        <w:tc>
          <w:tcPr>
            <w:tcW w:w="6923" w:type="dxa"/>
            <w:gridSpan w:val="5"/>
            <w:shd w:val="clear" w:color="auto" w:fill="auto"/>
            <w:vAlign w:val="center"/>
          </w:tcPr>
          <w:p>
            <w:pPr>
              <w:pStyle w:val="29"/>
              <w:wordWrap w:val="0"/>
              <w:spacing w:line="240" w:lineRule="auto"/>
              <w:ind w:firstLine="420"/>
              <w:rPr>
                <w:sz w:val="21"/>
                <w:szCs w:val="21"/>
              </w:rPr>
            </w:pPr>
            <w:r>
              <w:rPr>
                <w:sz w:val="21"/>
                <w:szCs w:val="21"/>
              </w:rPr>
              <w:t>废气收集系统故障，</w:t>
            </w:r>
            <w:r>
              <w:rPr>
                <w:rFonts w:hint="eastAsia"/>
                <w:sz w:val="21"/>
                <w:szCs w:val="21"/>
              </w:rPr>
              <w:t>污泥储罐恶臭气体</w:t>
            </w:r>
            <w:r>
              <w:rPr>
                <w:sz w:val="21"/>
                <w:szCs w:val="21"/>
              </w:rPr>
              <w:t>全部无组织排放；</w:t>
            </w:r>
            <w:r>
              <w:rPr>
                <w:rFonts w:hint="eastAsia"/>
                <w:sz w:val="21"/>
                <w:szCs w:val="21"/>
              </w:rPr>
              <w:t>输送管道</w:t>
            </w:r>
            <w:r>
              <w:rPr>
                <w:sz w:val="21"/>
                <w:szCs w:val="21"/>
              </w:rPr>
              <w:t>系统故障，</w:t>
            </w:r>
            <w:r>
              <w:rPr>
                <w:rFonts w:hint="eastAsia"/>
                <w:sz w:val="21"/>
                <w:szCs w:val="21"/>
              </w:rPr>
              <w:t>污泥气化产生的恶臭气体</w:t>
            </w:r>
            <w:r>
              <w:rPr>
                <w:sz w:val="21"/>
                <w:szCs w:val="21"/>
              </w:rPr>
              <w:t>直接排放至周边</w:t>
            </w:r>
            <w:r>
              <w:rPr>
                <w:rFonts w:hint="eastAsia"/>
                <w:sz w:val="21"/>
                <w:szCs w:val="21"/>
              </w:rPr>
              <w:t>大气</w:t>
            </w:r>
            <w:r>
              <w:rPr>
                <w:sz w:val="21"/>
                <w:szCs w:val="21"/>
              </w:rPr>
              <w:t>。当事故发生时，应及时</w:t>
            </w:r>
            <w:r>
              <w:rPr>
                <w:rFonts w:hint="eastAsia"/>
                <w:sz w:val="21"/>
                <w:szCs w:val="21"/>
              </w:rPr>
              <w:t>关闭污泥储罐出料阀门</w:t>
            </w:r>
            <w:r>
              <w:rPr>
                <w:sz w:val="21"/>
                <w:szCs w:val="21"/>
              </w:rPr>
              <w:t>。</w:t>
            </w:r>
          </w:p>
          <w:p>
            <w:pPr>
              <w:pStyle w:val="29"/>
              <w:wordWrap w:val="0"/>
              <w:spacing w:line="240" w:lineRule="auto"/>
              <w:ind w:firstLine="420"/>
              <w:rPr>
                <w:kern w:val="0"/>
                <w:sz w:val="21"/>
                <w:szCs w:val="21"/>
              </w:rPr>
            </w:pPr>
            <w:r>
              <w:rPr>
                <w:sz w:val="21"/>
                <w:szCs w:val="21"/>
              </w:rPr>
              <w:t>在</w:t>
            </w:r>
            <w:r>
              <w:rPr>
                <w:rFonts w:hint="eastAsia"/>
                <w:sz w:val="21"/>
                <w:szCs w:val="21"/>
              </w:rPr>
              <w:t>污泥储罐恶臭气体</w:t>
            </w:r>
            <w:r>
              <w:rPr>
                <w:sz w:val="21"/>
                <w:szCs w:val="21"/>
              </w:rPr>
              <w:t>全部无组织排放情况下，在1小时内下风向5000m处的区域内NH</w:t>
            </w:r>
            <w:r>
              <w:rPr>
                <w:sz w:val="21"/>
                <w:szCs w:val="21"/>
                <w:vertAlign w:val="subscript"/>
              </w:rPr>
              <w:t>3</w:t>
            </w:r>
            <w:r>
              <w:rPr>
                <w:sz w:val="21"/>
                <w:szCs w:val="21"/>
              </w:rPr>
              <w:t>、H</w:t>
            </w:r>
            <w:r>
              <w:rPr>
                <w:sz w:val="21"/>
                <w:szCs w:val="21"/>
                <w:vertAlign w:val="subscript"/>
              </w:rPr>
              <w:t>2</w:t>
            </w:r>
            <w:r>
              <w:rPr>
                <w:sz w:val="21"/>
                <w:szCs w:val="21"/>
              </w:rPr>
              <w:t>S均浓度满足《工业企业设计卫生标准》</w:t>
            </w:r>
            <w:r>
              <w:rPr>
                <w:rFonts w:hint="eastAsia"/>
                <w:sz w:val="21"/>
                <w:szCs w:val="21"/>
              </w:rPr>
              <w:t>（</w:t>
            </w:r>
            <w:r>
              <w:rPr>
                <w:sz w:val="21"/>
                <w:szCs w:val="21"/>
              </w:rPr>
              <w:t>TJ36-79</w:t>
            </w:r>
            <w:r>
              <w:rPr>
                <w:rFonts w:hint="eastAsia"/>
                <w:sz w:val="21"/>
                <w:szCs w:val="21"/>
              </w:rPr>
              <w:t>）</w:t>
            </w:r>
            <w:r>
              <w:rPr>
                <w:sz w:val="21"/>
                <w:szCs w:val="21"/>
              </w:rPr>
              <w:t>中</w:t>
            </w:r>
            <w:r>
              <w:rPr>
                <w:rFonts w:hint="eastAsia"/>
                <w:sz w:val="21"/>
                <w:szCs w:val="21"/>
              </w:rPr>
              <w:t>“</w:t>
            </w:r>
            <w:r>
              <w:rPr>
                <w:sz w:val="21"/>
                <w:szCs w:val="21"/>
              </w:rPr>
              <w:t>居住区大气中有害物质的最高容许浓度0.20mg/m</w:t>
            </w:r>
            <w:r>
              <w:rPr>
                <w:sz w:val="21"/>
                <w:szCs w:val="21"/>
                <w:vertAlign w:val="superscript"/>
              </w:rPr>
              <w:t>3</w:t>
            </w:r>
            <w:r>
              <w:rPr>
                <w:rFonts w:hint="eastAsia"/>
                <w:sz w:val="21"/>
                <w:szCs w:val="21"/>
              </w:rPr>
              <w:t>”</w:t>
            </w:r>
            <w:r>
              <w:rPr>
                <w:sz w:val="21"/>
                <w:szCs w:val="21"/>
              </w:rPr>
              <w:t>、 0.01mg/m</w:t>
            </w:r>
            <w:r>
              <w:rPr>
                <w:sz w:val="21"/>
                <w:szCs w:val="21"/>
                <w:vertAlign w:val="superscript"/>
              </w:rPr>
              <w:t>3</w:t>
            </w:r>
            <w:r>
              <w:rPr>
                <w:sz w:val="21"/>
                <w:szCs w:val="21"/>
              </w:rPr>
              <w:t>限值</w:t>
            </w:r>
            <w:r>
              <w:rPr>
                <w:rFonts w:hint="eastAsia"/>
                <w:sz w:val="21"/>
                <w:szCs w:val="21"/>
              </w:rPr>
              <w:t>。</w:t>
            </w:r>
            <w:r>
              <w:rPr>
                <w:sz w:val="21"/>
                <w:szCs w:val="21"/>
              </w:rPr>
              <w:t>但是应加强收集系统维护，确保废气收集系统保持</w:t>
            </w:r>
            <w:r>
              <w:rPr>
                <w:rFonts w:hint="eastAsia"/>
                <w:sz w:val="21"/>
                <w:szCs w:val="21"/>
              </w:rPr>
              <w:t>正常运转</w:t>
            </w:r>
            <w:r>
              <w:rPr>
                <w:sz w:val="21"/>
                <w:szCs w:val="21"/>
              </w:rPr>
              <w:t>，减少污染物无组织排放。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559" w:type="dxa"/>
            <w:shd w:val="clear" w:color="auto" w:fill="auto"/>
            <w:vAlign w:val="center"/>
          </w:tcPr>
          <w:p>
            <w:pPr>
              <w:pStyle w:val="13"/>
              <w:wordWrap w:val="0"/>
              <w:adjustRightInd w:val="0"/>
              <w:snapToGrid w:val="0"/>
              <w:rPr>
                <w:sz w:val="21"/>
                <w:szCs w:val="21"/>
              </w:rPr>
            </w:pPr>
            <w:r>
              <w:rPr>
                <w:sz w:val="21"/>
                <w:szCs w:val="21"/>
              </w:rPr>
              <w:t>风险防范措施要求</w:t>
            </w:r>
          </w:p>
        </w:tc>
        <w:tc>
          <w:tcPr>
            <w:tcW w:w="6923" w:type="dxa"/>
            <w:gridSpan w:val="5"/>
            <w:shd w:val="clear" w:color="auto" w:fill="auto"/>
            <w:vAlign w:val="center"/>
          </w:tcPr>
          <w:p>
            <w:pPr>
              <w:wordWrap w:val="0"/>
              <w:adjustRightInd w:val="0"/>
              <w:snapToGrid w:val="0"/>
              <w:ind w:firstLine="420" w:firstLineChars="200"/>
              <w:rPr>
                <w:sz w:val="21"/>
                <w:szCs w:val="21"/>
                <w:lang w:eastAsia="zh-CN"/>
              </w:rPr>
            </w:pPr>
            <w:r>
              <w:rPr>
                <w:sz w:val="21"/>
                <w:szCs w:val="21"/>
                <w:lang w:eastAsia="zh-CN"/>
              </w:rPr>
              <w:t>建设方应严格按照技术规范进行建设、运营和维护，确保</w:t>
            </w:r>
            <w:r>
              <w:rPr>
                <w:rFonts w:hint="eastAsia"/>
                <w:szCs w:val="21"/>
                <w:lang w:eastAsia="zh-CN"/>
              </w:rPr>
              <w:t>恶臭气体</w:t>
            </w:r>
            <w:r>
              <w:rPr>
                <w:sz w:val="21"/>
                <w:szCs w:val="21"/>
                <w:lang w:eastAsia="zh-CN"/>
              </w:rPr>
              <w:t>收集系统</w:t>
            </w:r>
            <w:r>
              <w:rPr>
                <w:rFonts w:hint="eastAsia"/>
                <w:szCs w:val="21"/>
                <w:lang w:eastAsia="zh-CN"/>
              </w:rPr>
              <w:t>运转正常</w:t>
            </w:r>
            <w:r>
              <w:rPr>
                <w:sz w:val="21"/>
                <w:szCs w:val="21"/>
                <w:lang w:eastAsia="zh-CN"/>
              </w:rPr>
              <w:t>，减少污染物无组织排放。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482" w:type="dxa"/>
            <w:gridSpan w:val="6"/>
            <w:shd w:val="clear" w:color="auto" w:fill="auto"/>
            <w:vAlign w:val="center"/>
          </w:tcPr>
          <w:p>
            <w:pPr>
              <w:pStyle w:val="13"/>
              <w:wordWrap w:val="0"/>
              <w:adjustRightInd w:val="0"/>
              <w:snapToGrid w:val="0"/>
              <w:rPr>
                <w:sz w:val="21"/>
                <w:szCs w:val="21"/>
                <w:lang w:eastAsia="zh-CN"/>
              </w:rPr>
            </w:pPr>
            <w:r>
              <w:rPr>
                <w:sz w:val="21"/>
                <w:szCs w:val="21"/>
                <w:lang w:eastAsia="zh-CN"/>
              </w:rPr>
              <w:t>填表说明（列出项目相关信息及评价说明）：</w:t>
            </w:r>
          </w:p>
          <w:p>
            <w:pPr>
              <w:pStyle w:val="13"/>
              <w:wordWrap w:val="0"/>
              <w:adjustRightInd w:val="0"/>
              <w:snapToGrid w:val="0"/>
              <w:rPr>
                <w:sz w:val="21"/>
                <w:szCs w:val="21"/>
                <w:lang w:eastAsia="zh-CN"/>
              </w:rPr>
            </w:pPr>
          </w:p>
          <w:p>
            <w:pPr>
              <w:pStyle w:val="13"/>
              <w:wordWrap w:val="0"/>
              <w:adjustRightInd w:val="0"/>
              <w:snapToGrid w:val="0"/>
              <w:rPr>
                <w:sz w:val="21"/>
                <w:szCs w:val="21"/>
              </w:rPr>
            </w:pPr>
            <w:r>
              <w:rPr>
                <w:sz w:val="21"/>
                <w:szCs w:val="21"/>
              </w:rPr>
              <w:t>无</w:t>
            </w:r>
          </w:p>
          <w:p/>
          <w:p>
            <w:pPr>
              <w:pStyle w:val="13"/>
              <w:wordWrap w:val="0"/>
              <w:adjustRightInd w:val="0"/>
              <w:snapToGrid w:val="0"/>
              <w:rPr>
                <w:sz w:val="21"/>
                <w:szCs w:val="21"/>
              </w:rPr>
            </w:pPr>
          </w:p>
        </w:tc>
      </w:tr>
    </w:tbl>
    <w:p>
      <w:pPr>
        <w:rPr>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pPr>
    </w:p>
    <w:p>
      <w:pPr>
        <w:rPr>
          <w:rFonts w:ascii="宋体" w:hAnsi="宋体" w:cs="Times New Roman"/>
          <w:b/>
          <w:bCs/>
          <w:sz w:val="24"/>
          <w:lang w:eastAsia="zh-CN"/>
        </w:rPr>
        <w:sectPr>
          <w:pgSz w:w="12240" w:h="15840" w:orient="landscape"/>
          <w:pgMar w:top="1440" w:right="1080" w:bottom="2268" w:left="1080" w:header="708" w:footer="709" w:gutter="0"/>
          <w:pgNumType w:chapStyle="1"/>
          <w:cols w:space="0" w:num="1"/>
          <w:docGrid w:linePitch="360" w:charSpace="0"/>
        </w:sectPr>
      </w:pPr>
    </w:p>
    <w:p>
      <w:pPr>
        <w:jc w:val="center"/>
        <w:rPr>
          <w:rFonts w:ascii="宋体" w:hAnsi="宋体"/>
          <w:lang w:eastAsia="zh-CN"/>
        </w:rPr>
      </w:pPr>
      <w:r>
        <w:rPr>
          <w:rFonts w:ascii="宋体" w:hAnsi="宋体" w:cs="Times New Roman"/>
          <w:b/>
          <w:bCs/>
          <w:sz w:val="24"/>
          <w:lang w:eastAsia="zh-CN"/>
        </w:rPr>
        <w:t>表</w:t>
      </w:r>
      <w:r>
        <w:rPr>
          <w:rFonts w:hint="eastAsia" w:ascii="宋体" w:hAnsi="宋体" w:cs="Times New Roman"/>
          <w:b/>
          <w:bCs/>
          <w:sz w:val="24"/>
          <w:lang w:eastAsia="zh-CN"/>
        </w:rPr>
        <w:t>4</w:t>
      </w:r>
      <w:r>
        <w:rPr>
          <w:rFonts w:ascii="宋体" w:hAnsi="宋体" w:cs="Times New Roman"/>
          <w:b/>
          <w:bCs/>
          <w:sz w:val="24"/>
          <w:lang w:eastAsia="zh-CN"/>
        </w:rPr>
        <w:t>：建设项目环评审批基础信息表</w:t>
      </w:r>
    </w:p>
    <w:tbl>
      <w:tblPr>
        <w:tblStyle w:val="30"/>
        <w:tblW w:w="209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34"/>
        <w:gridCol w:w="481"/>
        <w:gridCol w:w="1340"/>
        <w:gridCol w:w="1663"/>
        <w:gridCol w:w="1493"/>
        <w:gridCol w:w="1137"/>
        <w:gridCol w:w="1517"/>
        <w:gridCol w:w="2104"/>
        <w:gridCol w:w="1501"/>
        <w:gridCol w:w="1113"/>
        <w:gridCol w:w="2283"/>
        <w:gridCol w:w="3563"/>
        <w:gridCol w:w="717"/>
        <w:gridCol w:w="7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3155" w:type="dxa"/>
            <w:gridSpan w:val="3"/>
            <w:shd w:val="clear" w:color="auto" w:fill="BFBFBF"/>
            <w:tcMar>
              <w:top w:w="15" w:type="dxa"/>
              <w:left w:w="15" w:type="dxa"/>
              <w:right w:w="15" w:type="dxa"/>
            </w:tcMar>
            <w:vAlign w:val="center"/>
          </w:tcPr>
          <w:p>
            <w:pPr>
              <w:spacing w:after="0"/>
              <w:jc w:val="center"/>
              <w:textAlignment w:val="center"/>
              <w:rPr>
                <w:rFonts w:ascii="Times New Roman" w:hAnsi="Times New Roman" w:cs="Times New Roman"/>
                <w:b/>
              </w:rPr>
            </w:pPr>
            <w:r>
              <w:rPr>
                <w:rStyle w:val="82"/>
                <w:rFonts w:hint="default" w:ascii="Times New Roman" w:hAnsi="Times New Roman" w:cs="Times New Roman"/>
                <w:b/>
                <w:sz w:val="24"/>
                <w:szCs w:val="24"/>
              </w:rPr>
              <w:t>填表单位（盖章）：</w:t>
            </w:r>
          </w:p>
        </w:tc>
        <w:tc>
          <w:tcPr>
            <w:tcW w:w="5810" w:type="dxa"/>
            <w:gridSpan w:val="4"/>
            <w:shd w:val="clear" w:color="auto" w:fill="auto"/>
            <w:tcMar>
              <w:top w:w="15" w:type="dxa"/>
              <w:left w:w="15" w:type="dxa"/>
              <w:right w:w="15" w:type="dxa"/>
            </w:tcMar>
            <w:vAlign w:val="center"/>
          </w:tcPr>
          <w:p>
            <w:pPr>
              <w:spacing w:after="0"/>
              <w:jc w:val="center"/>
              <w:textAlignment w:val="center"/>
              <w:rPr>
                <w:rFonts w:ascii="Times New Roman" w:hAnsi="Times New Roman" w:cs="Times New Roman"/>
                <w:b/>
                <w:sz w:val="18"/>
                <w:szCs w:val="18"/>
                <w:lang w:eastAsia="zh-CN"/>
              </w:rPr>
            </w:pPr>
            <w:r>
              <w:rPr>
                <w:rFonts w:ascii="Times New Roman" w:hAnsi="Times New Roman" w:cs="Times New Roman"/>
                <w:b/>
                <w:lang w:eastAsia="zh-CN"/>
              </w:rPr>
              <w:t>湖南环腾环保工程有限公司</w:t>
            </w:r>
          </w:p>
        </w:tc>
        <w:tc>
          <w:tcPr>
            <w:tcW w:w="2104" w:type="dxa"/>
            <w:shd w:val="clear" w:color="auto" w:fill="BFBFBF"/>
            <w:tcMar>
              <w:top w:w="15" w:type="dxa"/>
              <w:left w:w="15" w:type="dxa"/>
              <w:right w:w="15" w:type="dxa"/>
            </w:tcMar>
            <w:vAlign w:val="center"/>
          </w:tcPr>
          <w:p>
            <w:pPr>
              <w:spacing w:after="0"/>
              <w:jc w:val="center"/>
              <w:textAlignment w:val="center"/>
              <w:rPr>
                <w:rFonts w:ascii="Times New Roman" w:hAnsi="Times New Roman" w:cs="Times New Roman"/>
                <w:b/>
              </w:rPr>
            </w:pPr>
            <w:r>
              <w:rPr>
                <w:rStyle w:val="82"/>
                <w:rFonts w:hint="default" w:ascii="Times New Roman" w:hAnsi="Times New Roman" w:cs="Times New Roman"/>
                <w:b/>
                <w:sz w:val="24"/>
                <w:szCs w:val="24"/>
              </w:rPr>
              <w:t>填表人（签字）：</w:t>
            </w:r>
          </w:p>
        </w:tc>
        <w:tc>
          <w:tcPr>
            <w:tcW w:w="2614" w:type="dxa"/>
            <w:gridSpan w:val="2"/>
            <w:shd w:val="clear" w:color="auto" w:fill="auto"/>
            <w:tcMar>
              <w:top w:w="15" w:type="dxa"/>
              <w:left w:w="15" w:type="dxa"/>
              <w:right w:w="15" w:type="dxa"/>
            </w:tcMar>
            <w:vAlign w:val="center"/>
          </w:tcPr>
          <w:p>
            <w:pPr>
              <w:spacing w:after="0"/>
              <w:jc w:val="center"/>
              <w:textAlignment w:val="center"/>
              <w:rPr>
                <w:rFonts w:ascii="Times New Roman" w:hAnsi="Times New Roman" w:cs="Times New Roman"/>
                <w:b/>
              </w:rPr>
            </w:pPr>
            <w:r>
              <w:rPr>
                <w:rFonts w:ascii="Times New Roman" w:hAnsi="Times New Roman" w:cs="Times New Roman"/>
                <w:b/>
              </w:rPr>
              <w:t>李杏</w:t>
            </w:r>
          </w:p>
        </w:tc>
        <w:tc>
          <w:tcPr>
            <w:tcW w:w="5846" w:type="dxa"/>
            <w:gridSpan w:val="2"/>
            <w:shd w:val="clear" w:color="auto" w:fill="BFBFBF"/>
            <w:tcMar>
              <w:top w:w="15" w:type="dxa"/>
              <w:left w:w="15" w:type="dxa"/>
              <w:right w:w="15" w:type="dxa"/>
            </w:tcMar>
            <w:vAlign w:val="center"/>
          </w:tcPr>
          <w:p>
            <w:pPr>
              <w:spacing w:after="0"/>
              <w:jc w:val="center"/>
              <w:textAlignment w:val="center"/>
              <w:rPr>
                <w:rFonts w:ascii="Times New Roman" w:hAnsi="Times New Roman" w:cs="Times New Roman"/>
                <w:b/>
                <w:lang w:eastAsia="zh-CN"/>
              </w:rPr>
            </w:pPr>
            <w:r>
              <w:rPr>
                <w:rStyle w:val="82"/>
                <w:rFonts w:hint="default" w:ascii="Times New Roman" w:hAnsi="Times New Roman" w:cs="Times New Roman"/>
                <w:b/>
                <w:sz w:val="24"/>
                <w:szCs w:val="24"/>
                <w:lang w:eastAsia="zh-CN"/>
              </w:rPr>
              <w:t>项目经办人（签字）：</w:t>
            </w:r>
          </w:p>
        </w:tc>
        <w:tc>
          <w:tcPr>
            <w:tcW w:w="1432" w:type="dxa"/>
            <w:gridSpan w:val="2"/>
            <w:shd w:val="clear" w:color="auto" w:fill="auto"/>
            <w:tcMar>
              <w:top w:w="15" w:type="dxa"/>
              <w:left w:w="15" w:type="dxa"/>
              <w:right w:w="15" w:type="dxa"/>
            </w:tcMar>
            <w:vAlign w:val="center"/>
          </w:tcPr>
          <w:p>
            <w:pPr>
              <w:spacing w:after="0"/>
              <w:jc w:val="center"/>
              <w:textAlignment w:val="center"/>
              <w:rPr>
                <w:rFonts w:ascii="Times New Roman" w:hAnsi="Times New Roman" w:cs="Times New Roman"/>
                <w:b/>
              </w:rPr>
            </w:pPr>
            <w:r>
              <w:rPr>
                <w:rFonts w:hint="eastAsia" w:ascii="Times New Roman" w:hAnsi="Times New Roman" w:cs="Times New Roman"/>
                <w:b/>
              </w:rPr>
              <w:t>严万军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建</w:t>
            </w:r>
            <w:r>
              <w:rPr>
                <w:rStyle w:val="83"/>
              </w:rPr>
              <w:t xml:space="preserve"> </w:t>
            </w:r>
            <w:r>
              <w:rPr>
                <w:rFonts w:ascii="Times New Roman" w:hAnsi="Times New Roman" w:cs="Times New Roman"/>
                <w:b/>
              </w:rPr>
              <w:t>设</w:t>
            </w:r>
            <w:r>
              <w:rPr>
                <w:rFonts w:ascii="Times New Roman" w:hAnsi="Times New Roman" w:cs="Times New Roman"/>
                <w:b/>
              </w:rPr>
              <w:br w:type="textWrapping"/>
            </w:r>
            <w:r>
              <w:rPr>
                <w:rFonts w:ascii="Times New Roman" w:hAnsi="Times New Roman" w:cs="Times New Roman"/>
                <w:b/>
              </w:rPr>
              <w:t>项</w:t>
            </w:r>
            <w:r>
              <w:rPr>
                <w:rStyle w:val="83"/>
              </w:rPr>
              <w:t xml:space="preserve"> </w:t>
            </w:r>
            <w:r>
              <w:rPr>
                <w:rFonts w:ascii="Times New Roman" w:hAnsi="Times New Roman" w:cs="Times New Roman"/>
                <w:b/>
              </w:rPr>
              <w:t>目</w:t>
            </w: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项目名称</w:t>
            </w:r>
          </w:p>
        </w:tc>
        <w:tc>
          <w:tcPr>
            <w:tcW w:w="5810" w:type="dxa"/>
            <w:gridSpan w:val="4"/>
            <w:shd w:val="clear" w:color="auto" w:fill="auto"/>
            <w:tcMar>
              <w:top w:w="15" w:type="dxa"/>
              <w:left w:w="15" w:type="dxa"/>
              <w:right w:w="15" w:type="dxa"/>
            </w:tcMar>
            <w:vAlign w:val="center"/>
          </w:tcPr>
          <w:p>
            <w:pPr>
              <w:pStyle w:val="13"/>
              <w:spacing w:after="0" w:line="360" w:lineRule="auto"/>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燃煤电厂污泥及生物质干燥炭化输送一体化处理系统关键技术研发项目</w:t>
            </w:r>
          </w:p>
        </w:tc>
        <w:tc>
          <w:tcPr>
            <w:tcW w:w="3605" w:type="dxa"/>
            <w:gridSpan w:val="2"/>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建设内容、规模</w:t>
            </w:r>
          </w:p>
        </w:tc>
        <w:tc>
          <w:tcPr>
            <w:tcW w:w="8391" w:type="dxa"/>
            <w:gridSpan w:val="5"/>
            <w:vMerge w:val="restart"/>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（建设内容：</w:t>
            </w:r>
            <w:r>
              <w:rPr>
                <w:rStyle w:val="86"/>
                <w:rFonts w:hint="default" w:ascii="Times New Roman" w:hAnsi="Times New Roman" w:cs="Times New Roman"/>
                <w:lang w:eastAsia="zh-CN"/>
              </w:rPr>
              <w:t>新建污泥、生物质</w:t>
            </w:r>
            <w:r>
              <w:rPr>
                <w:rFonts w:hint="eastAsia" w:ascii="Times New Roman" w:hAnsi="Times New Roman" w:cs="Times New Roman"/>
                <w:sz w:val="18"/>
                <w:szCs w:val="18"/>
                <w:lang w:eastAsia="zh-CN"/>
              </w:rPr>
              <w:t>干燥炭化输送一体化处理设施</w:t>
            </w:r>
            <w:r>
              <w:rPr>
                <w:rStyle w:val="86"/>
                <w:rFonts w:hint="default" w:ascii="Times New Roman" w:hAnsi="Times New Roman" w:cs="Times New Roman"/>
                <w:lang w:eastAsia="zh-CN"/>
              </w:rPr>
              <w:t>等。</w:t>
            </w:r>
            <w:r>
              <w:rPr>
                <w:rStyle w:val="87"/>
                <w:lang w:eastAsia="zh-CN"/>
              </w:rPr>
              <w:t xml:space="preserve">   </w:t>
            </w:r>
            <w:r>
              <w:rPr>
                <w:rStyle w:val="85"/>
                <w:rFonts w:hint="default" w:ascii="Times New Roman" w:hAnsi="Times New Roman" w:cs="Times New Roman"/>
                <w:lang w:eastAsia="zh-CN"/>
              </w:rPr>
              <w:t>规模：</w:t>
            </w:r>
            <w:r>
              <w:rPr>
                <w:rStyle w:val="86"/>
                <w:rFonts w:hint="default" w:ascii="Times New Roman" w:hAnsi="Times New Roman" w:cs="Times New Roman"/>
                <w:lang w:eastAsia="zh-CN"/>
              </w:rPr>
              <w:t>100吨/天。</w:t>
            </w:r>
            <w:r>
              <w:rPr>
                <w:rStyle w:val="87"/>
                <w:lang w:eastAsia="zh-CN"/>
              </w:rPr>
              <w:t xml:space="preserve">   </w:t>
            </w:r>
            <w:r>
              <w:rPr>
                <w:rStyle w:val="85"/>
                <w:rFonts w:hint="default" w:ascii="Times New Roman" w:hAnsi="Times New Roman" w:cs="Times New Roman"/>
                <w:lang w:eastAsia="zh-CN"/>
              </w:rPr>
              <w:t>计量单位：</w:t>
            </w:r>
            <w:r>
              <w:rPr>
                <w:rStyle w:val="86"/>
                <w:rFonts w:hint="default" w:ascii="Times New Roman" w:hAnsi="Times New Roman" w:cs="Times New Roman"/>
                <w:lang w:eastAsia="zh-CN"/>
              </w:rPr>
              <w:t>吨</w:t>
            </w:r>
            <w:r>
              <w:rPr>
                <w:rStyle w:val="85"/>
                <w:rFonts w:hint="default" w:ascii="Times New Roman" w:hAnsi="Times New Roman" w:cs="Times New Roman"/>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项目代码</w:t>
            </w:r>
            <w:r>
              <w:rPr>
                <w:rFonts w:ascii="Times New Roman" w:hAnsi="Times New Roman" w:cs="Times New Roman"/>
                <w:b/>
                <w:sz w:val="18"/>
                <w:szCs w:val="18"/>
                <w:vertAlign w:val="superscript"/>
              </w:rPr>
              <w:t>1</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无</w:t>
            </w:r>
          </w:p>
        </w:tc>
        <w:tc>
          <w:tcPr>
            <w:tcW w:w="360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sz w:val="18"/>
                <w:szCs w:val="18"/>
              </w:rPr>
            </w:pPr>
          </w:p>
        </w:tc>
        <w:tc>
          <w:tcPr>
            <w:tcW w:w="8391" w:type="dxa"/>
            <w:gridSpan w:val="5"/>
            <w:vMerge w:val="continue"/>
            <w:shd w:val="clear" w:color="auto" w:fill="auto"/>
            <w:tcMar>
              <w:top w:w="15" w:type="dxa"/>
              <w:left w:w="15" w:type="dxa"/>
              <w:right w:w="15" w:type="dxa"/>
            </w:tcMar>
            <w:vAlign w:val="center"/>
          </w:tcPr>
          <w:p>
            <w:pPr>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建设地点</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湖南省岳阳市华能岳阳电厂内</w:t>
            </w:r>
          </w:p>
        </w:tc>
        <w:tc>
          <w:tcPr>
            <w:tcW w:w="360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sz w:val="18"/>
                <w:szCs w:val="18"/>
                <w:lang w:eastAsia="zh-CN"/>
              </w:rPr>
            </w:pPr>
          </w:p>
        </w:tc>
        <w:tc>
          <w:tcPr>
            <w:tcW w:w="8391" w:type="dxa"/>
            <w:gridSpan w:val="5"/>
            <w:vMerge w:val="continue"/>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Fonts w:ascii="Times New Roman" w:hAnsi="Times New Roman" w:cs="Times New Roman"/>
                <w:b/>
                <w:sz w:val="18"/>
                <w:szCs w:val="18"/>
              </w:rPr>
              <w:t>项目建设周期（月）</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4.0</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计划开工时间</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2019年</w:t>
            </w:r>
            <w:r>
              <w:rPr>
                <w:rFonts w:hint="eastAsia" w:ascii="Times New Roman" w:hAnsi="Times New Roman" w:cs="Times New Roman"/>
                <w:sz w:val="18"/>
                <w:szCs w:val="18"/>
                <w:lang w:eastAsia="zh-CN"/>
              </w:rPr>
              <w:t>11</w:t>
            </w:r>
            <w:r>
              <w:rPr>
                <w:rFonts w:ascii="Times New Roman" w:hAnsi="Times New Roman" w:cs="Times New Roman"/>
                <w:sz w:val="18"/>
                <w:szCs w:val="18"/>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环境影响评价行业类别</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三十四、环境治理业、 101 一般工业固体废物（含</w:t>
            </w:r>
            <w:r>
              <w:rPr>
                <w:rFonts w:hint="eastAsia" w:ascii="Times New Roman" w:hAnsi="Times New Roman" w:cs="Times New Roman"/>
                <w:sz w:val="18"/>
                <w:szCs w:val="18"/>
                <w:lang w:eastAsia="zh-CN"/>
              </w:rPr>
              <w:t>污泥</w:t>
            </w:r>
            <w:r>
              <w:rPr>
                <w:rFonts w:ascii="Times New Roman" w:hAnsi="Times New Roman" w:cs="Times New Roman"/>
                <w:sz w:val="18"/>
                <w:szCs w:val="18"/>
                <w:lang w:eastAsia="zh-CN"/>
              </w:rPr>
              <w:t>）处置及综合</w:t>
            </w:r>
          </w:p>
          <w:p>
            <w:pPr>
              <w:jc w:val="center"/>
              <w:textAlignment w:val="center"/>
              <w:rPr>
                <w:rFonts w:ascii="Times New Roman" w:hAnsi="Times New Roman" w:cs="Times New Roman"/>
                <w:sz w:val="18"/>
                <w:szCs w:val="18"/>
              </w:rPr>
            </w:pPr>
            <w:r>
              <w:rPr>
                <w:rFonts w:ascii="Times New Roman" w:hAnsi="Times New Roman" w:cs="Times New Roman"/>
                <w:sz w:val="18"/>
                <w:szCs w:val="18"/>
              </w:rPr>
              <w:t>利用</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预计投产时间</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2020年</w:t>
            </w:r>
            <w:r>
              <w:rPr>
                <w:rFonts w:hint="eastAsia" w:ascii="Times New Roman" w:hAnsi="Times New Roman" w:cs="Times New Roman"/>
                <w:sz w:val="18"/>
                <w:szCs w:val="18"/>
                <w:lang w:eastAsia="zh-CN"/>
              </w:rPr>
              <w:t>2</w:t>
            </w:r>
            <w:r>
              <w:rPr>
                <w:rFonts w:ascii="Times New Roman" w:hAnsi="Times New Roman" w:cs="Times New Roman"/>
                <w:sz w:val="18"/>
                <w:szCs w:val="18"/>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建设性质</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新建</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国民经济行业类型</w:t>
            </w:r>
            <w:r>
              <w:rPr>
                <w:rFonts w:ascii="Times New Roman" w:hAnsi="Times New Roman" w:cs="Times New Roman"/>
                <w:b/>
                <w:sz w:val="18"/>
                <w:szCs w:val="18"/>
                <w:vertAlign w:val="superscript"/>
              </w:rPr>
              <w:t>2</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G</w:t>
            </w:r>
            <w:r>
              <w:rPr>
                <w:rFonts w:hint="eastAsia" w:ascii="Times New Roman" w:hAnsi="Times New Roman" w:cs="Times New Roman"/>
                <w:sz w:val="18"/>
                <w:szCs w:val="18"/>
              </w:rPr>
              <w:t>77</w:t>
            </w:r>
            <w:r>
              <w:rPr>
                <w:rFonts w:hint="eastAsia" w:ascii="Times New Roman" w:hAnsi="Times New Roman" w:cs="Times New Roman"/>
                <w:sz w:val="18"/>
                <w:szCs w:val="18"/>
                <w:lang w:eastAsia="zh-CN"/>
              </w:rPr>
              <w:t>23固体</w:t>
            </w:r>
            <w:r>
              <w:rPr>
                <w:rStyle w:val="85"/>
                <w:rFonts w:hint="default" w:ascii="Times New Roman" w:hAnsi="Times New Roman" w:cs="Times New Roman"/>
                <w:color w:val="auto"/>
              </w:rPr>
              <w:t>废物治理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现有工程排污许可证编号（改、扩建项目）</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rPr>
              <w:t>/</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sz w:val="24"/>
                <w:szCs w:val="24"/>
              </w:rPr>
            </w:pPr>
            <w:r>
              <w:rPr>
                <w:rStyle w:val="84"/>
                <w:rFonts w:hint="default" w:ascii="Times New Roman" w:hAnsi="Times New Roman" w:cs="Times New Roman"/>
              </w:rPr>
              <w:t>项目申请类别</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编制报告书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规划环评开展情况</w:t>
            </w:r>
          </w:p>
        </w:tc>
        <w:tc>
          <w:tcPr>
            <w:tcW w:w="5810" w:type="dxa"/>
            <w:gridSpan w:val="4"/>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规划环评文件名</w:t>
            </w:r>
          </w:p>
        </w:tc>
        <w:tc>
          <w:tcPr>
            <w:tcW w:w="1113" w:type="dxa"/>
            <w:shd w:val="clear" w:color="auto" w:fill="auto"/>
            <w:tcMar>
              <w:top w:w="15" w:type="dxa"/>
              <w:left w:w="15" w:type="dxa"/>
              <w:right w:w="15" w:type="dxa"/>
            </w:tcMar>
            <w:vAlign w:val="center"/>
          </w:tcPr>
          <w:p>
            <w:pPr>
              <w:jc w:val="center"/>
              <w:rPr>
                <w:rFonts w:ascii="Times New Roman" w:hAnsi="Times New Roman" w:cs="Times New Roman"/>
              </w:rPr>
            </w:pPr>
          </w:p>
        </w:tc>
        <w:tc>
          <w:tcPr>
            <w:tcW w:w="2283" w:type="dxa"/>
            <w:shd w:val="clear" w:color="auto" w:fill="auto"/>
            <w:tcMar>
              <w:top w:w="15" w:type="dxa"/>
              <w:left w:w="15" w:type="dxa"/>
              <w:right w:w="15" w:type="dxa"/>
            </w:tcMar>
            <w:vAlign w:val="center"/>
          </w:tcPr>
          <w:p>
            <w:pPr>
              <w:jc w:val="center"/>
              <w:rPr>
                <w:rFonts w:ascii="Times New Roman" w:hAnsi="Times New Roman" w:cs="Times New Roman"/>
              </w:rPr>
            </w:pPr>
          </w:p>
        </w:tc>
        <w:tc>
          <w:tcPr>
            <w:tcW w:w="3563" w:type="dxa"/>
            <w:shd w:val="clear" w:color="auto" w:fill="auto"/>
            <w:tcMar>
              <w:top w:w="15" w:type="dxa"/>
              <w:left w:w="15" w:type="dxa"/>
              <w:right w:w="15" w:type="dxa"/>
            </w:tcMar>
            <w:vAlign w:val="center"/>
          </w:tcPr>
          <w:p>
            <w:pPr>
              <w:jc w:val="center"/>
              <w:rPr>
                <w:rFonts w:ascii="Times New Roman" w:hAnsi="Times New Roman" w:cs="Times New Roman"/>
              </w:rPr>
            </w:pPr>
          </w:p>
        </w:tc>
        <w:tc>
          <w:tcPr>
            <w:tcW w:w="717" w:type="dxa"/>
            <w:shd w:val="clear" w:color="auto" w:fill="auto"/>
            <w:tcMar>
              <w:top w:w="15" w:type="dxa"/>
              <w:left w:w="15" w:type="dxa"/>
              <w:right w:w="15" w:type="dxa"/>
            </w:tcMar>
            <w:vAlign w:val="center"/>
          </w:tcPr>
          <w:p>
            <w:pPr>
              <w:jc w:val="center"/>
              <w:rPr>
                <w:rFonts w:ascii="Times New Roman" w:hAnsi="Times New Roman" w:cs="Times New Roman"/>
              </w:rPr>
            </w:pPr>
          </w:p>
        </w:tc>
        <w:tc>
          <w:tcPr>
            <w:tcW w:w="715" w:type="dxa"/>
            <w:shd w:val="clear" w:color="auto" w:fill="auto"/>
            <w:tcMar>
              <w:top w:w="15" w:type="dxa"/>
              <w:left w:w="15" w:type="dxa"/>
              <w:right w:w="15" w:type="dxa"/>
            </w:tcMar>
            <w:vAlign w:val="center"/>
          </w:tcPr>
          <w:p>
            <w:pPr>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规划环评审查机关</w:t>
            </w:r>
          </w:p>
        </w:tc>
        <w:tc>
          <w:tcPr>
            <w:tcW w:w="5810" w:type="dxa"/>
            <w:gridSpan w:val="4"/>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规划环评审查意见文号</w:t>
            </w:r>
          </w:p>
        </w:tc>
        <w:tc>
          <w:tcPr>
            <w:tcW w:w="8391" w:type="dxa"/>
            <w:gridSpan w:val="5"/>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建设地点中心坐标</w:t>
            </w:r>
            <w:r>
              <w:rPr>
                <w:rFonts w:ascii="Times New Roman" w:hAnsi="Times New Roman" w:cs="Times New Roman"/>
                <w:b/>
                <w:sz w:val="18"/>
                <w:szCs w:val="18"/>
                <w:vertAlign w:val="superscript"/>
                <w:lang w:eastAsia="zh-CN"/>
              </w:rPr>
              <w:t>3</w:t>
            </w:r>
            <w:r>
              <w:rPr>
                <w:rFonts w:ascii="Times New Roman" w:hAnsi="Times New Roman" w:cs="Times New Roman"/>
                <w:b/>
                <w:sz w:val="18"/>
                <w:szCs w:val="18"/>
                <w:vertAlign w:val="superscript"/>
                <w:lang w:eastAsia="zh-CN"/>
              </w:rPr>
              <w:br w:type="textWrapping"/>
            </w:r>
            <w:r>
              <w:rPr>
                <w:rStyle w:val="84"/>
                <w:rFonts w:hint="default" w:ascii="Times New Roman" w:hAnsi="Times New Roman" w:cs="Times New Roman"/>
                <w:lang w:eastAsia="zh-CN"/>
              </w:rPr>
              <w:t>（非线性工程）</w:t>
            </w:r>
          </w:p>
        </w:tc>
        <w:tc>
          <w:tcPr>
            <w:tcW w:w="16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经度</w:t>
            </w:r>
          </w:p>
        </w:tc>
        <w:tc>
          <w:tcPr>
            <w:tcW w:w="1493" w:type="dxa"/>
            <w:shd w:val="clear" w:color="auto" w:fill="auto"/>
            <w:tcMar>
              <w:top w:w="15" w:type="dxa"/>
              <w:left w:w="15" w:type="dxa"/>
              <w:right w:w="15" w:type="dxa"/>
            </w:tcMar>
            <w:vAlign w:val="center"/>
          </w:tcPr>
          <w:p>
            <w:pPr>
              <w:jc w:val="center"/>
              <w:textAlignment w:val="center"/>
              <w:rPr>
                <w:rFonts w:ascii="Times New Roman" w:hAnsi="Times New Roman" w:cs="Times New Roman"/>
                <w:szCs w:val="21"/>
                <w:lang w:eastAsia="zh-CN"/>
              </w:rPr>
            </w:pPr>
            <w:r>
              <w:rPr>
                <w:rFonts w:eastAsiaTheme="minorEastAsia"/>
                <w:sz w:val="21"/>
                <w:szCs w:val="20"/>
              </w:rPr>
              <w:t>113.1</w:t>
            </w:r>
            <w:r>
              <w:rPr>
                <w:rFonts w:hint="eastAsia"/>
                <w:sz w:val="21"/>
                <w:szCs w:val="20"/>
                <w:lang w:eastAsia="zh-CN"/>
              </w:rPr>
              <w:t>66184</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纬度</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Cs w:val="21"/>
                <w:lang w:eastAsia="zh-CN"/>
              </w:rPr>
            </w:pPr>
            <w:r>
              <w:rPr>
                <w:rFonts w:eastAsiaTheme="minorEastAsia"/>
                <w:sz w:val="21"/>
                <w:szCs w:val="20"/>
              </w:rPr>
              <w:t>29.45</w:t>
            </w:r>
            <w:r>
              <w:rPr>
                <w:rFonts w:hint="eastAsia"/>
                <w:sz w:val="21"/>
                <w:szCs w:val="20"/>
                <w:lang w:eastAsia="zh-CN"/>
              </w:rPr>
              <w:t>31</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环境影响评价文件类别</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b/>
                <w:sz w:val="18"/>
                <w:szCs w:val="18"/>
              </w:rPr>
            </w:pPr>
            <w:r>
              <w:rPr>
                <w:rFonts w:ascii="Times New Roman" w:hAnsi="Times New Roman" w:cs="Times New Roman"/>
                <w:b/>
                <w:sz w:val="18"/>
                <w:szCs w:val="18"/>
              </w:rPr>
              <w:t>报告书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建设地点坐标（线性工程）</w:t>
            </w:r>
          </w:p>
        </w:tc>
        <w:tc>
          <w:tcPr>
            <w:tcW w:w="16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起点经度</w:t>
            </w:r>
          </w:p>
        </w:tc>
        <w:tc>
          <w:tcPr>
            <w:tcW w:w="149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18"/>
                <w:szCs w:val="18"/>
              </w:rPr>
            </w:pP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起点纬度</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18"/>
                <w:szCs w:val="18"/>
              </w:rPr>
            </w:pPr>
          </w:p>
        </w:tc>
        <w:tc>
          <w:tcPr>
            <w:tcW w:w="2104"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终点经度</w:t>
            </w: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18"/>
                <w:szCs w:val="18"/>
              </w:rPr>
            </w:pPr>
          </w:p>
        </w:tc>
        <w:tc>
          <w:tcPr>
            <w:tcW w:w="111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终点纬度</w:t>
            </w:r>
          </w:p>
        </w:tc>
        <w:tc>
          <w:tcPr>
            <w:tcW w:w="228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p>
        </w:tc>
        <w:tc>
          <w:tcPr>
            <w:tcW w:w="35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工程长度（千米）</w:t>
            </w:r>
          </w:p>
        </w:tc>
        <w:tc>
          <w:tcPr>
            <w:tcW w:w="1432"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总投资（万元）</w:t>
            </w:r>
          </w:p>
        </w:tc>
        <w:tc>
          <w:tcPr>
            <w:tcW w:w="5810"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color w:val="000000" w:themeColor="text1"/>
                <w:sz w:val="18"/>
                <w:szCs w:val="18"/>
                <w:lang w:eastAsia="zh-CN"/>
              </w:rPr>
            </w:pPr>
            <w:r>
              <w:rPr>
                <w:rFonts w:hint="eastAsia" w:ascii="Times New Roman" w:hAnsi="Times New Roman" w:cs="Times New Roman"/>
                <w:color w:val="000000" w:themeColor="text1"/>
                <w:sz w:val="18"/>
                <w:szCs w:val="18"/>
                <w:lang w:eastAsia="zh-CN"/>
              </w:rPr>
              <w:t>290</w:t>
            </w:r>
          </w:p>
        </w:tc>
        <w:tc>
          <w:tcPr>
            <w:tcW w:w="3605"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环保投资（万元）</w:t>
            </w:r>
          </w:p>
        </w:tc>
        <w:tc>
          <w:tcPr>
            <w:tcW w:w="339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290</w:t>
            </w:r>
          </w:p>
        </w:tc>
        <w:tc>
          <w:tcPr>
            <w:tcW w:w="35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所占比例（</w:t>
            </w:r>
            <w:r>
              <w:rPr>
                <w:rFonts w:ascii="Times New Roman" w:hAnsi="Times New Roman" w:cs="Times New Roman"/>
                <w:b/>
                <w:sz w:val="18"/>
                <w:szCs w:val="18"/>
              </w:rPr>
              <w:t>%</w:t>
            </w:r>
            <w:r>
              <w:rPr>
                <w:rStyle w:val="84"/>
                <w:rFonts w:hint="default" w:ascii="Times New Roman" w:hAnsi="Times New Roman" w:cs="Times New Roman"/>
              </w:rPr>
              <w:t>）</w:t>
            </w:r>
          </w:p>
        </w:tc>
        <w:tc>
          <w:tcPr>
            <w:tcW w:w="1432"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0</w:t>
            </w:r>
            <w:r>
              <w:rPr>
                <w:rFonts w:ascii="Times New Roman" w:hAnsi="Times New Roman" w:cs="Times New Roman"/>
                <w:sz w:val="18"/>
                <w:szCs w:val="1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2" w:hRule="atLeast"/>
          <w:jc w:val="center"/>
        </w:trPr>
        <w:tc>
          <w:tcPr>
            <w:tcW w:w="1334"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建</w:t>
            </w:r>
            <w:r>
              <w:rPr>
                <w:rStyle w:val="83"/>
              </w:rPr>
              <w:t xml:space="preserve"> </w:t>
            </w:r>
            <w:r>
              <w:rPr>
                <w:rFonts w:ascii="Times New Roman" w:hAnsi="Times New Roman" w:cs="Times New Roman"/>
                <w:b/>
              </w:rPr>
              <w:t>设</w:t>
            </w:r>
            <w:r>
              <w:rPr>
                <w:rFonts w:ascii="Times New Roman" w:hAnsi="Times New Roman" w:cs="Times New Roman"/>
                <w:b/>
              </w:rPr>
              <w:br w:type="textWrapping"/>
            </w:r>
            <w:r>
              <w:rPr>
                <w:rFonts w:ascii="Times New Roman" w:hAnsi="Times New Roman" w:cs="Times New Roman"/>
                <w:b/>
              </w:rPr>
              <w:t>单</w:t>
            </w:r>
            <w:r>
              <w:rPr>
                <w:rStyle w:val="83"/>
              </w:rPr>
              <w:t xml:space="preserve"> </w:t>
            </w:r>
            <w:r>
              <w:rPr>
                <w:rFonts w:ascii="Times New Roman" w:hAnsi="Times New Roman" w:cs="Times New Roman"/>
                <w:b/>
              </w:rPr>
              <w:t>位</w:t>
            </w: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单位名称</w:t>
            </w:r>
          </w:p>
        </w:tc>
        <w:tc>
          <w:tcPr>
            <w:tcW w:w="315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西安西热锅炉环保工程有限公司</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法人代表</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牟春华</w:t>
            </w:r>
          </w:p>
        </w:tc>
        <w:tc>
          <w:tcPr>
            <w:tcW w:w="2104"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评价</w:t>
            </w:r>
            <w:r>
              <w:rPr>
                <w:rFonts w:ascii="Times New Roman" w:hAnsi="Times New Roman" w:cs="Times New Roman"/>
                <w:b/>
              </w:rPr>
              <w:br w:type="textWrapping"/>
            </w:r>
            <w:r>
              <w:rPr>
                <w:rFonts w:ascii="Times New Roman" w:hAnsi="Times New Roman" w:cs="Times New Roman"/>
                <w:b/>
              </w:rPr>
              <w:t>单位</w:t>
            </w:r>
          </w:p>
        </w:tc>
        <w:tc>
          <w:tcPr>
            <w:tcW w:w="1501"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单位名称</w:t>
            </w:r>
          </w:p>
        </w:tc>
        <w:tc>
          <w:tcPr>
            <w:tcW w:w="339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湖南环腾环保工程有限公司</w:t>
            </w:r>
          </w:p>
        </w:tc>
        <w:tc>
          <w:tcPr>
            <w:tcW w:w="35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证书编号</w:t>
            </w:r>
          </w:p>
        </w:tc>
        <w:tc>
          <w:tcPr>
            <w:tcW w:w="1432"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统一社会信用代码</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（组织机构代码）</w:t>
            </w:r>
          </w:p>
        </w:tc>
        <w:tc>
          <w:tcPr>
            <w:tcW w:w="315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91</w:t>
            </w:r>
            <w:r>
              <w:rPr>
                <w:rFonts w:hint="eastAsia" w:ascii="Times New Roman" w:hAnsi="Times New Roman" w:cs="Times New Roman"/>
                <w:sz w:val="18"/>
                <w:szCs w:val="18"/>
                <w:lang w:eastAsia="zh-CN"/>
              </w:rPr>
              <w:t>610000737970079H</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技术负责人</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周虹光</w:t>
            </w:r>
          </w:p>
        </w:tc>
        <w:tc>
          <w:tcPr>
            <w:tcW w:w="210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501" w:type="dxa"/>
            <w:shd w:val="clear" w:color="auto" w:fill="BFBFBF"/>
            <w:tcMar>
              <w:top w:w="15" w:type="dxa"/>
              <w:left w:w="15" w:type="dxa"/>
              <w:right w:w="15" w:type="dxa"/>
            </w:tcMar>
            <w:vAlign w:val="center"/>
          </w:tcPr>
          <w:p>
            <w:pPr>
              <w:jc w:val="center"/>
              <w:textAlignment w:val="center"/>
              <w:rPr>
                <w:rStyle w:val="84"/>
                <w:rFonts w:hint="default" w:ascii="Times New Roman" w:hAnsi="Times New Roman" w:cs="Times New Roman"/>
                <w:lang w:eastAsia="zh-CN"/>
              </w:rPr>
            </w:pPr>
            <w:r>
              <w:rPr>
                <w:rStyle w:val="84"/>
                <w:rFonts w:hint="default" w:ascii="Times New Roman" w:hAnsi="Times New Roman" w:cs="Times New Roman"/>
              </w:rPr>
              <w:t>环评文件项目</w:t>
            </w:r>
          </w:p>
          <w:p>
            <w:pPr>
              <w:jc w:val="center"/>
              <w:textAlignment w:val="center"/>
              <w:rPr>
                <w:rFonts w:ascii="Times New Roman" w:hAnsi="Times New Roman" w:cs="Times New Roman"/>
                <w:b/>
                <w:sz w:val="18"/>
                <w:szCs w:val="18"/>
              </w:rPr>
            </w:pPr>
            <w:r>
              <w:rPr>
                <w:rStyle w:val="84"/>
                <w:rFonts w:hint="default" w:ascii="Times New Roman" w:hAnsi="Times New Roman" w:cs="Times New Roman"/>
              </w:rPr>
              <w:t>负责人</w:t>
            </w:r>
          </w:p>
        </w:tc>
        <w:tc>
          <w:tcPr>
            <w:tcW w:w="339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喻细香</w:t>
            </w:r>
          </w:p>
        </w:tc>
        <w:tc>
          <w:tcPr>
            <w:tcW w:w="35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联系电话</w:t>
            </w:r>
          </w:p>
        </w:tc>
        <w:tc>
          <w:tcPr>
            <w:tcW w:w="1432"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15</w:t>
            </w:r>
            <w:r>
              <w:rPr>
                <w:rFonts w:hint="eastAsia" w:ascii="Times New Roman" w:hAnsi="Times New Roman" w:cs="Times New Roman"/>
                <w:sz w:val="18"/>
                <w:szCs w:val="18"/>
                <w:lang w:eastAsia="zh-CN"/>
              </w:rPr>
              <w:t>073037227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通讯地址</w:t>
            </w:r>
          </w:p>
        </w:tc>
        <w:tc>
          <w:tcPr>
            <w:tcW w:w="3156" w:type="dxa"/>
            <w:gridSpan w:val="2"/>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陕西省西安市雁塔区雁翔路99号博源科技广场A座</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联系电话</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13892890105</w:t>
            </w:r>
          </w:p>
        </w:tc>
        <w:tc>
          <w:tcPr>
            <w:tcW w:w="210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501"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通讯地址</w:t>
            </w:r>
          </w:p>
        </w:tc>
        <w:tc>
          <w:tcPr>
            <w:tcW w:w="8391" w:type="dxa"/>
            <w:gridSpan w:val="5"/>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湖南岳阳楼区亮山花园1栋202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75" w:hRule="atLeast"/>
          <w:jc w:val="center"/>
        </w:trPr>
        <w:tc>
          <w:tcPr>
            <w:tcW w:w="1334"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污</w:t>
            </w:r>
            <w:r>
              <w:rPr>
                <w:rFonts w:ascii="Times New Roman" w:hAnsi="Times New Roman" w:cs="Times New Roman"/>
                <w:b/>
              </w:rPr>
              <w:br w:type="textWrapping"/>
            </w:r>
            <w:r>
              <w:rPr>
                <w:rFonts w:ascii="Times New Roman" w:hAnsi="Times New Roman" w:cs="Times New Roman"/>
                <w:b/>
              </w:rPr>
              <w:t>染</w:t>
            </w:r>
            <w:r>
              <w:rPr>
                <w:rFonts w:ascii="Times New Roman" w:hAnsi="Times New Roman" w:cs="Times New Roman"/>
                <w:b/>
              </w:rPr>
              <w:br w:type="textWrapping"/>
            </w:r>
            <w:r>
              <w:rPr>
                <w:rFonts w:ascii="Times New Roman" w:hAnsi="Times New Roman" w:cs="Times New Roman"/>
                <w:b/>
              </w:rPr>
              <w:t>物</w:t>
            </w:r>
            <w:r>
              <w:rPr>
                <w:rFonts w:ascii="Times New Roman" w:hAnsi="Times New Roman" w:cs="Times New Roman"/>
                <w:b/>
              </w:rPr>
              <w:br w:type="textWrapping"/>
            </w:r>
            <w:r>
              <w:rPr>
                <w:rFonts w:ascii="Times New Roman" w:hAnsi="Times New Roman" w:cs="Times New Roman"/>
                <w:b/>
              </w:rPr>
              <w:t>排</w:t>
            </w:r>
            <w:r>
              <w:rPr>
                <w:rFonts w:ascii="Times New Roman" w:hAnsi="Times New Roman" w:cs="Times New Roman"/>
                <w:b/>
              </w:rPr>
              <w:br w:type="textWrapping"/>
            </w:r>
            <w:r>
              <w:rPr>
                <w:rFonts w:ascii="Times New Roman" w:hAnsi="Times New Roman" w:cs="Times New Roman"/>
                <w:b/>
              </w:rPr>
              <w:t>放</w:t>
            </w:r>
            <w:r>
              <w:rPr>
                <w:rFonts w:ascii="Times New Roman" w:hAnsi="Times New Roman" w:cs="Times New Roman"/>
                <w:b/>
              </w:rPr>
              <w:br w:type="textWrapping"/>
            </w:r>
            <w:r>
              <w:rPr>
                <w:rFonts w:ascii="Times New Roman" w:hAnsi="Times New Roman" w:cs="Times New Roman"/>
                <w:b/>
              </w:rPr>
              <w:t>量</w:t>
            </w:r>
          </w:p>
        </w:tc>
        <w:tc>
          <w:tcPr>
            <w:tcW w:w="1821" w:type="dxa"/>
            <w:gridSpan w:val="2"/>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污染物</w:t>
            </w:r>
          </w:p>
        </w:tc>
        <w:tc>
          <w:tcPr>
            <w:tcW w:w="3156"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现有工程</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（已建</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在建）</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本工程</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（拟建或调整变更）</w:t>
            </w:r>
          </w:p>
        </w:tc>
        <w:tc>
          <w:tcPr>
            <w:tcW w:w="6235" w:type="dxa"/>
            <w:gridSpan w:val="4"/>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8"/>
                <w:rFonts w:hint="default" w:ascii="Times New Roman" w:hAnsi="Times New Roman" w:cs="Times New Roman"/>
                <w:lang w:eastAsia="zh-CN"/>
              </w:rPr>
              <w:t>总体工程</w:t>
            </w:r>
            <w:r>
              <w:rPr>
                <w:rStyle w:val="88"/>
                <w:rFonts w:hint="default" w:ascii="Times New Roman" w:hAnsi="Times New Roman" w:cs="Times New Roman"/>
                <w:lang w:eastAsia="zh-CN"/>
              </w:rPr>
              <w:br w:type="textWrapping"/>
            </w:r>
            <w:r>
              <w:rPr>
                <w:rStyle w:val="88"/>
                <w:rFonts w:hint="default" w:ascii="Times New Roman" w:hAnsi="Times New Roman" w:cs="Times New Roman"/>
                <w:lang w:eastAsia="zh-CN"/>
              </w:rPr>
              <w:t>（已建</w:t>
            </w:r>
            <w:r>
              <w:rPr>
                <w:rStyle w:val="89"/>
                <w:lang w:eastAsia="zh-CN"/>
              </w:rPr>
              <w:t>+</w:t>
            </w:r>
            <w:r>
              <w:rPr>
                <w:rStyle w:val="88"/>
                <w:rFonts w:hint="default" w:ascii="Times New Roman" w:hAnsi="Times New Roman" w:cs="Times New Roman"/>
                <w:lang w:eastAsia="zh-CN"/>
              </w:rPr>
              <w:t>在建</w:t>
            </w:r>
            <w:r>
              <w:rPr>
                <w:rStyle w:val="89"/>
                <w:lang w:eastAsia="zh-CN"/>
              </w:rPr>
              <w:t>+</w:t>
            </w:r>
            <w:r>
              <w:rPr>
                <w:rStyle w:val="88"/>
                <w:rFonts w:hint="default" w:ascii="Times New Roman" w:hAnsi="Times New Roman" w:cs="Times New Roman"/>
                <w:lang w:eastAsia="zh-CN"/>
              </w:rPr>
              <w:t>拟建或调整变更）</w:t>
            </w:r>
          </w:p>
        </w:tc>
        <w:tc>
          <w:tcPr>
            <w:tcW w:w="7278" w:type="dxa"/>
            <w:gridSpan w:val="4"/>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排放方式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821"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66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①实际排放量</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49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②许可排放量</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13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③预测排放量</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51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④</w:t>
            </w:r>
            <w:r>
              <w:rPr>
                <w:rFonts w:ascii="Times New Roman" w:hAnsi="Times New Roman" w:cs="Times New Roman"/>
                <w:b/>
                <w:sz w:val="18"/>
                <w:szCs w:val="18"/>
                <w:lang w:eastAsia="zh-CN"/>
              </w:rPr>
              <w:t>“</w:t>
            </w:r>
            <w:r>
              <w:rPr>
                <w:rStyle w:val="84"/>
                <w:rFonts w:hint="default" w:ascii="Times New Roman" w:hAnsi="Times New Roman" w:cs="Times New Roman"/>
                <w:lang w:eastAsia="zh-CN"/>
              </w:rPr>
              <w:t>以新带老</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削减量（吨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2104"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⑤区域</w:t>
            </w:r>
            <w:r>
              <w:rPr>
                <w:rStyle w:val="88"/>
                <w:rFonts w:hint="default" w:ascii="Times New Roman" w:hAnsi="Times New Roman" w:cs="Times New Roman"/>
                <w:lang w:eastAsia="zh-CN"/>
              </w:rPr>
              <w:t>平衡替代本工程</w:t>
            </w:r>
            <w:r>
              <w:rPr>
                <w:rStyle w:val="84"/>
                <w:rFonts w:hint="default" w:ascii="Times New Roman" w:hAnsi="Times New Roman" w:cs="Times New Roman"/>
                <w:lang w:eastAsia="zh-CN"/>
              </w:rPr>
              <w:t>削减量</w:t>
            </w:r>
            <w:r>
              <w:rPr>
                <w:rFonts w:ascii="Times New Roman" w:hAnsi="Times New Roman" w:cs="Times New Roman"/>
                <w:b/>
                <w:sz w:val="18"/>
                <w:szCs w:val="18"/>
                <w:vertAlign w:val="superscript"/>
                <w:lang w:eastAsia="zh-CN"/>
              </w:rPr>
              <w:t>4</w:t>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501"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⑥预测排放总量</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11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⑦排放增减量</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（吨</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7278" w:type="dxa"/>
            <w:gridSpan w:val="4"/>
            <w:vMerge w:val="continue"/>
            <w:shd w:val="clear" w:color="auto" w:fill="BFBFBF"/>
            <w:tcMar>
              <w:top w:w="15" w:type="dxa"/>
              <w:left w:w="15" w:type="dxa"/>
              <w:right w:w="15" w:type="dxa"/>
            </w:tcMar>
            <w:vAlign w:val="center"/>
          </w:tcPr>
          <w:p>
            <w:pPr>
              <w:jc w:val="center"/>
              <w:rPr>
                <w:rFonts w:ascii="Times New Roman" w:hAnsi="Times New Roman" w:cs="Times New Roman"/>
                <w:b/>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481"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废水</w:t>
            </w: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废水量</w:t>
            </w:r>
            <w:r>
              <w:rPr>
                <w:rFonts w:ascii="Times New Roman" w:hAnsi="Times New Roman" w:cs="Times New Roman"/>
                <w:b/>
                <w:sz w:val="18"/>
                <w:szCs w:val="18"/>
              </w:rPr>
              <w:t>(</w:t>
            </w:r>
            <w:r>
              <w:rPr>
                <w:rStyle w:val="84"/>
                <w:rFonts w:hint="default" w:ascii="Times New Roman" w:hAnsi="Times New Roman" w:cs="Times New Roman"/>
              </w:rPr>
              <w:t>万吨</w:t>
            </w:r>
            <w:r>
              <w:rPr>
                <w:rFonts w:ascii="Times New Roman" w:hAnsi="Times New Roman" w:cs="Times New Roman"/>
                <w:b/>
                <w:sz w:val="18"/>
                <w:szCs w:val="18"/>
              </w:rPr>
              <w:t>/</w:t>
            </w:r>
            <w:r>
              <w:rPr>
                <w:rStyle w:val="84"/>
                <w:rFonts w:hint="default" w:ascii="Times New Roman" w:hAnsi="Times New Roman" w:cs="Times New Roman"/>
              </w:rPr>
              <w:t>年</w:t>
            </w:r>
            <w:r>
              <w:rPr>
                <w:rFonts w:ascii="Times New Roman" w:hAnsi="Times New Roman" w:cs="Times New Roman"/>
                <w:b/>
                <w:sz w:val="18"/>
                <w:szCs w:val="18"/>
              </w:rPr>
              <w:t>)</w:t>
            </w:r>
          </w:p>
        </w:tc>
        <w:tc>
          <w:tcPr>
            <w:tcW w:w="1663" w:type="dxa"/>
            <w:shd w:val="clear" w:color="auto" w:fill="auto"/>
            <w:tcMar>
              <w:top w:w="15" w:type="dxa"/>
              <w:left w:w="15" w:type="dxa"/>
              <w:right w:w="15" w:type="dxa"/>
            </w:tcMar>
            <w:vAlign w:val="bottom"/>
          </w:tcPr>
          <w:p>
            <w:pPr>
              <w:jc w:val="center"/>
              <w:textAlignment w:val="bottom"/>
              <w:rPr>
                <w:rFonts w:ascii="Times New Roman" w:hAnsi="Times New Roman" w:cs="Times New Roman"/>
                <w:szCs w:val="21"/>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b/>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228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Style w:val="85"/>
                <w:rFonts w:hint="default" w:ascii="Times New Roman" w:hAnsi="Times New Roman" w:cs="Times New Roman"/>
              </w:rPr>
              <w:t>不排放</w:t>
            </w:r>
          </w:p>
        </w:tc>
        <w:tc>
          <w:tcPr>
            <w:tcW w:w="356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p>
        </w:tc>
        <w:tc>
          <w:tcPr>
            <w:tcW w:w="717"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715"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Fonts w:ascii="Times New Roman" w:hAnsi="Times New Roman" w:cs="Times New Roman"/>
                <w:b/>
                <w:sz w:val="18"/>
                <w:szCs w:val="18"/>
              </w:rPr>
              <w:t>COD</w:t>
            </w:r>
          </w:p>
        </w:tc>
        <w:tc>
          <w:tcPr>
            <w:tcW w:w="1663" w:type="dxa"/>
            <w:shd w:val="clear" w:color="auto" w:fill="auto"/>
            <w:tcMar>
              <w:top w:w="15" w:type="dxa"/>
              <w:left w:w="15" w:type="dxa"/>
              <w:right w:w="15" w:type="dxa"/>
            </w:tcMar>
            <w:vAlign w:val="bottom"/>
          </w:tcPr>
          <w:p>
            <w:pPr>
              <w:jc w:val="center"/>
              <w:textAlignment w:val="bottom"/>
              <w:rPr>
                <w:rFonts w:ascii="Times New Roman" w:hAnsi="Times New Roman" w:cs="Times New Roman"/>
                <w:szCs w:val="21"/>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228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Style w:val="85"/>
                <w:rFonts w:hint="default" w:ascii="Times New Roman" w:hAnsi="Times New Roman" w:cs="Times New Roman"/>
              </w:rPr>
              <w:t>间接排放：</w:t>
            </w:r>
          </w:p>
        </w:tc>
        <w:tc>
          <w:tcPr>
            <w:tcW w:w="356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Style w:val="85"/>
                <w:rFonts w:hint="default" w:ascii="Times New Roman" w:hAnsi="Times New Roman" w:cs="Times New Roman"/>
              </w:rPr>
              <w:t>市政管网</w:t>
            </w:r>
          </w:p>
        </w:tc>
        <w:tc>
          <w:tcPr>
            <w:tcW w:w="717"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715"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氨氮</w:t>
            </w:r>
          </w:p>
        </w:tc>
        <w:tc>
          <w:tcPr>
            <w:tcW w:w="1663" w:type="dxa"/>
            <w:shd w:val="clear" w:color="auto" w:fill="auto"/>
            <w:tcMar>
              <w:top w:w="15" w:type="dxa"/>
              <w:left w:w="15" w:type="dxa"/>
              <w:right w:w="15" w:type="dxa"/>
            </w:tcMar>
            <w:vAlign w:val="bottom"/>
          </w:tcPr>
          <w:p>
            <w:pPr>
              <w:jc w:val="center"/>
              <w:textAlignment w:val="bottom"/>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228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p>
        </w:tc>
        <w:tc>
          <w:tcPr>
            <w:tcW w:w="356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集中式工业污水处理厂</w:t>
            </w:r>
          </w:p>
        </w:tc>
        <w:tc>
          <w:tcPr>
            <w:tcW w:w="717" w:type="dxa"/>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c>
          <w:tcPr>
            <w:tcW w:w="715" w:type="dxa"/>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9"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总磷</w:t>
            </w:r>
          </w:p>
        </w:tc>
        <w:tc>
          <w:tcPr>
            <w:tcW w:w="1663" w:type="dxa"/>
            <w:shd w:val="clear" w:color="auto" w:fill="auto"/>
            <w:tcMar>
              <w:top w:w="15" w:type="dxa"/>
              <w:left w:w="15" w:type="dxa"/>
              <w:right w:w="15" w:type="dxa"/>
            </w:tcMar>
            <w:vAlign w:val="bottom"/>
          </w:tcPr>
          <w:p>
            <w:pPr>
              <w:jc w:val="center"/>
              <w:textAlignment w:val="bottom"/>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rPr>
                <w:rFonts w:ascii="Times New Roman" w:hAnsi="Times New Roman" w:cs="Times New Roman"/>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2283"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Style w:val="85"/>
                <w:rFonts w:hint="default" w:ascii="Times New Roman" w:hAnsi="Times New Roman" w:cs="Times New Roman"/>
              </w:rPr>
              <w:t>直接排放：</w:t>
            </w:r>
          </w:p>
        </w:tc>
        <w:tc>
          <w:tcPr>
            <w:tcW w:w="4995" w:type="dxa"/>
            <w:gridSpan w:val="3"/>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Style w:val="85"/>
                <w:rFonts w:hint="default" w:ascii="Times New Roman" w:hAnsi="Times New Roman" w:cs="Times New Roman"/>
              </w:rPr>
              <w:t>受纳水体__</w:t>
            </w:r>
            <w:r>
              <w:rPr>
                <w:rStyle w:val="86"/>
                <w:rFonts w:hint="default" w:ascii="Times New Roman" w:hAnsi="Times New Roman" w:cs="Times New Roman"/>
              </w:rPr>
              <w:t>_         _</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总氮</w:t>
            </w:r>
          </w:p>
        </w:tc>
        <w:tc>
          <w:tcPr>
            <w:tcW w:w="1663" w:type="dxa"/>
            <w:shd w:val="clear" w:color="auto" w:fill="auto"/>
            <w:tcMar>
              <w:top w:w="15" w:type="dxa"/>
              <w:left w:w="15" w:type="dxa"/>
              <w:right w:w="15" w:type="dxa"/>
            </w:tcMar>
            <w:vAlign w:val="bottom"/>
          </w:tcPr>
          <w:p>
            <w:pPr>
              <w:jc w:val="center"/>
              <w:textAlignment w:val="bottom"/>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228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356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717"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715"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rPr>
            </w:pPr>
            <w:r>
              <w:rPr>
                <w:rFonts w:ascii="Times New Roman" w:hAnsi="Times New Roman" w:cs="Times New Roman"/>
                <w:b/>
              </w:rPr>
              <w:t>废气</w:t>
            </w: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废气量（万标立方米</w:t>
            </w:r>
            <w:r>
              <w:rPr>
                <w:rFonts w:ascii="Times New Roman" w:hAnsi="Times New Roman" w:cs="Times New Roman"/>
                <w:b/>
                <w:sz w:val="18"/>
                <w:szCs w:val="18"/>
                <w:lang w:eastAsia="zh-CN"/>
              </w:rPr>
              <w:t>/</w:t>
            </w:r>
            <w:r>
              <w:rPr>
                <w:rStyle w:val="84"/>
                <w:rFonts w:hint="default" w:ascii="Times New Roman" w:hAnsi="Times New Roman" w:cs="Times New Roman"/>
                <w:lang w:eastAsia="zh-CN"/>
              </w:rPr>
              <w:t>年）</w:t>
            </w:r>
          </w:p>
        </w:tc>
        <w:tc>
          <w:tcPr>
            <w:tcW w:w="1663" w:type="dxa"/>
            <w:shd w:val="clear" w:color="auto" w:fill="auto"/>
            <w:tcMar>
              <w:top w:w="15" w:type="dxa"/>
              <w:left w:w="15" w:type="dxa"/>
              <w:right w:w="15" w:type="dxa"/>
            </w:tcMar>
            <w:vAlign w:val="center"/>
          </w:tcPr>
          <w:p>
            <w:pPr>
              <w:jc w:val="center"/>
              <w:rPr>
                <w:rFonts w:ascii="Times New Roman" w:hAnsi="Times New Roman" w:cs="Times New Roman"/>
                <w:sz w:val="20"/>
                <w:szCs w:val="20"/>
                <w:lang w:eastAsia="zh-CN"/>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lang w:eastAsia="zh-CN"/>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FF"/>
                <w:sz w:val="20"/>
                <w:szCs w:val="20"/>
                <w:lang w:eastAsia="zh-CN"/>
              </w:rPr>
            </w:pPr>
            <w:r>
              <w:rPr>
                <w:rFonts w:hint="eastAsia" w:ascii="Times New Roman" w:hAnsi="Times New Roman" w:cs="Times New Roman"/>
                <w:b/>
                <w:sz w:val="20"/>
                <w:szCs w:val="20"/>
                <w:lang w:eastAsia="zh-CN"/>
              </w:rPr>
              <w:t>745</w:t>
            </w:r>
          </w:p>
        </w:tc>
        <w:tc>
          <w:tcPr>
            <w:tcW w:w="1517"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lang w:eastAsia="zh-CN"/>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lang w:eastAsia="zh-CN"/>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color w:val="0000FF"/>
                <w:sz w:val="20"/>
                <w:szCs w:val="20"/>
                <w:lang w:eastAsia="zh-CN"/>
              </w:rPr>
            </w:pPr>
            <w:r>
              <w:rPr>
                <w:rFonts w:hint="eastAsia" w:ascii="Times New Roman" w:hAnsi="Times New Roman" w:cs="Times New Roman"/>
                <w:b/>
                <w:sz w:val="20"/>
                <w:szCs w:val="20"/>
                <w:lang w:eastAsia="zh-CN"/>
              </w:rPr>
              <w:t>745</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hint="eastAsia" w:ascii="Times New Roman" w:hAnsi="Times New Roman" w:cs="Times New Roman"/>
                <w:b/>
                <w:sz w:val="20"/>
                <w:szCs w:val="20"/>
                <w:lang w:eastAsia="zh-CN"/>
              </w:rPr>
              <w:t>745</w:t>
            </w:r>
          </w:p>
        </w:tc>
        <w:tc>
          <w:tcPr>
            <w:tcW w:w="7278"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二氧化硫</w:t>
            </w:r>
          </w:p>
        </w:tc>
        <w:tc>
          <w:tcPr>
            <w:tcW w:w="166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12</w:t>
            </w:r>
          </w:p>
        </w:tc>
        <w:tc>
          <w:tcPr>
            <w:tcW w:w="1517"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12</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12</w:t>
            </w:r>
          </w:p>
        </w:tc>
        <w:tc>
          <w:tcPr>
            <w:tcW w:w="7278"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氮氧化物</w:t>
            </w:r>
          </w:p>
        </w:tc>
        <w:tc>
          <w:tcPr>
            <w:tcW w:w="166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24</w:t>
            </w:r>
          </w:p>
        </w:tc>
        <w:tc>
          <w:tcPr>
            <w:tcW w:w="1517"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24</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24</w:t>
            </w:r>
          </w:p>
        </w:tc>
        <w:tc>
          <w:tcPr>
            <w:tcW w:w="7278"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颗粒物</w:t>
            </w:r>
          </w:p>
        </w:tc>
        <w:tc>
          <w:tcPr>
            <w:tcW w:w="166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textAlignment w:val="center"/>
              <w:rPr>
                <w:rFonts w:ascii="Times New Roman" w:hAnsi="Times New Roman" w:cs="Times New Roman"/>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02</w:t>
            </w:r>
          </w:p>
        </w:tc>
        <w:tc>
          <w:tcPr>
            <w:tcW w:w="1517"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color w:val="0000FF"/>
                <w:sz w:val="20"/>
                <w:szCs w:val="20"/>
              </w:rPr>
            </w:pPr>
          </w:p>
        </w:tc>
        <w:tc>
          <w:tcPr>
            <w:tcW w:w="1501" w:type="dxa"/>
            <w:shd w:val="clear" w:color="auto" w:fill="auto"/>
            <w:tcMar>
              <w:top w:w="15" w:type="dxa"/>
              <w:left w:w="15" w:type="dxa"/>
              <w:right w:w="15" w:type="dxa"/>
            </w:tcMar>
            <w:vAlign w:val="center"/>
          </w:tcPr>
          <w:p>
            <w:pPr>
              <w:jc w:val="center"/>
              <w:textAlignment w:val="center"/>
              <w:rPr>
                <w:rFonts w:ascii="Times New Roman" w:hAnsi="Times New Roman" w:cs="Times New Roman"/>
                <w:b/>
                <w:color w:val="0000FF"/>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02</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w:t>
            </w:r>
            <w:r>
              <w:rPr>
                <w:rFonts w:hint="eastAsia" w:ascii="Times New Roman" w:hAnsi="Times New Roman" w:cs="Times New Roman"/>
                <w:b/>
                <w:sz w:val="20"/>
                <w:szCs w:val="20"/>
                <w:lang w:eastAsia="zh-CN"/>
              </w:rPr>
              <w:t>02</w:t>
            </w:r>
          </w:p>
        </w:tc>
        <w:tc>
          <w:tcPr>
            <w:tcW w:w="7278"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1334"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481" w:type="dxa"/>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1340"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挥发性有机物</w:t>
            </w:r>
          </w:p>
        </w:tc>
        <w:tc>
          <w:tcPr>
            <w:tcW w:w="166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493"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137" w:type="dxa"/>
            <w:shd w:val="clear" w:color="auto" w:fill="auto"/>
            <w:tcMar>
              <w:top w:w="15" w:type="dxa"/>
              <w:left w:w="15" w:type="dxa"/>
              <w:right w:w="15" w:type="dxa"/>
            </w:tcMar>
            <w:vAlign w:val="center"/>
          </w:tcPr>
          <w:p>
            <w:pPr>
              <w:jc w:val="center"/>
              <w:rPr>
                <w:rFonts w:ascii="Times New Roman" w:hAnsi="Times New Roman" w:cs="Times New Roman"/>
                <w:sz w:val="20"/>
                <w:szCs w:val="20"/>
              </w:rPr>
            </w:pPr>
            <w:r>
              <w:rPr>
                <w:rFonts w:ascii="Times New Roman" w:hAnsi="Times New Roman" w:cs="Times New Roman"/>
                <w:b/>
                <w:sz w:val="20"/>
                <w:szCs w:val="20"/>
              </w:rPr>
              <w:t>0.000</w:t>
            </w: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20"/>
                <w:szCs w:val="20"/>
              </w:rPr>
            </w:pPr>
          </w:p>
        </w:tc>
        <w:tc>
          <w:tcPr>
            <w:tcW w:w="1501" w:type="dxa"/>
            <w:shd w:val="clear" w:color="auto" w:fill="auto"/>
            <w:tcMar>
              <w:top w:w="15" w:type="dxa"/>
              <w:left w:w="15" w:type="dxa"/>
              <w:right w:w="15" w:type="dxa"/>
            </w:tcMar>
            <w:vAlign w:val="center"/>
          </w:tcPr>
          <w:p>
            <w:pPr>
              <w:jc w:val="center"/>
              <w:rPr>
                <w:rFonts w:ascii="Times New Roman" w:hAnsi="Times New Roman" w:cs="Times New Roman"/>
                <w:b/>
                <w:sz w:val="20"/>
                <w:szCs w:val="20"/>
              </w:rPr>
            </w:pPr>
            <w:r>
              <w:rPr>
                <w:rFonts w:ascii="Times New Roman" w:hAnsi="Times New Roman" w:cs="Times New Roman"/>
                <w:b/>
                <w:sz w:val="20"/>
                <w:szCs w:val="20"/>
              </w:rPr>
              <w:t>0.000</w:t>
            </w:r>
          </w:p>
        </w:tc>
        <w:tc>
          <w:tcPr>
            <w:tcW w:w="1113" w:type="dxa"/>
            <w:shd w:val="clear" w:color="auto" w:fill="auto"/>
            <w:tcMar>
              <w:top w:w="15" w:type="dxa"/>
              <w:left w:w="15" w:type="dxa"/>
              <w:right w:w="15" w:type="dxa"/>
            </w:tcMar>
            <w:vAlign w:val="center"/>
          </w:tcPr>
          <w:p>
            <w:pPr>
              <w:jc w:val="center"/>
              <w:textAlignment w:val="center"/>
              <w:rPr>
                <w:rFonts w:ascii="Times New Roman" w:hAnsi="Times New Roman" w:cs="Times New Roman"/>
                <w:b/>
                <w:sz w:val="20"/>
                <w:szCs w:val="20"/>
              </w:rPr>
            </w:pPr>
            <w:r>
              <w:rPr>
                <w:rFonts w:ascii="Times New Roman" w:hAnsi="Times New Roman" w:cs="Times New Roman"/>
                <w:b/>
                <w:sz w:val="20"/>
                <w:szCs w:val="20"/>
              </w:rPr>
              <w:t>0.000</w:t>
            </w:r>
          </w:p>
        </w:tc>
        <w:tc>
          <w:tcPr>
            <w:tcW w:w="7278" w:type="dxa"/>
            <w:gridSpan w:val="4"/>
            <w:shd w:val="clear" w:color="auto" w:fill="auto"/>
            <w:tcMar>
              <w:top w:w="15" w:type="dxa"/>
              <w:left w:w="15" w:type="dxa"/>
              <w:right w:w="15" w:type="dxa"/>
            </w:tcMar>
            <w:vAlign w:val="center"/>
          </w:tcPr>
          <w:p>
            <w:pPr>
              <w:jc w:val="center"/>
              <w:textAlignment w:val="center"/>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1815" w:type="dxa"/>
            <w:gridSpan w:val="2"/>
            <w:vMerge w:val="restart"/>
            <w:shd w:val="clear" w:color="auto" w:fill="BFBFBF"/>
            <w:tcMar>
              <w:top w:w="15" w:type="dxa"/>
              <w:left w:w="15" w:type="dxa"/>
              <w:right w:w="15" w:type="dxa"/>
            </w:tcMar>
            <w:vAlign w:val="center"/>
          </w:tcPr>
          <w:p>
            <w:pPr>
              <w:jc w:val="center"/>
              <w:textAlignment w:val="center"/>
              <w:rPr>
                <w:rFonts w:ascii="Times New Roman" w:hAnsi="Times New Roman" w:cs="Times New Roman"/>
                <w:b/>
                <w:lang w:eastAsia="zh-CN"/>
              </w:rPr>
            </w:pPr>
            <w:r>
              <w:rPr>
                <w:rFonts w:ascii="Times New Roman" w:hAnsi="Times New Roman" w:cs="Times New Roman"/>
                <w:b/>
                <w:lang w:eastAsia="zh-CN"/>
              </w:rPr>
              <w:t>项目涉及保护区与风景名胜区的情况</w:t>
            </w:r>
          </w:p>
        </w:tc>
        <w:tc>
          <w:tcPr>
            <w:tcW w:w="3003" w:type="dxa"/>
            <w:gridSpan w:val="2"/>
            <w:shd w:val="clear" w:color="auto" w:fill="BFBFBF"/>
            <w:tcMar>
              <w:top w:w="15" w:type="dxa"/>
              <w:left w:w="15" w:type="dxa"/>
              <w:right w:w="15" w:type="dxa"/>
            </w:tcMar>
          </w:tcPr>
          <w:p>
            <w:pPr>
              <w:jc w:val="center"/>
              <w:textAlignment w:val="top"/>
              <w:rPr>
                <w:rFonts w:ascii="Times New Roman" w:hAnsi="Times New Roman" w:cs="Times New Roman"/>
                <w:b/>
                <w:sz w:val="18"/>
                <w:szCs w:val="18"/>
                <w:lang w:eastAsia="zh-CN"/>
              </w:rPr>
            </w:pPr>
            <w:r>
              <w:rPr>
                <w:rStyle w:val="88"/>
                <w:rFonts w:hint="default" w:ascii="Times New Roman" w:hAnsi="Times New Roman" w:cs="Times New Roman"/>
                <w:lang w:eastAsia="zh-CN"/>
              </w:rPr>
              <w:t>影响及主要措施</w:t>
            </w:r>
            <w:r>
              <w:rPr>
                <w:rStyle w:val="88"/>
                <w:rFonts w:hint="default" w:ascii="Times New Roman" w:hAnsi="Times New Roman" w:cs="Times New Roman"/>
                <w:lang w:eastAsia="zh-CN"/>
              </w:rPr>
              <w:br w:type="textWrapping"/>
            </w:r>
            <w:r>
              <w:rPr>
                <w:rStyle w:val="88"/>
                <w:rFonts w:hint="default" w:ascii="Times New Roman" w:hAnsi="Times New Roman" w:cs="Times New Roman"/>
                <w:lang w:eastAsia="zh-CN"/>
              </w:rPr>
              <w:t>生态保护目标</w:t>
            </w:r>
          </w:p>
        </w:tc>
        <w:tc>
          <w:tcPr>
            <w:tcW w:w="2630"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8"/>
                <w:rFonts w:hint="default" w:ascii="Times New Roman" w:hAnsi="Times New Roman" w:cs="Times New Roman"/>
              </w:rPr>
              <w:t>名称</w:t>
            </w:r>
          </w:p>
        </w:tc>
        <w:tc>
          <w:tcPr>
            <w:tcW w:w="1517"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级别</w:t>
            </w:r>
          </w:p>
        </w:tc>
        <w:tc>
          <w:tcPr>
            <w:tcW w:w="2104"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4"/>
                <w:rFonts w:hint="default" w:ascii="Times New Roman" w:hAnsi="Times New Roman" w:cs="Times New Roman"/>
                <w:lang w:eastAsia="zh-CN"/>
              </w:rPr>
              <w:t>主要保护对象</w:t>
            </w:r>
            <w:r>
              <w:rPr>
                <w:rStyle w:val="84"/>
                <w:rFonts w:hint="default" w:ascii="Times New Roman" w:hAnsi="Times New Roman" w:cs="Times New Roman"/>
                <w:lang w:eastAsia="zh-CN"/>
              </w:rPr>
              <w:br w:type="textWrapping"/>
            </w:r>
            <w:r>
              <w:rPr>
                <w:rStyle w:val="84"/>
                <w:rFonts w:hint="default" w:ascii="Times New Roman" w:hAnsi="Times New Roman" w:cs="Times New Roman"/>
                <w:lang w:eastAsia="zh-CN"/>
              </w:rPr>
              <w:t>（目标）</w:t>
            </w:r>
          </w:p>
        </w:tc>
        <w:tc>
          <w:tcPr>
            <w:tcW w:w="1501"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工程影响情况</w:t>
            </w:r>
          </w:p>
        </w:tc>
        <w:tc>
          <w:tcPr>
            <w:tcW w:w="111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是否占用</w:t>
            </w:r>
          </w:p>
        </w:tc>
        <w:tc>
          <w:tcPr>
            <w:tcW w:w="2283" w:type="dxa"/>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4"/>
                <w:rFonts w:hint="default" w:ascii="Times New Roman" w:hAnsi="Times New Roman" w:cs="Times New Roman"/>
              </w:rPr>
              <w:t>占用面积</w:t>
            </w:r>
            <w:r>
              <w:rPr>
                <w:rStyle w:val="84"/>
                <w:rFonts w:hint="default" w:ascii="Times New Roman" w:hAnsi="Times New Roman" w:cs="Times New Roman"/>
              </w:rPr>
              <w:br w:type="textWrapping"/>
            </w:r>
            <w:r>
              <w:rPr>
                <w:rStyle w:val="84"/>
                <w:rFonts w:hint="default" w:ascii="Times New Roman" w:hAnsi="Times New Roman" w:cs="Times New Roman"/>
              </w:rPr>
              <w:t>（公顷）</w:t>
            </w:r>
          </w:p>
        </w:tc>
        <w:tc>
          <w:tcPr>
            <w:tcW w:w="4995" w:type="dxa"/>
            <w:gridSpan w:val="3"/>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8"/>
                <w:rFonts w:hint="default" w:ascii="Times New Roman" w:hAnsi="Times New Roman" w:cs="Times New Roman"/>
              </w:rPr>
              <w:t>生态防护措施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81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rPr>
            </w:pPr>
          </w:p>
        </w:tc>
        <w:tc>
          <w:tcPr>
            <w:tcW w:w="3003"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8"/>
                <w:rFonts w:hint="default" w:ascii="Times New Roman" w:hAnsi="Times New Roman" w:cs="Times New Roman"/>
              </w:rPr>
              <w:t>自然保护区</w:t>
            </w:r>
          </w:p>
        </w:tc>
        <w:tc>
          <w:tcPr>
            <w:tcW w:w="2630" w:type="dxa"/>
            <w:gridSpan w:val="2"/>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104"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501"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11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28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4995" w:type="dxa"/>
            <w:gridSpan w:val="3"/>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避让</w:t>
            </w:r>
            <w:r>
              <w:rPr>
                <w:rStyle w:val="87"/>
                <w:lang w:eastAsia="zh-CN"/>
              </w:rPr>
              <w:t xml:space="preserve">       </w:t>
            </w:r>
            <w:r>
              <w:rPr>
                <w:rStyle w:val="85"/>
                <w:rFonts w:hint="default" w:ascii="Times New Roman" w:hAnsi="Times New Roman" w:cs="Times New Roman"/>
                <w:lang w:eastAsia="zh-CN"/>
              </w:rPr>
              <w:t>减缓</w:t>
            </w:r>
            <w:r>
              <w:rPr>
                <w:rStyle w:val="87"/>
                <w:lang w:eastAsia="zh-CN"/>
              </w:rPr>
              <w:t xml:space="preserve">         </w:t>
            </w:r>
            <w:r>
              <w:rPr>
                <w:rStyle w:val="85"/>
                <w:rFonts w:hint="default" w:ascii="Times New Roman" w:hAnsi="Times New Roman" w:cs="Times New Roman"/>
                <w:lang w:eastAsia="zh-CN"/>
              </w:rPr>
              <w:t>补偿</w:t>
            </w:r>
            <w:r>
              <w:rPr>
                <w:rStyle w:val="87"/>
                <w:lang w:eastAsia="zh-CN"/>
              </w:rPr>
              <w:t xml:space="preserve">        </w:t>
            </w:r>
            <w:r>
              <w:rPr>
                <w:rStyle w:val="85"/>
                <w:rFonts w:hint="default" w:ascii="Times New Roman" w:hAnsi="Times New Roman" w:cs="Times New Roman"/>
                <w:lang w:eastAsia="zh-CN"/>
              </w:rPr>
              <w:t>重建（多选）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81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3003"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8"/>
                <w:rFonts w:hint="default" w:ascii="Times New Roman" w:hAnsi="Times New Roman" w:cs="Times New Roman"/>
                <w:lang w:eastAsia="zh-CN"/>
              </w:rPr>
              <w:t>饮用水水源保护区（地表）</w:t>
            </w:r>
          </w:p>
        </w:tc>
        <w:tc>
          <w:tcPr>
            <w:tcW w:w="2630" w:type="dxa"/>
            <w:gridSpan w:val="2"/>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c>
          <w:tcPr>
            <w:tcW w:w="2104"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c>
          <w:tcPr>
            <w:tcW w:w="1501"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11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28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4995" w:type="dxa"/>
            <w:gridSpan w:val="3"/>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避让</w:t>
            </w:r>
            <w:r>
              <w:rPr>
                <w:rStyle w:val="87"/>
                <w:lang w:eastAsia="zh-CN"/>
              </w:rPr>
              <w:t xml:space="preserve">       </w:t>
            </w:r>
            <w:r>
              <w:rPr>
                <w:rStyle w:val="85"/>
                <w:rFonts w:hint="default" w:ascii="Times New Roman" w:hAnsi="Times New Roman" w:cs="Times New Roman"/>
                <w:lang w:eastAsia="zh-CN"/>
              </w:rPr>
              <w:t>减缓</w:t>
            </w:r>
            <w:r>
              <w:rPr>
                <w:rStyle w:val="87"/>
                <w:lang w:eastAsia="zh-CN"/>
              </w:rPr>
              <w:t xml:space="preserve">         </w:t>
            </w:r>
            <w:r>
              <w:rPr>
                <w:rStyle w:val="85"/>
                <w:rFonts w:hint="default" w:ascii="Times New Roman" w:hAnsi="Times New Roman" w:cs="Times New Roman"/>
                <w:lang w:eastAsia="zh-CN"/>
              </w:rPr>
              <w:t>补偿</w:t>
            </w:r>
            <w:r>
              <w:rPr>
                <w:rStyle w:val="87"/>
                <w:lang w:eastAsia="zh-CN"/>
              </w:rPr>
              <w:t xml:space="preserve">        </w:t>
            </w:r>
            <w:r>
              <w:rPr>
                <w:rStyle w:val="85"/>
                <w:rFonts w:hint="default" w:ascii="Times New Roman" w:hAnsi="Times New Roman" w:cs="Times New Roman"/>
                <w:lang w:eastAsia="zh-CN"/>
              </w:rPr>
              <w:t>重建（多选）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81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3003"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lang w:eastAsia="zh-CN"/>
              </w:rPr>
            </w:pPr>
            <w:r>
              <w:rPr>
                <w:rStyle w:val="88"/>
                <w:rFonts w:hint="default" w:ascii="Times New Roman" w:hAnsi="Times New Roman" w:cs="Times New Roman"/>
                <w:lang w:eastAsia="zh-CN"/>
              </w:rPr>
              <w:t>饮用水水源保护区（地下）</w:t>
            </w:r>
          </w:p>
        </w:tc>
        <w:tc>
          <w:tcPr>
            <w:tcW w:w="2630" w:type="dxa"/>
            <w:gridSpan w:val="2"/>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18"/>
                <w:szCs w:val="18"/>
                <w:lang w:eastAsia="zh-CN"/>
              </w:rPr>
            </w:pPr>
          </w:p>
        </w:tc>
        <w:tc>
          <w:tcPr>
            <w:tcW w:w="2104"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c>
          <w:tcPr>
            <w:tcW w:w="1501"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11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28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4995" w:type="dxa"/>
            <w:gridSpan w:val="3"/>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避让</w:t>
            </w:r>
            <w:r>
              <w:rPr>
                <w:rStyle w:val="87"/>
                <w:lang w:eastAsia="zh-CN"/>
              </w:rPr>
              <w:t xml:space="preserve">       </w:t>
            </w:r>
            <w:r>
              <w:rPr>
                <w:rStyle w:val="85"/>
                <w:rFonts w:hint="default" w:ascii="Times New Roman" w:hAnsi="Times New Roman" w:cs="Times New Roman"/>
                <w:lang w:eastAsia="zh-CN"/>
              </w:rPr>
              <w:t>减缓</w:t>
            </w:r>
            <w:r>
              <w:rPr>
                <w:rStyle w:val="87"/>
                <w:lang w:eastAsia="zh-CN"/>
              </w:rPr>
              <w:t xml:space="preserve">         </w:t>
            </w:r>
            <w:r>
              <w:rPr>
                <w:rStyle w:val="85"/>
                <w:rFonts w:hint="default" w:ascii="Times New Roman" w:hAnsi="Times New Roman" w:cs="Times New Roman"/>
                <w:lang w:eastAsia="zh-CN"/>
              </w:rPr>
              <w:t>补偿</w:t>
            </w:r>
            <w:r>
              <w:rPr>
                <w:rStyle w:val="87"/>
                <w:lang w:eastAsia="zh-CN"/>
              </w:rPr>
              <w:t xml:space="preserve">        </w:t>
            </w:r>
            <w:r>
              <w:rPr>
                <w:rStyle w:val="85"/>
                <w:rFonts w:hint="default" w:ascii="Times New Roman" w:hAnsi="Times New Roman" w:cs="Times New Roman"/>
                <w:lang w:eastAsia="zh-CN"/>
              </w:rPr>
              <w:t>重建（多选）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0" w:hRule="atLeast"/>
          <w:jc w:val="center"/>
        </w:trPr>
        <w:tc>
          <w:tcPr>
            <w:tcW w:w="1815" w:type="dxa"/>
            <w:gridSpan w:val="2"/>
            <w:vMerge w:val="continue"/>
            <w:shd w:val="clear" w:color="auto" w:fill="BFBFBF"/>
            <w:tcMar>
              <w:top w:w="15" w:type="dxa"/>
              <w:left w:w="15" w:type="dxa"/>
              <w:right w:w="15" w:type="dxa"/>
            </w:tcMar>
            <w:vAlign w:val="center"/>
          </w:tcPr>
          <w:p>
            <w:pPr>
              <w:jc w:val="center"/>
              <w:rPr>
                <w:rFonts w:ascii="Times New Roman" w:hAnsi="Times New Roman" w:cs="Times New Roman"/>
                <w:b/>
                <w:lang w:eastAsia="zh-CN"/>
              </w:rPr>
            </w:pPr>
          </w:p>
        </w:tc>
        <w:tc>
          <w:tcPr>
            <w:tcW w:w="3003" w:type="dxa"/>
            <w:gridSpan w:val="2"/>
            <w:shd w:val="clear" w:color="auto" w:fill="BFBFBF"/>
            <w:tcMar>
              <w:top w:w="15" w:type="dxa"/>
              <w:left w:w="15" w:type="dxa"/>
              <w:right w:w="15" w:type="dxa"/>
            </w:tcMar>
            <w:vAlign w:val="center"/>
          </w:tcPr>
          <w:p>
            <w:pPr>
              <w:jc w:val="center"/>
              <w:textAlignment w:val="center"/>
              <w:rPr>
                <w:rFonts w:ascii="Times New Roman" w:hAnsi="Times New Roman" w:cs="Times New Roman"/>
                <w:b/>
                <w:sz w:val="18"/>
                <w:szCs w:val="18"/>
              </w:rPr>
            </w:pPr>
            <w:r>
              <w:rPr>
                <w:rStyle w:val="88"/>
                <w:rFonts w:hint="default" w:ascii="Times New Roman" w:hAnsi="Times New Roman" w:cs="Times New Roman"/>
              </w:rPr>
              <w:t>风景名胜区</w:t>
            </w:r>
          </w:p>
        </w:tc>
        <w:tc>
          <w:tcPr>
            <w:tcW w:w="2630" w:type="dxa"/>
            <w:gridSpan w:val="2"/>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517"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104" w:type="dxa"/>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c>
          <w:tcPr>
            <w:tcW w:w="1501"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111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2283" w:type="dxa"/>
            <w:shd w:val="clear" w:color="auto" w:fill="auto"/>
            <w:tcMar>
              <w:top w:w="15" w:type="dxa"/>
              <w:left w:w="15" w:type="dxa"/>
              <w:right w:w="15" w:type="dxa"/>
            </w:tcMar>
            <w:vAlign w:val="center"/>
          </w:tcPr>
          <w:p>
            <w:pPr>
              <w:jc w:val="center"/>
              <w:rPr>
                <w:rFonts w:ascii="Times New Roman" w:hAnsi="Times New Roman" w:cs="Times New Roman"/>
                <w:sz w:val="18"/>
                <w:szCs w:val="18"/>
              </w:rPr>
            </w:pPr>
          </w:p>
        </w:tc>
        <w:tc>
          <w:tcPr>
            <w:tcW w:w="4995" w:type="dxa"/>
            <w:gridSpan w:val="3"/>
            <w:shd w:val="clear" w:color="auto" w:fill="auto"/>
            <w:tcMar>
              <w:top w:w="15" w:type="dxa"/>
              <w:left w:w="15" w:type="dxa"/>
              <w:right w:w="15" w:type="dxa"/>
            </w:tcMar>
            <w:vAlign w:val="center"/>
          </w:tcPr>
          <w:p>
            <w:pPr>
              <w:jc w:val="center"/>
              <w:textAlignment w:val="center"/>
              <w:rPr>
                <w:rFonts w:ascii="Times New Roman" w:hAnsi="Times New Roman" w:cs="Times New Roman"/>
                <w:sz w:val="18"/>
                <w:szCs w:val="18"/>
                <w:lang w:eastAsia="zh-CN"/>
              </w:rPr>
            </w:pPr>
            <w:r>
              <w:rPr>
                <w:rStyle w:val="85"/>
                <w:rFonts w:hint="default" w:ascii="Times New Roman" w:hAnsi="Times New Roman" w:cs="Times New Roman"/>
                <w:lang w:eastAsia="zh-CN"/>
              </w:rPr>
              <w:t>避让</w:t>
            </w:r>
            <w:r>
              <w:rPr>
                <w:rStyle w:val="87"/>
                <w:lang w:eastAsia="zh-CN"/>
              </w:rPr>
              <w:t xml:space="preserve">       </w:t>
            </w:r>
            <w:r>
              <w:rPr>
                <w:rStyle w:val="85"/>
                <w:rFonts w:hint="default" w:ascii="Times New Roman" w:hAnsi="Times New Roman" w:cs="Times New Roman"/>
                <w:lang w:eastAsia="zh-CN"/>
              </w:rPr>
              <w:t>减缓</w:t>
            </w:r>
            <w:r>
              <w:rPr>
                <w:rStyle w:val="87"/>
                <w:lang w:eastAsia="zh-CN"/>
              </w:rPr>
              <w:t xml:space="preserve">         </w:t>
            </w:r>
            <w:r>
              <w:rPr>
                <w:rStyle w:val="85"/>
                <w:rFonts w:hint="default" w:ascii="Times New Roman" w:hAnsi="Times New Roman" w:cs="Times New Roman"/>
                <w:lang w:eastAsia="zh-CN"/>
              </w:rPr>
              <w:t>补偿</w:t>
            </w:r>
            <w:r>
              <w:rPr>
                <w:rStyle w:val="87"/>
                <w:lang w:eastAsia="zh-CN"/>
              </w:rPr>
              <w:t xml:space="preserve">        </w:t>
            </w:r>
            <w:r>
              <w:rPr>
                <w:rStyle w:val="85"/>
                <w:rFonts w:hint="default" w:ascii="Times New Roman" w:hAnsi="Times New Roman" w:cs="Times New Roman"/>
                <w:lang w:eastAsia="zh-CN"/>
              </w:rPr>
              <w:t>重建（多选）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jc w:val="center"/>
        </w:trPr>
        <w:tc>
          <w:tcPr>
            <w:tcW w:w="20961" w:type="dxa"/>
            <w:gridSpan w:val="14"/>
            <w:shd w:val="clear" w:color="auto" w:fill="auto"/>
            <w:tcMar>
              <w:top w:w="15" w:type="dxa"/>
              <w:left w:w="15" w:type="dxa"/>
              <w:right w:w="15" w:type="dxa"/>
            </w:tcMar>
            <w:vAlign w:val="center"/>
          </w:tcPr>
          <w:p>
            <w:pPr>
              <w:jc w:val="center"/>
              <w:rPr>
                <w:rStyle w:val="90"/>
                <w:rFonts w:hint="default" w:ascii="Times New Roman" w:hAnsi="Times New Roman" w:cs="Times New Roman"/>
                <w:lang w:eastAsia="zh-CN"/>
              </w:rPr>
            </w:pPr>
            <w:r>
              <w:rPr>
                <w:rStyle w:val="90"/>
                <w:rFonts w:hint="default" w:ascii="Times New Roman" w:hAnsi="Times New Roman" w:cs="Times New Roman"/>
                <w:lang w:eastAsia="zh-CN"/>
              </w:rPr>
              <w:t>注：</w:t>
            </w:r>
            <w:r>
              <w:rPr>
                <w:rFonts w:ascii="Times New Roman" w:hAnsi="Times New Roman" w:cs="Times New Roman"/>
                <w:sz w:val="16"/>
                <w:szCs w:val="16"/>
                <w:lang w:eastAsia="zh-CN"/>
              </w:rPr>
              <w:t>1</w:t>
            </w:r>
            <w:r>
              <w:rPr>
                <w:rStyle w:val="90"/>
                <w:rFonts w:hint="default" w:ascii="Times New Roman" w:hAnsi="Times New Roman" w:cs="Times New Roman"/>
                <w:lang w:eastAsia="zh-CN"/>
              </w:rPr>
              <w:t>、同级经济部门审批核发的唯一项目代码</w:t>
            </w:r>
          </w:p>
          <w:p>
            <w:pPr>
              <w:jc w:val="center"/>
              <w:rPr>
                <w:rFonts w:ascii="Times New Roman" w:hAnsi="Times New Roman" w:cs="Times New Roman"/>
                <w:sz w:val="18"/>
                <w:szCs w:val="18"/>
                <w:lang w:eastAsia="zh-CN"/>
              </w:rPr>
            </w:pPr>
            <w:r>
              <w:rPr>
                <w:rFonts w:ascii="Times New Roman" w:hAnsi="Times New Roman" w:cs="Times New Roman"/>
                <w:sz w:val="16"/>
                <w:szCs w:val="16"/>
                <w:lang w:eastAsia="zh-CN"/>
              </w:rPr>
              <w:t>2</w:t>
            </w:r>
            <w:r>
              <w:rPr>
                <w:rStyle w:val="90"/>
                <w:rFonts w:hint="default" w:ascii="Times New Roman" w:hAnsi="Times New Roman" w:cs="Times New Roman"/>
                <w:lang w:eastAsia="zh-CN"/>
              </w:rPr>
              <w:t>、分类依据：国民经济行业分类</w:t>
            </w:r>
            <w:r>
              <w:rPr>
                <w:rFonts w:ascii="Times New Roman" w:hAnsi="Times New Roman" w:cs="Times New Roman"/>
                <w:sz w:val="16"/>
                <w:szCs w:val="16"/>
                <w:lang w:eastAsia="zh-CN"/>
              </w:rPr>
              <w:t>(GB/T 4754-2011)</w:t>
            </w:r>
          </w:p>
          <w:p>
            <w:pPr>
              <w:jc w:val="center"/>
              <w:rPr>
                <w:rFonts w:ascii="Times New Roman" w:hAnsi="Times New Roman" w:cs="Times New Roman"/>
                <w:sz w:val="18"/>
                <w:szCs w:val="18"/>
                <w:lang w:eastAsia="zh-CN"/>
              </w:rPr>
            </w:pPr>
            <w:r>
              <w:rPr>
                <w:rFonts w:ascii="Times New Roman" w:hAnsi="Times New Roman" w:cs="Times New Roman"/>
                <w:sz w:val="16"/>
                <w:szCs w:val="16"/>
                <w:lang w:eastAsia="zh-CN"/>
              </w:rPr>
              <w:t>3</w:t>
            </w:r>
            <w:r>
              <w:rPr>
                <w:rStyle w:val="90"/>
                <w:rFonts w:hint="default" w:ascii="Times New Roman" w:hAnsi="Times New Roman" w:cs="Times New Roman"/>
                <w:lang w:eastAsia="zh-CN"/>
              </w:rPr>
              <w:t>、对多点项目仅提供主体工程的中心坐标</w:t>
            </w:r>
          </w:p>
          <w:p>
            <w:pPr>
              <w:jc w:val="center"/>
              <w:rPr>
                <w:rFonts w:ascii="Times New Roman" w:hAnsi="Times New Roman" w:cs="Times New Roman"/>
                <w:sz w:val="18"/>
                <w:szCs w:val="18"/>
                <w:lang w:eastAsia="zh-CN"/>
              </w:rPr>
            </w:pPr>
            <w:r>
              <w:rPr>
                <w:rFonts w:ascii="Times New Roman" w:hAnsi="Times New Roman" w:cs="Times New Roman"/>
                <w:sz w:val="16"/>
                <w:szCs w:val="16"/>
                <w:lang w:eastAsia="zh-CN"/>
              </w:rPr>
              <w:t>4</w:t>
            </w:r>
            <w:r>
              <w:rPr>
                <w:rStyle w:val="90"/>
                <w:rFonts w:hint="default" w:ascii="Times New Roman" w:hAnsi="Times New Roman" w:cs="Times New Roman"/>
                <w:lang w:eastAsia="zh-CN"/>
              </w:rPr>
              <w:t>、指该项目所在区域通过</w:t>
            </w:r>
            <w:r>
              <w:rPr>
                <w:rFonts w:ascii="Times New Roman" w:hAnsi="Times New Roman" w:cs="Times New Roman"/>
                <w:sz w:val="16"/>
                <w:szCs w:val="16"/>
                <w:lang w:eastAsia="zh-CN"/>
              </w:rPr>
              <w:t>“</w:t>
            </w:r>
            <w:r>
              <w:rPr>
                <w:rStyle w:val="90"/>
                <w:rFonts w:hint="default" w:ascii="Times New Roman" w:hAnsi="Times New Roman" w:cs="Times New Roman"/>
                <w:lang w:eastAsia="zh-CN"/>
              </w:rPr>
              <w:t>区域平衡</w:t>
            </w:r>
            <w:r>
              <w:rPr>
                <w:rFonts w:ascii="Times New Roman" w:hAnsi="Times New Roman" w:cs="Times New Roman"/>
                <w:sz w:val="16"/>
                <w:szCs w:val="16"/>
                <w:lang w:eastAsia="zh-CN"/>
              </w:rPr>
              <w:t>”</w:t>
            </w:r>
            <w:r>
              <w:rPr>
                <w:rStyle w:val="90"/>
                <w:rFonts w:hint="default" w:ascii="Times New Roman" w:hAnsi="Times New Roman" w:cs="Times New Roman"/>
                <w:lang w:eastAsia="zh-CN"/>
              </w:rPr>
              <w:t>专为本工程替代削减的量</w:t>
            </w:r>
          </w:p>
          <w:p>
            <w:pPr>
              <w:jc w:val="center"/>
              <w:rPr>
                <w:rFonts w:ascii="Times New Roman" w:hAnsi="Times New Roman" w:cs="Times New Roman"/>
                <w:sz w:val="18"/>
                <w:szCs w:val="18"/>
              </w:rPr>
            </w:pPr>
            <w:r>
              <w:rPr>
                <w:rFonts w:ascii="Times New Roman" w:hAnsi="Times New Roman" w:cs="Times New Roman"/>
                <w:sz w:val="16"/>
                <w:szCs w:val="16"/>
              </w:rPr>
              <w:t>5</w:t>
            </w:r>
            <w:r>
              <w:rPr>
                <w:rStyle w:val="90"/>
                <w:rFonts w:hint="default" w:ascii="Times New Roman" w:hAnsi="Times New Roman" w:cs="Times New Roman"/>
              </w:rPr>
              <w:t>、⑦＝③－④－⑤，⑥＝②－④＋③</w:t>
            </w:r>
          </w:p>
        </w:tc>
      </w:tr>
    </w:tbl>
    <w:p>
      <w:pPr>
        <w:jc w:val="center"/>
        <w:rPr>
          <w:lang w:eastAsia="zh-CN"/>
        </w:rPr>
        <w:sectPr>
          <w:pgSz w:w="23814" w:h="16839"/>
          <w:pgMar w:top="1080" w:right="1440" w:bottom="1080" w:left="1440" w:header="708" w:footer="709" w:gutter="0"/>
          <w:pgNumType w:chapStyle="1"/>
          <w:cols w:space="0" w:num="1"/>
          <w:docGrid w:linePitch="360" w:charSpace="0"/>
        </w:sectPr>
      </w:pPr>
    </w:p>
    <w:p>
      <w:pPr>
        <w:rPr>
          <w:lang w:eastAsia="zh-CN"/>
        </w:rPr>
      </w:pPr>
    </w:p>
    <w:sectPr>
      <w:pgSz w:w="12240" w:h="15840"/>
      <w:pgMar w:top="1440" w:right="1800" w:bottom="1440" w:left="1560" w:header="708" w:footer="708" w:gutter="0"/>
      <w:pgNumType w:chapStyle="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思源黑体 CN ExtraLight">
    <w:altName w:val="Meiryo"/>
    <w:panose1 w:val="00000000000000000000"/>
    <w:charset w:val="80"/>
    <w:family w:val="swiss"/>
    <w:pitch w:val="default"/>
    <w:sig w:usb0="00000000" w:usb1="00000000" w:usb2="00000000" w:usb3="00000000" w:csb0="00000000" w:csb1="00000000"/>
  </w:font>
  <w:font w:name="Batang">
    <w:panose1 w:val="02030600000101010101"/>
    <w:charset w:val="81"/>
    <w:family w:val="roman"/>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Meiryo">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4320"/>
        <w:tab w:val="clear" w:pos="8640"/>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4320"/>
        <w:tab w:val="clear" w:pos="8640"/>
      </w:tabs>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3"/>
        <w:tab w:val="right" w:pos="8306"/>
        <w:tab w:val="clear" w:pos="4320"/>
        <w:tab w:val="clear" w:pos="8640"/>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535"/>
        <w:tab w:val="clear" w:pos="4320"/>
        <w:tab w:val="clear" w:pos="8640"/>
      </w:tabs>
      <w:jc w:val="both"/>
      <w:rPr>
        <w:rFonts w:ascii="楷体" w:eastAsia="楷体"/>
      </w:rPr>
    </w:pPr>
    <w:r>
      <w:rPr>
        <w:rFonts w:hint="eastAsia" w:ascii="楷体" w:eastAsia="楷体"/>
      </w:rPr>
      <w:tab/>
    </w:r>
    <w:r>
      <w:rPr>
        <w:rFonts w:hint="eastAsia" w:ascii="楷体" w:eastAsia="楷体"/>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58968"/>
    </w:sdtPr>
    <w:sdtContent>
      <w:p>
        <w:pPr>
          <w:pStyle w:val="20"/>
          <w:jc w:val="center"/>
        </w:pPr>
        <w:r>
          <w:fldChar w:fldCharType="begin"/>
        </w:r>
        <w:r>
          <w:instrText xml:space="preserve"> PAGE   \* MERGEFORMAT </w:instrText>
        </w:r>
        <w:r>
          <w:fldChar w:fldCharType="separate"/>
        </w:r>
        <w:r>
          <w:rPr>
            <w:lang w:val="zh-CN"/>
          </w:rPr>
          <w:t>54</w:t>
        </w:r>
        <w:r>
          <w:rPr>
            <w:lang w:val="zh-CN"/>
          </w:rPr>
          <w:fldChar w:fldCharType="end"/>
        </w:r>
      </w:p>
    </w:sdtContent>
  </w:sdt>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3"/>
        <w:tab w:val="right" w:pos="8306"/>
        <w:tab w:val="clear" w:pos="4320"/>
        <w:tab w:val="clear" w:pos="8640"/>
      </w:tabs>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3836"/>
        <w:tab w:val="clear" w:pos="4320"/>
        <w:tab w:val="clear" w:pos="8640"/>
      </w:tabs>
      <w:rPr>
        <w:lang w:eastAsia="zh-CN"/>
      </w:rPr>
    </w:pPr>
  </w:p>
  <w:p>
    <w:pPr>
      <w:pStyle w:val="21"/>
      <w:tabs>
        <w:tab w:val="left" w:pos="3836"/>
        <w:tab w:val="clear" w:pos="4320"/>
        <w:tab w:val="clear" w:pos="8640"/>
      </w:tabs>
      <w:rPr>
        <w:lang w:eastAsia="zh-CN"/>
      </w:rPr>
    </w:pPr>
  </w:p>
  <w:p>
    <w:pPr>
      <w:pStyle w:val="21"/>
      <w:tabs>
        <w:tab w:val="left" w:pos="3836"/>
        <w:tab w:val="clear" w:pos="4320"/>
        <w:tab w:val="clear" w:pos="8640"/>
      </w:tabs>
      <w:rPr>
        <w:lang w:eastAsia="zh-CN"/>
      </w:rPr>
    </w:pPr>
  </w:p>
  <w:p>
    <w:pPr>
      <w:pStyle w:val="21"/>
      <w:tabs>
        <w:tab w:val="left" w:pos="3836"/>
        <w:tab w:val="clear" w:pos="4320"/>
        <w:tab w:val="clear" w:pos="8640"/>
      </w:tabs>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36F6"/>
    <w:multiLevelType w:val="multilevel"/>
    <w:tmpl w:val="0EBA36F6"/>
    <w:lvl w:ilvl="0" w:tentative="0">
      <w:start w:val="1"/>
      <w:numFmt w:val="decimal"/>
      <w:lvlText w:val="(%1)"/>
      <w:lvlJc w:val="left"/>
      <w:pPr>
        <w:tabs>
          <w:tab w:val="left" w:pos="839"/>
        </w:tabs>
        <w:ind w:left="0"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DC550FF"/>
    <w:multiLevelType w:val="multilevel"/>
    <w:tmpl w:val="1DC550FF"/>
    <w:lvl w:ilvl="0" w:tentative="0">
      <w:start w:val="1"/>
      <w:numFmt w:val="decimal"/>
      <w:lvlText w:val="(%1)"/>
      <w:lvlJc w:val="left"/>
      <w:pPr>
        <w:tabs>
          <w:tab w:val="left" w:pos="137"/>
        </w:tabs>
        <w:ind w:left="-147"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16E218B"/>
    <w:multiLevelType w:val="multilevel"/>
    <w:tmpl w:val="216E218B"/>
    <w:lvl w:ilvl="0" w:tentative="0">
      <w:start w:val="1"/>
      <w:numFmt w:val="decimal"/>
      <w:lvlText w:val="(%1)"/>
      <w:lvlJc w:val="left"/>
      <w:pPr>
        <w:ind w:left="900" w:hanging="420"/>
      </w:pPr>
      <w:rPr>
        <w:rFonts w:hint="eastAsia"/>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26B21E1"/>
    <w:multiLevelType w:val="multilevel"/>
    <w:tmpl w:val="226B21E1"/>
    <w:lvl w:ilvl="0" w:tentative="0">
      <w:start w:val="1"/>
      <w:numFmt w:val="decimal"/>
      <w:lvlText w:val="%1、"/>
      <w:lvlJc w:val="left"/>
      <w:pPr>
        <w:ind w:left="988" w:hanging="420"/>
      </w:pPr>
      <w:rPr>
        <w:rFonts w:hint="default" w:ascii="Times New Roman" w:hAnsi="Times New Roman" w:eastAsia="宋体" w:cs="Times New Roman"/>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4">
    <w:nsid w:val="2E5C3193"/>
    <w:multiLevelType w:val="multilevel"/>
    <w:tmpl w:val="2E5C3193"/>
    <w:lvl w:ilvl="0" w:tentative="0">
      <w:start w:val="1"/>
      <w:numFmt w:val="decimal"/>
      <w:lvlText w:val="(%1)"/>
      <w:lvlJc w:val="left"/>
      <w:pPr>
        <w:tabs>
          <w:tab w:val="left" w:pos="839"/>
        </w:tabs>
        <w:ind w:left="0" w:firstLine="420"/>
      </w:pPr>
      <w:rPr>
        <w:rFonts w:hint="eastAsia"/>
      </w:rPr>
    </w:lvl>
    <w:lvl w:ilvl="1" w:tentative="0">
      <w:start w:val="1"/>
      <w:numFmt w:val="lowerLetter"/>
      <w:lvlText w:val="%2)"/>
      <w:lvlJc w:val="left"/>
      <w:pPr>
        <w:tabs>
          <w:tab w:val="left" w:pos="693"/>
        </w:tabs>
        <w:ind w:left="693" w:hanging="420"/>
      </w:pPr>
    </w:lvl>
    <w:lvl w:ilvl="2" w:tentative="0">
      <w:start w:val="1"/>
      <w:numFmt w:val="lowerRoman"/>
      <w:lvlText w:val="%3."/>
      <w:lvlJc w:val="right"/>
      <w:pPr>
        <w:tabs>
          <w:tab w:val="left" w:pos="1113"/>
        </w:tabs>
        <w:ind w:left="1113" w:hanging="420"/>
      </w:pPr>
    </w:lvl>
    <w:lvl w:ilvl="3" w:tentative="0">
      <w:start w:val="1"/>
      <w:numFmt w:val="decimal"/>
      <w:lvlText w:val="%4."/>
      <w:lvlJc w:val="left"/>
      <w:pPr>
        <w:tabs>
          <w:tab w:val="left" w:pos="1533"/>
        </w:tabs>
        <w:ind w:left="1533" w:hanging="420"/>
      </w:pPr>
    </w:lvl>
    <w:lvl w:ilvl="4" w:tentative="0">
      <w:start w:val="1"/>
      <w:numFmt w:val="lowerLetter"/>
      <w:lvlText w:val="%5)"/>
      <w:lvlJc w:val="left"/>
      <w:pPr>
        <w:tabs>
          <w:tab w:val="left" w:pos="1953"/>
        </w:tabs>
        <w:ind w:left="1953" w:hanging="420"/>
      </w:pPr>
    </w:lvl>
    <w:lvl w:ilvl="5" w:tentative="0">
      <w:start w:val="1"/>
      <w:numFmt w:val="lowerRoman"/>
      <w:lvlText w:val="%6."/>
      <w:lvlJc w:val="right"/>
      <w:pPr>
        <w:tabs>
          <w:tab w:val="left" w:pos="2373"/>
        </w:tabs>
        <w:ind w:left="2373" w:hanging="420"/>
      </w:pPr>
    </w:lvl>
    <w:lvl w:ilvl="6" w:tentative="0">
      <w:start w:val="1"/>
      <w:numFmt w:val="decimal"/>
      <w:lvlText w:val="%7."/>
      <w:lvlJc w:val="left"/>
      <w:pPr>
        <w:tabs>
          <w:tab w:val="left" w:pos="2793"/>
        </w:tabs>
        <w:ind w:left="2793" w:hanging="420"/>
      </w:pPr>
    </w:lvl>
    <w:lvl w:ilvl="7" w:tentative="0">
      <w:start w:val="1"/>
      <w:numFmt w:val="lowerLetter"/>
      <w:lvlText w:val="%8)"/>
      <w:lvlJc w:val="left"/>
      <w:pPr>
        <w:tabs>
          <w:tab w:val="left" w:pos="3213"/>
        </w:tabs>
        <w:ind w:left="3213" w:hanging="420"/>
      </w:pPr>
    </w:lvl>
    <w:lvl w:ilvl="8" w:tentative="0">
      <w:start w:val="1"/>
      <w:numFmt w:val="lowerRoman"/>
      <w:lvlText w:val="%9."/>
      <w:lvlJc w:val="right"/>
      <w:pPr>
        <w:tabs>
          <w:tab w:val="left" w:pos="3633"/>
        </w:tabs>
        <w:ind w:left="3633" w:hanging="420"/>
      </w:pPr>
    </w:lvl>
  </w:abstractNum>
  <w:abstractNum w:abstractNumId="5">
    <w:nsid w:val="3A2B403E"/>
    <w:multiLevelType w:val="multilevel"/>
    <w:tmpl w:val="3A2B403E"/>
    <w:lvl w:ilvl="0" w:tentative="0">
      <w:start w:val="1"/>
      <w:numFmt w:val="decimal"/>
      <w:lvlText w:val="(%1)"/>
      <w:lvlJc w:val="left"/>
      <w:pPr>
        <w:tabs>
          <w:tab w:val="left" w:pos="839"/>
        </w:tabs>
        <w:ind w:left="0" w:firstLine="420"/>
      </w:pPr>
      <w:rPr>
        <w:rFonts w:hint="eastAsia"/>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E792AAB"/>
    <w:multiLevelType w:val="multilevel"/>
    <w:tmpl w:val="4E792AAB"/>
    <w:lvl w:ilvl="0" w:tentative="0">
      <w:start w:val="1"/>
      <w:numFmt w:val="decimalEnclosedCircle"/>
      <w:lvlText w:val="%1"/>
      <w:lvlJc w:val="left"/>
      <w:pPr>
        <w:ind w:left="785" w:hanging="360"/>
      </w:pPr>
      <w:rPr>
        <w:rFonts w:hint="default" w:ascii="宋体" w:hAnsi="宋体" w:cs="宋体"/>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59346994"/>
    <w:multiLevelType w:val="multilevel"/>
    <w:tmpl w:val="59346994"/>
    <w:lvl w:ilvl="0" w:tentative="0">
      <w:start w:val="1"/>
      <w:numFmt w:val="decimal"/>
      <w:lvlText w:val="(%1)"/>
      <w:lvlJc w:val="left"/>
      <w:pPr>
        <w:tabs>
          <w:tab w:val="left" w:pos="839"/>
        </w:tabs>
        <w:ind w:left="0" w:firstLine="420"/>
      </w:pPr>
      <w:rPr>
        <w:rFonts w:hint="eastAsia"/>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3265C04"/>
    <w:multiLevelType w:val="multilevel"/>
    <w:tmpl w:val="73265C04"/>
    <w:lvl w:ilvl="0" w:tentative="0">
      <w:start w:val="1"/>
      <w:numFmt w:val="decimalEnclosedCircle"/>
      <w:lvlText w:val="%1"/>
      <w:lvlJc w:val="left"/>
      <w:pPr>
        <w:ind w:left="928" w:hanging="360"/>
      </w:pPr>
      <w:rPr>
        <w:rFonts w:hint="default"/>
      </w:rPr>
    </w:lvl>
    <w:lvl w:ilvl="1" w:tentative="0">
      <w:start w:val="1"/>
      <w:numFmt w:val="lowerLetter"/>
      <w:lvlText w:val="%2."/>
      <w:lvlJc w:val="left"/>
      <w:pPr>
        <w:ind w:left="1425" w:hanging="360"/>
      </w:pPr>
    </w:lvl>
    <w:lvl w:ilvl="2" w:tentative="0">
      <w:start w:val="1"/>
      <w:numFmt w:val="lowerRoman"/>
      <w:lvlText w:val="%3."/>
      <w:lvlJc w:val="right"/>
      <w:pPr>
        <w:ind w:left="2145" w:hanging="180"/>
      </w:pPr>
    </w:lvl>
    <w:lvl w:ilvl="3" w:tentative="0">
      <w:start w:val="1"/>
      <w:numFmt w:val="decimal"/>
      <w:lvlText w:val="%4."/>
      <w:lvlJc w:val="left"/>
      <w:pPr>
        <w:ind w:left="2865" w:hanging="360"/>
      </w:pPr>
    </w:lvl>
    <w:lvl w:ilvl="4" w:tentative="0">
      <w:start w:val="1"/>
      <w:numFmt w:val="lowerLetter"/>
      <w:lvlText w:val="%5."/>
      <w:lvlJc w:val="left"/>
      <w:pPr>
        <w:ind w:left="3585" w:hanging="360"/>
      </w:pPr>
    </w:lvl>
    <w:lvl w:ilvl="5" w:tentative="0">
      <w:start w:val="1"/>
      <w:numFmt w:val="lowerRoman"/>
      <w:lvlText w:val="%6."/>
      <w:lvlJc w:val="right"/>
      <w:pPr>
        <w:ind w:left="4305" w:hanging="180"/>
      </w:pPr>
    </w:lvl>
    <w:lvl w:ilvl="6" w:tentative="0">
      <w:start w:val="1"/>
      <w:numFmt w:val="decimal"/>
      <w:lvlText w:val="%7."/>
      <w:lvlJc w:val="left"/>
      <w:pPr>
        <w:ind w:left="5025" w:hanging="360"/>
      </w:pPr>
    </w:lvl>
    <w:lvl w:ilvl="7" w:tentative="0">
      <w:start w:val="1"/>
      <w:numFmt w:val="lowerLetter"/>
      <w:lvlText w:val="%8."/>
      <w:lvlJc w:val="left"/>
      <w:pPr>
        <w:ind w:left="5745" w:hanging="360"/>
      </w:pPr>
    </w:lvl>
    <w:lvl w:ilvl="8" w:tentative="0">
      <w:start w:val="1"/>
      <w:numFmt w:val="lowerRoman"/>
      <w:lvlText w:val="%9."/>
      <w:lvlJc w:val="right"/>
      <w:pPr>
        <w:ind w:left="6465" w:hanging="180"/>
      </w:pPr>
    </w:lvl>
  </w:abstractNum>
  <w:abstractNum w:abstractNumId="9">
    <w:nsid w:val="77FC485F"/>
    <w:multiLevelType w:val="multilevel"/>
    <w:tmpl w:val="77FC485F"/>
    <w:lvl w:ilvl="0" w:tentative="0">
      <w:start w:val="1"/>
      <w:numFmt w:val="decimalEnclosedParen"/>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10">
    <w:nsid w:val="77FE1731"/>
    <w:multiLevelType w:val="singleLevel"/>
    <w:tmpl w:val="77FE1731"/>
    <w:lvl w:ilvl="0" w:tentative="0">
      <w:start w:val="3"/>
      <w:numFmt w:val="decimal"/>
      <w:suff w:val="nothing"/>
      <w:lvlText w:val="（%1）"/>
      <w:lvlJc w:val="left"/>
    </w:lvl>
  </w:abstractNum>
  <w:abstractNum w:abstractNumId="11">
    <w:nsid w:val="7DB734D5"/>
    <w:multiLevelType w:val="multilevel"/>
    <w:tmpl w:val="7DB734D5"/>
    <w:lvl w:ilvl="0" w:tentative="0">
      <w:start w:val="1"/>
      <w:numFmt w:val="decimal"/>
      <w:lvlText w:val="(%1)"/>
      <w:lvlJc w:val="left"/>
      <w:pPr>
        <w:tabs>
          <w:tab w:val="left" w:pos="953"/>
        </w:tabs>
        <w:ind w:left="0" w:firstLine="567"/>
      </w:pPr>
      <w:rPr>
        <w:rFonts w:hint="eastAsia"/>
      </w:rPr>
    </w:lvl>
    <w:lvl w:ilvl="1" w:tentative="0">
      <w:start w:val="1"/>
      <w:numFmt w:val="decimal"/>
      <w:lvlText w:val="(%2)"/>
      <w:lvlJc w:val="left"/>
      <w:pPr>
        <w:tabs>
          <w:tab w:val="left" w:pos="839"/>
        </w:tabs>
        <w:ind w:left="0" w:firstLine="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1"/>
  </w:num>
  <w:num w:numId="3">
    <w:abstractNumId w:val="4"/>
  </w:num>
  <w:num w:numId="4">
    <w:abstractNumId w:val="0"/>
  </w:num>
  <w:num w:numId="5">
    <w:abstractNumId w:val="5"/>
  </w:num>
  <w:num w:numId="6">
    <w:abstractNumId w:val="1"/>
  </w:num>
  <w:num w:numId="7">
    <w:abstractNumId w:val="6"/>
  </w:num>
  <w:num w:numId="8">
    <w:abstractNumId w:val="7"/>
  </w:num>
  <w:num w:numId="9">
    <w:abstractNumId w:val="2"/>
  </w:num>
  <w:num w:numId="10">
    <w:abstractNumId w:val="8"/>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720"/>
  <w:drawingGridHorizontalSpacing w:val="110"/>
  <w:displayHorizontalDrawingGridEvery w:val="2"/>
  <w:noPunctuationKerning w:val="1"/>
  <w:characterSpacingControl w:val="doNotCompress"/>
  <w:compat>
    <w:doNotExpandShiftReturn/>
    <w:useFELayout/>
    <w:compatSetting w:name="compatibilityMode" w:uri="http://schemas.microsoft.com/office/word" w:val="12"/>
  </w:compat>
  <w:rsids>
    <w:rsidRoot w:val="00DE21D9"/>
    <w:rsid w:val="00005A0E"/>
    <w:rsid w:val="000105E0"/>
    <w:rsid w:val="00011043"/>
    <w:rsid w:val="00012EEC"/>
    <w:rsid w:val="00013059"/>
    <w:rsid w:val="00013BEB"/>
    <w:rsid w:val="00015058"/>
    <w:rsid w:val="000167DE"/>
    <w:rsid w:val="00021920"/>
    <w:rsid w:val="00030699"/>
    <w:rsid w:val="0003075B"/>
    <w:rsid w:val="00031023"/>
    <w:rsid w:val="00032ABE"/>
    <w:rsid w:val="0003318A"/>
    <w:rsid w:val="000360A2"/>
    <w:rsid w:val="000409A7"/>
    <w:rsid w:val="00044ADF"/>
    <w:rsid w:val="00050250"/>
    <w:rsid w:val="00052798"/>
    <w:rsid w:val="00053282"/>
    <w:rsid w:val="00055919"/>
    <w:rsid w:val="00055E03"/>
    <w:rsid w:val="00061076"/>
    <w:rsid w:val="000619F0"/>
    <w:rsid w:val="00065218"/>
    <w:rsid w:val="0007113D"/>
    <w:rsid w:val="000727D5"/>
    <w:rsid w:val="00072FBB"/>
    <w:rsid w:val="00075FC4"/>
    <w:rsid w:val="00076175"/>
    <w:rsid w:val="0008241D"/>
    <w:rsid w:val="00083001"/>
    <w:rsid w:val="0008386F"/>
    <w:rsid w:val="0008432F"/>
    <w:rsid w:val="0009424A"/>
    <w:rsid w:val="000A3FC5"/>
    <w:rsid w:val="000A5C47"/>
    <w:rsid w:val="000B1C5D"/>
    <w:rsid w:val="000B6507"/>
    <w:rsid w:val="000C2B7D"/>
    <w:rsid w:val="000C761F"/>
    <w:rsid w:val="000D4703"/>
    <w:rsid w:val="000D4C8F"/>
    <w:rsid w:val="000E0F91"/>
    <w:rsid w:val="000E13E6"/>
    <w:rsid w:val="000E3874"/>
    <w:rsid w:val="000E7BFA"/>
    <w:rsid w:val="000F39D1"/>
    <w:rsid w:val="000F4EB4"/>
    <w:rsid w:val="00100F30"/>
    <w:rsid w:val="001015F4"/>
    <w:rsid w:val="0010510F"/>
    <w:rsid w:val="001052E4"/>
    <w:rsid w:val="00106072"/>
    <w:rsid w:val="00110F9A"/>
    <w:rsid w:val="001114E6"/>
    <w:rsid w:val="00113754"/>
    <w:rsid w:val="00115FAD"/>
    <w:rsid w:val="00116B86"/>
    <w:rsid w:val="001200FD"/>
    <w:rsid w:val="00124A6C"/>
    <w:rsid w:val="0012730B"/>
    <w:rsid w:val="00130344"/>
    <w:rsid w:val="0013299B"/>
    <w:rsid w:val="00140ADC"/>
    <w:rsid w:val="00143BDC"/>
    <w:rsid w:val="00154B7D"/>
    <w:rsid w:val="00155A54"/>
    <w:rsid w:val="001600A7"/>
    <w:rsid w:val="00161428"/>
    <w:rsid w:val="001656EE"/>
    <w:rsid w:val="00176562"/>
    <w:rsid w:val="001775F7"/>
    <w:rsid w:val="00177703"/>
    <w:rsid w:val="0018148A"/>
    <w:rsid w:val="00190901"/>
    <w:rsid w:val="0019099F"/>
    <w:rsid w:val="00192D73"/>
    <w:rsid w:val="001A059E"/>
    <w:rsid w:val="001A69F3"/>
    <w:rsid w:val="001B1193"/>
    <w:rsid w:val="001B1D2B"/>
    <w:rsid w:val="001C16D5"/>
    <w:rsid w:val="001C3516"/>
    <w:rsid w:val="001C48D1"/>
    <w:rsid w:val="001C6CA3"/>
    <w:rsid w:val="001D0ECB"/>
    <w:rsid w:val="001D5C51"/>
    <w:rsid w:val="001D74CE"/>
    <w:rsid w:val="001F3557"/>
    <w:rsid w:val="001F6B12"/>
    <w:rsid w:val="00202D2E"/>
    <w:rsid w:val="00203021"/>
    <w:rsid w:val="002041C1"/>
    <w:rsid w:val="00210568"/>
    <w:rsid w:val="00213C66"/>
    <w:rsid w:val="00214A6B"/>
    <w:rsid w:val="00222BEA"/>
    <w:rsid w:val="0022359B"/>
    <w:rsid w:val="002329C2"/>
    <w:rsid w:val="002361A6"/>
    <w:rsid w:val="00236660"/>
    <w:rsid w:val="00236E1B"/>
    <w:rsid w:val="00240B02"/>
    <w:rsid w:val="00242A3C"/>
    <w:rsid w:val="0024373F"/>
    <w:rsid w:val="00245AFB"/>
    <w:rsid w:val="00246002"/>
    <w:rsid w:val="002474C5"/>
    <w:rsid w:val="002517F5"/>
    <w:rsid w:val="00252025"/>
    <w:rsid w:val="00283D46"/>
    <w:rsid w:val="002864DA"/>
    <w:rsid w:val="0028788B"/>
    <w:rsid w:val="00287A5A"/>
    <w:rsid w:val="00291141"/>
    <w:rsid w:val="0029365B"/>
    <w:rsid w:val="002B00D0"/>
    <w:rsid w:val="002C1027"/>
    <w:rsid w:val="002C11EF"/>
    <w:rsid w:val="002C188F"/>
    <w:rsid w:val="002C2C96"/>
    <w:rsid w:val="002D0BA9"/>
    <w:rsid w:val="002D1581"/>
    <w:rsid w:val="002D2CCC"/>
    <w:rsid w:val="002D5A8E"/>
    <w:rsid w:val="002E137E"/>
    <w:rsid w:val="002E215B"/>
    <w:rsid w:val="002E35FA"/>
    <w:rsid w:val="002E70EC"/>
    <w:rsid w:val="002E7441"/>
    <w:rsid w:val="002F2376"/>
    <w:rsid w:val="002F38FF"/>
    <w:rsid w:val="002F5D53"/>
    <w:rsid w:val="00312237"/>
    <w:rsid w:val="0032127C"/>
    <w:rsid w:val="00324D71"/>
    <w:rsid w:val="003251F6"/>
    <w:rsid w:val="00326C60"/>
    <w:rsid w:val="00326DF2"/>
    <w:rsid w:val="00333F3B"/>
    <w:rsid w:val="00337199"/>
    <w:rsid w:val="00337EF2"/>
    <w:rsid w:val="00341E59"/>
    <w:rsid w:val="003455F7"/>
    <w:rsid w:val="003614EE"/>
    <w:rsid w:val="00365E62"/>
    <w:rsid w:val="00370482"/>
    <w:rsid w:val="00372E20"/>
    <w:rsid w:val="003773F6"/>
    <w:rsid w:val="003845C4"/>
    <w:rsid w:val="00390B08"/>
    <w:rsid w:val="003935EC"/>
    <w:rsid w:val="0039449F"/>
    <w:rsid w:val="00394A6C"/>
    <w:rsid w:val="003967B3"/>
    <w:rsid w:val="003A2647"/>
    <w:rsid w:val="003A68CE"/>
    <w:rsid w:val="003B4295"/>
    <w:rsid w:val="003B61DD"/>
    <w:rsid w:val="003B77B0"/>
    <w:rsid w:val="003C08AE"/>
    <w:rsid w:val="003C1981"/>
    <w:rsid w:val="003C3A2D"/>
    <w:rsid w:val="003C6CCE"/>
    <w:rsid w:val="003C79F6"/>
    <w:rsid w:val="003D3DBE"/>
    <w:rsid w:val="003D410D"/>
    <w:rsid w:val="003D5CDE"/>
    <w:rsid w:val="003D6EE2"/>
    <w:rsid w:val="003E1DF3"/>
    <w:rsid w:val="003E1FF4"/>
    <w:rsid w:val="003E20D2"/>
    <w:rsid w:val="003E22B5"/>
    <w:rsid w:val="003E32E0"/>
    <w:rsid w:val="003E621A"/>
    <w:rsid w:val="003E651A"/>
    <w:rsid w:val="0040087D"/>
    <w:rsid w:val="004025CB"/>
    <w:rsid w:val="004055C6"/>
    <w:rsid w:val="00412D0E"/>
    <w:rsid w:val="00413C8F"/>
    <w:rsid w:val="00415D94"/>
    <w:rsid w:val="004211CD"/>
    <w:rsid w:val="004247BF"/>
    <w:rsid w:val="004249A1"/>
    <w:rsid w:val="00425208"/>
    <w:rsid w:val="00427C9E"/>
    <w:rsid w:val="00433629"/>
    <w:rsid w:val="00433F4C"/>
    <w:rsid w:val="00434ED3"/>
    <w:rsid w:val="00435B31"/>
    <w:rsid w:val="0044006B"/>
    <w:rsid w:val="00443577"/>
    <w:rsid w:val="00445D20"/>
    <w:rsid w:val="00445F1A"/>
    <w:rsid w:val="00450AE2"/>
    <w:rsid w:val="0045110A"/>
    <w:rsid w:val="0045344E"/>
    <w:rsid w:val="004569A1"/>
    <w:rsid w:val="00457001"/>
    <w:rsid w:val="004603AD"/>
    <w:rsid w:val="00460AE0"/>
    <w:rsid w:val="00462AA2"/>
    <w:rsid w:val="0046310F"/>
    <w:rsid w:val="0046478E"/>
    <w:rsid w:val="00465228"/>
    <w:rsid w:val="00476AA2"/>
    <w:rsid w:val="00480366"/>
    <w:rsid w:val="00486C4C"/>
    <w:rsid w:val="00486F5D"/>
    <w:rsid w:val="00487F94"/>
    <w:rsid w:val="00491552"/>
    <w:rsid w:val="004A15EC"/>
    <w:rsid w:val="004A7543"/>
    <w:rsid w:val="004B0739"/>
    <w:rsid w:val="004B081C"/>
    <w:rsid w:val="004B1FDB"/>
    <w:rsid w:val="004B3B66"/>
    <w:rsid w:val="004B5C54"/>
    <w:rsid w:val="004C5E29"/>
    <w:rsid w:val="004D31EB"/>
    <w:rsid w:val="004D448A"/>
    <w:rsid w:val="004D76AF"/>
    <w:rsid w:val="004E23BC"/>
    <w:rsid w:val="004E2859"/>
    <w:rsid w:val="004E2E44"/>
    <w:rsid w:val="004E4D09"/>
    <w:rsid w:val="004F682D"/>
    <w:rsid w:val="004F740A"/>
    <w:rsid w:val="00501DC0"/>
    <w:rsid w:val="00504129"/>
    <w:rsid w:val="005059EE"/>
    <w:rsid w:val="005137F7"/>
    <w:rsid w:val="00513B63"/>
    <w:rsid w:val="00514C30"/>
    <w:rsid w:val="00514FFC"/>
    <w:rsid w:val="00521148"/>
    <w:rsid w:val="005218FE"/>
    <w:rsid w:val="0052332C"/>
    <w:rsid w:val="00526A64"/>
    <w:rsid w:val="00531E32"/>
    <w:rsid w:val="005354D1"/>
    <w:rsid w:val="005424DA"/>
    <w:rsid w:val="00546254"/>
    <w:rsid w:val="00546E5D"/>
    <w:rsid w:val="00550DEC"/>
    <w:rsid w:val="00555BDC"/>
    <w:rsid w:val="00557659"/>
    <w:rsid w:val="005616E9"/>
    <w:rsid w:val="005619E6"/>
    <w:rsid w:val="005624CD"/>
    <w:rsid w:val="005669C3"/>
    <w:rsid w:val="0057395B"/>
    <w:rsid w:val="005778E6"/>
    <w:rsid w:val="00580F8C"/>
    <w:rsid w:val="00584D0C"/>
    <w:rsid w:val="00590FD8"/>
    <w:rsid w:val="00594DDD"/>
    <w:rsid w:val="00595048"/>
    <w:rsid w:val="00595A59"/>
    <w:rsid w:val="00595CD5"/>
    <w:rsid w:val="00597FCC"/>
    <w:rsid w:val="005A0851"/>
    <w:rsid w:val="005A158A"/>
    <w:rsid w:val="005A19D0"/>
    <w:rsid w:val="005A1E17"/>
    <w:rsid w:val="005B105A"/>
    <w:rsid w:val="005B53E6"/>
    <w:rsid w:val="005C200A"/>
    <w:rsid w:val="005C679E"/>
    <w:rsid w:val="005D107D"/>
    <w:rsid w:val="005D11F5"/>
    <w:rsid w:val="005D3679"/>
    <w:rsid w:val="005E06A3"/>
    <w:rsid w:val="005E7221"/>
    <w:rsid w:val="005F1677"/>
    <w:rsid w:val="005F3015"/>
    <w:rsid w:val="005F3DD0"/>
    <w:rsid w:val="005F5FCB"/>
    <w:rsid w:val="005F7E4C"/>
    <w:rsid w:val="00600F2E"/>
    <w:rsid w:val="0060208D"/>
    <w:rsid w:val="00605DF8"/>
    <w:rsid w:val="00612E6A"/>
    <w:rsid w:val="006175EA"/>
    <w:rsid w:val="0062003B"/>
    <w:rsid w:val="00620643"/>
    <w:rsid w:val="006223CB"/>
    <w:rsid w:val="0063066D"/>
    <w:rsid w:val="00635190"/>
    <w:rsid w:val="00635361"/>
    <w:rsid w:val="0063537B"/>
    <w:rsid w:val="00640067"/>
    <w:rsid w:val="00640A56"/>
    <w:rsid w:val="00642D49"/>
    <w:rsid w:val="006469D0"/>
    <w:rsid w:val="00650EC2"/>
    <w:rsid w:val="006557A3"/>
    <w:rsid w:val="00657869"/>
    <w:rsid w:val="00661424"/>
    <w:rsid w:val="0066332E"/>
    <w:rsid w:val="006678FF"/>
    <w:rsid w:val="00670891"/>
    <w:rsid w:val="006721EF"/>
    <w:rsid w:val="00674A3A"/>
    <w:rsid w:val="00675E49"/>
    <w:rsid w:val="00675E82"/>
    <w:rsid w:val="0067796A"/>
    <w:rsid w:val="006918CB"/>
    <w:rsid w:val="00695780"/>
    <w:rsid w:val="00697387"/>
    <w:rsid w:val="006A11B9"/>
    <w:rsid w:val="006A14EE"/>
    <w:rsid w:val="006A3183"/>
    <w:rsid w:val="006B1217"/>
    <w:rsid w:val="006B246B"/>
    <w:rsid w:val="006B4F36"/>
    <w:rsid w:val="006B54EF"/>
    <w:rsid w:val="006B60E5"/>
    <w:rsid w:val="006C1314"/>
    <w:rsid w:val="006D07CE"/>
    <w:rsid w:val="006E2446"/>
    <w:rsid w:val="006E6B9B"/>
    <w:rsid w:val="006F09ED"/>
    <w:rsid w:val="006F1F3B"/>
    <w:rsid w:val="006F6057"/>
    <w:rsid w:val="006F7B62"/>
    <w:rsid w:val="007009A8"/>
    <w:rsid w:val="0070205F"/>
    <w:rsid w:val="007069B7"/>
    <w:rsid w:val="0071023C"/>
    <w:rsid w:val="00711D06"/>
    <w:rsid w:val="007139C8"/>
    <w:rsid w:val="00716DDB"/>
    <w:rsid w:val="00720ACD"/>
    <w:rsid w:val="0072738D"/>
    <w:rsid w:val="007274F7"/>
    <w:rsid w:val="00730193"/>
    <w:rsid w:val="00731537"/>
    <w:rsid w:val="00731805"/>
    <w:rsid w:val="007332E8"/>
    <w:rsid w:val="0073415A"/>
    <w:rsid w:val="00734F91"/>
    <w:rsid w:val="00735E49"/>
    <w:rsid w:val="0074693D"/>
    <w:rsid w:val="0075505A"/>
    <w:rsid w:val="007629A9"/>
    <w:rsid w:val="0076399D"/>
    <w:rsid w:val="007639A6"/>
    <w:rsid w:val="00764C8B"/>
    <w:rsid w:val="00770468"/>
    <w:rsid w:val="00772DAF"/>
    <w:rsid w:val="00775418"/>
    <w:rsid w:val="00775689"/>
    <w:rsid w:val="00776A81"/>
    <w:rsid w:val="00780290"/>
    <w:rsid w:val="007836ED"/>
    <w:rsid w:val="007839BD"/>
    <w:rsid w:val="00784CC3"/>
    <w:rsid w:val="00791490"/>
    <w:rsid w:val="0079295B"/>
    <w:rsid w:val="007934E7"/>
    <w:rsid w:val="00797508"/>
    <w:rsid w:val="007A41FC"/>
    <w:rsid w:val="007C5EF3"/>
    <w:rsid w:val="007D1411"/>
    <w:rsid w:val="007D1AA2"/>
    <w:rsid w:val="007D4FDE"/>
    <w:rsid w:val="007D6701"/>
    <w:rsid w:val="007E47D2"/>
    <w:rsid w:val="007E7048"/>
    <w:rsid w:val="007F13A0"/>
    <w:rsid w:val="007F46D6"/>
    <w:rsid w:val="007F71A2"/>
    <w:rsid w:val="008022B6"/>
    <w:rsid w:val="008113CB"/>
    <w:rsid w:val="0081192A"/>
    <w:rsid w:val="00812BFA"/>
    <w:rsid w:val="00824880"/>
    <w:rsid w:val="00836179"/>
    <w:rsid w:val="0083658D"/>
    <w:rsid w:val="008413A1"/>
    <w:rsid w:val="0084301A"/>
    <w:rsid w:val="008449B5"/>
    <w:rsid w:val="00845EB3"/>
    <w:rsid w:val="00850DF7"/>
    <w:rsid w:val="00852344"/>
    <w:rsid w:val="008563A2"/>
    <w:rsid w:val="008576EB"/>
    <w:rsid w:val="008603A3"/>
    <w:rsid w:val="0086278E"/>
    <w:rsid w:val="00863182"/>
    <w:rsid w:val="00865193"/>
    <w:rsid w:val="00873515"/>
    <w:rsid w:val="008753A2"/>
    <w:rsid w:val="00876B46"/>
    <w:rsid w:val="00885C11"/>
    <w:rsid w:val="00886B9B"/>
    <w:rsid w:val="00891E70"/>
    <w:rsid w:val="008B4087"/>
    <w:rsid w:val="008C080E"/>
    <w:rsid w:val="008C1E33"/>
    <w:rsid w:val="008C3E0D"/>
    <w:rsid w:val="008C4701"/>
    <w:rsid w:val="008C5410"/>
    <w:rsid w:val="008C68D1"/>
    <w:rsid w:val="008D1778"/>
    <w:rsid w:val="008E2CAE"/>
    <w:rsid w:val="008E6F56"/>
    <w:rsid w:val="008F0E22"/>
    <w:rsid w:val="008F3D14"/>
    <w:rsid w:val="008F6331"/>
    <w:rsid w:val="008F64B3"/>
    <w:rsid w:val="00901E6A"/>
    <w:rsid w:val="00904197"/>
    <w:rsid w:val="00907D44"/>
    <w:rsid w:val="009110E1"/>
    <w:rsid w:val="00911AE2"/>
    <w:rsid w:val="00914E51"/>
    <w:rsid w:val="00914E8E"/>
    <w:rsid w:val="009152E9"/>
    <w:rsid w:val="0092007C"/>
    <w:rsid w:val="00923ED9"/>
    <w:rsid w:val="0093030E"/>
    <w:rsid w:val="00931583"/>
    <w:rsid w:val="00933A24"/>
    <w:rsid w:val="00935321"/>
    <w:rsid w:val="00936A41"/>
    <w:rsid w:val="00941430"/>
    <w:rsid w:val="009508CB"/>
    <w:rsid w:val="00953D47"/>
    <w:rsid w:val="009565E7"/>
    <w:rsid w:val="009567C7"/>
    <w:rsid w:val="00957D7A"/>
    <w:rsid w:val="00961D31"/>
    <w:rsid w:val="00965A3A"/>
    <w:rsid w:val="00967C85"/>
    <w:rsid w:val="00976017"/>
    <w:rsid w:val="00976F8C"/>
    <w:rsid w:val="00977A16"/>
    <w:rsid w:val="00977B1C"/>
    <w:rsid w:val="00980DDD"/>
    <w:rsid w:val="00984F0A"/>
    <w:rsid w:val="00985441"/>
    <w:rsid w:val="00987B5B"/>
    <w:rsid w:val="00992624"/>
    <w:rsid w:val="00996883"/>
    <w:rsid w:val="009A0E0D"/>
    <w:rsid w:val="009A42C7"/>
    <w:rsid w:val="009C0168"/>
    <w:rsid w:val="009C3A06"/>
    <w:rsid w:val="009C4B5D"/>
    <w:rsid w:val="009D3213"/>
    <w:rsid w:val="009D40AE"/>
    <w:rsid w:val="009D5F1A"/>
    <w:rsid w:val="009E3974"/>
    <w:rsid w:val="009E4B10"/>
    <w:rsid w:val="009F09B1"/>
    <w:rsid w:val="009F6331"/>
    <w:rsid w:val="009F707D"/>
    <w:rsid w:val="00A03732"/>
    <w:rsid w:val="00A0647B"/>
    <w:rsid w:val="00A0782D"/>
    <w:rsid w:val="00A2117B"/>
    <w:rsid w:val="00A235CC"/>
    <w:rsid w:val="00A325E5"/>
    <w:rsid w:val="00A33B62"/>
    <w:rsid w:val="00A55A36"/>
    <w:rsid w:val="00A56668"/>
    <w:rsid w:val="00A70C05"/>
    <w:rsid w:val="00A74282"/>
    <w:rsid w:val="00A75C47"/>
    <w:rsid w:val="00A838FF"/>
    <w:rsid w:val="00A86D87"/>
    <w:rsid w:val="00A9121D"/>
    <w:rsid w:val="00A93B14"/>
    <w:rsid w:val="00A96E98"/>
    <w:rsid w:val="00AA0634"/>
    <w:rsid w:val="00AA1937"/>
    <w:rsid w:val="00AB20B9"/>
    <w:rsid w:val="00AB70BA"/>
    <w:rsid w:val="00AC4036"/>
    <w:rsid w:val="00AC5F88"/>
    <w:rsid w:val="00AD6B2D"/>
    <w:rsid w:val="00AD7FD1"/>
    <w:rsid w:val="00AE0885"/>
    <w:rsid w:val="00AE1170"/>
    <w:rsid w:val="00AE77EC"/>
    <w:rsid w:val="00AF1CB8"/>
    <w:rsid w:val="00AF2269"/>
    <w:rsid w:val="00B00837"/>
    <w:rsid w:val="00B041FD"/>
    <w:rsid w:val="00B148B1"/>
    <w:rsid w:val="00B152EA"/>
    <w:rsid w:val="00B15595"/>
    <w:rsid w:val="00B31508"/>
    <w:rsid w:val="00B317ED"/>
    <w:rsid w:val="00B3196E"/>
    <w:rsid w:val="00B327F5"/>
    <w:rsid w:val="00B32CE0"/>
    <w:rsid w:val="00B465C0"/>
    <w:rsid w:val="00B5037A"/>
    <w:rsid w:val="00B515AB"/>
    <w:rsid w:val="00B52BD0"/>
    <w:rsid w:val="00B52C96"/>
    <w:rsid w:val="00B54066"/>
    <w:rsid w:val="00B54138"/>
    <w:rsid w:val="00B54EC1"/>
    <w:rsid w:val="00B60203"/>
    <w:rsid w:val="00B6561A"/>
    <w:rsid w:val="00B6606F"/>
    <w:rsid w:val="00B7744C"/>
    <w:rsid w:val="00B816F9"/>
    <w:rsid w:val="00B84429"/>
    <w:rsid w:val="00B87C4D"/>
    <w:rsid w:val="00B97CA6"/>
    <w:rsid w:val="00BA63CF"/>
    <w:rsid w:val="00BA6EC2"/>
    <w:rsid w:val="00BB12AD"/>
    <w:rsid w:val="00BB25C3"/>
    <w:rsid w:val="00BB2FF7"/>
    <w:rsid w:val="00BB42EA"/>
    <w:rsid w:val="00BB5934"/>
    <w:rsid w:val="00BC109E"/>
    <w:rsid w:val="00BC4856"/>
    <w:rsid w:val="00BC6C27"/>
    <w:rsid w:val="00BC7EBC"/>
    <w:rsid w:val="00BD4962"/>
    <w:rsid w:val="00BD4D84"/>
    <w:rsid w:val="00BD54F3"/>
    <w:rsid w:val="00BD5BAF"/>
    <w:rsid w:val="00BE0980"/>
    <w:rsid w:val="00BE29B3"/>
    <w:rsid w:val="00BE5BDC"/>
    <w:rsid w:val="00BE689A"/>
    <w:rsid w:val="00BE7674"/>
    <w:rsid w:val="00BF098F"/>
    <w:rsid w:val="00BF3041"/>
    <w:rsid w:val="00BF6408"/>
    <w:rsid w:val="00BF7725"/>
    <w:rsid w:val="00C1291C"/>
    <w:rsid w:val="00C15341"/>
    <w:rsid w:val="00C21D77"/>
    <w:rsid w:val="00C31879"/>
    <w:rsid w:val="00C364CD"/>
    <w:rsid w:val="00C37EAF"/>
    <w:rsid w:val="00C41432"/>
    <w:rsid w:val="00C422D3"/>
    <w:rsid w:val="00C449A2"/>
    <w:rsid w:val="00C45A36"/>
    <w:rsid w:val="00C461D3"/>
    <w:rsid w:val="00C53BA0"/>
    <w:rsid w:val="00C547DA"/>
    <w:rsid w:val="00C57F13"/>
    <w:rsid w:val="00C61F04"/>
    <w:rsid w:val="00C637DE"/>
    <w:rsid w:val="00C63B22"/>
    <w:rsid w:val="00C65E37"/>
    <w:rsid w:val="00C70F4C"/>
    <w:rsid w:val="00C82D73"/>
    <w:rsid w:val="00C82E84"/>
    <w:rsid w:val="00C83014"/>
    <w:rsid w:val="00C85EA2"/>
    <w:rsid w:val="00C87E4D"/>
    <w:rsid w:val="00C90667"/>
    <w:rsid w:val="00C90CB7"/>
    <w:rsid w:val="00C90D0B"/>
    <w:rsid w:val="00C90ED8"/>
    <w:rsid w:val="00C97707"/>
    <w:rsid w:val="00CA133E"/>
    <w:rsid w:val="00CA4C1F"/>
    <w:rsid w:val="00CA5C36"/>
    <w:rsid w:val="00CB6E48"/>
    <w:rsid w:val="00CB7CE3"/>
    <w:rsid w:val="00CC62E0"/>
    <w:rsid w:val="00CD070A"/>
    <w:rsid w:val="00CD082E"/>
    <w:rsid w:val="00CD13B8"/>
    <w:rsid w:val="00CD49B4"/>
    <w:rsid w:val="00CE0E0A"/>
    <w:rsid w:val="00CE1915"/>
    <w:rsid w:val="00CE300F"/>
    <w:rsid w:val="00CE65D8"/>
    <w:rsid w:val="00CF377E"/>
    <w:rsid w:val="00CF7860"/>
    <w:rsid w:val="00D01701"/>
    <w:rsid w:val="00D0334B"/>
    <w:rsid w:val="00D03E66"/>
    <w:rsid w:val="00D0468B"/>
    <w:rsid w:val="00D06499"/>
    <w:rsid w:val="00D151A5"/>
    <w:rsid w:val="00D23127"/>
    <w:rsid w:val="00D24A12"/>
    <w:rsid w:val="00D25B4A"/>
    <w:rsid w:val="00D27BDA"/>
    <w:rsid w:val="00D3296E"/>
    <w:rsid w:val="00D36C30"/>
    <w:rsid w:val="00D37B38"/>
    <w:rsid w:val="00D43E12"/>
    <w:rsid w:val="00D514ED"/>
    <w:rsid w:val="00D5675C"/>
    <w:rsid w:val="00D64692"/>
    <w:rsid w:val="00D64748"/>
    <w:rsid w:val="00D73F2F"/>
    <w:rsid w:val="00D741B2"/>
    <w:rsid w:val="00D8026F"/>
    <w:rsid w:val="00D81BD3"/>
    <w:rsid w:val="00D926C0"/>
    <w:rsid w:val="00D96DDA"/>
    <w:rsid w:val="00D97021"/>
    <w:rsid w:val="00DA31C8"/>
    <w:rsid w:val="00DA51B8"/>
    <w:rsid w:val="00DA522C"/>
    <w:rsid w:val="00DB1828"/>
    <w:rsid w:val="00DC33AA"/>
    <w:rsid w:val="00DC4A0A"/>
    <w:rsid w:val="00DC508F"/>
    <w:rsid w:val="00DC680C"/>
    <w:rsid w:val="00DC7EBC"/>
    <w:rsid w:val="00DD2735"/>
    <w:rsid w:val="00DD2A00"/>
    <w:rsid w:val="00DD3745"/>
    <w:rsid w:val="00DE1CF8"/>
    <w:rsid w:val="00DE21D9"/>
    <w:rsid w:val="00DF0BA4"/>
    <w:rsid w:val="00DF1D37"/>
    <w:rsid w:val="00DF6601"/>
    <w:rsid w:val="00DF6906"/>
    <w:rsid w:val="00DF6A61"/>
    <w:rsid w:val="00DF7FBE"/>
    <w:rsid w:val="00E0262D"/>
    <w:rsid w:val="00E04411"/>
    <w:rsid w:val="00E125DB"/>
    <w:rsid w:val="00E1385D"/>
    <w:rsid w:val="00E14441"/>
    <w:rsid w:val="00E14717"/>
    <w:rsid w:val="00E22409"/>
    <w:rsid w:val="00E23F28"/>
    <w:rsid w:val="00E269CB"/>
    <w:rsid w:val="00E26EC7"/>
    <w:rsid w:val="00E26FFA"/>
    <w:rsid w:val="00E27548"/>
    <w:rsid w:val="00E318FF"/>
    <w:rsid w:val="00E32D6C"/>
    <w:rsid w:val="00E35330"/>
    <w:rsid w:val="00E3583D"/>
    <w:rsid w:val="00E36559"/>
    <w:rsid w:val="00E369A9"/>
    <w:rsid w:val="00E37222"/>
    <w:rsid w:val="00E4720C"/>
    <w:rsid w:val="00E50ED9"/>
    <w:rsid w:val="00E5512A"/>
    <w:rsid w:val="00E56323"/>
    <w:rsid w:val="00E57D79"/>
    <w:rsid w:val="00E641CB"/>
    <w:rsid w:val="00E661EA"/>
    <w:rsid w:val="00E700BC"/>
    <w:rsid w:val="00E705F0"/>
    <w:rsid w:val="00E72270"/>
    <w:rsid w:val="00E72CB0"/>
    <w:rsid w:val="00E7493F"/>
    <w:rsid w:val="00E7563D"/>
    <w:rsid w:val="00E81212"/>
    <w:rsid w:val="00E8673F"/>
    <w:rsid w:val="00E90879"/>
    <w:rsid w:val="00E9150B"/>
    <w:rsid w:val="00E96D67"/>
    <w:rsid w:val="00E97D0B"/>
    <w:rsid w:val="00EA0D88"/>
    <w:rsid w:val="00EA3A74"/>
    <w:rsid w:val="00EA5F0F"/>
    <w:rsid w:val="00EA620C"/>
    <w:rsid w:val="00EB0846"/>
    <w:rsid w:val="00EB4021"/>
    <w:rsid w:val="00EB4543"/>
    <w:rsid w:val="00EB6992"/>
    <w:rsid w:val="00EB6EE0"/>
    <w:rsid w:val="00EB6FBD"/>
    <w:rsid w:val="00EC08ED"/>
    <w:rsid w:val="00EC4846"/>
    <w:rsid w:val="00ED7B96"/>
    <w:rsid w:val="00EE0014"/>
    <w:rsid w:val="00EE1D17"/>
    <w:rsid w:val="00EE292C"/>
    <w:rsid w:val="00EE61F1"/>
    <w:rsid w:val="00EE7986"/>
    <w:rsid w:val="00EF2606"/>
    <w:rsid w:val="00F057BE"/>
    <w:rsid w:val="00F067D1"/>
    <w:rsid w:val="00F06A22"/>
    <w:rsid w:val="00F27E3E"/>
    <w:rsid w:val="00F31387"/>
    <w:rsid w:val="00F31EDF"/>
    <w:rsid w:val="00F321AC"/>
    <w:rsid w:val="00F33662"/>
    <w:rsid w:val="00F349D7"/>
    <w:rsid w:val="00F35E4C"/>
    <w:rsid w:val="00F3707D"/>
    <w:rsid w:val="00F4262C"/>
    <w:rsid w:val="00F46947"/>
    <w:rsid w:val="00F53C51"/>
    <w:rsid w:val="00F53E7A"/>
    <w:rsid w:val="00F56EEF"/>
    <w:rsid w:val="00F570E2"/>
    <w:rsid w:val="00F57742"/>
    <w:rsid w:val="00F60C9D"/>
    <w:rsid w:val="00F612CE"/>
    <w:rsid w:val="00F61B3E"/>
    <w:rsid w:val="00F61E22"/>
    <w:rsid w:val="00F73FC2"/>
    <w:rsid w:val="00F86696"/>
    <w:rsid w:val="00F905A3"/>
    <w:rsid w:val="00F90B27"/>
    <w:rsid w:val="00F9299A"/>
    <w:rsid w:val="00F93C79"/>
    <w:rsid w:val="00F93DCD"/>
    <w:rsid w:val="00F94761"/>
    <w:rsid w:val="00F965D8"/>
    <w:rsid w:val="00F97688"/>
    <w:rsid w:val="00FA0A29"/>
    <w:rsid w:val="00FA162B"/>
    <w:rsid w:val="00FA214D"/>
    <w:rsid w:val="00FA4253"/>
    <w:rsid w:val="00FB778E"/>
    <w:rsid w:val="00FC053C"/>
    <w:rsid w:val="00FD1FD9"/>
    <w:rsid w:val="00FE40A5"/>
    <w:rsid w:val="00FE4EA9"/>
    <w:rsid w:val="00FE5357"/>
    <w:rsid w:val="00FF5DB6"/>
    <w:rsid w:val="0C255F33"/>
    <w:rsid w:val="0F687DA9"/>
    <w:rsid w:val="11D652C2"/>
    <w:rsid w:val="12EF5344"/>
    <w:rsid w:val="1C1D54BA"/>
    <w:rsid w:val="1E4D5507"/>
    <w:rsid w:val="22FD5CEE"/>
    <w:rsid w:val="255943B3"/>
    <w:rsid w:val="2A2A31F4"/>
    <w:rsid w:val="2F274AD2"/>
    <w:rsid w:val="3635490A"/>
    <w:rsid w:val="3A3C35BB"/>
    <w:rsid w:val="41102668"/>
    <w:rsid w:val="44701DAD"/>
    <w:rsid w:val="44DD0E3B"/>
    <w:rsid w:val="45CC5A4D"/>
    <w:rsid w:val="4983364F"/>
    <w:rsid w:val="4AA45A78"/>
    <w:rsid w:val="4DB23725"/>
    <w:rsid w:val="52825382"/>
    <w:rsid w:val="57275322"/>
    <w:rsid w:val="5FC50A35"/>
    <w:rsid w:val="61F64224"/>
    <w:rsid w:val="65525720"/>
    <w:rsid w:val="6A093B7D"/>
    <w:rsid w:val="6A8B3B42"/>
    <w:rsid w:val="6F4C6AE0"/>
    <w:rsid w:val="6FB3038D"/>
    <w:rsid w:val="72EB7B02"/>
    <w:rsid w:val="78192F76"/>
    <w:rsid w:val="78C81DBE"/>
    <w:rsid w:val="7BA55C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自选图形 38"/>
        <o:r id="V:Rule2" type="connector" idref="#_x0000_s1030"/>
        <o:r id="V:Rule3" type="connector" idref="#_x0000_s1031"/>
        <o:r id="V:Rule4" type="connector" idref="#自选图形 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eastAsia="宋体" w:asciiTheme="minorHAnsi" w:hAnsiTheme="minorHAnsi" w:cstheme="minorBidi"/>
      <w:sz w:val="22"/>
      <w:szCs w:val="22"/>
      <w:lang w:val="en-US" w:eastAsia="en-US" w:bidi="ar-SA"/>
    </w:rPr>
  </w:style>
  <w:style w:type="paragraph" w:styleId="4">
    <w:name w:val="heading 1"/>
    <w:basedOn w:val="1"/>
    <w:next w:val="1"/>
    <w:link w:val="38"/>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5">
    <w:name w:val="heading 2"/>
    <w:basedOn w:val="1"/>
    <w:next w:val="1"/>
    <w:link w:val="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6">
    <w:name w:val="heading 3"/>
    <w:basedOn w:val="1"/>
    <w:next w:val="1"/>
    <w:link w:val="40"/>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7">
    <w:name w:val="heading 4"/>
    <w:basedOn w:val="1"/>
    <w:next w:val="1"/>
    <w:link w:val="4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37"/>
    <w:unhideWhenUsed/>
    <w:qFormat/>
    <w:uiPriority w:val="99"/>
    <w:pPr>
      <w:spacing w:after="200"/>
      <w:ind w:left="360" w:firstLine="360"/>
    </w:pPr>
  </w:style>
  <w:style w:type="paragraph" w:styleId="3">
    <w:name w:val="Body Text Indent"/>
    <w:basedOn w:val="1"/>
    <w:next w:val="2"/>
    <w:link w:val="36"/>
    <w:semiHidden/>
    <w:unhideWhenUsed/>
    <w:qFormat/>
    <w:uiPriority w:val="99"/>
    <w:pPr>
      <w:spacing w:after="120"/>
      <w:ind w:left="283"/>
    </w:pPr>
  </w:style>
  <w:style w:type="paragraph" w:styleId="8">
    <w:name w:val="toc 7"/>
    <w:basedOn w:val="1"/>
    <w:next w:val="1"/>
    <w:unhideWhenUsed/>
    <w:qFormat/>
    <w:uiPriority w:val="39"/>
    <w:pPr>
      <w:spacing w:after="100"/>
      <w:ind w:left="1320"/>
    </w:pPr>
    <w:rPr>
      <w:rFonts w:eastAsiaTheme="minorEastAsia"/>
    </w:rPr>
  </w:style>
  <w:style w:type="paragraph" w:styleId="9">
    <w:name w:val="Normal Indent"/>
    <w:basedOn w:val="1"/>
    <w:qFormat/>
    <w:uiPriority w:val="0"/>
    <w:pPr>
      <w:widowControl w:val="0"/>
      <w:adjustRightInd w:val="0"/>
      <w:spacing w:line="312" w:lineRule="atLeast"/>
      <w:ind w:firstLine="420"/>
      <w:jc w:val="both"/>
      <w:textAlignment w:val="baseline"/>
    </w:pPr>
    <w:rPr>
      <w:rFonts w:ascii="Times New Roman" w:hAnsi="Times New Roman" w:cs="Times New Roman"/>
      <w:kern w:val="2"/>
      <w:sz w:val="20"/>
      <w:szCs w:val="20"/>
      <w:lang w:eastAsia="zh-CN"/>
    </w:rPr>
  </w:style>
  <w:style w:type="paragraph" w:styleId="10">
    <w:name w:val="caption"/>
    <w:basedOn w:val="1"/>
    <w:next w:val="1"/>
    <w:link w:val="42"/>
    <w:qFormat/>
    <w:uiPriority w:val="0"/>
    <w:pPr>
      <w:widowControl w:val="0"/>
      <w:adjustRightInd w:val="0"/>
      <w:snapToGrid w:val="0"/>
      <w:jc w:val="center"/>
    </w:pPr>
    <w:rPr>
      <w:rFonts w:ascii="Times New Roman" w:hAnsi="Times New Roman" w:cs="Times New Roman"/>
      <w:b/>
      <w:kern w:val="2"/>
      <w:sz w:val="24"/>
      <w:szCs w:val="20"/>
      <w:lang w:eastAsia="zh-CN"/>
    </w:rPr>
  </w:style>
  <w:style w:type="paragraph" w:styleId="11">
    <w:name w:val="Document Map"/>
    <w:basedOn w:val="1"/>
    <w:link w:val="95"/>
    <w:semiHidden/>
    <w:unhideWhenUsed/>
    <w:qFormat/>
    <w:uiPriority w:val="99"/>
    <w:rPr>
      <w:rFonts w:ascii="宋体"/>
      <w:sz w:val="18"/>
      <w:szCs w:val="18"/>
    </w:rPr>
  </w:style>
  <w:style w:type="paragraph" w:styleId="12">
    <w:name w:val="annotation text"/>
    <w:basedOn w:val="1"/>
    <w:link w:val="43"/>
    <w:semiHidden/>
    <w:unhideWhenUsed/>
    <w:qFormat/>
    <w:uiPriority w:val="99"/>
  </w:style>
  <w:style w:type="paragraph" w:styleId="13">
    <w:name w:val="Body Text"/>
    <w:basedOn w:val="1"/>
    <w:link w:val="44"/>
    <w:unhideWhenUsed/>
    <w:qFormat/>
    <w:uiPriority w:val="99"/>
    <w:pPr>
      <w:spacing w:after="120"/>
    </w:pPr>
  </w:style>
  <w:style w:type="paragraph" w:styleId="14">
    <w:name w:val="toc 5"/>
    <w:basedOn w:val="1"/>
    <w:next w:val="1"/>
    <w:unhideWhenUsed/>
    <w:qFormat/>
    <w:uiPriority w:val="39"/>
    <w:pPr>
      <w:spacing w:after="100"/>
      <w:ind w:left="880"/>
    </w:pPr>
    <w:rPr>
      <w:rFonts w:eastAsiaTheme="minorEastAsia"/>
    </w:rPr>
  </w:style>
  <w:style w:type="paragraph" w:styleId="15">
    <w:name w:val="toc 3"/>
    <w:basedOn w:val="1"/>
    <w:next w:val="1"/>
    <w:unhideWhenUsed/>
    <w:qFormat/>
    <w:uiPriority w:val="39"/>
    <w:pPr>
      <w:spacing w:after="100"/>
      <w:ind w:left="440"/>
    </w:pPr>
  </w:style>
  <w:style w:type="paragraph" w:styleId="16">
    <w:name w:val="Plain Text"/>
    <w:basedOn w:val="1"/>
    <w:link w:val="45"/>
    <w:qFormat/>
    <w:uiPriority w:val="0"/>
    <w:pPr>
      <w:widowControl w:val="0"/>
      <w:jc w:val="both"/>
    </w:pPr>
    <w:rPr>
      <w:rFonts w:ascii="宋体" w:hAnsi="Courier New" w:cs="Times New Roman"/>
      <w:kern w:val="2"/>
      <w:sz w:val="20"/>
      <w:szCs w:val="20"/>
      <w:lang w:eastAsia="zh-CN"/>
    </w:rPr>
  </w:style>
  <w:style w:type="paragraph" w:styleId="17">
    <w:name w:val="toc 8"/>
    <w:basedOn w:val="1"/>
    <w:next w:val="1"/>
    <w:unhideWhenUsed/>
    <w:qFormat/>
    <w:uiPriority w:val="39"/>
    <w:pPr>
      <w:spacing w:after="100"/>
      <w:ind w:left="1540"/>
    </w:pPr>
    <w:rPr>
      <w:rFonts w:eastAsiaTheme="minorEastAsia"/>
    </w:rPr>
  </w:style>
  <w:style w:type="paragraph" w:styleId="18">
    <w:name w:val="Body Text Indent 2"/>
    <w:basedOn w:val="1"/>
    <w:link w:val="46"/>
    <w:unhideWhenUsed/>
    <w:qFormat/>
    <w:uiPriority w:val="99"/>
    <w:pPr>
      <w:spacing w:after="120" w:line="480" w:lineRule="auto"/>
      <w:ind w:left="283"/>
    </w:pPr>
  </w:style>
  <w:style w:type="paragraph" w:styleId="19">
    <w:name w:val="Balloon Text"/>
    <w:basedOn w:val="1"/>
    <w:link w:val="47"/>
    <w:semiHidden/>
    <w:unhideWhenUsed/>
    <w:qFormat/>
    <w:uiPriority w:val="99"/>
    <w:pPr>
      <w:spacing w:after="0" w:line="240" w:lineRule="auto"/>
    </w:pPr>
    <w:rPr>
      <w:rFonts w:ascii="宋体"/>
      <w:sz w:val="18"/>
      <w:szCs w:val="18"/>
    </w:rPr>
  </w:style>
  <w:style w:type="paragraph" w:styleId="20">
    <w:name w:val="footer"/>
    <w:basedOn w:val="1"/>
    <w:link w:val="48"/>
    <w:unhideWhenUsed/>
    <w:qFormat/>
    <w:uiPriority w:val="99"/>
    <w:pPr>
      <w:tabs>
        <w:tab w:val="center" w:pos="4320"/>
        <w:tab w:val="right" w:pos="8640"/>
      </w:tabs>
      <w:spacing w:after="0" w:line="240" w:lineRule="auto"/>
    </w:pPr>
  </w:style>
  <w:style w:type="paragraph" w:styleId="21">
    <w:name w:val="header"/>
    <w:basedOn w:val="1"/>
    <w:link w:val="49"/>
    <w:unhideWhenUsed/>
    <w:qFormat/>
    <w:uiPriority w:val="99"/>
    <w:pPr>
      <w:tabs>
        <w:tab w:val="center" w:pos="4320"/>
        <w:tab w:val="right" w:pos="8640"/>
      </w:tabs>
      <w:spacing w:after="0" w:line="240" w:lineRule="auto"/>
    </w:pPr>
  </w:style>
  <w:style w:type="paragraph" w:styleId="22">
    <w:name w:val="toc 1"/>
    <w:basedOn w:val="1"/>
    <w:next w:val="1"/>
    <w:unhideWhenUsed/>
    <w:qFormat/>
    <w:uiPriority w:val="39"/>
    <w:pPr>
      <w:spacing w:after="100"/>
    </w:pPr>
  </w:style>
  <w:style w:type="paragraph" w:styleId="23">
    <w:name w:val="toc 4"/>
    <w:basedOn w:val="1"/>
    <w:next w:val="1"/>
    <w:unhideWhenUsed/>
    <w:qFormat/>
    <w:uiPriority w:val="39"/>
    <w:pPr>
      <w:spacing w:after="100"/>
      <w:ind w:left="660"/>
    </w:pPr>
    <w:rPr>
      <w:rFonts w:eastAsiaTheme="minorEastAsia"/>
    </w:rPr>
  </w:style>
  <w:style w:type="paragraph" w:styleId="24">
    <w:name w:val="toc 6"/>
    <w:basedOn w:val="1"/>
    <w:next w:val="1"/>
    <w:unhideWhenUsed/>
    <w:qFormat/>
    <w:uiPriority w:val="39"/>
    <w:pPr>
      <w:spacing w:after="100"/>
      <w:ind w:left="1100"/>
    </w:pPr>
    <w:rPr>
      <w:rFonts w:eastAsiaTheme="minorEastAsia"/>
    </w:rPr>
  </w:style>
  <w:style w:type="paragraph" w:styleId="25">
    <w:name w:val="toc 2"/>
    <w:basedOn w:val="1"/>
    <w:next w:val="1"/>
    <w:unhideWhenUsed/>
    <w:qFormat/>
    <w:uiPriority w:val="39"/>
    <w:pPr>
      <w:spacing w:after="100"/>
      <w:ind w:left="220"/>
    </w:pPr>
  </w:style>
  <w:style w:type="paragraph" w:styleId="26">
    <w:name w:val="toc 9"/>
    <w:basedOn w:val="1"/>
    <w:next w:val="1"/>
    <w:unhideWhenUsed/>
    <w:qFormat/>
    <w:uiPriority w:val="39"/>
    <w:pPr>
      <w:spacing w:after="100"/>
      <w:ind w:left="1760"/>
    </w:pPr>
    <w:rPr>
      <w:rFonts w:eastAsiaTheme="minorEastAsia"/>
    </w:rPr>
  </w:style>
  <w:style w:type="paragraph" w:styleId="2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28">
    <w:name w:val="annotation subject"/>
    <w:basedOn w:val="12"/>
    <w:next w:val="12"/>
    <w:link w:val="50"/>
    <w:semiHidden/>
    <w:unhideWhenUsed/>
    <w:qFormat/>
    <w:uiPriority w:val="99"/>
    <w:rPr>
      <w:b/>
      <w:bCs/>
    </w:rPr>
  </w:style>
  <w:style w:type="paragraph" w:styleId="29">
    <w:name w:val="Body Text First Indent"/>
    <w:basedOn w:val="1"/>
    <w:link w:val="51"/>
    <w:unhideWhenUsed/>
    <w:qFormat/>
    <w:uiPriority w:val="0"/>
    <w:pPr>
      <w:widowControl w:val="0"/>
      <w:adjustRightInd w:val="0"/>
      <w:snapToGrid w:val="0"/>
      <w:spacing w:line="360" w:lineRule="auto"/>
      <w:ind w:firstLine="200" w:firstLineChars="200"/>
      <w:jc w:val="both"/>
    </w:pPr>
    <w:rPr>
      <w:rFonts w:ascii="Times New Roman" w:hAnsi="Times New Roman" w:cs="Times New Roman"/>
      <w:kern w:val="2"/>
      <w:sz w:val="24"/>
      <w:szCs w:val="20"/>
      <w:lang w:eastAsia="zh-CN"/>
    </w:rPr>
  </w:style>
  <w:style w:type="table" w:styleId="31">
    <w:name w:val="Table Grid"/>
    <w:basedOn w:val="30"/>
    <w:qFormat/>
    <w:uiPriority w:val="0"/>
    <w:pPr>
      <w:adjustRightInd w:val="0"/>
      <w:snapToGrid w:val="0"/>
      <w:jc w:val="center"/>
    </w:pPr>
    <w:rPr>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styleId="33">
    <w:name w:val="Strong"/>
    <w:basedOn w:val="32"/>
    <w:qFormat/>
    <w:uiPriority w:val="22"/>
    <w:rPr>
      <w:b/>
      <w:bCs/>
    </w:rPr>
  </w:style>
  <w:style w:type="character" w:styleId="34">
    <w:name w:val="Hyperlink"/>
    <w:basedOn w:val="32"/>
    <w:unhideWhenUsed/>
    <w:qFormat/>
    <w:uiPriority w:val="99"/>
    <w:rPr>
      <w:color w:val="0000FF"/>
      <w:u w:val="single"/>
    </w:rPr>
  </w:style>
  <w:style w:type="character" w:styleId="35">
    <w:name w:val="annotation reference"/>
    <w:basedOn w:val="32"/>
    <w:semiHidden/>
    <w:unhideWhenUsed/>
    <w:qFormat/>
    <w:uiPriority w:val="99"/>
    <w:rPr>
      <w:sz w:val="21"/>
      <w:szCs w:val="21"/>
    </w:rPr>
  </w:style>
  <w:style w:type="character" w:customStyle="1" w:styleId="36">
    <w:name w:val="正文文本缩进 Char"/>
    <w:basedOn w:val="32"/>
    <w:link w:val="3"/>
    <w:semiHidden/>
    <w:qFormat/>
    <w:uiPriority w:val="99"/>
  </w:style>
  <w:style w:type="character" w:customStyle="1" w:styleId="37">
    <w:name w:val="正文首行缩进 2 Char"/>
    <w:basedOn w:val="36"/>
    <w:link w:val="2"/>
    <w:qFormat/>
    <w:uiPriority w:val="99"/>
  </w:style>
  <w:style w:type="character" w:customStyle="1" w:styleId="38">
    <w:name w:val="标题 1 Char"/>
    <w:basedOn w:val="32"/>
    <w:link w:val="4"/>
    <w:qFormat/>
    <w:uiPriority w:val="9"/>
    <w:rPr>
      <w:rFonts w:ascii="Times New Roman" w:hAnsi="Times New Roman" w:eastAsia="Times New Roman" w:cs="Times New Roman"/>
      <w:b/>
      <w:bCs/>
      <w:kern w:val="36"/>
      <w:sz w:val="48"/>
      <w:szCs w:val="48"/>
    </w:rPr>
  </w:style>
  <w:style w:type="character" w:customStyle="1" w:styleId="39">
    <w:name w:val="标题 2 Char"/>
    <w:basedOn w:val="32"/>
    <w:link w:val="5"/>
    <w:qFormat/>
    <w:uiPriority w:val="9"/>
    <w:rPr>
      <w:rFonts w:asciiTheme="majorHAnsi" w:hAnsiTheme="majorHAnsi" w:eastAsiaTheme="majorEastAsia" w:cstheme="majorBidi"/>
      <w:b/>
      <w:bCs/>
      <w:color w:val="4F81BD" w:themeColor="accent1"/>
      <w:sz w:val="26"/>
      <w:szCs w:val="26"/>
    </w:rPr>
  </w:style>
  <w:style w:type="character" w:customStyle="1" w:styleId="40">
    <w:name w:val="标题 3 Char"/>
    <w:basedOn w:val="32"/>
    <w:link w:val="6"/>
    <w:semiHidden/>
    <w:qFormat/>
    <w:uiPriority w:val="9"/>
    <w:rPr>
      <w:rFonts w:asciiTheme="majorHAnsi" w:hAnsiTheme="majorHAnsi" w:eastAsiaTheme="majorEastAsia" w:cstheme="majorBidi"/>
      <w:b/>
      <w:bCs/>
      <w:color w:val="4F81BD" w:themeColor="accent1"/>
    </w:rPr>
  </w:style>
  <w:style w:type="character" w:customStyle="1" w:styleId="41">
    <w:name w:val="标题 4 Char"/>
    <w:basedOn w:val="32"/>
    <w:link w:val="7"/>
    <w:semiHidden/>
    <w:qFormat/>
    <w:uiPriority w:val="9"/>
    <w:rPr>
      <w:rFonts w:asciiTheme="majorHAnsi" w:hAnsiTheme="majorHAnsi" w:eastAsiaTheme="majorEastAsia" w:cstheme="majorBidi"/>
      <w:b/>
      <w:bCs/>
      <w:i/>
      <w:iCs/>
      <w:color w:val="4F81BD" w:themeColor="accent1"/>
    </w:rPr>
  </w:style>
  <w:style w:type="character" w:customStyle="1" w:styleId="42">
    <w:name w:val="题注 Char"/>
    <w:link w:val="10"/>
    <w:qFormat/>
    <w:uiPriority w:val="0"/>
    <w:rPr>
      <w:rFonts w:ascii="Times New Roman" w:hAnsi="Times New Roman" w:cs="Times New Roman"/>
      <w:b/>
      <w:kern w:val="2"/>
      <w:sz w:val="24"/>
      <w:szCs w:val="20"/>
      <w:lang w:eastAsia="zh-CN"/>
    </w:rPr>
  </w:style>
  <w:style w:type="character" w:customStyle="1" w:styleId="43">
    <w:name w:val="批注文字 Char"/>
    <w:basedOn w:val="32"/>
    <w:link w:val="12"/>
    <w:semiHidden/>
    <w:qFormat/>
    <w:uiPriority w:val="99"/>
    <w:rPr>
      <w:rFonts w:asciiTheme="minorHAnsi" w:hAnsiTheme="minorHAnsi" w:cstheme="minorBidi"/>
      <w:sz w:val="22"/>
      <w:szCs w:val="22"/>
      <w:lang w:eastAsia="en-US"/>
    </w:rPr>
  </w:style>
  <w:style w:type="character" w:customStyle="1" w:styleId="44">
    <w:name w:val="正文文本 Char"/>
    <w:basedOn w:val="32"/>
    <w:link w:val="13"/>
    <w:qFormat/>
    <w:uiPriority w:val="99"/>
  </w:style>
  <w:style w:type="character" w:customStyle="1" w:styleId="45">
    <w:name w:val="纯文本 Char"/>
    <w:basedOn w:val="32"/>
    <w:link w:val="16"/>
    <w:qFormat/>
    <w:uiPriority w:val="0"/>
    <w:rPr>
      <w:rFonts w:ascii="宋体" w:hAnsi="Courier New" w:cs="Times New Roman"/>
      <w:kern w:val="2"/>
      <w:sz w:val="20"/>
      <w:szCs w:val="20"/>
      <w:lang w:eastAsia="zh-CN"/>
    </w:rPr>
  </w:style>
  <w:style w:type="character" w:customStyle="1" w:styleId="46">
    <w:name w:val="正文文本缩进 2 Char"/>
    <w:basedOn w:val="32"/>
    <w:link w:val="18"/>
    <w:qFormat/>
    <w:uiPriority w:val="99"/>
  </w:style>
  <w:style w:type="character" w:customStyle="1" w:styleId="47">
    <w:name w:val="批注框文本 Char"/>
    <w:basedOn w:val="32"/>
    <w:link w:val="19"/>
    <w:semiHidden/>
    <w:qFormat/>
    <w:uiPriority w:val="99"/>
    <w:rPr>
      <w:rFonts w:ascii="宋体"/>
      <w:sz w:val="18"/>
      <w:szCs w:val="18"/>
    </w:rPr>
  </w:style>
  <w:style w:type="character" w:customStyle="1" w:styleId="48">
    <w:name w:val="页脚 Char"/>
    <w:basedOn w:val="32"/>
    <w:link w:val="20"/>
    <w:qFormat/>
    <w:uiPriority w:val="99"/>
  </w:style>
  <w:style w:type="character" w:customStyle="1" w:styleId="49">
    <w:name w:val="页眉 Char"/>
    <w:basedOn w:val="32"/>
    <w:link w:val="21"/>
    <w:qFormat/>
    <w:uiPriority w:val="99"/>
  </w:style>
  <w:style w:type="character" w:customStyle="1" w:styleId="50">
    <w:name w:val="批注主题 Char"/>
    <w:basedOn w:val="43"/>
    <w:link w:val="28"/>
    <w:semiHidden/>
    <w:qFormat/>
    <w:uiPriority w:val="99"/>
    <w:rPr>
      <w:b/>
      <w:bCs/>
    </w:rPr>
  </w:style>
  <w:style w:type="character" w:customStyle="1" w:styleId="51">
    <w:name w:val="正文首行缩进 Char"/>
    <w:basedOn w:val="44"/>
    <w:link w:val="29"/>
    <w:qFormat/>
    <w:uiPriority w:val="0"/>
    <w:rPr>
      <w:rFonts w:ascii="Times New Roman" w:hAnsi="Times New Roman" w:cs="Times New Roman"/>
      <w:kern w:val="2"/>
      <w:sz w:val="24"/>
      <w:szCs w:val="20"/>
      <w:lang w:eastAsia="zh-CN"/>
    </w:rPr>
  </w:style>
  <w:style w:type="character" w:customStyle="1" w:styleId="52">
    <w:name w:val="title"/>
    <w:basedOn w:val="32"/>
    <w:qFormat/>
    <w:uiPriority w:val="0"/>
  </w:style>
  <w:style w:type="character" w:customStyle="1" w:styleId="53">
    <w:name w:val="表格文字 Char"/>
    <w:link w:val="54"/>
    <w:qFormat/>
    <w:uiPriority w:val="0"/>
    <w:rPr>
      <w:kern w:val="2"/>
      <w:sz w:val="21"/>
      <w:lang w:eastAsia="zh-CN"/>
    </w:rPr>
  </w:style>
  <w:style w:type="paragraph" w:customStyle="1" w:styleId="54">
    <w:name w:val="表格文字"/>
    <w:basedOn w:val="29"/>
    <w:link w:val="53"/>
    <w:qFormat/>
    <w:uiPriority w:val="0"/>
    <w:pPr>
      <w:spacing w:line="240" w:lineRule="auto"/>
      <w:ind w:firstLine="0" w:firstLineChars="0"/>
      <w:jc w:val="center"/>
    </w:pPr>
    <w:rPr>
      <w:rFonts w:asciiTheme="minorHAnsi" w:hAnsiTheme="minorHAnsi" w:cstheme="minorBidi"/>
      <w:sz w:val="21"/>
      <w:szCs w:val="22"/>
    </w:rPr>
  </w:style>
  <w:style w:type="paragraph" w:customStyle="1" w:styleId="55">
    <w:name w:val="表内文字"/>
    <w:basedOn w:val="1"/>
    <w:qFormat/>
    <w:uiPriority w:val="0"/>
    <w:pPr>
      <w:snapToGrid w:val="0"/>
      <w:jc w:val="center"/>
    </w:pPr>
    <w:rPr>
      <w:rFonts w:ascii="Times New Roman" w:hAnsi="Times New Roman" w:cs="Times New Roman"/>
      <w:sz w:val="24"/>
      <w:szCs w:val="24"/>
      <w:lang w:eastAsia="zh-CN"/>
    </w:rPr>
  </w:style>
  <w:style w:type="paragraph" w:customStyle="1" w:styleId="56">
    <w:name w:val="表格正文1"/>
    <w:basedOn w:val="1"/>
    <w:qFormat/>
    <w:uiPriority w:val="0"/>
    <w:pPr>
      <w:widowControl w:val="0"/>
      <w:spacing w:line="360" w:lineRule="exact"/>
      <w:jc w:val="center"/>
    </w:pPr>
    <w:rPr>
      <w:rFonts w:ascii="Times New Roman" w:hAnsi="Times New Roman" w:cs="Times New Roman"/>
      <w:kern w:val="2"/>
      <w:sz w:val="21"/>
      <w:szCs w:val="20"/>
      <w:lang w:eastAsia="zh-CN"/>
    </w:rPr>
  </w:style>
  <w:style w:type="paragraph" w:customStyle="1" w:styleId="57">
    <w:name w:val="表格 32"/>
    <w:basedOn w:val="1"/>
    <w:qFormat/>
    <w:uiPriority w:val="0"/>
    <w:pPr>
      <w:widowControl w:val="0"/>
      <w:autoSpaceDE w:val="0"/>
      <w:autoSpaceDN w:val="0"/>
      <w:adjustRightInd w:val="0"/>
      <w:jc w:val="center"/>
      <w:textAlignment w:val="baseline"/>
    </w:pPr>
    <w:rPr>
      <w:rFonts w:ascii="Times New Roman" w:hAnsi="Times New Roman" w:eastAsia="仿宋_GB2312" w:cs="Times New Roman"/>
      <w:sz w:val="24"/>
      <w:szCs w:val="20"/>
      <w:lang w:eastAsia="zh-CN"/>
    </w:rPr>
  </w:style>
  <w:style w:type="paragraph" w:styleId="58">
    <w:name w:val="List Paragraph"/>
    <w:basedOn w:val="1"/>
    <w:qFormat/>
    <w:uiPriority w:val="34"/>
    <w:pPr>
      <w:widowControl w:val="0"/>
      <w:ind w:firstLine="420" w:firstLineChars="200"/>
      <w:jc w:val="both"/>
    </w:pPr>
    <w:rPr>
      <w:rFonts w:ascii="Times New Roman" w:hAnsi="Times New Roman" w:cs="Times New Roman"/>
      <w:kern w:val="2"/>
      <w:sz w:val="20"/>
      <w:szCs w:val="20"/>
      <w:lang w:eastAsia="zh-CN"/>
    </w:rPr>
  </w:style>
  <w:style w:type="paragraph" w:customStyle="1" w:styleId="59">
    <w:name w:val="样式 表格 32 + 首行缩进:  2 字符"/>
    <w:basedOn w:val="1"/>
    <w:qFormat/>
    <w:uiPriority w:val="0"/>
    <w:pPr>
      <w:widowControl w:val="0"/>
      <w:autoSpaceDE w:val="0"/>
      <w:autoSpaceDN w:val="0"/>
      <w:adjustRightInd w:val="0"/>
      <w:spacing w:line="0" w:lineRule="atLeast"/>
      <w:jc w:val="center"/>
      <w:textAlignment w:val="baseline"/>
    </w:pPr>
    <w:rPr>
      <w:rFonts w:ascii="Times New Roman" w:hAnsi="Times New Roman" w:cs="Times New Roman"/>
      <w:sz w:val="21"/>
      <w:szCs w:val="20"/>
      <w:lang w:eastAsia="zh-CN"/>
    </w:rPr>
  </w:style>
  <w:style w:type="character" w:customStyle="1" w:styleId="60">
    <w:name w:val="正文首行缩进 Char Char"/>
    <w:qFormat/>
    <w:uiPriority w:val="0"/>
    <w:rPr>
      <w:rFonts w:eastAsia="宋体"/>
      <w:kern w:val="2"/>
      <w:sz w:val="24"/>
      <w:szCs w:val="24"/>
      <w:lang w:val="en-US" w:eastAsia="zh-CN" w:bidi="ar-SA"/>
    </w:rPr>
  </w:style>
  <w:style w:type="table" w:customStyle="1" w:styleId="61">
    <w:name w:val="Table Normal"/>
    <w:semiHidden/>
    <w:unhideWhenUsed/>
    <w:qFormat/>
    <w:uiPriority w:val="2"/>
    <w:pPr>
      <w:widowControl w:val="0"/>
    </w:pPr>
    <w:rPr>
      <w:rFonts w:eastAsiaTheme="minorHAnsi"/>
    </w:rPr>
    <w:tblPr>
      <w:tblCellMar>
        <w:top w:w="0" w:type="dxa"/>
        <w:left w:w="0" w:type="dxa"/>
        <w:bottom w:w="0" w:type="dxa"/>
        <w:right w:w="0" w:type="dxa"/>
      </w:tblCellMar>
    </w:tblPr>
  </w:style>
  <w:style w:type="paragraph" w:customStyle="1" w:styleId="62">
    <w:name w:val="Table Paragraph"/>
    <w:basedOn w:val="1"/>
    <w:qFormat/>
    <w:uiPriority w:val="1"/>
    <w:pPr>
      <w:widowControl w:val="0"/>
      <w:spacing w:after="0" w:line="240" w:lineRule="auto"/>
    </w:pPr>
    <w:rPr>
      <w:rFonts w:eastAsiaTheme="minorHAnsi"/>
    </w:rPr>
  </w:style>
  <w:style w:type="paragraph" w:customStyle="1" w:styleId="63">
    <w:name w:val="常用正文样式"/>
    <w:basedOn w:val="1"/>
    <w:qFormat/>
    <w:uiPriority w:val="0"/>
    <w:pPr>
      <w:widowControl w:val="0"/>
      <w:spacing w:after="0" w:line="360" w:lineRule="auto"/>
      <w:ind w:firstLine="480" w:firstLineChars="200"/>
      <w:jc w:val="both"/>
    </w:pPr>
    <w:rPr>
      <w:rFonts w:ascii="宋体" w:hAnsi="宋体" w:cs="Times New Roman"/>
      <w:kern w:val="28"/>
      <w:sz w:val="24"/>
      <w:szCs w:val="20"/>
      <w:lang w:eastAsia="zh-CN"/>
    </w:rPr>
  </w:style>
  <w:style w:type="paragraph" w:customStyle="1" w:styleId="64">
    <w:name w:val="Default"/>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paragraph" w:customStyle="1" w:styleId="65">
    <w:name w:val="Heading 1"/>
    <w:basedOn w:val="1"/>
    <w:qFormat/>
    <w:uiPriority w:val="1"/>
    <w:pPr>
      <w:widowControl w:val="0"/>
      <w:spacing w:after="0" w:line="240" w:lineRule="auto"/>
      <w:ind w:left="102"/>
      <w:outlineLvl w:val="1"/>
    </w:pPr>
    <w:rPr>
      <w:rFonts w:ascii="宋体" w:hAnsi="宋体"/>
      <w:sz w:val="32"/>
      <w:szCs w:val="32"/>
    </w:rPr>
  </w:style>
  <w:style w:type="character" w:customStyle="1" w:styleId="66">
    <w:name w:val="表格 Char"/>
    <w:link w:val="67"/>
    <w:qFormat/>
    <w:uiPriority w:val="0"/>
    <w:rPr>
      <w:rFonts w:ascii="Times New Roman" w:hAnsi="Times New Roman"/>
      <w:kern w:val="2"/>
      <w:sz w:val="21"/>
      <w:szCs w:val="21"/>
    </w:rPr>
  </w:style>
  <w:style w:type="paragraph" w:customStyle="1" w:styleId="67">
    <w:name w:val="表格"/>
    <w:basedOn w:val="1"/>
    <w:link w:val="66"/>
    <w:qFormat/>
    <w:uiPriority w:val="0"/>
    <w:pPr>
      <w:widowControl w:val="0"/>
      <w:spacing w:after="0" w:line="240" w:lineRule="auto"/>
      <w:ind w:left="-66" w:leftChars="-32" w:hanging="1"/>
      <w:textAlignment w:val="center"/>
    </w:pPr>
    <w:rPr>
      <w:rFonts w:ascii="Times New Roman" w:hAnsi="Times New Roman"/>
      <w:kern w:val="2"/>
      <w:sz w:val="21"/>
      <w:szCs w:val="21"/>
    </w:rPr>
  </w:style>
  <w:style w:type="paragraph" w:customStyle="1" w:styleId="68">
    <w:name w:val="河石管道 表格正文"/>
    <w:qFormat/>
    <w:uiPriority w:val="0"/>
    <w:pPr>
      <w:widowControl w:val="0"/>
      <w:spacing w:after="200" w:line="276" w:lineRule="auto"/>
      <w:jc w:val="both"/>
    </w:pPr>
    <w:rPr>
      <w:rFonts w:ascii="宋体" w:hAnsi="宋体" w:eastAsia="宋体" w:cs="Times New Roman"/>
      <w:color w:val="000000"/>
      <w:kern w:val="2"/>
      <w:sz w:val="21"/>
      <w:szCs w:val="21"/>
      <w:lang w:val="en-US" w:eastAsia="zh-CN" w:bidi="ar-SA"/>
    </w:rPr>
  </w:style>
  <w:style w:type="character" w:customStyle="1" w:styleId="69">
    <w:name w:val="表 头 Char Char"/>
    <w:link w:val="70"/>
    <w:qFormat/>
    <w:uiPriority w:val="0"/>
    <w:rPr>
      <w:rFonts w:ascii="Arial" w:hAnsi="Arial"/>
      <w:b/>
      <w:color w:val="000000"/>
      <w:sz w:val="24"/>
    </w:rPr>
  </w:style>
  <w:style w:type="paragraph" w:customStyle="1" w:styleId="70">
    <w:name w:val="表 头"/>
    <w:basedOn w:val="1"/>
    <w:link w:val="69"/>
    <w:qFormat/>
    <w:uiPriority w:val="0"/>
    <w:pPr>
      <w:widowControl w:val="0"/>
      <w:tabs>
        <w:tab w:val="left" w:pos="1418"/>
      </w:tabs>
      <w:adjustRightInd w:val="0"/>
      <w:spacing w:after="0" w:line="360" w:lineRule="auto"/>
      <w:jc w:val="center"/>
    </w:pPr>
    <w:rPr>
      <w:rFonts w:ascii="Arial" w:hAnsi="Arial"/>
      <w:b/>
      <w:color w:val="000000"/>
      <w:sz w:val="24"/>
    </w:rPr>
  </w:style>
  <w:style w:type="character" w:customStyle="1" w:styleId="71">
    <w:name w:val="样式 Char"/>
    <w:link w:val="72"/>
    <w:qFormat/>
    <w:uiPriority w:val="0"/>
    <w:rPr>
      <w:rFonts w:ascii="Arial" w:hAnsi="Arial" w:cs="宋体"/>
      <w:kern w:val="2"/>
      <w:sz w:val="24"/>
    </w:rPr>
  </w:style>
  <w:style w:type="paragraph" w:customStyle="1" w:styleId="72">
    <w:name w:val="样式"/>
    <w:basedOn w:val="1"/>
    <w:link w:val="71"/>
    <w:qFormat/>
    <w:uiPriority w:val="0"/>
    <w:pPr>
      <w:tabs>
        <w:tab w:val="left" w:pos="900"/>
      </w:tabs>
      <w:spacing w:after="0" w:line="500" w:lineRule="exact"/>
      <w:ind w:firstLine="480" w:firstLineChars="200"/>
    </w:pPr>
    <w:rPr>
      <w:rFonts w:ascii="Arial" w:hAnsi="Arial" w:cs="宋体"/>
      <w:kern w:val="2"/>
      <w:sz w:val="24"/>
    </w:rPr>
  </w:style>
  <w:style w:type="character" w:customStyle="1" w:styleId="73">
    <w:name w:val="表格（5号） Char"/>
    <w:link w:val="74"/>
    <w:qFormat/>
    <w:uiPriority w:val="0"/>
    <w:rPr>
      <w:rFonts w:ascii="Arial" w:hAnsi="宋体" w:cs="Arial"/>
      <w:color w:val="000000"/>
      <w:sz w:val="18"/>
      <w:szCs w:val="21"/>
    </w:rPr>
  </w:style>
  <w:style w:type="paragraph" w:customStyle="1" w:styleId="74">
    <w:name w:val="表格（5号）"/>
    <w:basedOn w:val="1"/>
    <w:next w:val="1"/>
    <w:link w:val="73"/>
    <w:qFormat/>
    <w:uiPriority w:val="0"/>
    <w:pPr>
      <w:widowControl w:val="0"/>
      <w:spacing w:after="0" w:line="320" w:lineRule="exact"/>
      <w:ind w:left="-113" w:right="-113"/>
      <w:jc w:val="center"/>
    </w:pPr>
    <w:rPr>
      <w:rFonts w:ascii="Arial" w:hAnsi="宋体" w:cs="Arial"/>
      <w:color w:val="000000"/>
      <w:sz w:val="18"/>
      <w:szCs w:val="21"/>
    </w:rPr>
  </w:style>
  <w:style w:type="paragraph" w:customStyle="1" w:styleId="75">
    <w:name w:val="TOC 标题1"/>
    <w:basedOn w:val="4"/>
    <w:next w:val="1"/>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366091" w:themeColor="accent1" w:themeShade="BF"/>
      <w:kern w:val="0"/>
      <w:sz w:val="28"/>
      <w:szCs w:val="28"/>
      <w:lang w:eastAsia="zh-CN"/>
    </w:rPr>
  </w:style>
  <w:style w:type="paragraph" w:customStyle="1" w:styleId="76">
    <w:name w:val="正文01"/>
    <w:basedOn w:val="1"/>
    <w:link w:val="77"/>
    <w:qFormat/>
    <w:uiPriority w:val="0"/>
    <w:pPr>
      <w:widowControl w:val="0"/>
      <w:adjustRightInd w:val="0"/>
      <w:spacing w:line="360" w:lineRule="auto"/>
      <w:ind w:firstLine="527"/>
      <w:jc w:val="both"/>
      <w:textAlignment w:val="baseline"/>
    </w:pPr>
    <w:rPr>
      <w:rFonts w:ascii="Times New Roman" w:hAnsi="Times New Roman" w:cs="Times New Roman"/>
      <w:bCs/>
      <w:color w:val="000000"/>
      <w:kern w:val="2"/>
      <w:sz w:val="24"/>
      <w:szCs w:val="24"/>
      <w:u w:val="single"/>
      <w:lang w:eastAsia="zh-CN"/>
    </w:rPr>
  </w:style>
  <w:style w:type="character" w:customStyle="1" w:styleId="77">
    <w:name w:val="正文01 Char"/>
    <w:link w:val="76"/>
    <w:qFormat/>
    <w:uiPriority w:val="0"/>
    <w:rPr>
      <w:rFonts w:ascii="Times New Roman" w:hAnsi="Times New Roman" w:cs="Times New Roman"/>
      <w:bCs/>
      <w:color w:val="000000"/>
      <w:kern w:val="2"/>
      <w:sz w:val="24"/>
      <w:szCs w:val="24"/>
      <w:u w:val="single"/>
      <w:lang w:eastAsia="zh-CN"/>
    </w:rPr>
  </w:style>
  <w:style w:type="paragraph" w:customStyle="1" w:styleId="78">
    <w:name w:val="Body text|1"/>
    <w:basedOn w:val="1"/>
    <w:qFormat/>
    <w:uiPriority w:val="0"/>
    <w:pPr>
      <w:widowControl w:val="0"/>
      <w:spacing w:line="425" w:lineRule="auto"/>
      <w:ind w:firstLine="400"/>
    </w:pPr>
    <w:rPr>
      <w:rFonts w:ascii="MingLiU" w:hAnsi="MingLiU" w:eastAsia="MingLiU" w:cs="MingLiU"/>
      <w:lang w:val="zh-TW" w:eastAsia="zh-TW" w:bidi="zh-TW"/>
    </w:rPr>
  </w:style>
  <w:style w:type="paragraph" w:customStyle="1" w:styleId="79">
    <w:name w:val="Table caption|1"/>
    <w:basedOn w:val="1"/>
    <w:qFormat/>
    <w:uiPriority w:val="0"/>
    <w:pPr>
      <w:widowControl w:val="0"/>
      <w:spacing w:after="160" w:line="319" w:lineRule="auto"/>
      <w:ind w:firstLine="240"/>
    </w:pPr>
    <w:rPr>
      <w:rFonts w:ascii="MingLiU" w:hAnsi="MingLiU" w:eastAsia="MingLiU" w:cs="MingLiU"/>
      <w:sz w:val="20"/>
      <w:szCs w:val="20"/>
      <w:lang w:val="zh-TW" w:eastAsia="zh-TW" w:bidi="zh-TW"/>
    </w:rPr>
  </w:style>
  <w:style w:type="paragraph" w:customStyle="1" w:styleId="80">
    <w:name w:val="Other|1"/>
    <w:basedOn w:val="1"/>
    <w:qFormat/>
    <w:uiPriority w:val="0"/>
    <w:pPr>
      <w:widowControl w:val="0"/>
    </w:pPr>
    <w:rPr>
      <w:rFonts w:ascii="MingLiU" w:hAnsi="MingLiU" w:eastAsia="MingLiU" w:cs="MingLiU"/>
      <w:sz w:val="20"/>
      <w:szCs w:val="20"/>
      <w:lang w:val="zh-TW" w:eastAsia="zh-TW" w:bidi="zh-TW"/>
    </w:rPr>
  </w:style>
  <w:style w:type="paragraph" w:customStyle="1" w:styleId="81">
    <w:name w:val="TOC 标题2"/>
    <w:basedOn w:val="4"/>
    <w:next w:val="1"/>
    <w:semiHidden/>
    <w:unhideWhenUsed/>
    <w:qFormat/>
    <w:uiPriority w:val="39"/>
    <w:pPr>
      <w:keepNext/>
      <w:keepLines/>
      <w:spacing w:before="480" w:beforeAutospacing="0" w:after="0" w:afterAutospacing="0" w:line="276" w:lineRule="auto"/>
      <w:outlineLvl w:val="9"/>
    </w:pPr>
    <w:rPr>
      <w:rFonts w:asciiTheme="majorHAnsi" w:hAnsiTheme="majorHAnsi" w:eastAsiaTheme="majorEastAsia" w:cstheme="majorBidi"/>
      <w:color w:val="366091" w:themeColor="accent1" w:themeShade="BF"/>
      <w:kern w:val="0"/>
      <w:sz w:val="28"/>
      <w:szCs w:val="28"/>
      <w:lang w:eastAsia="zh-CN"/>
    </w:rPr>
  </w:style>
  <w:style w:type="character" w:customStyle="1" w:styleId="82">
    <w:name w:val="font112"/>
    <w:basedOn w:val="32"/>
    <w:qFormat/>
    <w:uiPriority w:val="0"/>
    <w:rPr>
      <w:rFonts w:hint="eastAsia" w:ascii="宋体" w:hAnsi="宋体" w:eastAsia="宋体" w:cs="宋体"/>
      <w:color w:val="000000"/>
      <w:sz w:val="22"/>
      <w:szCs w:val="22"/>
      <w:u w:val="none"/>
    </w:rPr>
  </w:style>
  <w:style w:type="character" w:customStyle="1" w:styleId="83">
    <w:name w:val="font171"/>
    <w:basedOn w:val="32"/>
    <w:qFormat/>
    <w:uiPriority w:val="0"/>
    <w:rPr>
      <w:rFonts w:hint="default" w:ascii="Times New Roman" w:hAnsi="Times New Roman" w:cs="Times New Roman"/>
      <w:b/>
      <w:color w:val="000000"/>
      <w:sz w:val="22"/>
      <w:szCs w:val="22"/>
      <w:u w:val="none"/>
    </w:rPr>
  </w:style>
  <w:style w:type="character" w:customStyle="1" w:styleId="84">
    <w:name w:val="font81"/>
    <w:basedOn w:val="32"/>
    <w:qFormat/>
    <w:uiPriority w:val="0"/>
    <w:rPr>
      <w:rFonts w:hint="eastAsia" w:ascii="宋体" w:hAnsi="宋体" w:eastAsia="宋体" w:cs="宋体"/>
      <w:b/>
      <w:color w:val="000000"/>
      <w:sz w:val="18"/>
      <w:szCs w:val="18"/>
      <w:u w:val="none"/>
    </w:rPr>
  </w:style>
  <w:style w:type="character" w:customStyle="1" w:styleId="85">
    <w:name w:val="font161"/>
    <w:basedOn w:val="32"/>
    <w:qFormat/>
    <w:uiPriority w:val="0"/>
    <w:rPr>
      <w:rFonts w:hint="eastAsia" w:ascii="宋体" w:hAnsi="宋体" w:eastAsia="宋体" w:cs="宋体"/>
      <w:color w:val="000000"/>
      <w:sz w:val="18"/>
      <w:szCs w:val="18"/>
      <w:u w:val="none"/>
    </w:rPr>
  </w:style>
  <w:style w:type="character" w:customStyle="1" w:styleId="86">
    <w:name w:val="font101"/>
    <w:basedOn w:val="32"/>
    <w:qFormat/>
    <w:uiPriority w:val="0"/>
    <w:rPr>
      <w:rFonts w:hint="eastAsia" w:ascii="宋体" w:hAnsi="宋体" w:eastAsia="宋体" w:cs="宋体"/>
      <w:color w:val="000000"/>
      <w:sz w:val="18"/>
      <w:szCs w:val="18"/>
      <w:u w:val="single"/>
    </w:rPr>
  </w:style>
  <w:style w:type="character" w:customStyle="1" w:styleId="87">
    <w:name w:val="font181"/>
    <w:basedOn w:val="32"/>
    <w:qFormat/>
    <w:uiPriority w:val="0"/>
    <w:rPr>
      <w:rFonts w:hint="default" w:ascii="Times New Roman" w:hAnsi="Times New Roman" w:cs="Times New Roman"/>
      <w:color w:val="000000"/>
      <w:sz w:val="18"/>
      <w:szCs w:val="18"/>
      <w:u w:val="none"/>
    </w:rPr>
  </w:style>
  <w:style w:type="character" w:customStyle="1" w:styleId="88">
    <w:name w:val="font91"/>
    <w:basedOn w:val="32"/>
    <w:qFormat/>
    <w:uiPriority w:val="0"/>
    <w:rPr>
      <w:rFonts w:hint="eastAsia" w:ascii="宋体" w:hAnsi="宋体" w:eastAsia="宋体" w:cs="宋体"/>
      <w:b/>
      <w:color w:val="000000"/>
      <w:sz w:val="18"/>
      <w:szCs w:val="18"/>
      <w:u w:val="none"/>
    </w:rPr>
  </w:style>
  <w:style w:type="character" w:customStyle="1" w:styleId="89">
    <w:name w:val="font131"/>
    <w:basedOn w:val="32"/>
    <w:qFormat/>
    <w:uiPriority w:val="0"/>
    <w:rPr>
      <w:rFonts w:hint="default" w:ascii="Times New Roman" w:hAnsi="Times New Roman" w:cs="Times New Roman"/>
      <w:b/>
      <w:color w:val="000000"/>
      <w:sz w:val="18"/>
      <w:szCs w:val="18"/>
      <w:u w:val="none"/>
    </w:rPr>
  </w:style>
  <w:style w:type="character" w:customStyle="1" w:styleId="90">
    <w:name w:val="font01"/>
    <w:basedOn w:val="32"/>
    <w:qFormat/>
    <w:uiPriority w:val="0"/>
    <w:rPr>
      <w:rFonts w:hint="eastAsia" w:ascii="宋体" w:hAnsi="宋体" w:eastAsia="宋体" w:cs="宋体"/>
      <w:color w:val="000000"/>
      <w:sz w:val="16"/>
      <w:szCs w:val="16"/>
      <w:u w:val="none"/>
    </w:rPr>
  </w:style>
  <w:style w:type="paragraph" w:customStyle="1" w:styleId="91">
    <w:name w:val="图表题注"/>
    <w:basedOn w:val="1"/>
    <w:next w:val="1"/>
    <w:qFormat/>
    <w:uiPriority w:val="0"/>
    <w:pPr>
      <w:widowControl w:val="0"/>
      <w:spacing w:beforeLines="50" w:afterLines="50" w:line="288" w:lineRule="auto"/>
      <w:jc w:val="center"/>
    </w:pPr>
    <w:rPr>
      <w:rFonts w:ascii="Times New Roman" w:hAnsi="Times New Roman" w:cs="Times New Roman"/>
      <w:kern w:val="2"/>
      <w:sz w:val="21"/>
      <w:szCs w:val="21"/>
      <w:lang w:eastAsia="zh-CN"/>
    </w:rPr>
  </w:style>
  <w:style w:type="paragraph" w:customStyle="1" w:styleId="92">
    <w:name w:val="标题2"/>
    <w:unhideWhenUsed/>
    <w:qFormat/>
    <w:uiPriority w:val="2"/>
    <w:pPr>
      <w:spacing w:after="0" w:line="240" w:lineRule="auto"/>
      <w:outlineLvl w:val="2"/>
    </w:pPr>
    <w:rPr>
      <w:rFonts w:asciiTheme="minorHAnsi" w:hAnsiTheme="minorHAnsi" w:eastAsiaTheme="minorEastAsia" w:cstheme="minorBidi"/>
      <w:kern w:val="2"/>
      <w:sz w:val="21"/>
      <w:szCs w:val="22"/>
      <w:lang w:val="en-US" w:eastAsia="zh-CN" w:bidi="ar-SA"/>
    </w:rPr>
  </w:style>
  <w:style w:type="character" w:customStyle="1" w:styleId="93">
    <w:name w:val="报告正文 Char Char"/>
    <w:link w:val="94"/>
    <w:qFormat/>
    <w:uiPriority w:val="0"/>
    <w:rPr>
      <w:rFonts w:ascii="Times New Roman" w:hAnsi="Times New Roman" w:eastAsia="宋体"/>
      <w:sz w:val="24"/>
    </w:rPr>
  </w:style>
  <w:style w:type="paragraph" w:customStyle="1" w:styleId="94">
    <w:name w:val="报告正文"/>
    <w:basedOn w:val="1"/>
    <w:link w:val="93"/>
    <w:qFormat/>
    <w:uiPriority w:val="0"/>
    <w:pPr>
      <w:widowControl w:val="0"/>
      <w:spacing w:after="0" w:line="360" w:lineRule="auto"/>
      <w:ind w:firstLine="1040" w:firstLineChars="200"/>
      <w:jc w:val="both"/>
    </w:pPr>
    <w:rPr>
      <w:rFonts w:ascii="Times New Roman" w:hAnsi="Times New Roman"/>
      <w:sz w:val="24"/>
      <w:szCs w:val="20"/>
    </w:rPr>
  </w:style>
  <w:style w:type="character" w:customStyle="1" w:styleId="95">
    <w:name w:val="文档结构图 Char"/>
    <w:basedOn w:val="32"/>
    <w:link w:val="11"/>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wmf"/><Relationship Id="rId26" Type="http://schemas.openxmlformats.org/officeDocument/2006/relationships/image" Target="media/image15.emf"/><Relationship Id="rId25" Type="http://schemas.openxmlformats.org/officeDocument/2006/relationships/image" Target="media/image14.w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image" Target="media/image5.wmf"/><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96"/>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00B124-30E0-4ACA-AEA1-C839DF45722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139</Pages>
  <Words>11929</Words>
  <Characters>68000</Characters>
  <Lines>566</Lines>
  <Paragraphs>159</Paragraphs>
  <TotalTime>183</TotalTime>
  <ScaleCrop>false</ScaleCrop>
  <LinksUpToDate>false</LinksUpToDate>
  <CharactersWithSpaces>79770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2019-12-06T02:32:00Z</dcterms:created>
  <dc:creator>zq</dc:creator>
  <cp:lastModifiedBy>杏子</cp:lastModifiedBy>
  <dcterms:modified xsi:type="dcterms:W3CDTF">2019-12-17T04:54:21Z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