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463" w:rsidRDefault="000E2B29">
      <w:pPr>
        <w:pStyle w:val="WPSPlain"/>
        <w:spacing w:line="480" w:lineRule="exact"/>
        <w:textAlignment w:val="top"/>
        <w:rPr>
          <w:rFonts w:ascii="仿宋" w:eastAsia="仿宋" w:hAnsi="仿宋"/>
          <w:b/>
          <w:color w:val="000000"/>
          <w:sz w:val="36"/>
        </w:rPr>
      </w:pPr>
      <w:r>
        <w:rPr>
          <w:rFonts w:ascii="仿宋" w:eastAsia="仿宋" w:hAnsi="仿宋" w:hint="eastAsia"/>
          <w:b/>
          <w:color w:val="000000"/>
          <w:kern w:val="2"/>
          <w:sz w:val="36"/>
        </w:rPr>
        <w:t xml:space="preserve">                                               </w:t>
      </w:r>
    </w:p>
    <w:p w:rsidR="00CA1463" w:rsidRDefault="00CA1463">
      <w:pPr>
        <w:pStyle w:val="WPSPlain"/>
        <w:spacing w:line="480" w:lineRule="exact"/>
        <w:textAlignment w:val="top"/>
        <w:rPr>
          <w:rFonts w:ascii="仿宋" w:eastAsia="仿宋" w:hAnsi="仿宋"/>
          <w:b/>
          <w:color w:val="000000"/>
          <w:sz w:val="36"/>
        </w:rPr>
      </w:pPr>
    </w:p>
    <w:p w:rsidR="00CA1463" w:rsidRDefault="00CA1463">
      <w:pPr>
        <w:pStyle w:val="WPSPlain"/>
        <w:spacing w:line="320" w:lineRule="exact"/>
        <w:ind w:firstLineChars="1750" w:firstLine="5250"/>
        <w:textAlignment w:val="top"/>
        <w:rPr>
          <w:rFonts w:ascii="仿宋" w:eastAsia="仿宋" w:hAnsi="仿宋"/>
          <w:color w:val="000000"/>
          <w:sz w:val="30"/>
          <w:szCs w:val="30"/>
        </w:rPr>
      </w:pPr>
    </w:p>
    <w:p w:rsidR="00CA1463" w:rsidRDefault="00CA1463">
      <w:pPr>
        <w:pStyle w:val="WPSPlain"/>
        <w:spacing w:line="320" w:lineRule="exact"/>
        <w:ind w:firstLineChars="1750" w:firstLine="5250"/>
        <w:textAlignment w:val="top"/>
        <w:rPr>
          <w:rFonts w:ascii="仿宋" w:eastAsia="仿宋" w:hAnsi="仿宋"/>
          <w:color w:val="000000"/>
          <w:sz w:val="30"/>
          <w:szCs w:val="30"/>
        </w:rPr>
      </w:pPr>
    </w:p>
    <w:p w:rsidR="00CA1463" w:rsidRDefault="00CA1463">
      <w:pPr>
        <w:pStyle w:val="WPSPlain"/>
        <w:spacing w:line="320" w:lineRule="exact"/>
        <w:ind w:firstLineChars="1750" w:firstLine="5250"/>
        <w:textAlignment w:val="top"/>
        <w:rPr>
          <w:rFonts w:ascii="仿宋" w:eastAsia="仿宋" w:hAnsi="仿宋"/>
          <w:color w:val="000000"/>
          <w:sz w:val="30"/>
          <w:szCs w:val="30"/>
        </w:rPr>
      </w:pPr>
    </w:p>
    <w:p w:rsidR="00CA1463" w:rsidRDefault="00CA1463">
      <w:pPr>
        <w:pStyle w:val="WPSPlain"/>
        <w:spacing w:line="400" w:lineRule="exact"/>
        <w:jc w:val="both"/>
        <w:textAlignment w:val="top"/>
        <w:rPr>
          <w:rFonts w:ascii="仿宋" w:eastAsia="仿宋" w:hAnsi="仿宋"/>
          <w:color w:val="000000"/>
          <w:sz w:val="30"/>
          <w:szCs w:val="30"/>
        </w:rPr>
      </w:pPr>
    </w:p>
    <w:p w:rsidR="00CA1463" w:rsidRDefault="000E2B29">
      <w:pPr>
        <w:pStyle w:val="WPSPlain"/>
        <w:spacing w:afterLines="50" w:after="156" w:line="400" w:lineRule="exact"/>
        <w:jc w:val="right"/>
        <w:textAlignment w:val="top"/>
        <w:rPr>
          <w:rFonts w:ascii="仿宋" w:eastAsia="仿宋" w:hAnsi="仿宋" w:cs="仿宋_GB2312"/>
          <w:bCs/>
          <w:color w:val="FF0000"/>
          <w:sz w:val="32"/>
          <w:szCs w:val="32"/>
        </w:rPr>
      </w:pPr>
      <w:r>
        <w:rPr>
          <w:rFonts w:ascii="仿宋" w:eastAsia="仿宋" w:hAnsi="仿宋" w:hint="eastAsia"/>
          <w:color w:val="000000"/>
          <w:sz w:val="30"/>
          <w:szCs w:val="30"/>
        </w:rPr>
        <w:t xml:space="preserve">                                    </w:t>
      </w:r>
      <w:r>
        <w:rPr>
          <w:rFonts w:ascii="仿宋" w:eastAsia="仿宋" w:hAnsi="仿宋" w:hint="eastAsia"/>
          <w:color w:val="FF0000"/>
          <w:sz w:val="30"/>
          <w:szCs w:val="30"/>
        </w:rPr>
        <w:t xml:space="preserve"> </w:t>
      </w:r>
      <w:proofErr w:type="gramStart"/>
      <w:r>
        <w:rPr>
          <w:rFonts w:ascii="仿宋" w:eastAsia="仿宋" w:hAnsi="仿宋" w:cs="仿宋_GB2312" w:hint="eastAsia"/>
          <w:bCs/>
          <w:color w:val="000000"/>
          <w:sz w:val="32"/>
          <w:szCs w:val="32"/>
        </w:rPr>
        <w:t>岳环评</w:t>
      </w:r>
      <w:proofErr w:type="gramEnd"/>
      <w:r>
        <w:rPr>
          <w:rFonts w:ascii="仿宋" w:eastAsia="仿宋" w:hAnsi="仿宋" w:cs="仿宋_GB2312" w:hint="eastAsia"/>
          <w:bCs/>
          <w:color w:val="000000"/>
          <w:sz w:val="32"/>
          <w:szCs w:val="32"/>
        </w:rPr>
        <w:t>[2020]28号</w:t>
      </w:r>
    </w:p>
    <w:p w:rsidR="00CA1463" w:rsidRDefault="000E2B29">
      <w:pPr>
        <w:autoSpaceDE w:val="0"/>
        <w:autoSpaceDN w:val="0"/>
        <w:adjustRightInd w:val="0"/>
        <w:ind w:left="177" w:firstLineChars="0" w:hanging="177"/>
        <w:jc w:val="center"/>
        <w:rPr>
          <w:rFonts w:ascii="宋体" w:hAnsi="宋体" w:cs="黑体"/>
          <w:b/>
          <w:color w:val="000000"/>
          <w:sz w:val="36"/>
          <w:szCs w:val="36"/>
        </w:rPr>
      </w:pPr>
      <w:r>
        <w:rPr>
          <w:rFonts w:ascii="宋体" w:hAnsi="宋体" w:hint="eastAsia"/>
          <w:b/>
          <w:bCs/>
          <w:sz w:val="36"/>
          <w:szCs w:val="36"/>
        </w:rPr>
        <w:t>关于岳阳兴长石化股份有限公司20万吨/年烷基化装置及配套工程</w:t>
      </w:r>
      <w:r>
        <w:rPr>
          <w:rFonts w:ascii="宋体" w:hAnsi="宋体"/>
          <w:b/>
          <w:sz w:val="36"/>
          <w:szCs w:val="36"/>
        </w:rPr>
        <w:t>环境影响报告书</w:t>
      </w:r>
      <w:r>
        <w:rPr>
          <w:rFonts w:ascii="宋体" w:hAnsi="宋体" w:hint="eastAsia"/>
          <w:b/>
          <w:sz w:val="36"/>
          <w:szCs w:val="36"/>
        </w:rPr>
        <w:t>的批复</w:t>
      </w:r>
    </w:p>
    <w:p w:rsidR="00CA1463" w:rsidRDefault="00CA1463">
      <w:pPr>
        <w:pStyle w:val="WPSPlain"/>
        <w:spacing w:line="480" w:lineRule="exact"/>
        <w:ind w:left="177" w:hangingChars="49" w:hanging="177"/>
        <w:jc w:val="center"/>
        <w:textAlignment w:val="top"/>
        <w:rPr>
          <w:rFonts w:ascii="仿宋" w:eastAsia="仿宋" w:hAnsi="仿宋" w:cs="黑体"/>
          <w:b/>
          <w:color w:val="FF0000"/>
          <w:sz w:val="36"/>
          <w:szCs w:val="36"/>
        </w:rPr>
      </w:pPr>
    </w:p>
    <w:p w:rsidR="00CA1463" w:rsidRDefault="000E2B29">
      <w:pPr>
        <w:spacing w:line="460" w:lineRule="exact"/>
        <w:ind w:firstLineChars="6" w:firstLine="19"/>
        <w:jc w:val="both"/>
        <w:rPr>
          <w:rFonts w:ascii="仿宋" w:eastAsia="仿宋" w:hAnsi="仿宋"/>
          <w:sz w:val="32"/>
          <w:szCs w:val="32"/>
        </w:rPr>
      </w:pPr>
      <w:r>
        <w:rPr>
          <w:rFonts w:ascii="仿宋" w:eastAsia="仿宋" w:hAnsi="仿宋" w:hint="eastAsia"/>
          <w:sz w:val="32"/>
          <w:szCs w:val="32"/>
        </w:rPr>
        <w:t>岳阳兴长石化股份有限公司：</w:t>
      </w:r>
    </w:p>
    <w:p w:rsidR="00CA1463" w:rsidRDefault="000E2B29">
      <w:pPr>
        <w:spacing w:line="460" w:lineRule="exact"/>
        <w:ind w:firstLine="640"/>
        <w:jc w:val="both"/>
        <w:rPr>
          <w:rFonts w:ascii="仿宋" w:eastAsia="仿宋" w:hAnsi="仿宋"/>
          <w:sz w:val="32"/>
          <w:szCs w:val="32"/>
        </w:rPr>
      </w:pPr>
      <w:r>
        <w:rPr>
          <w:rFonts w:ascii="仿宋" w:eastAsia="仿宋" w:hAnsi="仿宋" w:hint="eastAsia"/>
          <w:sz w:val="32"/>
          <w:szCs w:val="32"/>
        </w:rPr>
        <w:t>你公司《关于岳阳兴长石化股份有限公司20万吨/年烷基化装置及配套工程</w:t>
      </w:r>
      <w:r>
        <w:rPr>
          <w:rFonts w:ascii="仿宋" w:eastAsia="仿宋" w:hAnsi="仿宋"/>
          <w:sz w:val="32"/>
          <w:szCs w:val="32"/>
        </w:rPr>
        <w:t>环境影响</w:t>
      </w:r>
      <w:r>
        <w:rPr>
          <w:rFonts w:ascii="仿宋" w:eastAsia="仿宋" w:hAnsi="仿宋" w:hint="eastAsia"/>
          <w:sz w:val="32"/>
          <w:szCs w:val="32"/>
        </w:rPr>
        <w:t>评价申请批复的请示》、岳阳市生态环境局云溪分局的预审意见及有关附件悉收。经研究，批复如下：</w:t>
      </w:r>
    </w:p>
    <w:p w:rsidR="00CA1463" w:rsidRDefault="000E2B29">
      <w:pPr>
        <w:spacing w:line="460" w:lineRule="exact"/>
        <w:ind w:firstLine="640"/>
        <w:jc w:val="both"/>
        <w:rPr>
          <w:rFonts w:ascii="仿宋" w:eastAsia="仿宋" w:hAnsi="仿宋"/>
          <w:sz w:val="32"/>
          <w:szCs w:val="32"/>
        </w:rPr>
      </w:pPr>
      <w:r>
        <w:rPr>
          <w:rFonts w:ascii="仿宋" w:eastAsia="仿宋" w:hAnsi="仿宋" w:hint="eastAsia"/>
          <w:sz w:val="32"/>
          <w:szCs w:val="32"/>
        </w:rPr>
        <w:t>一、岳阳兴长石化股份有限公司拟投资4.27亿元，在湖南岳阳绿色化工产业园长岭片区征地108亩，新建20万吨/年烷基化装置及配套工程。拟建工程采用“液体硫酸法烷基化”生产工艺，主要包括烷基化单元和硫酸回收单元，生产过程中以硫酸为催化剂，混合碳四、异丁烷、氢气为主要原辅料经加氢精制、烷基化反应、分馏等工序得到产品烷基化油；烷基化过程中产生的废硫酸经焚烧裂解、净化、转化吸收等工序再生，并返回烷基化单元利用。主要建设内容为：烷基化单元、硫酸回收单元、储罐区、仓库、空压站，配套建设其他公用、辅助、环保工程。根据湖南葆华环保有限公司编制的《岳阳兴长石化股份有限公司20万吨/年烷基化装置及配套工程</w:t>
      </w:r>
      <w:r>
        <w:rPr>
          <w:rFonts w:ascii="仿宋" w:eastAsia="仿宋" w:hAnsi="仿宋"/>
          <w:sz w:val="32"/>
          <w:szCs w:val="32"/>
        </w:rPr>
        <w:t>环境影响报告书</w:t>
      </w:r>
      <w:r>
        <w:rPr>
          <w:rFonts w:ascii="仿宋" w:eastAsia="仿宋" w:hAnsi="仿宋" w:hint="eastAsia"/>
          <w:sz w:val="32"/>
          <w:szCs w:val="32"/>
        </w:rPr>
        <w:t>（报批稿）》基本内容、结论、专家评审意见及岳阳市生态环境局云溪分局预审意见，从环境保护角度考虑，我局原则同意你公司环境影响报告书中所列建设项目的性质、规模、工艺、地点和环境保护对策措施。</w:t>
      </w:r>
    </w:p>
    <w:p w:rsidR="00CA1463" w:rsidRDefault="000E2B29">
      <w:pPr>
        <w:spacing w:line="460" w:lineRule="exact"/>
        <w:ind w:firstLine="640"/>
        <w:jc w:val="both"/>
        <w:rPr>
          <w:rFonts w:ascii="仿宋" w:eastAsia="仿宋" w:hAnsi="仿宋"/>
          <w:sz w:val="32"/>
          <w:szCs w:val="32"/>
        </w:rPr>
      </w:pPr>
      <w:r>
        <w:rPr>
          <w:rFonts w:ascii="仿宋" w:eastAsia="仿宋" w:hAnsi="仿宋" w:hint="eastAsia"/>
          <w:sz w:val="32"/>
          <w:szCs w:val="32"/>
        </w:rPr>
        <w:lastRenderedPageBreak/>
        <w:t>二、认真落实专家及环境影响报告书中提出的各项污染防治措施，并应着重注意以下问题：</w:t>
      </w:r>
    </w:p>
    <w:p w:rsidR="00CA1463" w:rsidRDefault="000E2B29">
      <w:pPr>
        <w:spacing w:line="460" w:lineRule="exact"/>
        <w:ind w:firstLine="640"/>
        <w:jc w:val="both"/>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、废水污染防治工作。严格按照“雨污分流、清污分流”的原则规范设计厂区雨水及污水管网。</w:t>
      </w:r>
      <w:r>
        <w:rPr>
          <w:rFonts w:ascii="仿宋" w:eastAsia="仿宋" w:hAnsi="仿宋" w:hint="eastAsia"/>
          <w:sz w:val="32"/>
          <w:szCs w:val="32"/>
        </w:rPr>
        <w:t>循环冷却水系统排水和锅炉排水，作为清净下水排入厂区雨水管网。</w:t>
      </w:r>
      <w:r>
        <w:rPr>
          <w:rFonts w:ascii="仿宋" w:eastAsia="仿宋" w:hAnsi="仿宋"/>
          <w:sz w:val="32"/>
          <w:szCs w:val="32"/>
        </w:rPr>
        <w:t>项目生活污水</w:t>
      </w:r>
      <w:r>
        <w:rPr>
          <w:rFonts w:ascii="仿宋" w:eastAsia="仿宋" w:hAnsi="仿宋" w:hint="eastAsia"/>
          <w:sz w:val="32"/>
          <w:szCs w:val="32"/>
        </w:rPr>
        <w:t>、初期雨水和生产废水</w:t>
      </w:r>
      <w:r>
        <w:rPr>
          <w:rFonts w:ascii="仿宋" w:eastAsia="仿宋" w:hAnsi="仿宋"/>
          <w:sz w:val="32"/>
          <w:szCs w:val="32"/>
        </w:rPr>
        <w:t>经预处理</w:t>
      </w:r>
      <w:r>
        <w:rPr>
          <w:rFonts w:ascii="仿宋" w:eastAsia="仿宋" w:hAnsi="仿宋" w:hint="eastAsia"/>
          <w:sz w:val="32"/>
          <w:szCs w:val="32"/>
        </w:rPr>
        <w:t>，</w:t>
      </w:r>
      <w:r>
        <w:rPr>
          <w:rFonts w:ascii="仿宋" w:eastAsia="仿宋" w:hAnsi="仿宋"/>
          <w:sz w:val="32"/>
          <w:szCs w:val="32"/>
        </w:rPr>
        <w:t>达到</w:t>
      </w:r>
      <w:r>
        <w:rPr>
          <w:rFonts w:ascii="仿宋" w:eastAsia="仿宋" w:hAnsi="仿宋" w:hint="eastAsia"/>
          <w:sz w:val="32"/>
          <w:szCs w:val="32"/>
        </w:rPr>
        <w:t>《石油炼制工业污染物排放标准》（GB31570-2015）间接排放限值，并满足岳阳长云公用工程管理有限公司水质接纳要求后，经管网排至中国石油化工股份有限公司长岭分公司污水处理厂深度处理</w:t>
      </w:r>
      <w:r>
        <w:rPr>
          <w:rFonts w:ascii="仿宋" w:eastAsia="仿宋" w:hAnsi="仿宋"/>
          <w:sz w:val="32"/>
          <w:szCs w:val="32"/>
        </w:rPr>
        <w:t>。</w:t>
      </w:r>
    </w:p>
    <w:p w:rsidR="00CA1463" w:rsidRDefault="000E2B29">
      <w:pPr>
        <w:spacing w:line="460" w:lineRule="exact"/>
        <w:ind w:firstLine="640"/>
        <w:jc w:val="both"/>
        <w:rPr>
          <w:rFonts w:ascii="仿宋" w:eastAsia="仿宋" w:hAnsi="仿宋"/>
          <w:sz w:val="32"/>
          <w:szCs w:val="32"/>
        </w:rPr>
      </w:pPr>
      <w:r>
        <w:rPr>
          <w:rFonts w:ascii="仿宋" w:eastAsia="仿宋" w:hAnsi="仿宋" w:hint="eastAsia"/>
          <w:bCs/>
          <w:sz w:val="32"/>
          <w:szCs w:val="32"/>
        </w:rPr>
        <w:t>按照分区防控的原则落实报告书提出的地下水污染防治措施，做好生产车间等区域的防腐、防渗工作，</w:t>
      </w:r>
      <w:r>
        <w:rPr>
          <w:rFonts w:ascii="仿宋" w:eastAsia="仿宋" w:hAnsi="仿宋" w:cs="仿宋" w:hint="eastAsia"/>
          <w:sz w:val="32"/>
          <w:szCs w:val="32"/>
        </w:rPr>
        <w:t>强化管理，避免由于泄漏等造成物料或者污染物下渗污染地下水；根据《环境影响评价技术导则地下水环境》（HJ610-2016）要求，跟踪监测地下水质情况，确保地下水环境安全。</w:t>
      </w:r>
    </w:p>
    <w:p w:rsidR="00CA1463" w:rsidRDefault="000E2B29">
      <w:pPr>
        <w:pStyle w:val="0"/>
        <w:widowControl w:val="0"/>
        <w:adjustRightInd w:val="0"/>
        <w:spacing w:line="460" w:lineRule="exact"/>
        <w:ind w:left="0"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2</w:t>
      </w:r>
      <w:r>
        <w:rPr>
          <w:rFonts w:ascii="仿宋" w:eastAsia="仿宋" w:hAnsi="仿宋" w:cs="仿宋_GB2312"/>
          <w:color w:val="000000"/>
          <w:sz w:val="32"/>
          <w:szCs w:val="32"/>
        </w:rPr>
        <w:t>、废气污染防治工作。</w:t>
      </w:r>
      <w:r>
        <w:rPr>
          <w:rFonts w:eastAsia="仿宋" w:hint="eastAsia"/>
          <w:sz w:val="32"/>
          <w:szCs w:val="32"/>
        </w:rPr>
        <w:t>严格控制项目废气污染，加强日常监管，定期对设备、管道、</w:t>
      </w:r>
      <w:bookmarkStart w:id="0" w:name="_GoBack"/>
      <w:bookmarkEnd w:id="0"/>
      <w:r>
        <w:rPr>
          <w:rFonts w:eastAsia="仿宋" w:hint="eastAsia"/>
          <w:sz w:val="32"/>
          <w:szCs w:val="32"/>
        </w:rPr>
        <w:t>阀门、法兰等进行维护和管理，杜绝生产过程中的跑、冒、滴、漏，最大限度减少生产过程中的废气无组织排放，</w:t>
      </w:r>
      <w:r>
        <w:rPr>
          <w:rFonts w:ascii="仿宋" w:eastAsia="仿宋" w:hAnsi="仿宋" w:cs="仿宋_GB2312" w:hint="eastAsia"/>
          <w:color w:val="000000"/>
          <w:sz w:val="32"/>
          <w:szCs w:val="32"/>
        </w:rPr>
        <w:t>厂界颗粒物、非甲烷总烃执行《石油炼制工业污染物排放标准》（GB31570-2015）</w:t>
      </w:r>
      <w:r>
        <w:rPr>
          <w:rFonts w:ascii="仿宋" w:eastAsia="仿宋" w:hAnsi="仿宋" w:cs="仿宋_GB2312"/>
          <w:color w:val="000000"/>
          <w:sz w:val="32"/>
          <w:szCs w:val="32"/>
        </w:rPr>
        <w:t>表</w:t>
      </w:r>
      <w:r>
        <w:rPr>
          <w:rFonts w:ascii="仿宋" w:eastAsia="仿宋" w:hAnsi="仿宋" w:cs="仿宋_GB2312" w:hint="eastAsia"/>
          <w:color w:val="000000"/>
          <w:sz w:val="32"/>
          <w:szCs w:val="32"/>
        </w:rPr>
        <w:t>5中标准限值，硫酸雾、二氧化硫参照执行《硫酸工业污染物排放标准》（GB26132-2010），硫化氢、氨、臭气浓度执行《恶臭污染物排放标准》（GB14554-93）。裂解焚烧炉尾气经处理， SO</w:t>
      </w:r>
      <w:r>
        <w:rPr>
          <w:rFonts w:ascii="仿宋" w:eastAsia="仿宋" w:hAnsi="仿宋" w:cs="仿宋_GB2312" w:hint="eastAsia"/>
          <w:color w:val="000000"/>
          <w:sz w:val="32"/>
          <w:szCs w:val="32"/>
          <w:vertAlign w:val="subscript"/>
        </w:rPr>
        <w:t>2</w:t>
      </w:r>
      <w:r>
        <w:rPr>
          <w:rFonts w:ascii="仿宋" w:eastAsia="仿宋" w:hAnsi="仿宋" w:cs="仿宋_GB2312" w:hint="eastAsia"/>
          <w:color w:val="000000"/>
          <w:sz w:val="32"/>
          <w:szCs w:val="32"/>
        </w:rPr>
        <w:t>、硫酸雾、</w:t>
      </w:r>
      <w:proofErr w:type="spellStart"/>
      <w:r>
        <w:rPr>
          <w:rFonts w:ascii="仿宋" w:eastAsia="仿宋" w:hAnsi="仿宋" w:cs="仿宋_GB2312" w:hint="eastAsia"/>
          <w:color w:val="000000"/>
          <w:sz w:val="32"/>
          <w:szCs w:val="32"/>
        </w:rPr>
        <w:t>NOx</w:t>
      </w:r>
      <w:proofErr w:type="spellEnd"/>
      <w:r>
        <w:rPr>
          <w:rFonts w:ascii="仿宋" w:eastAsia="仿宋" w:hAnsi="仿宋" w:cs="仿宋_GB2312" w:hint="eastAsia"/>
          <w:color w:val="000000"/>
          <w:sz w:val="32"/>
          <w:szCs w:val="32"/>
        </w:rPr>
        <w:t>、颗粒物满足《石油炼制工业污染物排放标准》（GB31570-2015）要求后，通过45米排气筒高空排放。</w:t>
      </w:r>
      <w:r>
        <w:rPr>
          <w:rFonts w:ascii="仿宋" w:eastAsia="仿宋" w:hAnsi="仿宋" w:cs="仿宋_GB2312"/>
          <w:color w:val="000000"/>
          <w:sz w:val="32"/>
          <w:szCs w:val="32"/>
        </w:rPr>
        <w:t xml:space="preserve"> </w:t>
      </w:r>
    </w:p>
    <w:p w:rsidR="00CA1463" w:rsidRDefault="000E2B29">
      <w:pPr>
        <w:spacing w:line="460" w:lineRule="exact"/>
        <w:ind w:firstLine="640"/>
        <w:rPr>
          <w:rFonts w:ascii="仿宋" w:eastAsia="仿宋" w:hAnsi="仿宋" w:cs="仿宋_GB2312"/>
          <w:color w:val="000000"/>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cs="仿宋_GB2312"/>
          <w:color w:val="000000"/>
          <w:sz w:val="32"/>
          <w:szCs w:val="32"/>
        </w:rPr>
        <w:t>噪声污染防治工作。采用低噪声设备，合理安排工作时间，对产生噪声的设备和工序进行合理布局，确保厂界噪声达到《工业企业厂界环境噪声排放标准》(GB12348-2008)中的3类标准要求。</w:t>
      </w:r>
    </w:p>
    <w:p w:rsidR="00CA1463" w:rsidRDefault="000E2B29">
      <w:pPr>
        <w:spacing w:line="460" w:lineRule="exact"/>
        <w:ind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4</w:t>
      </w:r>
      <w:r>
        <w:rPr>
          <w:rFonts w:ascii="仿宋" w:eastAsia="仿宋" w:hAnsi="仿宋" w:cs="仿宋_GB2312"/>
          <w:color w:val="000000"/>
          <w:sz w:val="32"/>
          <w:szCs w:val="32"/>
        </w:rPr>
        <w:t>、固体废物防治工作。按“无害化、减量化、资源化”原则，做好固体分类收集、暂存工作，建立健全固体废物产生、</w:t>
      </w:r>
      <w:r>
        <w:rPr>
          <w:rFonts w:ascii="仿宋" w:eastAsia="仿宋" w:hAnsi="仿宋" w:cs="仿宋_GB2312"/>
          <w:color w:val="000000"/>
          <w:sz w:val="32"/>
          <w:szCs w:val="32"/>
        </w:rPr>
        <w:lastRenderedPageBreak/>
        <w:t>转运、处置管理台帐。严格按《危险废物贮存污染控制标准（GB18597-2001）》及2013年修改单要求建设危险废物暂存间，</w:t>
      </w:r>
      <w:r>
        <w:rPr>
          <w:rFonts w:ascii="仿宋" w:eastAsia="仿宋" w:hAnsi="仿宋" w:cs="仿宋_GB2312" w:hint="eastAsia"/>
          <w:color w:val="000000"/>
          <w:sz w:val="32"/>
          <w:szCs w:val="32"/>
        </w:rPr>
        <w:t>废加氢催化剂及保护剂、脱水树脂、裂解焚烧炉炉渣、废钒催化剂、废活性炭、隔油池废油、废机油、油泥及浮渣等危险废物</w:t>
      </w:r>
      <w:r>
        <w:rPr>
          <w:rFonts w:ascii="仿宋" w:eastAsia="仿宋" w:hAnsi="仿宋" w:cs="仿宋_GB2312"/>
          <w:color w:val="000000"/>
          <w:sz w:val="32"/>
          <w:szCs w:val="32"/>
        </w:rPr>
        <w:t>应送有资质的单位安全处置，</w:t>
      </w:r>
      <w:r>
        <w:rPr>
          <w:rFonts w:ascii="仿宋" w:eastAsia="仿宋" w:hAnsi="仿宋" w:cs="仿宋_GB2312" w:hint="eastAsia"/>
          <w:color w:val="000000"/>
          <w:sz w:val="32"/>
          <w:szCs w:val="32"/>
        </w:rPr>
        <w:t>并执行</w:t>
      </w:r>
      <w:r>
        <w:rPr>
          <w:rFonts w:ascii="仿宋" w:eastAsia="仿宋" w:hAnsi="仿宋" w:cs="仿宋_GB2312"/>
          <w:color w:val="000000"/>
          <w:sz w:val="32"/>
          <w:szCs w:val="32"/>
        </w:rPr>
        <w:t>转移联单制度；按《一般工业固体废物贮存、处置场污染控制标准》（GB18599-2001）及2013年修改单要求建设、贮存和运输一般工业固体废物；生活垃圾交由环卫部门统一收集处理。</w:t>
      </w:r>
    </w:p>
    <w:p w:rsidR="00CA1463" w:rsidRDefault="000E2B29">
      <w:pPr>
        <w:spacing w:line="460" w:lineRule="exact"/>
        <w:ind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5</w:t>
      </w:r>
      <w:r>
        <w:rPr>
          <w:rFonts w:ascii="仿宋" w:eastAsia="仿宋" w:hAnsi="仿宋" w:cs="仿宋_GB2312"/>
          <w:color w:val="000000"/>
          <w:sz w:val="32"/>
          <w:szCs w:val="32"/>
        </w:rPr>
        <w:t>、加强营运期风险防范。落实各项风险防范措施，加强设施设备的维护和管理，严格按照《突发环境事件应急预案管理暂行办法》要求制定事故环境应急预案，储备风险救助物资并组织演练，杜绝环境风险事故发生。</w:t>
      </w:r>
    </w:p>
    <w:p w:rsidR="00CA1463" w:rsidRDefault="000E2B29">
      <w:pPr>
        <w:spacing w:line="460" w:lineRule="exact"/>
        <w:ind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6</w:t>
      </w:r>
      <w:r>
        <w:rPr>
          <w:rFonts w:ascii="仿宋" w:eastAsia="仿宋" w:hAnsi="仿宋" w:cs="仿宋_GB2312"/>
          <w:color w:val="000000"/>
          <w:sz w:val="32"/>
          <w:szCs w:val="32"/>
        </w:rPr>
        <w:t>、加强环境管理，建立健全的污染防治设施运行管理台帐，设专门的环保机构，配备专人负责环保工作，确保各项污染防治设施正常运行，各类污染物稳定达标排放。</w:t>
      </w:r>
    </w:p>
    <w:p w:rsidR="00CA1463" w:rsidRDefault="000E2B29">
      <w:pPr>
        <w:spacing w:line="460" w:lineRule="exact"/>
        <w:ind w:firstLine="640"/>
        <w:jc w:val="both"/>
        <w:rPr>
          <w:rFonts w:ascii="仿宋" w:eastAsia="仿宋" w:hAnsi="仿宋" w:cs="仿宋_GB2312"/>
          <w:color w:val="000000"/>
          <w:sz w:val="32"/>
          <w:szCs w:val="32"/>
        </w:rPr>
      </w:pPr>
      <w:r>
        <w:rPr>
          <w:rFonts w:ascii="仿宋" w:eastAsia="仿宋" w:hAnsi="仿宋" w:cs="仿宋_GB2312" w:hint="eastAsia"/>
          <w:color w:val="000000"/>
          <w:sz w:val="32"/>
          <w:szCs w:val="32"/>
        </w:rPr>
        <w:t>7</w:t>
      </w:r>
      <w:r>
        <w:rPr>
          <w:rFonts w:ascii="仿宋" w:eastAsia="仿宋" w:hAnsi="仿宋" w:cs="仿宋_GB2312"/>
          <w:color w:val="000000"/>
          <w:sz w:val="32"/>
          <w:szCs w:val="32"/>
        </w:rPr>
        <w:t>、本项目总量控制指标： VOCs</w:t>
      </w:r>
      <w:r>
        <w:rPr>
          <w:rFonts w:ascii="仿宋" w:eastAsia="仿宋" w:hAnsi="仿宋" w:cs="仿宋_GB2312" w:hint="eastAsia"/>
          <w:color w:val="000000"/>
          <w:sz w:val="32"/>
          <w:szCs w:val="32"/>
        </w:rPr>
        <w:t>≤3.4</w:t>
      </w:r>
      <w:r>
        <w:rPr>
          <w:rFonts w:ascii="仿宋" w:eastAsia="仿宋" w:hAnsi="仿宋" w:cs="仿宋_GB2312"/>
          <w:color w:val="000000"/>
          <w:sz w:val="32"/>
          <w:szCs w:val="32"/>
        </w:rPr>
        <w:t>t/a</w:t>
      </w:r>
      <w:r>
        <w:rPr>
          <w:rFonts w:ascii="仿宋" w:eastAsia="仿宋" w:hAnsi="仿宋" w:cs="仿宋_GB2312" w:hint="eastAsia"/>
          <w:color w:val="000000"/>
          <w:sz w:val="32"/>
          <w:szCs w:val="32"/>
        </w:rPr>
        <w:t>，</w:t>
      </w:r>
      <w:proofErr w:type="spellStart"/>
      <w:r>
        <w:rPr>
          <w:rFonts w:ascii="仿宋" w:eastAsia="仿宋" w:hAnsi="仿宋" w:cs="仿宋_GB2312"/>
          <w:color w:val="000000"/>
          <w:sz w:val="32"/>
          <w:szCs w:val="32"/>
        </w:rPr>
        <w:t>CODCr</w:t>
      </w:r>
      <w:proofErr w:type="spellEnd"/>
      <w:r>
        <w:rPr>
          <w:rFonts w:ascii="仿宋" w:eastAsia="仿宋" w:hAnsi="仿宋" w:cs="仿宋_GB2312" w:hint="eastAsia"/>
          <w:color w:val="000000"/>
          <w:sz w:val="32"/>
          <w:szCs w:val="32"/>
        </w:rPr>
        <w:t>≤2.0</w:t>
      </w:r>
      <w:r>
        <w:rPr>
          <w:rFonts w:ascii="仿宋" w:eastAsia="仿宋" w:hAnsi="仿宋" w:cs="仿宋_GB2312"/>
          <w:color w:val="000000"/>
          <w:sz w:val="32"/>
          <w:szCs w:val="32"/>
        </w:rPr>
        <w:t>t/a</w:t>
      </w:r>
      <w:r>
        <w:rPr>
          <w:rFonts w:ascii="仿宋" w:eastAsia="仿宋" w:hAnsi="仿宋" w:cs="仿宋_GB2312" w:hint="eastAsia"/>
          <w:color w:val="000000"/>
          <w:sz w:val="32"/>
          <w:szCs w:val="32"/>
        </w:rPr>
        <w:t>，</w:t>
      </w:r>
      <w:r>
        <w:rPr>
          <w:rFonts w:ascii="仿宋" w:eastAsia="仿宋" w:hAnsi="仿宋" w:cs="仿宋_GB2312"/>
          <w:color w:val="000000"/>
          <w:sz w:val="32"/>
          <w:szCs w:val="32"/>
        </w:rPr>
        <w:t>NH</w:t>
      </w:r>
      <w:r>
        <w:rPr>
          <w:rFonts w:ascii="仿宋" w:eastAsia="仿宋" w:hAnsi="仿宋" w:cs="仿宋_GB2312"/>
          <w:color w:val="000000"/>
          <w:sz w:val="32"/>
          <w:szCs w:val="32"/>
          <w:vertAlign w:val="subscript"/>
        </w:rPr>
        <w:t>3</w:t>
      </w:r>
      <w:r>
        <w:rPr>
          <w:rFonts w:ascii="仿宋" w:eastAsia="仿宋" w:hAnsi="仿宋" w:cs="仿宋_GB2312"/>
          <w:color w:val="000000"/>
          <w:sz w:val="32"/>
          <w:szCs w:val="32"/>
        </w:rPr>
        <w:t>-N</w:t>
      </w:r>
      <w:r>
        <w:rPr>
          <w:rFonts w:ascii="仿宋" w:eastAsia="仿宋" w:hAnsi="仿宋" w:cs="仿宋_GB2312" w:hint="eastAsia"/>
          <w:color w:val="000000"/>
          <w:sz w:val="32"/>
          <w:szCs w:val="32"/>
        </w:rPr>
        <w:t>≤0.2</w:t>
      </w:r>
      <w:r>
        <w:rPr>
          <w:rFonts w:ascii="仿宋" w:eastAsia="仿宋" w:hAnsi="仿宋" w:cs="仿宋_GB2312"/>
          <w:color w:val="000000"/>
          <w:sz w:val="32"/>
          <w:szCs w:val="32"/>
        </w:rPr>
        <w:t>t/a</w:t>
      </w:r>
      <w:r>
        <w:rPr>
          <w:rFonts w:ascii="仿宋" w:eastAsia="仿宋" w:hAnsi="仿宋" w:cs="仿宋_GB2312" w:hint="eastAsia"/>
          <w:color w:val="000000"/>
          <w:sz w:val="32"/>
          <w:szCs w:val="32"/>
        </w:rPr>
        <w:t>，SO</w:t>
      </w:r>
      <w:r>
        <w:rPr>
          <w:rFonts w:ascii="仿宋" w:eastAsia="仿宋" w:hAnsi="仿宋" w:cs="仿宋_GB2312" w:hint="eastAsia"/>
          <w:color w:val="000000"/>
          <w:sz w:val="32"/>
          <w:szCs w:val="32"/>
          <w:vertAlign w:val="subscript"/>
        </w:rPr>
        <w:t>2</w:t>
      </w:r>
      <w:r>
        <w:rPr>
          <w:rFonts w:ascii="仿宋" w:eastAsia="仿宋" w:hAnsi="仿宋" w:cs="仿宋_GB2312" w:hint="eastAsia"/>
          <w:color w:val="000000"/>
          <w:sz w:val="32"/>
          <w:szCs w:val="32"/>
        </w:rPr>
        <w:t>≤4.2</w:t>
      </w:r>
      <w:r>
        <w:rPr>
          <w:rFonts w:ascii="仿宋" w:eastAsia="仿宋" w:hAnsi="仿宋" w:cs="仿宋_GB2312"/>
          <w:color w:val="000000"/>
          <w:sz w:val="32"/>
          <w:szCs w:val="32"/>
        </w:rPr>
        <w:t>t/a</w:t>
      </w:r>
      <w:r>
        <w:rPr>
          <w:rFonts w:ascii="仿宋" w:eastAsia="仿宋" w:hAnsi="仿宋" w:cs="仿宋_GB2312" w:hint="eastAsia"/>
          <w:color w:val="000000"/>
          <w:sz w:val="32"/>
          <w:szCs w:val="32"/>
        </w:rPr>
        <w:t>，NO</w:t>
      </w:r>
      <w:r>
        <w:rPr>
          <w:rFonts w:ascii="仿宋" w:eastAsia="仿宋" w:hAnsi="仿宋" w:cs="仿宋_GB2312" w:hint="eastAsia"/>
          <w:color w:val="000000"/>
          <w:sz w:val="32"/>
          <w:szCs w:val="32"/>
          <w:vertAlign w:val="subscript"/>
        </w:rPr>
        <w:t>X</w:t>
      </w:r>
      <w:r>
        <w:rPr>
          <w:rFonts w:ascii="仿宋" w:eastAsia="仿宋" w:hAnsi="仿宋" w:cs="仿宋_GB2312" w:hint="eastAsia"/>
          <w:color w:val="000000"/>
          <w:sz w:val="32"/>
          <w:szCs w:val="32"/>
        </w:rPr>
        <w:t xml:space="preserve">≤3.7 </w:t>
      </w:r>
      <w:r>
        <w:rPr>
          <w:rFonts w:ascii="仿宋" w:eastAsia="仿宋" w:hAnsi="仿宋" w:cs="仿宋_GB2312"/>
          <w:color w:val="000000"/>
          <w:sz w:val="32"/>
          <w:szCs w:val="32"/>
        </w:rPr>
        <w:t>t/a</w:t>
      </w:r>
      <w:r>
        <w:rPr>
          <w:rFonts w:ascii="仿宋" w:eastAsia="仿宋" w:hAnsi="仿宋" w:cs="仿宋_GB2312" w:hint="eastAsia"/>
          <w:color w:val="000000"/>
          <w:sz w:val="32"/>
          <w:szCs w:val="32"/>
        </w:rPr>
        <w:t>.</w:t>
      </w:r>
    </w:p>
    <w:p w:rsidR="00CA1463" w:rsidRDefault="000E2B29">
      <w:pPr>
        <w:spacing w:line="460" w:lineRule="exact"/>
        <w:ind w:firstLine="640"/>
        <w:jc w:val="both"/>
        <w:rPr>
          <w:rFonts w:ascii="仿宋" w:eastAsia="仿宋" w:hAnsi="仿宋" w:cs="仿宋_GB2312"/>
          <w:color w:val="000000"/>
          <w:sz w:val="32"/>
          <w:szCs w:val="32"/>
        </w:rPr>
      </w:pPr>
      <w:r>
        <w:rPr>
          <w:rFonts w:ascii="仿宋" w:eastAsia="仿宋" w:hAnsi="仿宋" w:cs="仿宋_GB2312"/>
          <w:color w:val="000000"/>
          <w:sz w:val="32"/>
          <w:szCs w:val="32"/>
        </w:rPr>
        <w:t>三、你公司应收到本批复后15个工作日内，将批复及批准的环评报告文件送岳阳市生态环境局</w:t>
      </w:r>
      <w:r>
        <w:rPr>
          <w:rFonts w:ascii="仿宋" w:eastAsia="仿宋" w:hAnsi="仿宋" w:cs="仿宋_GB2312" w:hint="eastAsia"/>
          <w:color w:val="000000"/>
          <w:sz w:val="32"/>
          <w:szCs w:val="32"/>
        </w:rPr>
        <w:t>云溪</w:t>
      </w:r>
      <w:r>
        <w:rPr>
          <w:rFonts w:ascii="仿宋" w:eastAsia="仿宋" w:hAnsi="仿宋" w:cs="仿宋_GB2312"/>
          <w:color w:val="000000"/>
          <w:sz w:val="32"/>
          <w:szCs w:val="32"/>
        </w:rPr>
        <w:t>分局、</w:t>
      </w:r>
      <w:r>
        <w:rPr>
          <w:rFonts w:ascii="仿宋" w:eastAsia="仿宋" w:hAnsi="仿宋" w:cs="仿宋_GB2312" w:hint="eastAsia"/>
          <w:color w:val="000000"/>
          <w:sz w:val="32"/>
          <w:szCs w:val="32"/>
        </w:rPr>
        <w:t>湖南岳阳绿色化工产业园管理委员会</w:t>
      </w:r>
      <w:r>
        <w:rPr>
          <w:rFonts w:ascii="仿宋" w:eastAsia="仿宋" w:hAnsi="仿宋" w:cs="仿宋_GB2312"/>
          <w:color w:val="000000"/>
          <w:sz w:val="32"/>
          <w:szCs w:val="32"/>
        </w:rPr>
        <w:t>、</w:t>
      </w:r>
      <w:r>
        <w:rPr>
          <w:rFonts w:ascii="仿宋" w:eastAsia="仿宋" w:hAnsi="仿宋" w:cs="仿宋_GB2312" w:hint="eastAsia"/>
          <w:color w:val="000000"/>
          <w:sz w:val="32"/>
          <w:szCs w:val="32"/>
        </w:rPr>
        <w:t>湖南葆华环保有限公司</w:t>
      </w:r>
      <w:r>
        <w:rPr>
          <w:rFonts w:ascii="仿宋" w:eastAsia="仿宋" w:hAnsi="仿宋" w:cs="仿宋_GB2312"/>
          <w:color w:val="000000"/>
          <w:sz w:val="32"/>
          <w:szCs w:val="32"/>
        </w:rPr>
        <w:t>有限公司。</w:t>
      </w:r>
    </w:p>
    <w:p w:rsidR="00CA1463" w:rsidRDefault="000E2B29">
      <w:pPr>
        <w:spacing w:line="460" w:lineRule="exact"/>
        <w:ind w:firstLine="640"/>
        <w:jc w:val="both"/>
        <w:rPr>
          <w:rFonts w:ascii="仿宋" w:eastAsia="仿宋" w:hAnsi="仿宋" w:cs="仿宋_GB2312"/>
          <w:color w:val="000000"/>
          <w:sz w:val="32"/>
          <w:szCs w:val="32"/>
        </w:rPr>
      </w:pPr>
      <w:r>
        <w:rPr>
          <w:rFonts w:ascii="仿宋" w:eastAsia="仿宋" w:hAnsi="仿宋" w:cs="仿宋_GB2312"/>
          <w:color w:val="000000"/>
          <w:sz w:val="32"/>
          <w:szCs w:val="32"/>
        </w:rPr>
        <w:t>四、请岳阳市生态环境局</w:t>
      </w:r>
      <w:r>
        <w:rPr>
          <w:rFonts w:ascii="仿宋" w:eastAsia="仿宋" w:hAnsi="仿宋" w:cs="仿宋_GB2312" w:hint="eastAsia"/>
          <w:color w:val="000000"/>
          <w:sz w:val="32"/>
          <w:szCs w:val="32"/>
        </w:rPr>
        <w:t>云溪</w:t>
      </w:r>
      <w:r>
        <w:rPr>
          <w:rFonts w:ascii="仿宋" w:eastAsia="仿宋" w:hAnsi="仿宋" w:cs="仿宋_GB2312"/>
          <w:color w:val="000000"/>
          <w:sz w:val="32"/>
          <w:szCs w:val="32"/>
        </w:rPr>
        <w:t>分局负责项目建设和运营期的日常环境监管。</w:t>
      </w:r>
    </w:p>
    <w:p w:rsidR="00CA1463" w:rsidRDefault="00CA1463">
      <w:pPr>
        <w:spacing w:line="420" w:lineRule="exact"/>
        <w:ind w:firstLineChars="0" w:firstLine="0"/>
        <w:rPr>
          <w:rFonts w:ascii="仿宋" w:eastAsia="仿宋" w:hAnsi="仿宋"/>
          <w:color w:val="000000"/>
          <w:sz w:val="32"/>
          <w:szCs w:val="32"/>
        </w:rPr>
      </w:pPr>
    </w:p>
    <w:p w:rsidR="00CA1463" w:rsidRDefault="00CA1463">
      <w:pPr>
        <w:spacing w:line="420" w:lineRule="exact"/>
        <w:ind w:firstLineChars="0" w:firstLine="0"/>
        <w:rPr>
          <w:rFonts w:ascii="仿宋" w:eastAsia="仿宋" w:hAnsi="仿宋"/>
          <w:color w:val="000000"/>
          <w:sz w:val="32"/>
          <w:szCs w:val="32"/>
        </w:rPr>
      </w:pPr>
    </w:p>
    <w:p w:rsidR="00CA1463" w:rsidRDefault="00CA1463">
      <w:pPr>
        <w:spacing w:line="420" w:lineRule="exact"/>
        <w:ind w:firstLineChars="0" w:firstLine="0"/>
        <w:rPr>
          <w:rFonts w:ascii="仿宋" w:eastAsia="仿宋" w:hAnsi="仿宋"/>
          <w:color w:val="000000"/>
          <w:sz w:val="32"/>
          <w:szCs w:val="32"/>
        </w:rPr>
      </w:pPr>
    </w:p>
    <w:p w:rsidR="00CA1463" w:rsidRDefault="000E2B29">
      <w:pPr>
        <w:spacing w:line="460" w:lineRule="exact"/>
        <w:ind w:firstLineChars="0" w:firstLine="0"/>
        <w:rPr>
          <w:rFonts w:ascii="仿宋" w:eastAsia="仿宋" w:hAnsi="仿宋"/>
          <w:color w:val="000000"/>
          <w:sz w:val="32"/>
          <w:szCs w:val="32"/>
        </w:rPr>
      </w:pPr>
      <w:r>
        <w:rPr>
          <w:rFonts w:ascii="仿宋" w:eastAsia="仿宋" w:hAnsi="仿宋" w:hint="eastAsia"/>
          <w:color w:val="000000"/>
          <w:sz w:val="32"/>
          <w:szCs w:val="32"/>
        </w:rPr>
        <w:t xml:space="preserve">                                岳阳市生态环境局</w:t>
      </w:r>
    </w:p>
    <w:p w:rsidR="00CA1463" w:rsidRPr="00FD3BEB" w:rsidRDefault="000E2B29">
      <w:pPr>
        <w:spacing w:line="460" w:lineRule="exact"/>
        <w:ind w:firstLineChars="20" w:firstLine="64"/>
        <w:rPr>
          <w:rFonts w:ascii="仿宋" w:eastAsia="仿宋" w:hAnsi="仿宋"/>
          <w:color w:val="000000" w:themeColor="text1"/>
          <w:sz w:val="32"/>
          <w:szCs w:val="32"/>
        </w:rPr>
      </w:pPr>
      <w:r>
        <w:rPr>
          <w:rFonts w:ascii="仿宋" w:eastAsia="仿宋" w:hAnsi="仿宋" w:hint="eastAsia"/>
          <w:color w:val="000000"/>
          <w:sz w:val="32"/>
          <w:szCs w:val="32"/>
        </w:rPr>
        <w:t xml:space="preserve">                    </w:t>
      </w:r>
      <w:r>
        <w:rPr>
          <w:rFonts w:ascii="仿宋" w:eastAsia="仿宋" w:hAnsi="仿宋" w:hint="eastAsia"/>
          <w:color w:val="FF0000"/>
          <w:sz w:val="32"/>
          <w:szCs w:val="32"/>
        </w:rPr>
        <w:t xml:space="preserve">            </w:t>
      </w:r>
      <w:r w:rsidRPr="00FD3BEB">
        <w:rPr>
          <w:rFonts w:ascii="仿宋" w:eastAsia="仿宋" w:hAnsi="仿宋"/>
          <w:color w:val="000000" w:themeColor="text1"/>
          <w:sz w:val="32"/>
          <w:szCs w:val="32"/>
        </w:rPr>
        <w:t>2020</w:t>
      </w:r>
      <w:r w:rsidRPr="00FD3BEB">
        <w:rPr>
          <w:rFonts w:ascii="仿宋" w:eastAsia="仿宋" w:hAnsi="仿宋" w:hint="eastAsia"/>
          <w:color w:val="000000" w:themeColor="text1"/>
          <w:sz w:val="32"/>
          <w:szCs w:val="32"/>
        </w:rPr>
        <w:t>年</w:t>
      </w:r>
      <w:r w:rsidRPr="00FD3BEB">
        <w:rPr>
          <w:rFonts w:ascii="仿宋" w:eastAsia="仿宋" w:hAnsi="仿宋"/>
          <w:color w:val="000000" w:themeColor="text1"/>
          <w:sz w:val="32"/>
          <w:szCs w:val="32"/>
        </w:rPr>
        <w:t>2</w:t>
      </w:r>
      <w:r w:rsidRPr="00FD3BEB">
        <w:rPr>
          <w:rFonts w:ascii="仿宋" w:eastAsia="仿宋" w:hAnsi="仿宋" w:hint="eastAsia"/>
          <w:color w:val="000000" w:themeColor="text1"/>
          <w:sz w:val="32"/>
          <w:szCs w:val="32"/>
        </w:rPr>
        <w:t>月</w:t>
      </w:r>
      <w:r w:rsidRPr="00FD3BEB">
        <w:rPr>
          <w:rFonts w:ascii="仿宋" w:eastAsia="仿宋" w:hAnsi="仿宋"/>
          <w:color w:val="000000" w:themeColor="text1"/>
          <w:sz w:val="32"/>
          <w:szCs w:val="32"/>
        </w:rPr>
        <w:t>17</w:t>
      </w:r>
      <w:r w:rsidRPr="00FD3BEB">
        <w:rPr>
          <w:rFonts w:ascii="仿宋" w:eastAsia="仿宋" w:hAnsi="仿宋" w:hint="eastAsia"/>
          <w:color w:val="000000" w:themeColor="text1"/>
          <w:sz w:val="32"/>
          <w:szCs w:val="32"/>
        </w:rPr>
        <w:t>日</w:t>
      </w:r>
    </w:p>
    <w:tbl>
      <w:tblPr>
        <w:tblpPr w:leftFromText="180" w:rightFromText="180" w:vertAnchor="page" w:horzAnchor="margin" w:tblpY="14328"/>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861"/>
      </w:tblGrid>
      <w:tr w:rsidR="00CA1463">
        <w:trPr>
          <w:trHeight w:val="1033"/>
        </w:trPr>
        <w:tc>
          <w:tcPr>
            <w:tcW w:w="8861" w:type="dxa"/>
          </w:tcPr>
          <w:p w:rsidR="00CA1463" w:rsidRDefault="000E2B29">
            <w:pPr>
              <w:spacing w:line="460" w:lineRule="exact"/>
              <w:ind w:left="800" w:hangingChars="250" w:hanging="800"/>
              <w:rPr>
                <w:rFonts w:ascii="仿宋" w:eastAsia="仿宋" w:hAnsi="仿宋"/>
                <w:color w:val="000000"/>
                <w:sz w:val="32"/>
                <w:szCs w:val="32"/>
              </w:rPr>
            </w:pPr>
            <w:r>
              <w:rPr>
                <w:rFonts w:ascii="仿宋" w:eastAsia="仿宋" w:hAnsi="仿宋" w:hint="eastAsia"/>
                <w:color w:val="000000"/>
                <w:sz w:val="32"/>
                <w:szCs w:val="32"/>
              </w:rPr>
              <w:t>抄送:</w:t>
            </w:r>
            <w:r>
              <w:rPr>
                <w:rFonts w:ascii="仿宋" w:eastAsia="仿宋" w:hAnsi="仿宋"/>
                <w:sz w:val="32"/>
                <w:szCs w:val="32"/>
              </w:rPr>
              <w:t>岳阳市生态环境局</w:t>
            </w:r>
            <w:r>
              <w:rPr>
                <w:rFonts w:ascii="仿宋" w:eastAsia="仿宋" w:hAnsi="仿宋" w:hint="eastAsia"/>
                <w:sz w:val="32"/>
                <w:szCs w:val="32"/>
              </w:rPr>
              <w:t>云溪</w:t>
            </w:r>
            <w:r>
              <w:rPr>
                <w:rFonts w:ascii="仿宋" w:eastAsia="仿宋" w:hAnsi="仿宋"/>
                <w:sz w:val="32"/>
                <w:szCs w:val="32"/>
              </w:rPr>
              <w:t>分局、</w:t>
            </w:r>
            <w:r>
              <w:rPr>
                <w:rFonts w:ascii="仿宋" w:eastAsia="仿宋" w:hAnsi="仿宋" w:hint="eastAsia"/>
                <w:sz w:val="32"/>
                <w:szCs w:val="32"/>
              </w:rPr>
              <w:t>湖南岳阳绿色化工产业园管理委员会</w:t>
            </w:r>
            <w:r>
              <w:rPr>
                <w:rFonts w:ascii="仿宋" w:eastAsia="仿宋" w:hAnsi="仿宋"/>
                <w:sz w:val="32"/>
                <w:szCs w:val="32"/>
              </w:rPr>
              <w:t>、</w:t>
            </w:r>
            <w:r>
              <w:rPr>
                <w:rFonts w:ascii="仿宋" w:eastAsia="仿宋" w:hAnsi="仿宋" w:hint="eastAsia"/>
                <w:sz w:val="32"/>
                <w:szCs w:val="32"/>
              </w:rPr>
              <w:t>湖南葆华环保</w:t>
            </w:r>
            <w:r>
              <w:rPr>
                <w:rFonts w:ascii="仿宋" w:eastAsia="仿宋" w:hAnsi="仿宋"/>
                <w:sz w:val="32"/>
                <w:szCs w:val="32"/>
              </w:rPr>
              <w:t>有限公司</w:t>
            </w:r>
          </w:p>
        </w:tc>
      </w:tr>
    </w:tbl>
    <w:p w:rsidR="00CA1463" w:rsidRDefault="00CA1463">
      <w:pPr>
        <w:pStyle w:val="0"/>
        <w:spacing w:line="500" w:lineRule="exact"/>
        <w:ind w:left="0" w:firstLineChars="0" w:firstLine="0"/>
        <w:jc w:val="both"/>
        <w:rPr>
          <w:rFonts w:ascii="仿宋" w:eastAsia="仿宋" w:hAnsi="仿宋"/>
          <w:color w:val="FF0000"/>
        </w:rPr>
      </w:pPr>
    </w:p>
    <w:sectPr w:rsidR="00CA1463">
      <w:headerReference w:type="even" r:id="rId7"/>
      <w:headerReference w:type="default" r:id="rId8"/>
      <w:footerReference w:type="even" r:id="rId9"/>
      <w:footerReference w:type="default" r:id="rId10"/>
      <w:headerReference w:type="first" r:id="rId11"/>
      <w:footerReference w:type="first" r:id="rId12"/>
      <w:pgSz w:w="11906" w:h="16838"/>
      <w:pgMar w:top="1440" w:right="1588" w:bottom="1418" w:left="164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8E" w:rsidRDefault="0045528E" w:rsidP="000E2B29">
      <w:pPr>
        <w:ind w:firstLine="400"/>
      </w:pPr>
      <w:r>
        <w:separator/>
      </w:r>
    </w:p>
  </w:endnote>
  <w:endnote w:type="continuationSeparator" w:id="0">
    <w:p w:rsidR="0045528E" w:rsidRDefault="0045528E" w:rsidP="000E2B29">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63" w:rsidRDefault="00CA1463">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63" w:rsidRDefault="000E2B29">
    <w:pPr>
      <w:pStyle w:val="a8"/>
      <w:ind w:firstLine="360"/>
      <w:jc w:val="center"/>
    </w:pPr>
    <w:r>
      <w:fldChar w:fldCharType="begin"/>
    </w:r>
    <w:r>
      <w:instrText xml:space="preserve"> PAGE   \* MERGEFORMAT </w:instrText>
    </w:r>
    <w:r>
      <w:fldChar w:fldCharType="separate"/>
    </w:r>
    <w:r w:rsidR="00FD3BEB" w:rsidRPr="00FD3BEB">
      <w:rPr>
        <w:noProof/>
        <w:lang w:val="zh-CN"/>
      </w:rPr>
      <w:t>3</w:t>
    </w:r>
    <w:r>
      <w:fldChar w:fldCharType="end"/>
    </w:r>
  </w:p>
  <w:p w:rsidR="00CA1463" w:rsidRDefault="00CA1463">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BEB" w:rsidRDefault="00FD3BEB" w:rsidP="00FD3BEB">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8E" w:rsidRDefault="0045528E" w:rsidP="000E2B29">
      <w:pPr>
        <w:ind w:firstLine="400"/>
      </w:pPr>
      <w:r>
        <w:separator/>
      </w:r>
    </w:p>
  </w:footnote>
  <w:footnote w:type="continuationSeparator" w:id="0">
    <w:p w:rsidR="0045528E" w:rsidRDefault="0045528E" w:rsidP="000E2B29">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63" w:rsidRDefault="00CA1463">
    <w:pPr>
      <w:pStyle w:val="af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63" w:rsidRDefault="00CA1463">
    <w:pPr>
      <w:pStyle w:val="af0"/>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63" w:rsidRDefault="00CA1463">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463"/>
    <w:rsid w:val="000E2B29"/>
    <w:rsid w:val="0045528E"/>
    <w:rsid w:val="004877CE"/>
    <w:rsid w:val="007C236B"/>
    <w:rsid w:val="00CA1463"/>
    <w:rsid w:val="00FD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1"/>
    </w:pPr>
  </w:style>
  <w:style w:type="paragraph" w:styleId="1">
    <w:name w:val="heading 1"/>
    <w:basedOn w:val="a"/>
    <w:qFormat/>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styleId="a4">
    <w:name w:val="page number"/>
    <w:basedOn w:val="a0"/>
  </w:style>
  <w:style w:type="character" w:customStyle="1" w:styleId="Char">
    <w:name w:val="表格文字 Char"/>
    <w:link w:val="a5"/>
    <w:rPr>
      <w:rFonts w:eastAsia="宋体"/>
      <w:kern w:val="2"/>
      <w:sz w:val="21"/>
      <w:szCs w:val="21"/>
      <w:lang w:val="en-US" w:eastAsia="zh-CN" w:bidi="ar-SA"/>
    </w:rPr>
  </w:style>
  <w:style w:type="character" w:customStyle="1" w:styleId="Char0">
    <w:name w:val="批注文字 Char"/>
    <w:basedOn w:val="a0"/>
    <w:link w:val="a6"/>
  </w:style>
  <w:style w:type="character" w:customStyle="1" w:styleId="CharChar">
    <w:name w:val="中文报告书样式 Char Char"/>
    <w:link w:val="a7"/>
    <w:rPr>
      <w:rFonts w:eastAsia="宋体"/>
      <w:kern w:val="24"/>
      <w:sz w:val="24"/>
      <w:lang w:val="en-US" w:eastAsia="zh-CN" w:bidi="ar-SA"/>
    </w:rPr>
  </w:style>
  <w:style w:type="character" w:customStyle="1" w:styleId="p0Char">
    <w:name w:val="p0 Char"/>
    <w:link w:val="p0"/>
    <w:rPr>
      <w:rFonts w:eastAsia="宋体"/>
      <w:sz w:val="32"/>
      <w:szCs w:val="32"/>
      <w:lang w:val="en-US" w:eastAsia="zh-CN" w:bidi="ar-SA"/>
    </w:rPr>
  </w:style>
  <w:style w:type="character" w:customStyle="1" w:styleId="Char1">
    <w:name w:val="页脚 Char"/>
    <w:link w:val="a8"/>
    <w:uiPriority w:val="99"/>
    <w:rPr>
      <w:sz w:val="18"/>
      <w:szCs w:val="18"/>
    </w:rPr>
  </w:style>
  <w:style w:type="character" w:customStyle="1" w:styleId="Char2">
    <w:name w:val="批注主题 Char"/>
    <w:link w:val="a9"/>
    <w:rPr>
      <w:b/>
      <w:bCs/>
    </w:rPr>
  </w:style>
  <w:style w:type="character" w:customStyle="1" w:styleId="Char3">
    <w:name w:val="正文首行缩进 Char"/>
    <w:link w:val="aa"/>
    <w:rPr>
      <w:rFonts w:eastAsia="宋体"/>
      <w:kern w:val="2"/>
      <w:sz w:val="24"/>
      <w:lang w:val="en-US" w:eastAsia="zh-CN" w:bidi="ar-SA"/>
    </w:rPr>
  </w:style>
  <w:style w:type="paragraph" w:styleId="a8">
    <w:name w:val="footer"/>
    <w:basedOn w:val="a"/>
    <w:link w:val="Char1"/>
    <w:uiPriority w:val="99"/>
    <w:pPr>
      <w:tabs>
        <w:tab w:val="center" w:pos="4153"/>
        <w:tab w:val="right" w:pos="8306"/>
      </w:tabs>
      <w:snapToGrid w:val="0"/>
    </w:pPr>
    <w:rPr>
      <w:sz w:val="18"/>
      <w:szCs w:val="18"/>
    </w:rPr>
  </w:style>
  <w:style w:type="paragraph" w:styleId="aa">
    <w:name w:val="Body Text First Indent"/>
    <w:basedOn w:val="ab"/>
    <w:link w:val="Char3"/>
    <w:qFormat/>
    <w:pPr>
      <w:adjustRightInd w:val="0"/>
      <w:snapToGrid w:val="0"/>
      <w:spacing w:after="0" w:line="360" w:lineRule="auto"/>
      <w:ind w:firstLine="200"/>
      <w:jc w:val="both"/>
    </w:pPr>
    <w:rPr>
      <w:kern w:val="2"/>
      <w:sz w:val="24"/>
    </w:rPr>
  </w:style>
  <w:style w:type="paragraph" w:styleId="ac">
    <w:name w:val="Balloon Text"/>
    <w:basedOn w:val="a"/>
    <w:rPr>
      <w:sz w:val="18"/>
      <w:szCs w:val="18"/>
    </w:rPr>
  </w:style>
  <w:style w:type="paragraph" w:styleId="ab">
    <w:name w:val="Body Text"/>
    <w:basedOn w:val="a"/>
    <w:pPr>
      <w:spacing w:after="120"/>
    </w:pPr>
  </w:style>
  <w:style w:type="paragraph" w:styleId="ad">
    <w:name w:val="Date"/>
    <w:basedOn w:val="a"/>
    <w:next w:val="a"/>
    <w:pPr>
      <w:ind w:leftChars="2500" w:left="100"/>
    </w:pPr>
  </w:style>
  <w:style w:type="paragraph" w:styleId="a9">
    <w:name w:val="annotation subject"/>
    <w:basedOn w:val="a6"/>
    <w:next w:val="a6"/>
    <w:link w:val="Char2"/>
    <w:rPr>
      <w:b/>
      <w:bCs/>
    </w:rPr>
  </w:style>
  <w:style w:type="paragraph" w:styleId="ae">
    <w:name w:val="Normal Indent"/>
    <w:pPr>
      <w:adjustRightInd w:val="0"/>
      <w:spacing w:line="312" w:lineRule="atLeast"/>
      <w:ind w:firstLine="420"/>
      <w:textAlignment w:val="baseline"/>
    </w:pPr>
  </w:style>
  <w:style w:type="paragraph" w:styleId="af">
    <w:name w:val="Plain Text"/>
    <w:pPr>
      <w:spacing w:line="440" w:lineRule="exact"/>
      <w:ind w:firstLine="425"/>
    </w:pPr>
    <w:rPr>
      <w:rFonts w:ascii="宋体" w:hAnsi="Courier New"/>
      <w:kern w:val="2"/>
      <w:sz w:val="28"/>
    </w:rPr>
  </w:style>
  <w:style w:type="paragraph" w:styleId="a6">
    <w:name w:val="annotation text"/>
    <w:basedOn w:val="a"/>
    <w:link w:val="Char0"/>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customStyle="1" w:styleId="a7">
    <w:name w:val="中文报告书样式"/>
    <w:basedOn w:val="a"/>
    <w:link w:val="CharChar"/>
    <w:pPr>
      <w:adjustRightInd w:val="0"/>
      <w:spacing w:line="480" w:lineRule="atLeast"/>
      <w:ind w:firstLine="482"/>
      <w:textAlignment w:val="baseline"/>
    </w:pPr>
    <w:rPr>
      <w:kern w:val="24"/>
      <w:sz w:val="24"/>
    </w:rPr>
  </w:style>
  <w:style w:type="paragraph" w:customStyle="1" w:styleId="1-">
    <w:name w:val="1-正文"/>
    <w:pPr>
      <w:spacing w:after="60" w:line="360" w:lineRule="auto"/>
      <w:ind w:firstLineChars="200" w:firstLine="200"/>
    </w:pPr>
    <w:rPr>
      <w:kern w:val="2"/>
      <w:sz w:val="24"/>
    </w:rPr>
  </w:style>
  <w:style w:type="paragraph" w:customStyle="1" w:styleId="p0">
    <w:name w:val="p0"/>
    <w:basedOn w:val="a"/>
    <w:link w:val="p0Char"/>
    <w:pPr>
      <w:widowControl/>
      <w:ind w:firstLineChars="0" w:firstLine="0"/>
      <w:jc w:val="both"/>
    </w:pPr>
    <w:rPr>
      <w:sz w:val="32"/>
      <w:szCs w:val="32"/>
    </w:rPr>
  </w:style>
  <w:style w:type="paragraph" w:customStyle="1" w:styleId="WPSPlain">
    <w:name w:val="WPS Plain"/>
  </w:style>
  <w:style w:type="paragraph" w:customStyle="1" w:styleId="0">
    <w:name w:val="0"/>
    <w:basedOn w:val="a"/>
    <w:qFormat/>
    <w:pPr>
      <w:widowControl/>
      <w:snapToGrid w:val="0"/>
      <w:spacing w:line="365" w:lineRule="atLeast"/>
      <w:ind w:left="1"/>
      <w:textAlignment w:val="bottom"/>
    </w:pPr>
  </w:style>
  <w:style w:type="paragraph" w:customStyle="1" w:styleId="af1">
    <w:name w:val="表格内容"/>
    <w:basedOn w:val="a"/>
    <w:qFormat/>
    <w:pPr>
      <w:autoSpaceDE w:val="0"/>
      <w:autoSpaceDN w:val="0"/>
      <w:adjustRightInd w:val="0"/>
      <w:spacing w:line="360" w:lineRule="auto"/>
      <w:ind w:firstLineChars="0" w:firstLine="0"/>
      <w:jc w:val="center"/>
      <w:textAlignment w:val="baseline"/>
    </w:pPr>
    <w:rPr>
      <w:color w:val="000000"/>
      <w:sz w:val="21"/>
      <w:szCs w:val="21"/>
    </w:rPr>
  </w:style>
  <w:style w:type="paragraph" w:styleId="af2">
    <w:name w:val="Revision"/>
    <w:uiPriority w:val="99"/>
  </w:style>
  <w:style w:type="paragraph" w:customStyle="1" w:styleId="CharCharCharCharCharCharCharCharCharChar">
    <w:name w:val="Char Char Char Char Char Char Char Char Char Char"/>
    <w:basedOn w:val="a"/>
    <w:pPr>
      <w:widowControl/>
      <w:spacing w:after="160" w:line="240" w:lineRule="exact"/>
      <w:ind w:firstLineChars="0" w:firstLine="0"/>
    </w:pPr>
    <w:rPr>
      <w:rFonts w:ascii="Verdana" w:hAnsi="Verdana"/>
      <w:lang w:eastAsia="en-US"/>
    </w:rPr>
  </w:style>
  <w:style w:type="paragraph" w:customStyle="1" w:styleId="af3">
    <w:name w:val="缩进"/>
    <w:pPr>
      <w:autoSpaceDE w:val="0"/>
      <w:autoSpaceDN w:val="0"/>
      <w:adjustRightInd w:val="0"/>
      <w:spacing w:line="400" w:lineRule="atLeast"/>
      <w:ind w:firstLine="425"/>
      <w:textAlignment w:val="baseline"/>
    </w:pPr>
    <w:rPr>
      <w:sz w:val="24"/>
    </w:rPr>
  </w:style>
  <w:style w:type="paragraph" w:customStyle="1" w:styleId="a5">
    <w:name w:val="表格文字"/>
    <w:basedOn w:val="a"/>
    <w:link w:val="Char"/>
    <w:qFormat/>
    <w:pPr>
      <w:widowControl/>
      <w:adjustRightInd w:val="0"/>
      <w:snapToGrid w:val="0"/>
      <w:ind w:firstLineChars="0" w:firstLine="0"/>
      <w:jc w:val="center"/>
    </w:pPr>
    <w:rPr>
      <w:kern w:val="2"/>
      <w:sz w:val="21"/>
      <w:szCs w:val="21"/>
    </w:rPr>
  </w:style>
  <w:style w:type="paragraph" w:customStyle="1" w:styleId="0012">
    <w:name w:val="样式 正文001 + 首行缩进:  2 字符"/>
    <w:pPr>
      <w:spacing w:before="60" w:line="460" w:lineRule="atLeast"/>
      <w:ind w:firstLineChars="200" w:firstLine="480"/>
    </w:pPr>
    <w:rPr>
      <w:rFonts w:cs="宋体"/>
      <w:sz w:val="24"/>
    </w:rPr>
  </w:style>
  <w:style w:type="paragraph" w:customStyle="1" w:styleId="CharCharCharCharCharCharCharCharCharCharChar">
    <w:name w:val="Char Char Char Char Char Char Char Char Char Char Char"/>
    <w:basedOn w:val="a"/>
    <w:pPr>
      <w:ind w:firstLineChars="0" w:firstLine="0"/>
      <w:jc w:val="both"/>
    </w:pPr>
    <w:rPr>
      <w:kern w:val="2"/>
      <w:sz w:val="28"/>
      <w:szCs w:val="28"/>
    </w:rPr>
  </w:style>
  <w:style w:type="paragraph" w:styleId="af4">
    <w:name w:val="List Paragraph"/>
    <w:qFormat/>
    <w:pPr>
      <w:ind w:firstLineChars="200" w:firstLine="420"/>
    </w:pPr>
  </w:style>
  <w:style w:type="table" w:styleId="af5">
    <w:name w:val="Table Grid"/>
    <w:basedOn w:val="a1"/>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1"/>
    </w:pPr>
  </w:style>
  <w:style w:type="paragraph" w:styleId="1">
    <w:name w:val="heading 1"/>
    <w:basedOn w:val="a"/>
    <w:qFormat/>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styleId="a4">
    <w:name w:val="page number"/>
    <w:basedOn w:val="a0"/>
  </w:style>
  <w:style w:type="character" w:customStyle="1" w:styleId="Char">
    <w:name w:val="表格文字 Char"/>
    <w:link w:val="a5"/>
    <w:rPr>
      <w:rFonts w:eastAsia="宋体"/>
      <w:kern w:val="2"/>
      <w:sz w:val="21"/>
      <w:szCs w:val="21"/>
      <w:lang w:val="en-US" w:eastAsia="zh-CN" w:bidi="ar-SA"/>
    </w:rPr>
  </w:style>
  <w:style w:type="character" w:customStyle="1" w:styleId="Char0">
    <w:name w:val="批注文字 Char"/>
    <w:basedOn w:val="a0"/>
    <w:link w:val="a6"/>
  </w:style>
  <w:style w:type="character" w:customStyle="1" w:styleId="CharChar">
    <w:name w:val="中文报告书样式 Char Char"/>
    <w:link w:val="a7"/>
    <w:rPr>
      <w:rFonts w:eastAsia="宋体"/>
      <w:kern w:val="24"/>
      <w:sz w:val="24"/>
      <w:lang w:val="en-US" w:eastAsia="zh-CN" w:bidi="ar-SA"/>
    </w:rPr>
  </w:style>
  <w:style w:type="character" w:customStyle="1" w:styleId="p0Char">
    <w:name w:val="p0 Char"/>
    <w:link w:val="p0"/>
    <w:rPr>
      <w:rFonts w:eastAsia="宋体"/>
      <w:sz w:val="32"/>
      <w:szCs w:val="32"/>
      <w:lang w:val="en-US" w:eastAsia="zh-CN" w:bidi="ar-SA"/>
    </w:rPr>
  </w:style>
  <w:style w:type="character" w:customStyle="1" w:styleId="Char1">
    <w:name w:val="页脚 Char"/>
    <w:link w:val="a8"/>
    <w:uiPriority w:val="99"/>
    <w:rPr>
      <w:sz w:val="18"/>
      <w:szCs w:val="18"/>
    </w:rPr>
  </w:style>
  <w:style w:type="character" w:customStyle="1" w:styleId="Char2">
    <w:name w:val="批注主题 Char"/>
    <w:link w:val="a9"/>
    <w:rPr>
      <w:b/>
      <w:bCs/>
    </w:rPr>
  </w:style>
  <w:style w:type="character" w:customStyle="1" w:styleId="Char3">
    <w:name w:val="正文首行缩进 Char"/>
    <w:link w:val="aa"/>
    <w:rPr>
      <w:rFonts w:eastAsia="宋体"/>
      <w:kern w:val="2"/>
      <w:sz w:val="24"/>
      <w:lang w:val="en-US" w:eastAsia="zh-CN" w:bidi="ar-SA"/>
    </w:rPr>
  </w:style>
  <w:style w:type="paragraph" w:styleId="a8">
    <w:name w:val="footer"/>
    <w:basedOn w:val="a"/>
    <w:link w:val="Char1"/>
    <w:uiPriority w:val="99"/>
    <w:pPr>
      <w:tabs>
        <w:tab w:val="center" w:pos="4153"/>
        <w:tab w:val="right" w:pos="8306"/>
      </w:tabs>
      <w:snapToGrid w:val="0"/>
    </w:pPr>
    <w:rPr>
      <w:sz w:val="18"/>
      <w:szCs w:val="18"/>
    </w:rPr>
  </w:style>
  <w:style w:type="paragraph" w:styleId="aa">
    <w:name w:val="Body Text First Indent"/>
    <w:basedOn w:val="ab"/>
    <w:link w:val="Char3"/>
    <w:qFormat/>
    <w:pPr>
      <w:adjustRightInd w:val="0"/>
      <w:snapToGrid w:val="0"/>
      <w:spacing w:after="0" w:line="360" w:lineRule="auto"/>
      <w:ind w:firstLine="200"/>
      <w:jc w:val="both"/>
    </w:pPr>
    <w:rPr>
      <w:kern w:val="2"/>
      <w:sz w:val="24"/>
    </w:rPr>
  </w:style>
  <w:style w:type="paragraph" w:styleId="ac">
    <w:name w:val="Balloon Text"/>
    <w:basedOn w:val="a"/>
    <w:rPr>
      <w:sz w:val="18"/>
      <w:szCs w:val="18"/>
    </w:rPr>
  </w:style>
  <w:style w:type="paragraph" w:styleId="ab">
    <w:name w:val="Body Text"/>
    <w:basedOn w:val="a"/>
    <w:pPr>
      <w:spacing w:after="120"/>
    </w:pPr>
  </w:style>
  <w:style w:type="paragraph" w:styleId="ad">
    <w:name w:val="Date"/>
    <w:basedOn w:val="a"/>
    <w:next w:val="a"/>
    <w:pPr>
      <w:ind w:leftChars="2500" w:left="100"/>
    </w:pPr>
  </w:style>
  <w:style w:type="paragraph" w:styleId="a9">
    <w:name w:val="annotation subject"/>
    <w:basedOn w:val="a6"/>
    <w:next w:val="a6"/>
    <w:link w:val="Char2"/>
    <w:rPr>
      <w:b/>
      <w:bCs/>
    </w:rPr>
  </w:style>
  <w:style w:type="paragraph" w:styleId="ae">
    <w:name w:val="Normal Indent"/>
    <w:pPr>
      <w:adjustRightInd w:val="0"/>
      <w:spacing w:line="312" w:lineRule="atLeast"/>
      <w:ind w:firstLine="420"/>
      <w:textAlignment w:val="baseline"/>
    </w:pPr>
  </w:style>
  <w:style w:type="paragraph" w:styleId="af">
    <w:name w:val="Plain Text"/>
    <w:pPr>
      <w:spacing w:line="440" w:lineRule="exact"/>
      <w:ind w:firstLine="425"/>
    </w:pPr>
    <w:rPr>
      <w:rFonts w:ascii="宋体" w:hAnsi="Courier New"/>
      <w:kern w:val="2"/>
      <w:sz w:val="28"/>
    </w:rPr>
  </w:style>
  <w:style w:type="paragraph" w:styleId="a6">
    <w:name w:val="annotation text"/>
    <w:basedOn w:val="a"/>
    <w:link w:val="Char0"/>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customStyle="1" w:styleId="a7">
    <w:name w:val="中文报告书样式"/>
    <w:basedOn w:val="a"/>
    <w:link w:val="CharChar"/>
    <w:pPr>
      <w:adjustRightInd w:val="0"/>
      <w:spacing w:line="480" w:lineRule="atLeast"/>
      <w:ind w:firstLine="482"/>
      <w:textAlignment w:val="baseline"/>
    </w:pPr>
    <w:rPr>
      <w:kern w:val="24"/>
      <w:sz w:val="24"/>
    </w:rPr>
  </w:style>
  <w:style w:type="paragraph" w:customStyle="1" w:styleId="1-">
    <w:name w:val="1-正文"/>
    <w:pPr>
      <w:spacing w:after="60" w:line="360" w:lineRule="auto"/>
      <w:ind w:firstLineChars="200" w:firstLine="200"/>
    </w:pPr>
    <w:rPr>
      <w:kern w:val="2"/>
      <w:sz w:val="24"/>
    </w:rPr>
  </w:style>
  <w:style w:type="paragraph" w:customStyle="1" w:styleId="p0">
    <w:name w:val="p0"/>
    <w:basedOn w:val="a"/>
    <w:link w:val="p0Char"/>
    <w:pPr>
      <w:widowControl/>
      <w:ind w:firstLineChars="0" w:firstLine="0"/>
      <w:jc w:val="both"/>
    </w:pPr>
    <w:rPr>
      <w:sz w:val="32"/>
      <w:szCs w:val="32"/>
    </w:rPr>
  </w:style>
  <w:style w:type="paragraph" w:customStyle="1" w:styleId="WPSPlain">
    <w:name w:val="WPS Plain"/>
  </w:style>
  <w:style w:type="paragraph" w:customStyle="1" w:styleId="0">
    <w:name w:val="0"/>
    <w:basedOn w:val="a"/>
    <w:qFormat/>
    <w:pPr>
      <w:widowControl/>
      <w:snapToGrid w:val="0"/>
      <w:spacing w:line="365" w:lineRule="atLeast"/>
      <w:ind w:left="1"/>
      <w:textAlignment w:val="bottom"/>
    </w:pPr>
  </w:style>
  <w:style w:type="paragraph" w:customStyle="1" w:styleId="af1">
    <w:name w:val="表格内容"/>
    <w:basedOn w:val="a"/>
    <w:qFormat/>
    <w:pPr>
      <w:autoSpaceDE w:val="0"/>
      <w:autoSpaceDN w:val="0"/>
      <w:adjustRightInd w:val="0"/>
      <w:spacing w:line="360" w:lineRule="auto"/>
      <w:ind w:firstLineChars="0" w:firstLine="0"/>
      <w:jc w:val="center"/>
      <w:textAlignment w:val="baseline"/>
    </w:pPr>
    <w:rPr>
      <w:color w:val="000000"/>
      <w:sz w:val="21"/>
      <w:szCs w:val="21"/>
    </w:rPr>
  </w:style>
  <w:style w:type="paragraph" w:styleId="af2">
    <w:name w:val="Revision"/>
    <w:uiPriority w:val="99"/>
  </w:style>
  <w:style w:type="paragraph" w:customStyle="1" w:styleId="CharCharCharCharCharCharCharCharCharChar">
    <w:name w:val="Char Char Char Char Char Char Char Char Char Char"/>
    <w:basedOn w:val="a"/>
    <w:pPr>
      <w:widowControl/>
      <w:spacing w:after="160" w:line="240" w:lineRule="exact"/>
      <w:ind w:firstLineChars="0" w:firstLine="0"/>
    </w:pPr>
    <w:rPr>
      <w:rFonts w:ascii="Verdana" w:hAnsi="Verdana"/>
      <w:lang w:eastAsia="en-US"/>
    </w:rPr>
  </w:style>
  <w:style w:type="paragraph" w:customStyle="1" w:styleId="af3">
    <w:name w:val="缩进"/>
    <w:pPr>
      <w:autoSpaceDE w:val="0"/>
      <w:autoSpaceDN w:val="0"/>
      <w:adjustRightInd w:val="0"/>
      <w:spacing w:line="400" w:lineRule="atLeast"/>
      <w:ind w:firstLine="425"/>
      <w:textAlignment w:val="baseline"/>
    </w:pPr>
    <w:rPr>
      <w:sz w:val="24"/>
    </w:rPr>
  </w:style>
  <w:style w:type="paragraph" w:customStyle="1" w:styleId="a5">
    <w:name w:val="表格文字"/>
    <w:basedOn w:val="a"/>
    <w:link w:val="Char"/>
    <w:qFormat/>
    <w:pPr>
      <w:widowControl/>
      <w:adjustRightInd w:val="0"/>
      <w:snapToGrid w:val="0"/>
      <w:ind w:firstLineChars="0" w:firstLine="0"/>
      <w:jc w:val="center"/>
    </w:pPr>
    <w:rPr>
      <w:kern w:val="2"/>
      <w:sz w:val="21"/>
      <w:szCs w:val="21"/>
    </w:rPr>
  </w:style>
  <w:style w:type="paragraph" w:customStyle="1" w:styleId="0012">
    <w:name w:val="样式 正文001 + 首行缩进:  2 字符"/>
    <w:pPr>
      <w:spacing w:before="60" w:line="460" w:lineRule="atLeast"/>
      <w:ind w:firstLineChars="200" w:firstLine="480"/>
    </w:pPr>
    <w:rPr>
      <w:rFonts w:cs="宋体"/>
      <w:sz w:val="24"/>
    </w:rPr>
  </w:style>
  <w:style w:type="paragraph" w:customStyle="1" w:styleId="CharCharCharCharCharCharCharCharCharCharChar">
    <w:name w:val="Char Char Char Char Char Char Char Char Char Char Char"/>
    <w:basedOn w:val="a"/>
    <w:pPr>
      <w:ind w:firstLineChars="0" w:firstLine="0"/>
      <w:jc w:val="both"/>
    </w:pPr>
    <w:rPr>
      <w:kern w:val="2"/>
      <w:sz w:val="28"/>
      <w:szCs w:val="28"/>
    </w:rPr>
  </w:style>
  <w:style w:type="paragraph" w:styleId="af4">
    <w:name w:val="List Paragraph"/>
    <w:qFormat/>
    <w:pPr>
      <w:ind w:firstLineChars="200" w:firstLine="420"/>
    </w:pPr>
  </w:style>
  <w:style w:type="table" w:styleId="af5">
    <w:name w:val="Table Grid"/>
    <w:basedOn w:val="a1"/>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1031</Words>
  <Characters>1124</Characters>
  <Application>Microsoft Office Word</Application>
  <DocSecurity>0</DocSecurity>
  <Lines>51</Lines>
  <Paragraphs>20</Paragraphs>
  <MMClips>0</MMClips>
  <ScaleCrop>false</ScaleCrop>
  <Company>微软中国</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王志勤</cp:lastModifiedBy>
  <cp:revision>10</cp:revision>
  <cp:lastPrinted>2020-02-17T01:40:00Z</cp:lastPrinted>
  <dcterms:created xsi:type="dcterms:W3CDTF">2020-02-12T04:38:00Z</dcterms:created>
  <dcterms:modified xsi:type="dcterms:W3CDTF">2020-02-17T01:49:00Z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