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6C" w:rsidRDefault="00242996">
      <w:pPr>
        <w:pStyle w:val="WPSPlain"/>
        <w:spacing w:line="480" w:lineRule="exact"/>
        <w:textAlignment w:val="top"/>
        <w:rPr>
          <w:rFonts w:ascii="仿宋" w:eastAsia="仿宋" w:hAnsi="仿宋"/>
          <w:b/>
          <w:color w:val="000000"/>
          <w:sz w:val="36"/>
        </w:rPr>
      </w:pPr>
      <w:r>
        <w:rPr>
          <w:rFonts w:ascii="仿宋" w:eastAsia="仿宋" w:hAnsi="仿宋" w:hint="eastAsia"/>
          <w:b/>
          <w:color w:val="000000"/>
          <w:kern w:val="2"/>
          <w:sz w:val="36"/>
        </w:rPr>
        <w:t xml:space="preserve">                                               </w:t>
      </w:r>
    </w:p>
    <w:p w:rsidR="00FB066C" w:rsidRDefault="00FB066C">
      <w:pPr>
        <w:pStyle w:val="WPSPlain"/>
        <w:spacing w:line="480" w:lineRule="exact"/>
        <w:textAlignment w:val="top"/>
        <w:rPr>
          <w:rFonts w:ascii="仿宋" w:eastAsia="仿宋" w:hAnsi="仿宋"/>
          <w:b/>
          <w:color w:val="000000"/>
          <w:sz w:val="36"/>
        </w:rPr>
      </w:pPr>
    </w:p>
    <w:p w:rsidR="00FB066C" w:rsidRDefault="00FB066C">
      <w:pPr>
        <w:pStyle w:val="WPSPlain"/>
        <w:spacing w:line="320" w:lineRule="exact"/>
        <w:ind w:firstLineChars="1750" w:firstLine="5250"/>
        <w:textAlignment w:val="top"/>
        <w:rPr>
          <w:rFonts w:ascii="仿宋" w:eastAsia="仿宋" w:hAnsi="仿宋"/>
          <w:color w:val="000000"/>
          <w:sz w:val="30"/>
          <w:szCs w:val="30"/>
        </w:rPr>
      </w:pPr>
    </w:p>
    <w:p w:rsidR="00FB066C" w:rsidRDefault="00FB066C">
      <w:pPr>
        <w:pStyle w:val="WPSPlain"/>
        <w:spacing w:line="320" w:lineRule="exact"/>
        <w:ind w:firstLineChars="1750" w:firstLine="5250"/>
        <w:textAlignment w:val="top"/>
        <w:rPr>
          <w:rFonts w:ascii="仿宋" w:eastAsia="仿宋" w:hAnsi="仿宋"/>
          <w:color w:val="000000"/>
          <w:sz w:val="30"/>
          <w:szCs w:val="30"/>
        </w:rPr>
      </w:pPr>
    </w:p>
    <w:p w:rsidR="00FB066C" w:rsidRDefault="00FB066C">
      <w:pPr>
        <w:pStyle w:val="WPSPlain"/>
        <w:spacing w:line="320" w:lineRule="exact"/>
        <w:ind w:firstLineChars="1750" w:firstLine="5250"/>
        <w:textAlignment w:val="top"/>
        <w:rPr>
          <w:rFonts w:ascii="仿宋" w:eastAsia="仿宋" w:hAnsi="仿宋"/>
          <w:color w:val="000000"/>
          <w:sz w:val="30"/>
          <w:szCs w:val="30"/>
        </w:rPr>
      </w:pPr>
    </w:p>
    <w:p w:rsidR="00FB066C" w:rsidRDefault="00FB066C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color w:val="000000"/>
          <w:sz w:val="30"/>
          <w:szCs w:val="30"/>
        </w:rPr>
      </w:pPr>
    </w:p>
    <w:p w:rsidR="00FB066C" w:rsidRDefault="00242996" w:rsidP="004C3A0E">
      <w:pPr>
        <w:spacing w:line="460" w:lineRule="exact"/>
        <w:ind w:firstLine="600"/>
        <w:jc w:val="both"/>
        <w:rPr>
          <w:rFonts w:ascii="仿宋" w:eastAsia="仿宋" w:hAnsi="仿宋" w:cs="仿宋_GB2312"/>
          <w:bCs/>
          <w:color w:val="FF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                           </w:t>
      </w:r>
      <w:proofErr w:type="gramStart"/>
      <w:r w:rsidRPr="004C3A0E">
        <w:rPr>
          <w:rFonts w:ascii="仿宋" w:eastAsia="仿宋" w:hAnsi="仿宋" w:hint="eastAsia"/>
          <w:sz w:val="32"/>
          <w:szCs w:val="32"/>
        </w:rPr>
        <w:t>岳环评</w:t>
      </w:r>
      <w:proofErr w:type="gramEnd"/>
      <w:r w:rsidRPr="004C3A0E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 w:hint="eastAsia"/>
          <w:sz w:val="32"/>
          <w:szCs w:val="32"/>
        </w:rPr>
        <w:t>41</w:t>
      </w:r>
      <w:r w:rsidRPr="004C3A0E">
        <w:rPr>
          <w:rFonts w:ascii="仿宋" w:eastAsia="仿宋" w:hAnsi="仿宋" w:hint="eastAsia"/>
          <w:sz w:val="32"/>
          <w:szCs w:val="32"/>
        </w:rPr>
        <w:t>号</w:t>
      </w:r>
    </w:p>
    <w:p w:rsidR="00FB066C" w:rsidRDefault="00242996">
      <w:pPr>
        <w:autoSpaceDE w:val="0"/>
        <w:autoSpaceDN w:val="0"/>
        <w:adjustRightInd w:val="0"/>
        <w:ind w:left="177" w:firstLineChars="0" w:hanging="177"/>
        <w:jc w:val="center"/>
        <w:rPr>
          <w:rFonts w:ascii="宋体" w:hAnsi="宋体" w:cs="黑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关于湖南睿熙达新材料科技有限公司10万吨/年专用芳烃油，2万吨/年沥青油泥生产线项目环境影响报告书</w:t>
      </w:r>
      <w:r>
        <w:rPr>
          <w:rFonts w:ascii="宋体" w:hAnsi="宋体" w:hint="eastAsia"/>
          <w:b/>
          <w:sz w:val="36"/>
          <w:szCs w:val="36"/>
        </w:rPr>
        <w:t>的批  复</w:t>
      </w:r>
    </w:p>
    <w:p w:rsidR="00FB066C" w:rsidRDefault="00FB066C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仿宋" w:eastAsia="仿宋" w:hAnsi="仿宋" w:cs="黑体"/>
          <w:b/>
          <w:color w:val="FF0000"/>
          <w:sz w:val="36"/>
          <w:szCs w:val="36"/>
        </w:rPr>
      </w:pPr>
    </w:p>
    <w:p w:rsidR="00FB066C" w:rsidRDefault="00242996">
      <w:pPr>
        <w:spacing w:line="46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湖南睿熙达新材料科技有限公司：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你公司《关于申请&lt;</w:t>
      </w:r>
      <w:bookmarkStart w:id="0" w:name="OLE_LINK1"/>
      <w:r>
        <w:rPr>
          <w:rFonts w:ascii="仿宋" w:eastAsia="仿宋" w:hAnsi="仿宋" w:hint="eastAsia"/>
          <w:sz w:val="32"/>
          <w:szCs w:val="32"/>
        </w:rPr>
        <w:t>湖南睿熙达新材料科技有限公司10万吨/年专用芳烃油，2万吨/年沥青油泥生产线项目</w:t>
      </w:r>
      <w:bookmarkEnd w:id="0"/>
      <w:r>
        <w:rPr>
          <w:rFonts w:ascii="仿宋" w:eastAsia="仿宋" w:hAnsi="仿宋" w:hint="eastAsia"/>
          <w:sz w:val="32"/>
          <w:szCs w:val="32"/>
        </w:rPr>
        <w:t>环境影响报告书&gt;环评批复的请示》、岳阳市生态环境</w:t>
      </w:r>
      <w:proofErr w:type="gramStart"/>
      <w:r>
        <w:rPr>
          <w:rFonts w:ascii="仿宋" w:eastAsia="仿宋" w:hAnsi="仿宋" w:hint="eastAsia"/>
          <w:sz w:val="32"/>
          <w:szCs w:val="32"/>
        </w:rPr>
        <w:t>局云溪分局</w:t>
      </w:r>
      <w:proofErr w:type="gramEnd"/>
      <w:r>
        <w:rPr>
          <w:rFonts w:ascii="仿宋" w:eastAsia="仿宋" w:hAnsi="仿宋" w:hint="eastAsia"/>
          <w:sz w:val="32"/>
          <w:szCs w:val="32"/>
        </w:rPr>
        <w:t>的预审意见及有关附件悉收。经研究，批复如下：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一、湖南睿熙达新材料科技有限公司10万吨/年专用芳烃油，2万吨/年沥青油泥生产线项目位于湖南岳阳绿色化工</w:t>
      </w:r>
      <w:proofErr w:type="gramStart"/>
      <w:r>
        <w:rPr>
          <w:rFonts w:ascii="仿宋" w:eastAsia="仿宋" w:hAnsi="仿宋" w:hint="eastAsia"/>
          <w:sz w:val="32"/>
          <w:szCs w:val="32"/>
        </w:rPr>
        <w:t>产业园云溪</w:t>
      </w:r>
      <w:proofErr w:type="gramEnd"/>
      <w:r>
        <w:rPr>
          <w:rFonts w:ascii="仿宋" w:eastAsia="仿宋" w:hAnsi="仿宋" w:hint="eastAsia"/>
          <w:sz w:val="32"/>
          <w:szCs w:val="32"/>
        </w:rPr>
        <w:t>片区。项目总投资15166.75万元，其中环保投资524.00万元，占总投资的3.45%。项目主要建设内容：本项目建设废旧橡胶热解回收基础油生产线2条，</w:t>
      </w:r>
      <w:proofErr w:type="gramStart"/>
      <w:r>
        <w:rPr>
          <w:rFonts w:ascii="仿宋" w:eastAsia="仿宋" w:hAnsi="仿宋" w:hint="eastAsia"/>
          <w:sz w:val="32"/>
          <w:szCs w:val="32"/>
        </w:rPr>
        <w:t>废油泥类废物</w:t>
      </w:r>
      <w:proofErr w:type="gramEnd"/>
      <w:r>
        <w:rPr>
          <w:rFonts w:ascii="仿宋" w:eastAsia="仿宋" w:hAnsi="仿宋" w:hint="eastAsia"/>
          <w:sz w:val="32"/>
          <w:szCs w:val="32"/>
        </w:rPr>
        <w:t>热解回收基础油生产线1条，废油类废物和石化重油分子蒸馏回收基础油生产线1条，基础油精制生产芳烃油生产线1条，沥青油泥生产线1条，并配套相关辅助设施。项目以废旧轮胎等废旧橡胶制品、</w:t>
      </w:r>
      <w:proofErr w:type="gramStart"/>
      <w:r>
        <w:rPr>
          <w:rFonts w:ascii="仿宋" w:eastAsia="仿宋" w:hAnsi="仿宋" w:hint="eastAsia"/>
          <w:sz w:val="32"/>
          <w:szCs w:val="32"/>
        </w:rPr>
        <w:t>废油泥类废物</w:t>
      </w:r>
      <w:proofErr w:type="gramEnd"/>
      <w:r>
        <w:rPr>
          <w:rFonts w:ascii="仿宋" w:eastAsia="仿宋" w:hAnsi="仿宋" w:hint="eastAsia"/>
          <w:sz w:val="32"/>
          <w:szCs w:val="32"/>
        </w:rPr>
        <w:t>、废油类废物、石化重油为原料，采用低温裂解、分子蒸馏、溶剂精制等生产工艺，生产专用芳烃油、石油沥青等产品以及炭黑、勾(填)缝剂、抽余油等附属产品。项目不涉及进口废物，不涉及跨省转移的危险废物。根据联合泰泽环境科技发展有限公司编制的《湖南睿熙达新材料科技有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限公司10万吨/年专用芳烃油，2万吨/年沥青油泥生产线项目</w:t>
      </w:r>
      <w:r>
        <w:rPr>
          <w:rFonts w:ascii="仿宋" w:eastAsia="仿宋" w:hAnsi="仿宋" w:hint="eastAsia"/>
          <w:sz w:val="32"/>
          <w:szCs w:val="32"/>
        </w:rPr>
        <w:lastRenderedPageBreak/>
        <w:t>环境影响报告书（报批稿）》基本内容、结论、专家评审意见及岳阳市生态环境</w:t>
      </w:r>
      <w:proofErr w:type="gramStart"/>
      <w:r>
        <w:rPr>
          <w:rFonts w:ascii="仿宋" w:eastAsia="仿宋" w:hAnsi="仿宋" w:hint="eastAsia"/>
          <w:sz w:val="32"/>
          <w:szCs w:val="32"/>
        </w:rPr>
        <w:t>局云溪分局</w:t>
      </w:r>
      <w:proofErr w:type="gramEnd"/>
      <w:r>
        <w:rPr>
          <w:rFonts w:ascii="仿宋" w:eastAsia="仿宋" w:hAnsi="仿宋" w:hint="eastAsia"/>
          <w:sz w:val="32"/>
          <w:szCs w:val="32"/>
        </w:rPr>
        <w:t>预审意见，从环境保护角度考虑，我局原则同意你公司环境影响报告书中所列建设项目的性质、规模、工艺、地点和环境保护对策措施。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二、认真落实专家及环境影响报告书中提出的各项污染防治措施，并应着重注意以下问题：</w:t>
      </w:r>
    </w:p>
    <w:p w:rsidR="00FB066C" w:rsidRDefault="00242996">
      <w:pPr>
        <w:spacing w:line="460" w:lineRule="exact"/>
        <w:ind w:firstLine="640"/>
        <w:jc w:val="both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>
        <w:rPr>
          <w:rFonts w:eastAsia="仿宋" w:hint="eastAsia"/>
          <w:sz w:val="32"/>
          <w:szCs w:val="32"/>
        </w:rPr>
        <w:t>施工期环境管理。</w:t>
      </w:r>
      <w:r>
        <w:rPr>
          <w:rFonts w:eastAsia="仿宋"/>
          <w:sz w:val="32"/>
          <w:szCs w:val="32"/>
        </w:rPr>
        <w:t>采取</w:t>
      </w:r>
      <w:r>
        <w:rPr>
          <w:rFonts w:eastAsia="仿宋" w:hint="eastAsia"/>
          <w:sz w:val="32"/>
          <w:szCs w:val="32"/>
        </w:rPr>
        <w:t>边界</w:t>
      </w:r>
      <w:r>
        <w:rPr>
          <w:rFonts w:eastAsia="仿宋"/>
          <w:sz w:val="32"/>
          <w:szCs w:val="32"/>
        </w:rPr>
        <w:t>围挡</w:t>
      </w:r>
      <w:r>
        <w:rPr>
          <w:rFonts w:eastAsia="仿宋" w:hint="eastAsia"/>
          <w:sz w:val="32"/>
          <w:szCs w:val="32"/>
        </w:rPr>
        <w:t>、物料遮盖、定期洒水、出入施工车辆</w:t>
      </w:r>
      <w:r>
        <w:rPr>
          <w:rFonts w:eastAsia="仿宋"/>
          <w:sz w:val="32"/>
          <w:szCs w:val="32"/>
        </w:rPr>
        <w:t>冲洗轮胎</w:t>
      </w:r>
      <w:r>
        <w:rPr>
          <w:rFonts w:eastAsia="仿宋" w:hint="eastAsia"/>
          <w:sz w:val="32"/>
          <w:szCs w:val="32"/>
        </w:rPr>
        <w:t>、四级及以上大风天气禁止土方作业等措施控制施工扬尘污染；采取施工车辆冲洗废水回用、施工人员生活污水依托项目周边已有污水管网、大雨天禁止土方作业等措施控制施工废水污染；采取合理选择施工时段、选用低噪</w:t>
      </w:r>
      <w:proofErr w:type="gramStart"/>
      <w:r>
        <w:rPr>
          <w:rFonts w:eastAsia="仿宋" w:hint="eastAsia"/>
          <w:sz w:val="32"/>
          <w:szCs w:val="32"/>
        </w:rPr>
        <w:t>声施工</w:t>
      </w:r>
      <w:proofErr w:type="gramEnd"/>
      <w:r>
        <w:rPr>
          <w:rFonts w:eastAsia="仿宋" w:hint="eastAsia"/>
          <w:sz w:val="32"/>
          <w:szCs w:val="32"/>
        </w:rPr>
        <w:t>设备等措施控制施工噪声污染；建筑垃圾严格按照渣土管理部门要求处置，施工人员生活垃圾集中收集后交由环卫部门处理。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、废水污染防治工作。严格按照“雨污分流、清污分流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污</w:t>
      </w:r>
      <w:proofErr w:type="gramStart"/>
      <w:r>
        <w:rPr>
          <w:rFonts w:ascii="仿宋" w:eastAsia="仿宋" w:hAnsi="仿宋"/>
          <w:sz w:val="32"/>
          <w:szCs w:val="32"/>
        </w:rPr>
        <w:t>污</w:t>
      </w:r>
      <w:proofErr w:type="gramEnd"/>
      <w:r>
        <w:rPr>
          <w:rFonts w:ascii="仿宋" w:eastAsia="仿宋" w:hAnsi="仿宋"/>
          <w:sz w:val="32"/>
          <w:szCs w:val="32"/>
        </w:rPr>
        <w:t>分流”的原则</w:t>
      </w:r>
      <w:r>
        <w:rPr>
          <w:rFonts w:ascii="仿宋" w:eastAsia="仿宋" w:hAnsi="仿宋" w:cs="_4eff_5b8b_GB2312" w:hint="eastAsia"/>
          <w:bCs/>
          <w:sz w:val="32"/>
          <w:szCs w:val="32"/>
        </w:rPr>
        <w:t>完善厂区雨污水管网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生产废水和初期雨水经厂内污水处理站处理、生活污水经化粪池处理，废水污染物同时满足《石油化学工业污染物排放标准》(GB 31571-2015)中间接排放标准和云溪污水处理厂接纳标准后</w:t>
      </w:r>
      <w:r>
        <w:rPr>
          <w:rFonts w:ascii="仿宋" w:eastAsia="仿宋" w:hAnsi="仿宋"/>
          <w:sz w:val="32"/>
          <w:szCs w:val="32"/>
        </w:rPr>
        <w:t>进入</w:t>
      </w:r>
      <w:r>
        <w:rPr>
          <w:rFonts w:ascii="仿宋" w:eastAsia="仿宋" w:hAnsi="仿宋" w:hint="eastAsia"/>
          <w:sz w:val="32"/>
          <w:szCs w:val="32"/>
        </w:rPr>
        <w:t>云溪污水处理厂进一步处理。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按照分区防控的原则落实报告书提出的地下水污染防治措施，做好生产车间等区域的防腐、防渗工作，</w:t>
      </w:r>
      <w:r>
        <w:rPr>
          <w:rFonts w:ascii="仿宋" w:eastAsia="仿宋" w:hAnsi="仿宋" w:cs="仿宋" w:hint="eastAsia"/>
          <w:sz w:val="32"/>
          <w:szCs w:val="32"/>
        </w:rPr>
        <w:t>强化管理，避免由于泄漏等造成物料或者污染物下渗污染地下水；根据《环境影响评价技术导则地下水环境》（HJ610-2016）要求，跟踪监测地下水质情况，确保地下水环境安全。</w:t>
      </w:r>
    </w:p>
    <w:p w:rsidR="00FB066C" w:rsidRDefault="00242996">
      <w:pPr>
        <w:pStyle w:val="0"/>
        <w:widowControl w:val="0"/>
        <w:adjustRightInd w:val="0"/>
        <w:spacing w:line="460" w:lineRule="exact"/>
        <w:ind w:left="0"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_GB2312"/>
          <w:color w:val="000000"/>
          <w:sz w:val="32"/>
          <w:szCs w:val="32"/>
        </w:rPr>
        <w:t>、废气污染防治工作。</w:t>
      </w:r>
      <w:r>
        <w:rPr>
          <w:rFonts w:eastAsia="仿宋"/>
          <w:bCs/>
          <w:sz w:val="32"/>
          <w:szCs w:val="32"/>
        </w:rPr>
        <w:t>严格控制项目废气污染，加强日常监管，定期对设备、管道、阀门等进行维护和管理，最大限度减少生产过程中的废气无组织排放</w:t>
      </w:r>
      <w:r>
        <w:rPr>
          <w:rFonts w:eastAsia="仿宋" w:hint="eastAsia"/>
          <w:bCs/>
          <w:sz w:val="32"/>
          <w:szCs w:val="32"/>
        </w:rPr>
        <w:t>，厂界污染</w:t>
      </w:r>
      <w:r>
        <w:rPr>
          <w:rFonts w:eastAsia="仿宋" w:hint="eastAsia"/>
          <w:bCs/>
          <w:color w:val="000000"/>
          <w:sz w:val="32"/>
          <w:szCs w:val="32"/>
        </w:rPr>
        <w:t>物中非甲烷总烃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应满足《石油化学工业污染物排放标准》(GB 31571-2015)中厂界监控点浓度限值，颗粒物应满足《大气污染物综合排放标准》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(GB16297-1996)中表2无组织排放监控浓度限值标准，NH</w:t>
      </w:r>
      <w:r>
        <w:rPr>
          <w:rFonts w:ascii="仿宋" w:eastAsia="仿宋" w:hAnsi="仿宋" w:cs="仿宋_GB2312" w:hint="eastAsia"/>
          <w:color w:val="000000"/>
          <w:sz w:val="32"/>
          <w:szCs w:val="32"/>
          <w:vertAlign w:val="subscript"/>
        </w:rPr>
        <w:t>3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、H</w:t>
      </w:r>
      <w:r>
        <w:rPr>
          <w:rFonts w:ascii="仿宋" w:eastAsia="仿宋" w:hAnsi="仿宋" w:cs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S应满足《恶臭污染物排放标准》(GB 14554-93)中表1标准限值，沥青烟、苯并[a]</w:t>
      </w:r>
      <w:proofErr w:type="gramStart"/>
      <w:r>
        <w:rPr>
          <w:rFonts w:ascii="仿宋" w:eastAsia="仿宋" w:hAnsi="仿宋" w:cs="仿宋_GB2312" w:hint="eastAsia"/>
          <w:color w:val="000000"/>
          <w:sz w:val="32"/>
          <w:szCs w:val="32"/>
        </w:rPr>
        <w:t>芘</w:t>
      </w:r>
      <w:proofErr w:type="gramEnd"/>
      <w:r>
        <w:rPr>
          <w:rFonts w:ascii="仿宋" w:eastAsia="仿宋" w:hAnsi="仿宋" w:cs="仿宋_GB2312" w:hint="eastAsia"/>
          <w:color w:val="000000"/>
          <w:sz w:val="32"/>
          <w:szCs w:val="32"/>
        </w:rPr>
        <w:t>应满足《大气污染物综合排放标准》(GB16297-1996)中表2无组织排放监控浓度限值标准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；</w:t>
      </w:r>
      <w:r>
        <w:rPr>
          <w:rFonts w:eastAsia="仿宋" w:hint="eastAsia"/>
          <w:sz w:val="32"/>
          <w:szCs w:val="32"/>
        </w:rPr>
        <w:t>项目废旧橡胶破碎废气和炭黑研磨废气中颗粒物经处理应满足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《大气污染物综合排放标准》(GB16297-1996)中表2二级标准后，分别通过15m高的DA001、DA002排气筒排放</w:t>
      </w:r>
      <w:r>
        <w:rPr>
          <w:rFonts w:eastAsia="仿宋" w:hint="eastAsia"/>
          <w:sz w:val="32"/>
          <w:szCs w:val="32"/>
        </w:rPr>
        <w:t>；沥青油泥和勾缝剂搅拌</w:t>
      </w:r>
      <w:proofErr w:type="gramStart"/>
      <w:r>
        <w:rPr>
          <w:rFonts w:eastAsia="仿宋" w:hint="eastAsia"/>
          <w:sz w:val="32"/>
          <w:szCs w:val="32"/>
        </w:rPr>
        <w:t>釜</w:t>
      </w:r>
      <w:proofErr w:type="gramEnd"/>
      <w:r>
        <w:rPr>
          <w:rFonts w:eastAsia="仿宋" w:hint="eastAsia"/>
          <w:sz w:val="32"/>
          <w:szCs w:val="32"/>
        </w:rPr>
        <w:t>废气经处理，满足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《大气污染物综合排放标准》(GB16297-1996)表2中的标准限值后，通过15m高的DA003排气筒排放</w:t>
      </w:r>
      <w:r>
        <w:rPr>
          <w:rFonts w:eastAsia="仿宋" w:hint="eastAsia"/>
          <w:sz w:val="32"/>
          <w:szCs w:val="32"/>
        </w:rPr>
        <w:t>；项目</w:t>
      </w:r>
      <w:proofErr w:type="gramStart"/>
      <w:r>
        <w:rPr>
          <w:rFonts w:eastAsia="仿宋" w:hint="eastAsia"/>
          <w:sz w:val="32"/>
          <w:szCs w:val="32"/>
        </w:rPr>
        <w:t>不</w:t>
      </w:r>
      <w:proofErr w:type="gramEnd"/>
      <w:r>
        <w:rPr>
          <w:rFonts w:eastAsia="仿宋" w:hint="eastAsia"/>
          <w:sz w:val="32"/>
          <w:szCs w:val="32"/>
        </w:rPr>
        <w:t>凝气通过专用管道送至加热设备（热解反应釜和导热油炉）燃烧处理，热解反应釜废气经处理应满足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《石油化学工业污染物排放标准》(GB 31571-2015)“表5 大气污染物特别排放限值”中工艺加热炉排放标准，导热油炉烟气</w:t>
      </w:r>
      <w:r>
        <w:rPr>
          <w:rFonts w:eastAsia="仿宋" w:hint="eastAsia"/>
          <w:sz w:val="32"/>
          <w:szCs w:val="32"/>
        </w:rPr>
        <w:t>经处理应满足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《锅炉大气污染物排放标准》(GB 13271-2014)“表3 大气污染物特别排放限值”中燃气锅炉排放标准后，分别通过15m高的DA004、DA005排气筒排放</w:t>
      </w:r>
      <w:r>
        <w:rPr>
          <w:rFonts w:eastAsia="仿宋" w:hint="eastAsia"/>
          <w:sz w:val="32"/>
          <w:szCs w:val="32"/>
        </w:rPr>
        <w:t>；储罐区损耗废气中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非甲烷总烃(NMHC)经处理</w:t>
      </w:r>
      <w:r>
        <w:rPr>
          <w:rFonts w:eastAsia="仿宋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满足《石油化学工业污染物排放标准》(GB 31571-2015)中有组织排放限值要求后，通过15m高的DA006排气筒排放</w:t>
      </w:r>
      <w:r>
        <w:rPr>
          <w:rFonts w:eastAsia="仿宋" w:hint="eastAsia"/>
          <w:sz w:val="32"/>
          <w:szCs w:val="32"/>
        </w:rPr>
        <w:t>；污水处理站废气经处理，其中</w:t>
      </w:r>
      <w:r>
        <w:rPr>
          <w:rFonts w:eastAsia="仿宋"/>
          <w:sz w:val="32"/>
          <w:szCs w:val="32"/>
        </w:rPr>
        <w:t>N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H</w:t>
      </w:r>
      <w:r>
        <w:rPr>
          <w:rFonts w:ascii="仿宋" w:eastAsia="仿宋" w:hAnsi="仿宋" w:cs="仿宋_GB2312" w:hint="eastAsia"/>
          <w:color w:val="000000"/>
          <w:sz w:val="32"/>
          <w:szCs w:val="32"/>
          <w:vertAlign w:val="subscript"/>
        </w:rPr>
        <w:t>3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、H</w:t>
      </w:r>
      <w:r>
        <w:rPr>
          <w:rFonts w:ascii="仿宋" w:eastAsia="仿宋" w:hAnsi="仿宋" w:cs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S</w:t>
      </w:r>
      <w:r>
        <w:rPr>
          <w:rFonts w:eastAsia="仿宋" w:hint="eastAsia"/>
          <w:sz w:val="32"/>
          <w:szCs w:val="32"/>
        </w:rPr>
        <w:t>应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满足《恶臭污染物排放标准》(GB 14554-93)中表2标准限值、非甲烷总烃(NMHC)</w:t>
      </w:r>
      <w:r>
        <w:rPr>
          <w:rFonts w:eastAsia="仿宋" w:hint="eastAsia"/>
          <w:sz w:val="32"/>
          <w:szCs w:val="32"/>
        </w:rPr>
        <w:t>应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满足《石油化学工业污染物排放标准》(GB 31571-2015)中有组织排放限值</w:t>
      </w:r>
      <w:r>
        <w:rPr>
          <w:rFonts w:eastAsia="仿宋" w:hint="eastAsia"/>
          <w:sz w:val="32"/>
          <w:szCs w:val="32"/>
        </w:rPr>
        <w:t>后，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通过15m高的DA007排气筒排放</w:t>
      </w:r>
      <w:r>
        <w:rPr>
          <w:rFonts w:eastAsia="仿宋" w:hint="eastAsia"/>
          <w:sz w:val="32"/>
          <w:szCs w:val="32"/>
        </w:rPr>
        <w:t>；食堂油烟采用油烟净化设施处理满足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《饮食业油烟排放标准(试行)》(GB 18483-2001)中的标准限值后有组织排放。</w:t>
      </w:r>
      <w:r>
        <w:rPr>
          <w:rFonts w:ascii="仿宋" w:eastAsia="仿宋" w:hAnsi="仿宋" w:cs="仿宋_GB2312"/>
          <w:color w:val="000000"/>
          <w:sz w:val="32"/>
          <w:szCs w:val="32"/>
        </w:rPr>
        <w:t xml:space="preserve"> </w:t>
      </w:r>
    </w:p>
    <w:p w:rsidR="00FB066C" w:rsidRDefault="00242996">
      <w:pPr>
        <w:spacing w:line="46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color w:val="000000"/>
          <w:sz w:val="32"/>
          <w:szCs w:val="32"/>
        </w:rPr>
        <w:t>噪声污染防治工作。采用低噪声设备，合理安排工作时间，对产生噪声的设备和工序进行合理布局，对主要的声源设备采取隔声、减震措施，确保厂界噪声达到《工业企业厂界环境噪声排放标准》(GB12348-2008)中的3类标准要求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_GB2312"/>
          <w:color w:val="000000"/>
          <w:sz w:val="32"/>
          <w:szCs w:val="32"/>
        </w:rPr>
        <w:t>、固体废物防治工作。按“无害化、减量化、资源化”原则，做好固体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废物</w:t>
      </w:r>
      <w:r>
        <w:rPr>
          <w:rFonts w:ascii="仿宋" w:eastAsia="仿宋" w:hAnsi="仿宋" w:cs="仿宋_GB2312"/>
          <w:color w:val="000000"/>
          <w:sz w:val="32"/>
          <w:szCs w:val="32"/>
        </w:rPr>
        <w:t>分类收集、暂存工作，建立健全固体废物产</w:t>
      </w:r>
      <w:r>
        <w:rPr>
          <w:rFonts w:ascii="仿宋" w:eastAsia="仿宋" w:hAnsi="仿宋" w:cs="仿宋_GB2312"/>
          <w:color w:val="000000"/>
          <w:sz w:val="32"/>
          <w:szCs w:val="32"/>
        </w:rPr>
        <w:lastRenderedPageBreak/>
        <w:t>生、转运、处置管理台帐。严格按《危险废物贮存污染控制标准（GB18597-2001）》及2013年修改</w:t>
      </w:r>
      <w:proofErr w:type="gramStart"/>
      <w:r>
        <w:rPr>
          <w:rFonts w:ascii="仿宋" w:eastAsia="仿宋" w:hAnsi="仿宋" w:cs="仿宋_GB2312"/>
          <w:color w:val="000000"/>
          <w:sz w:val="32"/>
          <w:szCs w:val="32"/>
        </w:rPr>
        <w:t>单要求</w:t>
      </w:r>
      <w:proofErr w:type="gramEnd"/>
      <w:r>
        <w:rPr>
          <w:rFonts w:ascii="仿宋" w:eastAsia="仿宋" w:hAnsi="仿宋" w:cs="仿宋_GB2312"/>
          <w:color w:val="000000"/>
          <w:sz w:val="32"/>
          <w:szCs w:val="32"/>
        </w:rPr>
        <w:t>建设危险废物暂存间，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活性白土渣、废活性炭等危险废物</w:t>
      </w:r>
      <w:r>
        <w:rPr>
          <w:rFonts w:ascii="仿宋" w:eastAsia="仿宋" w:hAnsi="仿宋" w:cs="仿宋_GB2312"/>
          <w:color w:val="000000"/>
          <w:sz w:val="32"/>
          <w:szCs w:val="32"/>
        </w:rPr>
        <w:t>应送有资质的单位安全处置，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并执行</w:t>
      </w:r>
      <w:r>
        <w:rPr>
          <w:rFonts w:ascii="仿宋" w:eastAsia="仿宋" w:hAnsi="仿宋" w:cs="仿宋_GB2312"/>
          <w:color w:val="000000"/>
          <w:sz w:val="32"/>
          <w:szCs w:val="32"/>
        </w:rPr>
        <w:t>转移联单制度；按《一般工业固体废物贮存、处置场污染控制标准》（GB18599-2001）及2013年修改</w:t>
      </w:r>
      <w:proofErr w:type="gramStart"/>
      <w:r>
        <w:rPr>
          <w:rFonts w:ascii="仿宋" w:eastAsia="仿宋" w:hAnsi="仿宋" w:cs="仿宋_GB2312"/>
          <w:color w:val="000000"/>
          <w:sz w:val="32"/>
          <w:szCs w:val="32"/>
        </w:rPr>
        <w:t>单要求</w:t>
      </w:r>
      <w:proofErr w:type="gramEnd"/>
      <w:r>
        <w:rPr>
          <w:rFonts w:ascii="仿宋" w:eastAsia="仿宋" w:hAnsi="仿宋" w:cs="仿宋_GB2312"/>
          <w:color w:val="000000"/>
          <w:sz w:val="32"/>
          <w:szCs w:val="32"/>
        </w:rPr>
        <w:t>建设、贮存和运输一般工业固体废物；生活垃圾交由环卫部门统一收集处理。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_GB2312"/>
          <w:color w:val="000000"/>
          <w:sz w:val="32"/>
          <w:szCs w:val="32"/>
        </w:rPr>
        <w:t>、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_GB2312"/>
          <w:color w:val="000000"/>
          <w:sz w:val="32"/>
          <w:szCs w:val="32"/>
        </w:rPr>
        <w:t>、加强环境管理，建立健全的污染防治设施运行管理台帐，设立专门的环保机构，配备专人负责环保工作，确保各项污染防治设施正常运行，各类污染物稳定达标排放。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_GB2312"/>
          <w:color w:val="000000"/>
          <w:sz w:val="32"/>
          <w:szCs w:val="32"/>
        </w:rPr>
        <w:t>、本项目总量控制指标：VOCs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≤11.7</w:t>
      </w:r>
      <w:r>
        <w:rPr>
          <w:rFonts w:ascii="仿宋" w:eastAsia="仿宋" w:hAnsi="仿宋" w:cs="仿宋_GB2312"/>
          <w:color w:val="000000"/>
          <w:sz w:val="32"/>
          <w:szCs w:val="32"/>
        </w:rPr>
        <w:t>t/a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proofErr w:type="spellStart"/>
      <w:r>
        <w:rPr>
          <w:rFonts w:ascii="仿宋" w:eastAsia="仿宋" w:hAnsi="仿宋" w:cs="仿宋_GB2312"/>
          <w:color w:val="000000"/>
          <w:sz w:val="32"/>
          <w:szCs w:val="32"/>
        </w:rPr>
        <w:t>COD</w:t>
      </w:r>
      <w:r>
        <w:rPr>
          <w:rFonts w:ascii="仿宋" w:eastAsia="仿宋" w:hAnsi="仿宋" w:cs="仿宋_GB2312"/>
          <w:color w:val="000000"/>
          <w:sz w:val="32"/>
          <w:szCs w:val="32"/>
          <w:vertAlign w:val="subscript"/>
        </w:rPr>
        <w:t>Cr</w:t>
      </w:r>
      <w:proofErr w:type="spellEnd"/>
      <w:r>
        <w:rPr>
          <w:rFonts w:ascii="仿宋" w:eastAsia="仿宋" w:hAnsi="仿宋" w:cs="仿宋_GB2312" w:hint="eastAsia"/>
          <w:color w:val="000000"/>
          <w:sz w:val="32"/>
          <w:szCs w:val="32"/>
        </w:rPr>
        <w:t>≤1.1</w:t>
      </w:r>
      <w:r>
        <w:rPr>
          <w:rFonts w:ascii="仿宋" w:eastAsia="仿宋" w:hAnsi="仿宋" w:cs="仿宋_GB2312"/>
          <w:color w:val="000000"/>
          <w:sz w:val="32"/>
          <w:szCs w:val="32"/>
        </w:rPr>
        <w:t>t/a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_GB2312"/>
          <w:color w:val="000000"/>
          <w:sz w:val="32"/>
          <w:szCs w:val="32"/>
        </w:rPr>
        <w:t>NH</w:t>
      </w:r>
      <w:r>
        <w:rPr>
          <w:rFonts w:ascii="仿宋" w:eastAsia="仿宋" w:hAnsi="仿宋" w:cs="仿宋_GB2312"/>
          <w:color w:val="000000"/>
          <w:sz w:val="32"/>
          <w:szCs w:val="32"/>
          <w:vertAlign w:val="subscript"/>
        </w:rPr>
        <w:t>3</w:t>
      </w:r>
      <w:r>
        <w:rPr>
          <w:rFonts w:ascii="仿宋" w:eastAsia="仿宋" w:hAnsi="仿宋" w:cs="仿宋_GB2312"/>
          <w:color w:val="000000"/>
          <w:sz w:val="32"/>
          <w:szCs w:val="32"/>
        </w:rPr>
        <w:t>-N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≤0.1</w:t>
      </w:r>
      <w:r>
        <w:rPr>
          <w:rFonts w:ascii="仿宋" w:eastAsia="仿宋" w:hAnsi="仿宋" w:cs="仿宋_GB2312"/>
          <w:color w:val="000000"/>
          <w:sz w:val="32"/>
          <w:szCs w:val="32"/>
        </w:rPr>
        <w:t>t/a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，SO</w:t>
      </w:r>
      <w:r>
        <w:rPr>
          <w:rFonts w:ascii="仿宋" w:eastAsia="仿宋" w:hAnsi="仿宋" w:cs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≤4.5</w:t>
      </w:r>
      <w:r>
        <w:rPr>
          <w:rFonts w:ascii="仿宋" w:eastAsia="仿宋" w:hAnsi="仿宋" w:cs="仿宋_GB2312"/>
          <w:color w:val="000000"/>
          <w:sz w:val="32"/>
          <w:szCs w:val="32"/>
        </w:rPr>
        <w:t>t/a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，NO</w:t>
      </w:r>
      <w:r>
        <w:rPr>
          <w:rFonts w:ascii="仿宋" w:eastAsia="仿宋" w:hAnsi="仿宋" w:cs="仿宋_GB2312" w:hint="eastAsia"/>
          <w:color w:val="000000"/>
          <w:sz w:val="32"/>
          <w:szCs w:val="32"/>
          <w:vertAlign w:val="subscript"/>
        </w:rPr>
        <w:t>X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≤4.8</w:t>
      </w:r>
      <w:r>
        <w:rPr>
          <w:rFonts w:ascii="仿宋" w:eastAsia="仿宋" w:hAnsi="仿宋" w:cs="仿宋_GB2312"/>
          <w:color w:val="000000"/>
          <w:sz w:val="32"/>
          <w:szCs w:val="32"/>
        </w:rPr>
        <w:t>t/a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.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</w:rPr>
        <w:t>三、你公司应收到本批复后15个工作日内，将批复及批准的环</w:t>
      </w:r>
      <w:proofErr w:type="gramStart"/>
      <w:r>
        <w:rPr>
          <w:rFonts w:ascii="仿宋" w:eastAsia="仿宋" w:hAnsi="仿宋" w:cs="仿宋_GB2312"/>
          <w:color w:val="000000"/>
          <w:sz w:val="32"/>
          <w:szCs w:val="32"/>
        </w:rPr>
        <w:t>评报告</w:t>
      </w:r>
      <w:proofErr w:type="gramEnd"/>
      <w:r>
        <w:rPr>
          <w:rFonts w:ascii="仿宋" w:eastAsia="仿宋" w:hAnsi="仿宋" w:cs="仿宋_GB2312"/>
          <w:color w:val="000000"/>
          <w:sz w:val="32"/>
          <w:szCs w:val="32"/>
        </w:rPr>
        <w:t>文件送岳阳市</w:t>
      </w:r>
      <w:proofErr w:type="gramStart"/>
      <w:r>
        <w:rPr>
          <w:rFonts w:ascii="仿宋" w:eastAsia="仿宋" w:hAnsi="仿宋" w:cs="仿宋_GB2312"/>
          <w:color w:val="000000"/>
          <w:sz w:val="32"/>
          <w:szCs w:val="32"/>
        </w:rPr>
        <w:t>生态环境局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云溪</w:t>
      </w:r>
      <w:proofErr w:type="gramEnd"/>
      <w:r>
        <w:rPr>
          <w:rFonts w:ascii="仿宋" w:eastAsia="仿宋" w:hAnsi="仿宋" w:cs="仿宋_GB2312"/>
          <w:color w:val="000000"/>
          <w:sz w:val="32"/>
          <w:szCs w:val="32"/>
        </w:rPr>
        <w:t>分局、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湖南岳阳绿色化工产业园管理委员会</w:t>
      </w:r>
      <w:r>
        <w:rPr>
          <w:rFonts w:ascii="仿宋" w:eastAsia="仿宋" w:hAnsi="仿宋" w:cs="仿宋_GB2312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联合泰泽环境科技发展有限公司</w:t>
      </w:r>
      <w:r>
        <w:rPr>
          <w:rFonts w:ascii="仿宋" w:eastAsia="仿宋" w:hAnsi="仿宋" w:cs="仿宋_GB2312"/>
          <w:color w:val="000000"/>
          <w:sz w:val="32"/>
          <w:szCs w:val="32"/>
        </w:rPr>
        <w:t>。</w:t>
      </w:r>
    </w:p>
    <w:p w:rsidR="00FB066C" w:rsidRDefault="00242996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/>
          <w:color w:val="000000"/>
          <w:sz w:val="32"/>
          <w:szCs w:val="32"/>
        </w:rPr>
        <w:t>四、请岳阳市生态环境</w:t>
      </w:r>
      <w:proofErr w:type="gramStart"/>
      <w:r>
        <w:rPr>
          <w:rFonts w:ascii="仿宋" w:eastAsia="仿宋" w:hAnsi="仿宋" w:cs="仿宋_GB2312"/>
          <w:color w:val="000000"/>
          <w:sz w:val="32"/>
          <w:szCs w:val="32"/>
        </w:rPr>
        <w:t>局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云溪</w:t>
      </w:r>
      <w:r>
        <w:rPr>
          <w:rFonts w:ascii="仿宋" w:eastAsia="仿宋" w:hAnsi="仿宋" w:cs="仿宋_GB2312"/>
          <w:color w:val="000000"/>
          <w:sz w:val="32"/>
          <w:szCs w:val="32"/>
        </w:rPr>
        <w:t>分局</w:t>
      </w:r>
      <w:proofErr w:type="gramEnd"/>
      <w:r>
        <w:rPr>
          <w:rFonts w:ascii="仿宋" w:eastAsia="仿宋" w:hAnsi="仿宋" w:cs="仿宋_GB2312"/>
          <w:color w:val="000000"/>
          <w:sz w:val="32"/>
          <w:szCs w:val="32"/>
        </w:rPr>
        <w:t>负责项目建设和运营期的日常环境监管。</w:t>
      </w:r>
    </w:p>
    <w:p w:rsidR="00FB066C" w:rsidRDefault="00FB066C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FB066C" w:rsidRDefault="00FB066C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FB066C" w:rsidRDefault="00FB066C">
      <w:pPr>
        <w:spacing w:line="42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FB066C" w:rsidRDefault="00242996">
      <w:pPr>
        <w:spacing w:line="460" w:lineRule="exact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岳阳市生态环境局</w:t>
      </w:r>
    </w:p>
    <w:p w:rsidR="00FB066C" w:rsidRDefault="00242996" w:rsidP="004C3A0E">
      <w:pPr>
        <w:spacing w:line="460" w:lineRule="exact"/>
        <w:ind w:firstLineChars="180" w:firstLine="576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        </w:t>
      </w:r>
      <w:r w:rsidRPr="004C3A0E">
        <w:rPr>
          <w:rFonts w:ascii="仿宋" w:eastAsia="仿宋" w:hAnsi="仿宋"/>
          <w:color w:val="000000"/>
          <w:sz w:val="32"/>
          <w:szCs w:val="32"/>
        </w:rPr>
        <w:t>2020</w:t>
      </w:r>
      <w:r w:rsidRPr="004C3A0E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4C3A0E">
        <w:rPr>
          <w:rFonts w:ascii="仿宋" w:eastAsia="仿宋" w:hAnsi="仿宋"/>
          <w:color w:val="000000"/>
          <w:sz w:val="32"/>
          <w:szCs w:val="32"/>
        </w:rPr>
        <w:t>3</w:t>
      </w:r>
      <w:r w:rsidRPr="004C3A0E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4C3A0E">
        <w:rPr>
          <w:rFonts w:ascii="仿宋" w:eastAsia="仿宋" w:hAnsi="仿宋"/>
          <w:color w:val="000000"/>
          <w:sz w:val="32"/>
          <w:szCs w:val="32"/>
        </w:rPr>
        <w:t>26</w:t>
      </w:r>
      <w:r w:rsidRPr="004C3A0E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tbl>
      <w:tblPr>
        <w:tblpPr w:leftFromText="180" w:rightFromText="180" w:vertAnchor="page" w:horzAnchor="margin" w:tblpY="14328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1"/>
      </w:tblGrid>
      <w:tr w:rsidR="00FB066C">
        <w:trPr>
          <w:trHeight w:val="1033"/>
        </w:trPr>
        <w:tc>
          <w:tcPr>
            <w:tcW w:w="8861" w:type="dxa"/>
          </w:tcPr>
          <w:p w:rsidR="00FB066C" w:rsidRDefault="00242996">
            <w:pPr>
              <w:spacing w:line="460" w:lineRule="exact"/>
              <w:ind w:left="800" w:hangingChars="250" w:hanging="800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抄送:</w:t>
            </w:r>
            <w:r>
              <w:rPr>
                <w:rFonts w:ascii="仿宋" w:eastAsia="仿宋" w:hAnsi="仿宋"/>
                <w:sz w:val="32"/>
                <w:szCs w:val="32"/>
              </w:rPr>
              <w:t>岳阳市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生态环境局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云溪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分局、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湖南岳阳绿色化工产业园管理委员会</w:t>
            </w:r>
            <w:r>
              <w:rPr>
                <w:rFonts w:ascii="仿宋" w:eastAsia="仿宋" w:hAnsi="仿宋"/>
                <w:sz w:val="32"/>
                <w:szCs w:val="32"/>
              </w:rPr>
              <w:t>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联合泰泽环境科技发展有限公司</w:t>
            </w:r>
          </w:p>
        </w:tc>
      </w:tr>
    </w:tbl>
    <w:p w:rsidR="00FB066C" w:rsidRDefault="00FB066C">
      <w:pPr>
        <w:pStyle w:val="0"/>
        <w:spacing w:line="500" w:lineRule="exact"/>
        <w:ind w:left="0" w:firstLineChars="0" w:firstLine="0"/>
        <w:jc w:val="both"/>
        <w:rPr>
          <w:rFonts w:ascii="仿宋" w:eastAsia="仿宋" w:hAnsi="仿宋"/>
          <w:color w:val="FF0000"/>
        </w:rPr>
      </w:pPr>
    </w:p>
    <w:sectPr w:rsidR="00FB0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18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A5" w:rsidRDefault="00CE1CA5" w:rsidP="00242996">
      <w:pPr>
        <w:ind w:firstLine="400"/>
      </w:pPr>
      <w:r>
        <w:separator/>
      </w:r>
    </w:p>
  </w:endnote>
  <w:endnote w:type="continuationSeparator" w:id="0">
    <w:p w:rsidR="00CE1CA5" w:rsidRDefault="00CE1CA5" w:rsidP="00242996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_4eff_5b8b_GB231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6C" w:rsidRDefault="00FB066C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6C" w:rsidRDefault="00242996">
    <w:pPr>
      <w:pStyle w:val="a8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3A0E" w:rsidRPr="004C3A0E">
      <w:rPr>
        <w:noProof/>
        <w:lang w:val="zh-CN"/>
      </w:rPr>
      <w:t>4</w:t>
    </w:r>
    <w:r>
      <w:fldChar w:fldCharType="end"/>
    </w:r>
  </w:p>
  <w:p w:rsidR="00FB066C" w:rsidRDefault="00FB066C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0E" w:rsidRDefault="004C3A0E" w:rsidP="004C3A0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A5" w:rsidRDefault="00CE1CA5" w:rsidP="00242996">
      <w:pPr>
        <w:ind w:firstLine="400"/>
      </w:pPr>
      <w:r>
        <w:separator/>
      </w:r>
    </w:p>
  </w:footnote>
  <w:footnote w:type="continuationSeparator" w:id="0">
    <w:p w:rsidR="00CE1CA5" w:rsidRDefault="00CE1CA5" w:rsidP="00242996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6C" w:rsidRDefault="00FB066C">
    <w:pPr>
      <w:pStyle w:val="af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6C" w:rsidRDefault="00FB066C">
    <w:pPr>
      <w:pStyle w:val="af0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6C" w:rsidRDefault="00FB066C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6C"/>
    <w:rsid w:val="00242996"/>
    <w:rsid w:val="004C3A0E"/>
    <w:rsid w:val="0073409C"/>
    <w:rsid w:val="00CE1CA5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customStyle="1" w:styleId="Char">
    <w:name w:val="表格文字 Char"/>
    <w:link w:val="a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批注文字 Char"/>
    <w:basedOn w:val="a0"/>
    <w:link w:val="a6"/>
  </w:style>
  <w:style w:type="character" w:customStyle="1" w:styleId="CharChar">
    <w:name w:val="中文报告书样式 Char Char"/>
    <w:link w:val="a7"/>
    <w:rPr>
      <w:rFonts w:eastAsia="宋体"/>
      <w:kern w:val="24"/>
      <w:sz w:val="24"/>
      <w:lang w:val="en-US" w:eastAsia="zh-CN" w:bidi="ar-SA"/>
    </w:rPr>
  </w:style>
  <w:style w:type="character" w:customStyle="1" w:styleId="p0Char">
    <w:name w:val="p0 Char"/>
    <w:link w:val="p0"/>
    <w:rPr>
      <w:rFonts w:eastAsia="宋体"/>
      <w:sz w:val="32"/>
      <w:szCs w:val="32"/>
      <w:lang w:val="en-US" w:eastAsia="zh-CN" w:bidi="ar-SA"/>
    </w:rPr>
  </w:style>
  <w:style w:type="character" w:customStyle="1" w:styleId="Char1">
    <w:name w:val="页脚 Char"/>
    <w:link w:val="a8"/>
    <w:uiPriority w:val="99"/>
    <w:rPr>
      <w:sz w:val="18"/>
      <w:szCs w:val="18"/>
    </w:rPr>
  </w:style>
  <w:style w:type="character" w:customStyle="1" w:styleId="Char2">
    <w:name w:val="批注主题 Char"/>
    <w:link w:val="a9"/>
    <w:rPr>
      <w:b/>
      <w:bCs/>
    </w:rPr>
  </w:style>
  <w:style w:type="character" w:customStyle="1" w:styleId="Char3">
    <w:name w:val="正文首行缩进 Char"/>
    <w:link w:val="aa"/>
    <w:rPr>
      <w:rFonts w:eastAsia="宋体"/>
      <w:kern w:val="2"/>
      <w:sz w:val="24"/>
      <w:lang w:val="en-US" w:eastAsia="zh-CN" w:bidi="ar-SA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Body Text First Indent"/>
    <w:basedOn w:val="ab"/>
    <w:link w:val="Char3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c">
    <w:name w:val="Balloon Text"/>
    <w:basedOn w:val="a"/>
    <w:rPr>
      <w:sz w:val="18"/>
      <w:szCs w:val="18"/>
    </w:rPr>
  </w:style>
  <w:style w:type="paragraph" w:styleId="ab">
    <w:name w:val="Body Text"/>
    <w:basedOn w:val="a"/>
    <w:pPr>
      <w:spacing w:after="120"/>
    </w:pPr>
  </w:style>
  <w:style w:type="paragraph" w:styleId="ad">
    <w:name w:val="Date"/>
    <w:basedOn w:val="a"/>
    <w:next w:val="a"/>
    <w:pPr>
      <w:ind w:leftChars="2500" w:left="100"/>
    </w:pPr>
  </w:style>
  <w:style w:type="paragraph" w:styleId="a9">
    <w:name w:val="annotation subject"/>
    <w:basedOn w:val="a6"/>
    <w:next w:val="a6"/>
    <w:link w:val="Char2"/>
    <w:rPr>
      <w:b/>
      <w:bCs/>
    </w:rPr>
  </w:style>
  <w:style w:type="paragraph" w:styleId="ae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f">
    <w:name w:val="Plain Text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6">
    <w:name w:val="annotation text"/>
    <w:basedOn w:val="a"/>
    <w:link w:val="Char0"/>
  </w:style>
  <w:style w:type="paragraph" w:styleId="af0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中文报告书样式"/>
    <w:basedOn w:val="a"/>
    <w:link w:val="CharChar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paragraph" w:customStyle="1" w:styleId="1-">
    <w:name w:val="1-正文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WPSPlain">
    <w:name w:val="WPS Plain"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1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styleId="af2">
    <w:name w:val="Revision"/>
    <w:uiPriority w:val="99"/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a5">
    <w:name w:val="表格文字"/>
    <w:basedOn w:val="a"/>
    <w:link w:val="Char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  <w:style w:type="table" w:styleId="af5">
    <w:name w:val="Table Grid"/>
    <w:basedOn w:val="a1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21"/>
      <w:szCs w:val="21"/>
    </w:rPr>
  </w:style>
  <w:style w:type="character" w:styleId="a4">
    <w:name w:val="page number"/>
    <w:basedOn w:val="a0"/>
  </w:style>
  <w:style w:type="character" w:customStyle="1" w:styleId="Char">
    <w:name w:val="表格文字 Char"/>
    <w:link w:val="a5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批注文字 Char"/>
    <w:basedOn w:val="a0"/>
    <w:link w:val="a6"/>
  </w:style>
  <w:style w:type="character" w:customStyle="1" w:styleId="CharChar">
    <w:name w:val="中文报告书样式 Char Char"/>
    <w:link w:val="a7"/>
    <w:rPr>
      <w:rFonts w:eastAsia="宋体"/>
      <w:kern w:val="24"/>
      <w:sz w:val="24"/>
      <w:lang w:val="en-US" w:eastAsia="zh-CN" w:bidi="ar-SA"/>
    </w:rPr>
  </w:style>
  <w:style w:type="character" w:customStyle="1" w:styleId="p0Char">
    <w:name w:val="p0 Char"/>
    <w:link w:val="p0"/>
    <w:rPr>
      <w:rFonts w:eastAsia="宋体"/>
      <w:sz w:val="32"/>
      <w:szCs w:val="32"/>
      <w:lang w:val="en-US" w:eastAsia="zh-CN" w:bidi="ar-SA"/>
    </w:rPr>
  </w:style>
  <w:style w:type="character" w:customStyle="1" w:styleId="Char1">
    <w:name w:val="页脚 Char"/>
    <w:link w:val="a8"/>
    <w:uiPriority w:val="99"/>
    <w:rPr>
      <w:sz w:val="18"/>
      <w:szCs w:val="18"/>
    </w:rPr>
  </w:style>
  <w:style w:type="character" w:customStyle="1" w:styleId="Char2">
    <w:name w:val="批注主题 Char"/>
    <w:link w:val="a9"/>
    <w:rPr>
      <w:b/>
      <w:bCs/>
    </w:rPr>
  </w:style>
  <w:style w:type="character" w:customStyle="1" w:styleId="Char3">
    <w:name w:val="正文首行缩进 Char"/>
    <w:link w:val="aa"/>
    <w:rPr>
      <w:rFonts w:eastAsia="宋体"/>
      <w:kern w:val="2"/>
      <w:sz w:val="24"/>
      <w:lang w:val="en-US" w:eastAsia="zh-CN" w:bidi="ar-SA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Body Text First Indent"/>
    <w:basedOn w:val="ab"/>
    <w:link w:val="Char3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c">
    <w:name w:val="Balloon Text"/>
    <w:basedOn w:val="a"/>
    <w:rPr>
      <w:sz w:val="18"/>
      <w:szCs w:val="18"/>
    </w:rPr>
  </w:style>
  <w:style w:type="paragraph" w:styleId="ab">
    <w:name w:val="Body Text"/>
    <w:basedOn w:val="a"/>
    <w:pPr>
      <w:spacing w:after="120"/>
    </w:pPr>
  </w:style>
  <w:style w:type="paragraph" w:styleId="ad">
    <w:name w:val="Date"/>
    <w:basedOn w:val="a"/>
    <w:next w:val="a"/>
    <w:pPr>
      <w:ind w:leftChars="2500" w:left="100"/>
    </w:pPr>
  </w:style>
  <w:style w:type="paragraph" w:styleId="a9">
    <w:name w:val="annotation subject"/>
    <w:basedOn w:val="a6"/>
    <w:next w:val="a6"/>
    <w:link w:val="Char2"/>
    <w:rPr>
      <w:b/>
      <w:bCs/>
    </w:rPr>
  </w:style>
  <w:style w:type="paragraph" w:styleId="ae">
    <w:name w:val="Normal Indent"/>
    <w:pPr>
      <w:adjustRightInd w:val="0"/>
      <w:spacing w:line="312" w:lineRule="atLeast"/>
      <w:ind w:firstLine="420"/>
      <w:textAlignment w:val="baseline"/>
    </w:pPr>
  </w:style>
  <w:style w:type="paragraph" w:styleId="af">
    <w:name w:val="Plain Text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6">
    <w:name w:val="annotation text"/>
    <w:basedOn w:val="a"/>
    <w:link w:val="Char0"/>
  </w:style>
  <w:style w:type="paragraph" w:styleId="af0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中文报告书样式"/>
    <w:basedOn w:val="a"/>
    <w:link w:val="CharChar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paragraph" w:customStyle="1" w:styleId="1-">
    <w:name w:val="1-正文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p0">
    <w:name w:val="p0"/>
    <w:basedOn w:val="a"/>
    <w:link w:val="p0Char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WPSPlain">
    <w:name w:val="WPS Plain"/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/>
      <w:textAlignment w:val="bottom"/>
    </w:pPr>
  </w:style>
  <w:style w:type="paragraph" w:customStyle="1" w:styleId="af1">
    <w:name w:val="表格内容"/>
    <w:basedOn w:val="a"/>
    <w:qFormat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styleId="af2">
    <w:name w:val="Revision"/>
    <w:uiPriority w:val="99"/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f3">
    <w:name w:val="缩进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paragraph" w:customStyle="1" w:styleId="a5">
    <w:name w:val="表格文字"/>
    <w:basedOn w:val="a"/>
    <w:link w:val="Char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0012">
    <w:name w:val="样式 正文001 + 首行缩进:  2 字符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CharCharCharCharCharCharCharCharCharCharChar">
    <w:name w:val="Char Char Char Char Char Char Char Char Char Char Char"/>
    <w:basedOn w:val="a"/>
    <w:pPr>
      <w:ind w:firstLineChars="0" w:firstLine="0"/>
      <w:jc w:val="both"/>
    </w:pPr>
    <w:rPr>
      <w:kern w:val="2"/>
      <w:sz w:val="28"/>
      <w:szCs w:val="28"/>
    </w:rPr>
  </w:style>
  <w:style w:type="paragraph" w:styleId="af4">
    <w:name w:val="List Paragraph"/>
    <w:qFormat/>
    <w:pPr>
      <w:ind w:firstLineChars="200" w:firstLine="420"/>
    </w:pPr>
  </w:style>
  <w:style w:type="table" w:styleId="af5">
    <w:name w:val="Table Grid"/>
    <w:basedOn w:val="a1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1437</Words>
  <Characters>1597</Characters>
  <Application>Microsoft Office Word</Application>
  <DocSecurity>0</DocSecurity>
  <Lines>114</Lines>
  <Paragraphs>101</Paragraphs>
  <MMClips>0</MMClips>
  <ScaleCrop>false</ScaleCrop>
  <Company>微软中国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17</cp:revision>
  <cp:lastPrinted>2020-02-17T01:40:00Z</cp:lastPrinted>
  <dcterms:created xsi:type="dcterms:W3CDTF">2020-02-12T04:38:00Z</dcterms:created>
  <dcterms:modified xsi:type="dcterms:W3CDTF">2020-03-25T08:11:00Z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